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ascii="黑体" w:hAnsi="宋体" w:eastAsia="黑体" w:cs="黑体"/>
          <w:b w:val="0"/>
          <w:i w:val="0"/>
          <w:color w:val="auto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市教育局关于下达2018年市属有关学校幼儿园招生计划的通知</w:t>
      </w:r>
    </w:p>
    <w:bookmarkEnd w:id="0"/>
    <w:tbl>
      <w:tblPr>
        <w:tblW w:w="8396" w:type="dxa"/>
        <w:tblCellSpacing w:w="15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仿宋" w:hAnsi="仿宋" w:eastAsia="仿宋" w:cs="仿宋"/>
                <w:sz w:val="32"/>
                <w:szCs w:val="32"/>
                <w:bdr w:val="none" w:color="auto" w:sz="0" w:space="0"/>
              </w:rPr>
              <w:t>市属有关学校、幼儿园：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为进一步规范学校办学行为，根据国家、省、市相关文件精神，结合各学校、幼儿园办学实际，现将</w:t>
            </w:r>
            <w:r>
              <w:rPr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年市属有关学校、幼儿园招生计划下达给你们，并就相关事项强调如下，请认真遵照执行。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一、坚持按照规定的入学条件和服务范围组织好招生工作。高中阶段学校的招生范围按全市计划招生意见统一执行。义务教育学校按照《市教育局关于进一步规范</w:t>
            </w:r>
            <w:r>
              <w:rPr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年义务教育阶段新生入学管理工作的通知》（武教基〔</w:t>
            </w:r>
            <w:r>
              <w:rPr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sz w:val="32"/>
                <w:szCs w:val="32"/>
                <w:bdr w:val="none" w:color="auto" w:sz="0" w:space="0"/>
              </w:rPr>
              <w:t>13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号）要求组织好新生入学工作；幼儿园按照《市教育局关于规范幼儿园招生工作的通知》（武教基〔</w:t>
            </w:r>
            <w:r>
              <w:rPr>
                <w:sz w:val="32"/>
                <w:szCs w:val="32"/>
                <w:bdr w:val="none" w:color="auto" w:sz="0" w:space="0"/>
              </w:rPr>
              <w:t>2015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〕</w:t>
            </w:r>
            <w:r>
              <w:rPr>
                <w:sz w:val="32"/>
                <w:szCs w:val="32"/>
                <w:bdr w:val="none" w:color="auto" w:sz="0" w:space="0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号）精神，由各园分别制订招生工作方案报市教育局核准后统一操作。常青花园地区学校、幼儿园所划定的服务范围为试用范围。在</w:t>
            </w:r>
            <w:r>
              <w:rPr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年组织新生入学、入园的过程中如遇特殊矛盾，本着依法依规维护稳定的原则，由学校、幼儿园之间协商解决。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二、认真执行信息公开的相关规定。确保</w:t>
            </w:r>
            <w:r>
              <w:rPr>
                <w:sz w:val="32"/>
                <w:szCs w:val="32"/>
                <w:bdr w:val="none" w:color="auto" w:sz="0" w:space="0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sz w:val="32"/>
                <w:szCs w:val="32"/>
                <w:bdr w:val="none" w:color="auto" w:sz="0" w:space="0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日之前适时向社会公示经我局认定的招生范围和招生计划，进一步增强工作的透明度，主动接受社会监督。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三、进一步增强计划招生工作的严肃性。各校各园要严格按照下达的计划组织招生，进一步规范招生行为。结合常青花园幼儿园办园条件和今年新入园幼儿的实际情况，市属常青花园地区幼儿园按照满席位招生的原则，计划下达招生班数。计划一经下达，原则上不予调整；如因特殊原因确需调整的，应于新学期开学前</w:t>
            </w:r>
            <w:r>
              <w:rPr>
                <w:sz w:val="32"/>
                <w:szCs w:val="32"/>
                <w:bdr w:val="none" w:color="auto" w:sz="0" w:space="0"/>
              </w:rPr>
              <w:t>1—3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周内向我局提出申请，按规定程序报批，并严格控制招生总量及班额。高中阶段学校计划调整在中招工作过程中按相关文件规定另行报批。新学年开学后，我局将组织开展对各校各园计划招生及办班、收费、事业统计等执行情况的监督检查，对擅自违反计划招生规定的学校、幼儿园，将严格追究学校和相关责任人的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附件：</w:t>
            </w:r>
            <w:r>
              <w:rPr>
                <w:sz w:val="32"/>
                <w:szCs w:val="32"/>
                <w:bdr w:val="none" w:color="auto" w:sz="0" w:space="0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年市属有关学校、幼儿园招生计划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 w:firstLine="640"/>
              <w:jc w:val="lef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right"/>
            </w:pPr>
            <w:r>
              <w:rPr>
                <w:bdr w:val="none" w:color="auto" w:sz="0" w:space="0"/>
              </w:rPr>
              <w:t>                                      </w:t>
            </w:r>
            <w:r>
              <w:rPr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武汉市教育局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right"/>
            </w:pPr>
            <w:r>
              <w:rPr>
                <w:sz w:val="32"/>
                <w:szCs w:val="32"/>
                <w:bdr w:val="none" w:color="auto" w:sz="0" w:space="0"/>
              </w:rPr>
              <w:t>  2018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sz w:val="32"/>
                <w:szCs w:val="32"/>
                <w:bdr w:val="none" w:color="auto" w:sz="0" w:space="0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sz w:val="32"/>
                <w:szCs w:val="32"/>
                <w:bdr w:val="none" w:color="auto" w:sz="0" w:space="0"/>
              </w:rPr>
              <w:t>23</w:t>
            </w: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b/>
                <w:sz w:val="36"/>
                <w:szCs w:val="36"/>
                <w:bdr w:val="none" w:color="auto" w:sz="0" w:space="0"/>
              </w:rPr>
              <w:t>2018</w:t>
            </w:r>
            <w:r>
              <w:rPr>
                <w:rFonts w:ascii="公文小标宋简" w:hAnsi="公文小标宋简" w:eastAsia="公文小标宋简" w:cs="公文小标宋简"/>
                <w:b/>
                <w:sz w:val="36"/>
                <w:szCs w:val="36"/>
                <w:bdr w:val="none" w:color="auto" w:sz="0" w:space="0"/>
              </w:rPr>
              <w:t>年市属有关学校、幼儿园招生计划</w:t>
            </w:r>
          </w:p>
          <w:tbl>
            <w:tblPr>
              <w:tblW w:w="8302" w:type="dxa"/>
              <w:jc w:val="center"/>
              <w:tblInd w:w="-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1"/>
              <w:gridCol w:w="1952"/>
              <w:gridCol w:w="831"/>
              <w:gridCol w:w="747"/>
              <w:gridCol w:w="605"/>
              <w:gridCol w:w="3382"/>
              <w:gridCol w:w="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554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24"/>
                      <w:szCs w:val="24"/>
                      <w:bdr w:val="none" w:color="auto" w:sz="0" w:space="0"/>
                    </w:rPr>
                    <w:t>学校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24"/>
                      <w:szCs w:val="24"/>
                      <w:bdr w:val="none" w:color="auto" w:sz="0" w:space="0"/>
                    </w:rPr>
                    <w:t>招生计划</w:t>
                  </w:r>
                </w:p>
              </w:tc>
              <w:tc>
                <w:tcPr>
                  <w:tcW w:w="338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sz w:val="24"/>
                      <w:szCs w:val="24"/>
                      <w:bdr w:val="none" w:color="auto" w:sz="0" w:space="0"/>
                    </w:rPr>
                    <w:t>服务范围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554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计划数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单位（人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/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班）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771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普通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  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中学</w:t>
                  </w:r>
                </w:p>
              </w:tc>
              <w:tc>
                <w:tcPr>
                  <w:tcW w:w="195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武汉外国语学校（武汉实验外国语学校）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小学部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240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初中部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380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高中部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480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含国际部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武汉常青第一中学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面向东西湖区招收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6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武汉市常青第一学校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小学部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450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小区以及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小区（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1/2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中心）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初中部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小区以及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小区（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1/2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中心）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武汉市常青树实验学校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小学部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650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小区以及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初中部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450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小区以及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武汉外国语学校美加分校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小学部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初中部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144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高中部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771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中职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  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学校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武汉市交通学校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1100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7.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武汉市仪表电子学校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武汉市第一商业学校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750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9.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武汉市第二轻工业学校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460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武汉市机电学校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4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11.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武汉市供销商业学校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" w:hRule="atLeast"/>
                <w:jc w:val="center"/>
              </w:trPr>
              <w:tc>
                <w:tcPr>
                  <w:tcW w:w="771" w:type="dxa"/>
                  <w:vMerge w:val="restart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  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学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12.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武汉小学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240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按武昌区划定的服务范围招生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13.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武汉常青实验小学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360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人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小区以及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771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幼儿园</w:t>
                  </w:r>
                </w:p>
              </w:tc>
              <w:tc>
                <w:tcPr>
                  <w:tcW w:w="2783" w:type="dxa"/>
                  <w:gridSpan w:val="2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14.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武汉市实验幼儿园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个</w:t>
                  </w:r>
                </w:p>
              </w:tc>
              <w:tc>
                <w:tcPr>
                  <w:tcW w:w="338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服务范围原则为：常青花园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38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15.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武汉常青阳光幼儿园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个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服务范围原则为：常青花园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1—6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村、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27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村，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小区大小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7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村、峻岭社区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16.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武汉市常青童馨幼儿园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个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服务范围原则为：常青花园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17.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武汉常青育才幼儿园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个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服务范围原则为：常青花园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9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村，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771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8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18.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武汉市常青童梦幼儿园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个</w:t>
                  </w:r>
                </w:p>
              </w:tc>
              <w:tc>
                <w:tcPr>
                  <w:tcW w:w="33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服务范围原则为：常青花园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小区、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  <w:bdr w:val="none" w:color="auto" w:sz="0" w:space="0"/>
                    </w:rPr>
                    <w:t>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0"/>
                      <w:szCs w:val="20"/>
                      <w:bdr w:val="none" w:color="auto" w:sz="0" w:space="0"/>
                    </w:rPr>
                    <w:t>小区　</w:t>
                  </w:r>
                </w:p>
              </w:tc>
              <w:tc>
                <w:tcPr>
                  <w:tcW w:w="14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18EB"/>
    <w:rsid w:val="12F318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2018-06-08T01:05:00Z</dcterms:created>
  <dc:creator>Asus</dc:creator>
  <cp:lastModifiedBy>Asus</cp:lastModifiedBy>
  <dcterms:modified xsi:type="dcterms:W3CDTF">2018-06-08T01:05:46Z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