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挪用住宅专项维修资金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对违反《住宅专项维修资金管理办法》</w:t>
      </w:r>
      <w:r>
        <w:rPr>
          <w:rFonts w:hint="eastAsia" w:ascii="华文中宋" w:hAnsi="华文中宋" w:eastAsia="华文中宋" w:cs="方正小标宋_GBK"/>
          <w:sz w:val="32"/>
          <w:szCs w:val="32"/>
          <w:lang w:val="en-US" w:eastAsia="zh-CN"/>
        </w:rPr>
        <w:t>第三十七条的</w:t>
      </w:r>
      <w:r>
        <w:rPr>
          <w:rFonts w:hint="eastAsia" w:ascii="华文中宋" w:hAnsi="华文中宋" w:eastAsia="华文中宋" w:cs="方正小标宋_GBK"/>
          <w:sz w:val="32"/>
          <w:szCs w:val="32"/>
        </w:rPr>
        <w:t>行政处罚办事指南表（基本信息表）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方正小标宋_GBK"/>
          <w:sz w:val="32"/>
          <w:szCs w:val="32"/>
        </w:rPr>
      </w:pP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eastAsia" w:ascii="仿宋" w:hAnsi="仿宋" w:eastAsia="仿宋" w:cs="仿宋"/>
                <w:color w:val="333333"/>
                <w:sz w:val="18"/>
                <w:szCs w:val="18"/>
                <w:lang w:val="en-US" w:eastAsia="zh-CN"/>
              </w:rPr>
            </w:pPr>
            <w:r>
              <w:rPr>
                <w:rFonts w:hint="eastAsia" w:ascii="仿宋_GB2312" w:hAnsi="仿宋" w:eastAsia="仿宋_GB2312" w:cs="宋体"/>
                <w:kern w:val="0"/>
                <w:sz w:val="18"/>
                <w:szCs w:val="18"/>
                <w:lang w:val="en-US" w:eastAsia="zh-CN" w:bidi="ar-SA"/>
              </w:rPr>
              <w:t>对违反《住宅专项维修资金管理办法》第三十七条的行政处罚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default" w:ascii="仿宋" w:hAnsi="仿宋" w:eastAsia="仿宋" w:cs="仿宋"/>
                <w:color w:val="333333"/>
                <w:sz w:val="18"/>
                <w:szCs w:val="18"/>
                <w:lang w:val="en-US" w:eastAsia="zh-CN"/>
              </w:rPr>
            </w:pPr>
            <w:r>
              <w:rPr>
                <w:rFonts w:hint="eastAsia" w:ascii="仿宋_GB2312" w:hAnsi="仿宋" w:eastAsia="仿宋_GB2312" w:cs="宋体"/>
                <w:kern w:val="0"/>
                <w:sz w:val="18"/>
                <w:szCs w:val="18"/>
                <w:lang w:val="en-US" w:eastAsia="zh-CN" w:bidi="ar-SA"/>
              </w:rPr>
              <w:t>武汉市武昌区住房保障和房屋管理局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default" w:ascii="仿宋" w:hAnsi="仿宋" w:eastAsia="仿宋" w:cs="仿宋"/>
                <w:color w:val="333333"/>
                <w:sz w:val="18"/>
                <w:szCs w:val="18"/>
                <w:lang w:val="en-US" w:eastAsia="zh-CN"/>
              </w:rPr>
            </w:pPr>
            <w:r>
              <w:rPr>
                <w:rFonts w:hint="eastAsia" w:ascii="仿宋_GB2312" w:hAnsi="仿宋" w:eastAsia="仿宋_GB2312" w:cs="宋体"/>
                <w:kern w:val="0"/>
                <w:sz w:val="18"/>
                <w:szCs w:val="18"/>
                <w:lang w:val="en-US" w:eastAsia="zh-CN" w:bidi="ar-SA"/>
              </w:rPr>
              <w:t>《住宅专项维修资金管理办法》第三十七条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pStyle w:val="2"/>
              <w:keepNext w:val="0"/>
              <w:keepLines w:val="0"/>
              <w:widowControl/>
              <w:suppressLineNumbers w:val="0"/>
              <w:wordWrap w:val="0"/>
              <w:spacing w:before="210" w:beforeAutospacing="0" w:after="210" w:afterAutospacing="0" w:line="30" w:lineRule="atLeast"/>
              <w:ind w:right="0"/>
              <w:jc w:val="both"/>
              <w:rPr>
                <w:rFonts w:hint="eastAsia" w:ascii="仿宋" w:hAnsi="仿宋" w:eastAsia="仿宋" w:cs="仿宋"/>
                <w:color w:val="333333"/>
                <w:sz w:val="18"/>
                <w:szCs w:val="18"/>
                <w:lang w:val="en-US" w:eastAsia="zh-CN"/>
              </w:rPr>
            </w:pPr>
            <w:r>
              <w:rPr>
                <w:rFonts w:hint="eastAsia" w:ascii="仿宋_GB2312" w:hAnsi="仿宋" w:eastAsia="仿宋_GB2312" w:cs="宋体"/>
                <w:kern w:val="0"/>
                <w:sz w:val="18"/>
                <w:szCs w:val="18"/>
                <w:lang w:val="en-US" w:eastAsia="zh-CN" w:bidi="ar-SA"/>
              </w:rPr>
              <w:t>挪用住宅专项维修资金的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lang w:val="en-US" w:eastAsia="zh-CN"/>
              </w:rPr>
              <w:t>没收违法所得、</w:t>
            </w: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eastAsia" w:ascii="仿宋_GB2312" w:hAnsi="仿宋" w:eastAsia="仿宋" w:cs="宋体"/>
                <w:kern w:val="0"/>
                <w:sz w:val="18"/>
                <w:szCs w:val="18"/>
                <w:lang w:val="en-US" w:eastAsia="zh-CN"/>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1"/>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1"/>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tbl>
            <w:tblPr>
              <w:tblStyle w:val="3"/>
              <w:tblW w:w="8718" w:type="dxa"/>
              <w:tblInd w:w="0" w:type="dxa"/>
              <w:tblLayout w:type="fixed"/>
              <w:tblCellMar>
                <w:top w:w="0" w:type="dxa"/>
                <w:left w:w="108" w:type="dxa"/>
                <w:bottom w:w="0" w:type="dxa"/>
                <w:right w:w="108" w:type="dxa"/>
              </w:tblCellMar>
            </w:tblPr>
            <w:tblGrid>
              <w:gridCol w:w="6720"/>
            </w:tblGrid>
            <w:tr>
              <w:tblPrEx>
                <w:tblCellMar>
                  <w:top w:w="0" w:type="dxa"/>
                  <w:left w:w="108" w:type="dxa"/>
                  <w:bottom w:w="0" w:type="dxa"/>
                  <w:right w:w="108" w:type="dxa"/>
                </w:tblCellMar>
              </w:tblPrEx>
              <w:trPr>
                <w:trHeight w:val="737" w:hRule="atLeast"/>
              </w:trPr>
              <w:tc>
                <w:tcPr>
                  <w:tcW w:w="6720" w:type="dxa"/>
                  <w:tcBorders>
                    <w:top w:val="nil"/>
                    <w:left w:val="nil"/>
                    <w:bottom w:val="single" w:color="auto" w:sz="4" w:space="0"/>
                    <w:right w:val="single" w:color="auto" w:sz="4" w:space="0"/>
                  </w:tcBorders>
                  <w:noWrap w:val="0"/>
                  <w:vAlign w:val="center"/>
                </w:tcPr>
                <w:p>
                  <w:pPr>
                    <w:widowControl/>
                    <w:numPr>
                      <w:ilvl w:val="0"/>
                      <w:numId w:val="2"/>
                    </w:numPr>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 xml:space="preserve">《住宅专项维修资金管理办法》（建设部 第165号）第三十七条                   </w:t>
                  </w:r>
                </w:p>
                <w:p>
                  <w:pPr>
                    <w:widowControl/>
                    <w:numPr>
                      <w:ilvl w:val="0"/>
                      <w:numId w:val="0"/>
                    </w:numPr>
                    <w:ind w:firstLine="360" w:firstLineChars="200"/>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r>
                    <w:rPr>
                      <w:rFonts w:hint="eastAsia" w:ascii="仿宋_GB2312" w:hAnsi="宋体" w:eastAsia="仿宋_GB2312" w:cs="宋体"/>
                      <w:color w:val="000000"/>
                      <w:kern w:val="0"/>
                      <w:sz w:val="18"/>
                      <w:szCs w:val="18"/>
                      <w:lang w:val="en-US" w:eastAsia="zh-CN"/>
                    </w:rPr>
                    <w:br w:type="textWrapping"/>
                  </w:r>
                  <w:r>
                    <w:rPr>
                      <w:rFonts w:hint="eastAsia" w:ascii="仿宋_GB2312" w:hAnsi="宋体" w:eastAsia="仿宋_GB2312" w:cs="宋体"/>
                      <w:color w:val="000000"/>
                      <w:kern w:val="0"/>
                      <w:sz w:val="18"/>
                      <w:szCs w:val="18"/>
                      <w:lang w:val="en-US" w:eastAsia="zh-CN"/>
                    </w:rPr>
                    <w:t>　　物业服务企业挪用住宅专项维修资金，情节严重的，除按前款规定予以处罚外，还应由颁发资质证书的部门吊销资质证书。</w:t>
                  </w:r>
                  <w:r>
                    <w:rPr>
                      <w:rFonts w:hint="eastAsia" w:ascii="仿宋_GB2312" w:hAnsi="宋体" w:eastAsia="仿宋_GB2312" w:cs="宋体"/>
                      <w:color w:val="000000"/>
                      <w:kern w:val="0"/>
                      <w:sz w:val="18"/>
                      <w:szCs w:val="18"/>
                      <w:lang w:val="en-US" w:eastAsia="zh-CN"/>
                    </w:rPr>
                    <w:br w:type="textWrapping"/>
                  </w:r>
                  <w:r>
                    <w:rPr>
                      <w:rFonts w:hint="eastAsia" w:ascii="仿宋_GB2312" w:hAnsi="宋体" w:eastAsia="仿宋_GB2312" w:cs="宋体"/>
                      <w:color w:val="000000"/>
                      <w:kern w:val="0"/>
                      <w:sz w:val="18"/>
                      <w:szCs w:val="18"/>
                      <w:lang w:val="en-US" w:eastAsia="zh-CN"/>
                    </w:rPr>
                    <w:t>　　直辖市、市、县人民政府建设（房地产）主管部门挪用住宅专项维修资金的，由上一级人民政府建设（房地产）主管部门追回挪用的住宅专项维修资金，对直接负责的主管人员和其他直接责任人员依法给予处分；构成犯罪的，依法追究刑事责任。</w:t>
                  </w:r>
                  <w:r>
                    <w:rPr>
                      <w:rFonts w:hint="eastAsia" w:ascii="仿宋_GB2312" w:hAnsi="宋体" w:eastAsia="仿宋_GB2312" w:cs="宋体"/>
                      <w:color w:val="000000"/>
                      <w:kern w:val="0"/>
                      <w:sz w:val="18"/>
                      <w:szCs w:val="18"/>
                      <w:lang w:val="en-US" w:eastAsia="zh-CN"/>
                    </w:rPr>
                    <w:br w:type="textWrapping"/>
                  </w:r>
                  <w:r>
                    <w:rPr>
                      <w:rFonts w:hint="eastAsia" w:ascii="仿宋_GB2312" w:hAnsi="宋体" w:eastAsia="仿宋_GB2312" w:cs="宋体"/>
                      <w:color w:val="000000"/>
                      <w:kern w:val="0"/>
                      <w:sz w:val="18"/>
                      <w:szCs w:val="18"/>
                      <w:lang w:val="en-US" w:eastAsia="zh-CN"/>
                    </w:rPr>
                    <w:t>　　直辖市、市、县人民政府财政部门挪用住宅专项维修资金的，由上一级人民政府财政部门追回挪用的住宅专项维修资金，对直接负责的主管人员和其他直接责任人员依法给予处分；构成犯罪的，依法追究刑事责任。</w:t>
                  </w:r>
                </w:p>
                <w:p>
                  <w:pPr>
                    <w:widowControl/>
                    <w:numPr>
                      <w:ilvl w:val="0"/>
                      <w:numId w:val="0"/>
                    </w:numPr>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bookmarkStart w:id="0" w:name="_GoBack"/>
                  <w:bookmarkEnd w:id="0"/>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tc>
            </w:tr>
          </w:tbl>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88868037</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pPr>
      <w:r>
        <w:rPr>
          <w:rFonts w:hint="eastAsia" w:ascii="华文中宋" w:hAnsi="华文中宋" w:eastAsia="华文中宋" w:cs="宋体"/>
          <w:kern w:val="0"/>
          <w:sz w:val="32"/>
          <w:szCs w:val="32"/>
        </w:rPr>
        <w:t>行政处罚外部流程图</w:t>
      </w: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98EA6"/>
    <w:multiLevelType w:val="singleLevel"/>
    <w:tmpl w:val="20798EA6"/>
    <w:lvl w:ilvl="0" w:tentative="0">
      <w:start w:val="1"/>
      <w:numFmt w:val="decimal"/>
      <w:lvlText w:val="%1."/>
      <w:lvlJc w:val="left"/>
      <w:pPr>
        <w:tabs>
          <w:tab w:val="left" w:pos="312"/>
        </w:tabs>
      </w:pPr>
    </w:lvl>
  </w:abstractNum>
  <w:abstractNum w:abstractNumId="1">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13D256C7"/>
    <w:rsid w:val="13D26E8B"/>
    <w:rsid w:val="14B3418F"/>
    <w:rsid w:val="204E04AD"/>
    <w:rsid w:val="21FA7513"/>
    <w:rsid w:val="2C5B1C37"/>
    <w:rsid w:val="30424A13"/>
    <w:rsid w:val="3ADF6523"/>
    <w:rsid w:val="41D07D82"/>
    <w:rsid w:val="493A084B"/>
    <w:rsid w:val="592F26EC"/>
    <w:rsid w:val="60EA038F"/>
    <w:rsid w:val="7BA23D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hint="default" w:ascii="Consolas" w:hAnsi="Consolas" w:eastAsia="Consolas" w:cs="Consolas"/>
      <w:color w:val="C7254E"/>
      <w:sz w:val="21"/>
      <w:szCs w:val="21"/>
      <w:shd w:val="clear" w:fill="F9F2F4"/>
    </w:rPr>
  </w:style>
  <w:style w:type="character" w:styleId="12">
    <w:name w:val="HTML Cite"/>
    <w:basedOn w:val="4"/>
    <w:qFormat/>
    <w:uiPriority w:val="0"/>
  </w:style>
  <w:style w:type="character" w:styleId="13">
    <w:name w:val="HTML Keyboard"/>
    <w:basedOn w:val="4"/>
    <w:qFormat/>
    <w:uiPriority w:val="0"/>
    <w:rPr>
      <w:rFonts w:ascii="Consolas" w:hAnsi="Consolas" w:eastAsia="Consolas" w:cs="Consolas"/>
      <w:b/>
      <w:bCs/>
      <w:color w:val="FFFFFF"/>
      <w:sz w:val="21"/>
      <w:szCs w:val="21"/>
      <w:shd w:val="clear" w:fill="333333"/>
    </w:rPr>
  </w:style>
  <w:style w:type="character" w:styleId="14">
    <w:name w:val="HTML Sample"/>
    <w:basedOn w:val="4"/>
    <w:qFormat/>
    <w:uiPriority w:val="0"/>
    <w:rPr>
      <w:rFonts w:hint="default" w:ascii="Consolas" w:hAnsi="Consolas" w:eastAsia="Consolas" w:cs="Consolas"/>
      <w:sz w:val="21"/>
      <w:szCs w:val="21"/>
    </w:rPr>
  </w:style>
  <w:style w:type="character" w:customStyle="1" w:styleId="15">
    <w:name w:val="nth-child(5)"/>
    <w:basedOn w:val="4"/>
    <w:qFormat/>
    <w:uiPriority w:val="0"/>
    <w:rPr>
      <w:vanish/>
    </w:rPr>
  </w:style>
  <w:style w:type="character" w:customStyle="1" w:styleId="16">
    <w:name w:val="first-child"/>
    <w:basedOn w:val="4"/>
    <w:qFormat/>
    <w:uiPriority w:val="0"/>
  </w:style>
  <w:style w:type="character" w:customStyle="1" w:styleId="17">
    <w:name w:val="nth-child(4)"/>
    <w:basedOn w:val="4"/>
    <w:qFormat/>
    <w:uiPriority w:val="0"/>
    <w:rPr>
      <w:vanish/>
    </w:rPr>
  </w:style>
  <w:style w:type="character" w:customStyle="1" w:styleId="18">
    <w:name w:val="layui-this"/>
    <w:basedOn w:val="4"/>
    <w:qFormat/>
    <w:uiPriority w:val="0"/>
    <w:rPr>
      <w:bdr w:val="single" w:color="EEEEEE" w:sz="6" w:space="0"/>
      <w:shd w:val="clear" w:fill="FFFFFF"/>
    </w:rPr>
  </w:style>
  <w:style w:type="character" w:customStyle="1" w:styleId="19">
    <w:name w:val="bsharetext"/>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hp</cp:lastModifiedBy>
  <dcterms:modified xsi:type="dcterms:W3CDTF">2021-08-23T03:10:30Z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377554060C3A4BCE86A6FE7DF3D0A83C</vt:lpwstr>
  </property>
  <property fmtid="{D5CDD505-2E9C-101B-9397-08002B2CF9AE}" pid="4" name="KSOSaveFontToCloudKey">
    <vt:lpwstr>818107661_btnclosed</vt:lpwstr>
  </property>
</Properties>
</file>