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240" w:lineRule="auto"/>
        <w:ind w:firstLine="0" w:firstLineChars="0"/>
        <w:jc w:val="left"/>
        <w:outlineLvl w:val="0"/>
        <w:rPr>
          <w:rFonts w:ascii="仿宋" w:hAnsi="仿宋" w:eastAsia="仿宋" w:cs="仿宋"/>
          <w:b/>
          <w:highlight w:val="none"/>
        </w:rPr>
      </w:pPr>
    </w:p>
    <w:p>
      <w:pPr>
        <w:shd w:val="clear"/>
        <w:ind w:firstLine="883"/>
        <w:jc w:val="center"/>
        <w:rPr>
          <w:rFonts w:ascii="仿宋" w:hAnsi="仿宋" w:eastAsia="仿宋" w:cs="仿宋"/>
          <w:b/>
          <w:color w:val="000000"/>
          <w:sz w:val="44"/>
          <w:szCs w:val="44"/>
          <w:highlight w:val="none"/>
        </w:rPr>
      </w:pPr>
    </w:p>
    <w:p>
      <w:pPr>
        <w:shd w:val="clear"/>
        <w:ind w:firstLine="0" w:firstLineChars="0"/>
        <w:rPr>
          <w:rFonts w:ascii="仿宋" w:hAnsi="仿宋" w:eastAsia="仿宋" w:cs="仿宋"/>
          <w:b/>
          <w:color w:val="000000"/>
          <w:sz w:val="44"/>
          <w:szCs w:val="44"/>
          <w:highlight w:val="none"/>
        </w:rPr>
      </w:pPr>
    </w:p>
    <w:p>
      <w:pPr>
        <w:shd w:val="clear"/>
        <w:ind w:firstLine="0" w:firstLineChars="0"/>
        <w:jc w:val="center"/>
        <w:rPr>
          <w:rFonts w:ascii="仿宋" w:hAnsi="仿宋" w:eastAsia="仿宋" w:cs="仿宋"/>
          <w:b/>
          <w:color w:val="000000"/>
          <w:sz w:val="44"/>
          <w:szCs w:val="44"/>
          <w:highlight w:val="none"/>
        </w:rPr>
      </w:pPr>
      <w:r>
        <w:rPr>
          <w:rFonts w:hint="eastAsia" w:ascii="仿宋" w:hAnsi="仿宋" w:eastAsia="仿宋" w:cs="仿宋"/>
          <w:b/>
          <w:color w:val="000000"/>
          <w:sz w:val="44"/>
          <w:szCs w:val="44"/>
          <w:highlight w:val="none"/>
        </w:rPr>
        <w:t>武汉市武昌区卫生健康局</w:t>
      </w:r>
    </w:p>
    <w:p>
      <w:pPr>
        <w:shd w:val="clear"/>
        <w:ind w:firstLine="0" w:firstLineChars="0"/>
        <w:jc w:val="center"/>
        <w:rPr>
          <w:rFonts w:ascii="仿宋" w:hAnsi="仿宋" w:eastAsia="仿宋" w:cs="仿宋"/>
          <w:b/>
          <w:color w:val="000000"/>
          <w:sz w:val="44"/>
          <w:szCs w:val="44"/>
          <w:highlight w:val="none"/>
        </w:rPr>
      </w:pPr>
      <w:r>
        <w:rPr>
          <w:rFonts w:hint="eastAsia" w:ascii="仿宋" w:hAnsi="仿宋" w:eastAsia="仿宋" w:cs="仿宋"/>
          <w:b/>
          <w:color w:val="000000"/>
          <w:sz w:val="44"/>
          <w:szCs w:val="44"/>
          <w:highlight w:val="none"/>
        </w:rPr>
        <w:t>2019年度“大医院专家坐诊”项目</w:t>
      </w:r>
    </w:p>
    <w:p>
      <w:pPr>
        <w:shd w:val="clear"/>
        <w:ind w:firstLine="0" w:firstLineChars="0"/>
        <w:jc w:val="center"/>
        <w:rPr>
          <w:rFonts w:ascii="仿宋" w:hAnsi="仿宋" w:eastAsia="仿宋" w:cs="仿宋"/>
          <w:b/>
          <w:bCs/>
          <w:color w:val="000000"/>
          <w:sz w:val="44"/>
          <w:szCs w:val="44"/>
          <w:highlight w:val="none"/>
        </w:rPr>
      </w:pPr>
      <w:r>
        <w:rPr>
          <w:rFonts w:hint="eastAsia" w:ascii="仿宋" w:hAnsi="仿宋" w:eastAsia="仿宋" w:cs="仿宋"/>
          <w:b/>
          <w:color w:val="000000"/>
          <w:sz w:val="44"/>
          <w:szCs w:val="44"/>
          <w:highlight w:val="none"/>
        </w:rPr>
        <w:t>绩效评价报告</w:t>
      </w:r>
    </w:p>
    <w:p>
      <w:pPr>
        <w:shd w:val="clear"/>
        <w:ind w:firstLine="0" w:firstLineChars="0"/>
        <w:jc w:val="center"/>
        <w:rPr>
          <w:rFonts w:ascii="仿宋" w:hAnsi="仿宋" w:eastAsia="仿宋" w:cs="仿宋"/>
          <w:highlight w:val="none"/>
        </w:rPr>
      </w:pPr>
      <w:r>
        <w:rPr>
          <w:rFonts w:hint="eastAsia" w:ascii="仿宋" w:hAnsi="仿宋" w:eastAsia="仿宋" w:cs="仿宋"/>
          <w:sz w:val="32"/>
          <w:szCs w:val="32"/>
          <w:highlight w:val="none"/>
        </w:rPr>
        <w:t>武方绩评字[2020]235号</w:t>
      </w:r>
    </w:p>
    <w:p>
      <w:pPr>
        <w:shd w:val="clear"/>
        <w:ind w:firstLine="480"/>
        <w:rPr>
          <w:rFonts w:ascii="仿宋" w:hAnsi="仿宋" w:eastAsia="仿宋" w:cs="仿宋"/>
          <w:highlight w:val="none"/>
        </w:rPr>
      </w:pPr>
    </w:p>
    <w:p>
      <w:pPr>
        <w:widowControl/>
        <w:shd w:val="clear"/>
        <w:spacing w:line="800" w:lineRule="exact"/>
        <w:ind w:firstLine="790" w:firstLineChars="246"/>
        <w:jc w:val="left"/>
        <w:rPr>
          <w:rFonts w:ascii="仿宋" w:hAnsi="仿宋" w:eastAsia="仿宋" w:cs="仿宋"/>
          <w:b/>
          <w:bCs/>
          <w:kern w:val="32"/>
          <w:sz w:val="32"/>
          <w:highlight w:val="none"/>
          <w:lang w:bidi="he-IL"/>
        </w:rPr>
      </w:pPr>
    </w:p>
    <w:p>
      <w:pPr>
        <w:widowControl/>
        <w:shd w:val="clear"/>
        <w:spacing w:line="800" w:lineRule="exact"/>
        <w:ind w:firstLine="790" w:firstLineChars="246"/>
        <w:jc w:val="left"/>
        <w:rPr>
          <w:rFonts w:ascii="仿宋" w:hAnsi="仿宋" w:eastAsia="仿宋" w:cs="仿宋"/>
          <w:b/>
          <w:bCs/>
          <w:kern w:val="32"/>
          <w:sz w:val="32"/>
          <w:highlight w:val="none"/>
          <w:lang w:bidi="he-IL"/>
        </w:rPr>
      </w:pPr>
    </w:p>
    <w:p>
      <w:pPr>
        <w:widowControl/>
        <w:shd w:val="clear"/>
        <w:spacing w:line="800" w:lineRule="exact"/>
        <w:ind w:firstLine="790" w:firstLineChars="246"/>
        <w:jc w:val="left"/>
        <w:rPr>
          <w:rFonts w:ascii="仿宋" w:hAnsi="仿宋" w:eastAsia="仿宋" w:cs="仿宋"/>
          <w:b/>
          <w:bCs/>
          <w:kern w:val="32"/>
          <w:sz w:val="32"/>
          <w:highlight w:val="none"/>
          <w:lang w:bidi="he-IL"/>
        </w:rPr>
      </w:pPr>
    </w:p>
    <w:p>
      <w:pPr>
        <w:widowControl/>
        <w:shd w:val="clear"/>
        <w:spacing w:line="800" w:lineRule="exact"/>
        <w:ind w:firstLine="790" w:firstLineChars="246"/>
        <w:jc w:val="left"/>
        <w:rPr>
          <w:rFonts w:ascii="仿宋" w:hAnsi="仿宋" w:eastAsia="仿宋" w:cs="仿宋"/>
          <w:b/>
          <w:bCs/>
          <w:kern w:val="32"/>
          <w:sz w:val="32"/>
          <w:highlight w:val="none"/>
          <w:lang w:bidi="he-IL"/>
        </w:rPr>
      </w:pPr>
    </w:p>
    <w:p>
      <w:pPr>
        <w:widowControl/>
        <w:shd w:val="clear"/>
        <w:spacing w:line="480" w:lineRule="auto"/>
        <w:ind w:right="-192" w:rightChars="-80" w:firstLine="790" w:firstLineChars="246"/>
        <w:jc w:val="left"/>
        <w:rPr>
          <w:rFonts w:hint="default" w:ascii="仿宋" w:hAnsi="仿宋" w:eastAsia="仿宋" w:cs="仿宋"/>
          <w:b/>
          <w:bCs/>
          <w:sz w:val="32"/>
          <w:szCs w:val="32"/>
          <w:highlight w:val="none"/>
          <w:lang w:val="en-US"/>
        </w:rPr>
      </w:pPr>
      <w:r>
        <w:rPr>
          <w:rFonts w:hint="eastAsia" w:ascii="仿宋" w:hAnsi="仿宋" w:eastAsia="仿宋" w:cs="仿宋"/>
          <w:b/>
          <w:bCs/>
          <w:kern w:val="32"/>
          <w:sz w:val="32"/>
          <w:highlight w:val="none"/>
          <w:lang w:bidi="he-IL"/>
        </w:rPr>
        <w:t>项目名称：</w:t>
      </w:r>
      <w:r>
        <w:rPr>
          <w:rFonts w:hint="eastAsia" w:ascii="仿宋" w:hAnsi="仿宋" w:eastAsia="仿宋" w:cs="仿宋"/>
          <w:b/>
          <w:bCs/>
          <w:kern w:val="32"/>
          <w:sz w:val="32"/>
          <w:highlight w:val="none"/>
          <w:lang w:val="en-US" w:eastAsia="zh-CN" w:bidi="he-IL"/>
        </w:rPr>
        <w:t>2019年度“大医院专家坐诊”项目</w:t>
      </w:r>
    </w:p>
    <w:p>
      <w:pPr>
        <w:widowControl/>
        <w:shd w:val="clear"/>
        <w:spacing w:line="480" w:lineRule="auto"/>
        <w:ind w:firstLine="790" w:firstLineChars="246"/>
        <w:jc w:val="left"/>
        <w:rPr>
          <w:rFonts w:ascii="仿宋" w:hAnsi="仿宋" w:eastAsia="仿宋" w:cs="仿宋"/>
          <w:b/>
          <w:bCs/>
          <w:sz w:val="32"/>
          <w:szCs w:val="32"/>
          <w:highlight w:val="none"/>
        </w:rPr>
      </w:pPr>
      <w:r>
        <w:rPr>
          <w:rFonts w:hint="eastAsia" w:ascii="仿宋" w:hAnsi="仿宋" w:eastAsia="仿宋" w:cs="仿宋"/>
          <w:b/>
          <w:bCs/>
          <w:kern w:val="32"/>
          <w:sz w:val="32"/>
          <w:highlight w:val="none"/>
          <w:lang w:bidi="he-IL"/>
        </w:rPr>
        <w:t>项目单位：武汉市武昌区卫生健康局</w:t>
      </w:r>
    </w:p>
    <w:p>
      <w:pPr>
        <w:widowControl/>
        <w:shd w:val="clear"/>
        <w:spacing w:line="480" w:lineRule="auto"/>
        <w:ind w:firstLine="790" w:firstLineChars="246"/>
        <w:jc w:val="left"/>
        <w:rPr>
          <w:rFonts w:ascii="仿宋" w:hAnsi="仿宋" w:eastAsia="仿宋" w:cs="仿宋"/>
          <w:b/>
          <w:bCs/>
          <w:sz w:val="32"/>
          <w:szCs w:val="32"/>
          <w:highlight w:val="none"/>
        </w:rPr>
      </w:pPr>
      <w:r>
        <w:rPr>
          <w:rFonts w:hint="eastAsia" w:ascii="仿宋" w:hAnsi="仿宋" w:eastAsia="仿宋" w:cs="仿宋"/>
          <w:b/>
          <w:bCs/>
          <w:kern w:val="32"/>
          <w:sz w:val="32"/>
          <w:highlight w:val="none"/>
          <w:lang w:bidi="he-IL"/>
        </w:rPr>
        <w:t>主管单位：武汉市武昌区卫生健康局</w:t>
      </w:r>
    </w:p>
    <w:p>
      <w:pPr>
        <w:widowControl/>
        <w:shd w:val="clear"/>
        <w:spacing w:line="480" w:lineRule="auto"/>
        <w:ind w:firstLine="790" w:firstLineChars="246"/>
        <w:jc w:val="left"/>
        <w:rPr>
          <w:rFonts w:ascii="仿宋" w:hAnsi="仿宋" w:eastAsia="仿宋" w:cs="仿宋"/>
          <w:b/>
          <w:bCs/>
          <w:sz w:val="32"/>
          <w:szCs w:val="32"/>
          <w:highlight w:val="none"/>
        </w:rPr>
      </w:pPr>
      <w:r>
        <w:rPr>
          <w:rFonts w:hint="eastAsia" w:ascii="仿宋" w:hAnsi="仿宋" w:eastAsia="仿宋" w:cs="仿宋"/>
          <w:b/>
          <w:bCs/>
          <w:kern w:val="32"/>
          <w:sz w:val="32"/>
          <w:highlight w:val="none"/>
          <w:lang w:bidi="he-IL"/>
        </w:rPr>
        <w:t>评价机构：</w:t>
      </w:r>
      <w:r>
        <w:rPr>
          <w:rFonts w:hint="eastAsia" w:ascii="仿宋" w:hAnsi="仿宋" w:eastAsia="仿宋" w:cs="仿宋"/>
          <w:b/>
          <w:bCs/>
          <w:sz w:val="32"/>
          <w:szCs w:val="32"/>
          <w:highlight w:val="none"/>
        </w:rPr>
        <w:t>武汉方瑞会计师事务所（普通合伙）</w:t>
      </w:r>
    </w:p>
    <w:p>
      <w:pPr>
        <w:shd w:val="clear"/>
        <w:spacing w:line="800" w:lineRule="exact"/>
        <w:ind w:firstLine="0" w:firstLineChars="0"/>
        <w:rPr>
          <w:rFonts w:ascii="仿宋" w:hAnsi="仿宋" w:eastAsia="仿宋" w:cs="仿宋"/>
          <w:b/>
          <w:bCs/>
          <w:sz w:val="32"/>
          <w:szCs w:val="32"/>
          <w:highlight w:val="none"/>
        </w:rPr>
      </w:pPr>
    </w:p>
    <w:p>
      <w:pPr>
        <w:shd w:val="clear"/>
        <w:spacing w:line="800" w:lineRule="exact"/>
        <w:ind w:firstLine="0" w:firstLineChars="0"/>
        <w:rPr>
          <w:rFonts w:ascii="仿宋" w:hAnsi="仿宋" w:eastAsia="仿宋" w:cs="仿宋"/>
          <w:b/>
          <w:bCs/>
          <w:sz w:val="32"/>
          <w:szCs w:val="32"/>
          <w:highlight w:val="none"/>
        </w:rPr>
      </w:pPr>
    </w:p>
    <w:p>
      <w:pPr>
        <w:shd w:val="clear"/>
        <w:spacing w:line="800" w:lineRule="exact"/>
        <w:ind w:firstLine="0" w:firstLineChars="0"/>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二〇二〇年九月</w:t>
      </w:r>
    </w:p>
    <w:p>
      <w:pPr>
        <w:shd w:val="clear"/>
        <w:spacing w:line="300" w:lineRule="exact"/>
        <w:ind w:firstLine="0" w:firstLineChars="0"/>
        <w:jc w:val="center"/>
        <w:outlineLvl w:val="0"/>
        <w:rPr>
          <w:rFonts w:ascii="仿宋" w:hAnsi="仿宋" w:eastAsia="仿宋" w:cs="仿宋"/>
          <w:b/>
          <w:bCs/>
          <w:sz w:val="30"/>
          <w:szCs w:val="30"/>
          <w:highlight w:val="none"/>
        </w:rPr>
      </w:pPr>
    </w:p>
    <w:p>
      <w:pPr>
        <w:shd w:val="clear"/>
        <w:spacing w:line="300" w:lineRule="exact"/>
        <w:ind w:firstLine="0" w:firstLineChars="0"/>
        <w:jc w:val="center"/>
        <w:outlineLvl w:val="0"/>
        <w:rPr>
          <w:rFonts w:ascii="仿宋" w:hAnsi="仿宋" w:eastAsia="仿宋" w:cs="仿宋"/>
          <w:b/>
          <w:bCs/>
          <w:sz w:val="30"/>
          <w:szCs w:val="30"/>
          <w:highlight w:val="none"/>
        </w:rPr>
      </w:pPr>
    </w:p>
    <w:p>
      <w:pPr>
        <w:shd w:val="clear"/>
        <w:spacing w:line="300" w:lineRule="exact"/>
        <w:ind w:firstLine="0" w:firstLineChars="0"/>
        <w:jc w:val="center"/>
        <w:outlineLvl w:val="0"/>
        <w:rPr>
          <w:rFonts w:ascii="仿宋" w:hAnsi="仿宋" w:eastAsia="仿宋" w:cs="仿宋"/>
          <w:bCs/>
          <w:highlight w:val="none"/>
        </w:rPr>
      </w:pPr>
    </w:p>
    <w:p>
      <w:pPr>
        <w:shd w:val="clear"/>
        <w:spacing w:line="300" w:lineRule="exact"/>
        <w:ind w:firstLine="0" w:firstLineChars="0"/>
        <w:jc w:val="center"/>
        <w:outlineLvl w:val="0"/>
        <w:rPr>
          <w:rFonts w:ascii="仿宋" w:hAnsi="仿宋" w:eastAsia="仿宋" w:cs="仿宋"/>
          <w:bCs/>
          <w:highlight w:val="none"/>
        </w:rPr>
        <w:sectPr>
          <w:headerReference r:id="rId3" w:type="default"/>
          <w:footerReference r:id="rId4" w:type="default"/>
          <w:pgSz w:w="11906" w:h="16838"/>
          <w:pgMar w:top="1440" w:right="1797" w:bottom="1440" w:left="1797" w:header="851" w:footer="992" w:gutter="0"/>
          <w:cols w:space="425" w:num="1"/>
          <w:docGrid w:type="lines" w:linePitch="326" w:charSpace="0"/>
        </w:sectPr>
      </w:pPr>
    </w:p>
    <w:p>
      <w:pPr>
        <w:shd w:val="clear"/>
        <w:spacing w:line="300" w:lineRule="exact"/>
        <w:ind w:firstLine="0" w:firstLineChars="0"/>
        <w:jc w:val="center"/>
        <w:outlineLvl w:val="0"/>
        <w:rPr>
          <w:rFonts w:ascii="仿宋" w:hAnsi="仿宋" w:eastAsia="仿宋" w:cs="仿宋"/>
          <w:bCs/>
          <w:highlight w:val="none"/>
        </w:rPr>
      </w:pPr>
    </w:p>
    <w:sdt>
      <w:sdtPr>
        <w:rPr>
          <w:rFonts w:hint="eastAsia" w:ascii="仿宋" w:hAnsi="仿宋" w:eastAsia="仿宋" w:cs="仿宋"/>
          <w:bCs/>
          <w:smallCaps/>
          <w:sz w:val="28"/>
          <w:szCs w:val="20"/>
          <w:highlight w:val="none"/>
        </w:rPr>
        <w:id w:val="147469879"/>
      </w:sdtPr>
      <w:sdtEndPr>
        <w:rPr>
          <w:rFonts w:hint="eastAsia" w:ascii="仿宋" w:hAnsi="仿宋" w:eastAsia="仿宋" w:cs="仿宋"/>
          <w:bCs w:val="0"/>
          <w:smallCaps/>
          <w:sz w:val="28"/>
          <w:szCs w:val="20"/>
          <w:highlight w:val="none"/>
        </w:rPr>
      </w:sdtEndPr>
      <w:sdtContent>
        <w:p>
          <w:pPr>
            <w:shd w:val="clear"/>
            <w:spacing w:line="300" w:lineRule="exact"/>
            <w:ind w:firstLine="0" w:firstLineChars="0"/>
            <w:jc w:val="center"/>
            <w:rPr>
              <w:rFonts w:ascii="仿宋" w:hAnsi="仿宋" w:eastAsia="仿宋" w:cs="仿宋"/>
              <w:b/>
              <w:highlight w:val="none"/>
            </w:rPr>
          </w:pPr>
          <w:r>
            <w:rPr>
              <w:rFonts w:hint="eastAsia" w:ascii="仿宋" w:hAnsi="仿宋" w:eastAsia="仿宋" w:cs="仿宋"/>
              <w:b/>
              <w:highlight w:val="none"/>
            </w:rPr>
            <w:t>目 录</w:t>
          </w:r>
        </w:p>
        <w:p>
          <w:pPr>
            <w:pStyle w:val="13"/>
            <w:shd w:val="clear"/>
            <w:tabs>
              <w:tab w:val="right" w:leader="dot" w:pos="8312"/>
            </w:tabs>
            <w:spacing w:line="300" w:lineRule="exact"/>
            <w:ind w:firstLine="480"/>
            <w:rPr>
              <w:rFonts w:ascii="仿宋" w:hAnsi="仿宋" w:eastAsia="仿宋" w:cs="仿宋"/>
              <w:sz w:val="24"/>
              <w:szCs w:val="24"/>
              <w:highlight w:val="none"/>
            </w:rPr>
          </w:pPr>
          <w:r>
            <w:rPr>
              <w:rFonts w:hint="eastAsia" w:ascii="仿宋" w:hAnsi="仿宋" w:eastAsia="仿宋" w:cs="仿宋"/>
              <w:b w:val="0"/>
              <w:sz w:val="24"/>
              <w:szCs w:val="24"/>
              <w:highlight w:val="none"/>
            </w:rPr>
            <w:fldChar w:fldCharType="begin"/>
          </w:r>
          <w:r>
            <w:rPr>
              <w:rFonts w:hint="eastAsia" w:ascii="仿宋" w:hAnsi="仿宋" w:eastAsia="仿宋" w:cs="仿宋"/>
              <w:b w:val="0"/>
              <w:sz w:val="24"/>
              <w:szCs w:val="24"/>
              <w:highlight w:val="none"/>
            </w:rPr>
            <w:instrText xml:space="preserve">TOC \o "1-3" \h \u </w:instrText>
          </w:r>
          <w:r>
            <w:rPr>
              <w:rFonts w:hint="eastAsia" w:ascii="仿宋" w:hAnsi="仿宋" w:eastAsia="仿宋" w:cs="仿宋"/>
              <w:b w:val="0"/>
              <w:sz w:val="24"/>
              <w:szCs w:val="24"/>
              <w:highlight w:val="none"/>
            </w:rPr>
            <w:fldChar w:fldCharType="separate"/>
          </w:r>
          <w:r>
            <w:rPr>
              <w:highlight w:val="none"/>
            </w:rPr>
            <w:fldChar w:fldCharType="begin"/>
          </w:r>
          <w:r>
            <w:rPr>
              <w:highlight w:val="none"/>
            </w:rPr>
            <w:instrText xml:space="preserve"> HYPERLINK \l "_Toc12056" </w:instrText>
          </w:r>
          <w:r>
            <w:rPr>
              <w:highlight w:val="none"/>
            </w:rPr>
            <w:fldChar w:fldCharType="separate"/>
          </w:r>
          <w:r>
            <w:rPr>
              <w:rFonts w:hint="eastAsia" w:ascii="仿宋" w:hAnsi="仿宋" w:eastAsia="仿宋" w:cs="仿宋"/>
              <w:sz w:val="24"/>
              <w:szCs w:val="24"/>
              <w:highlight w:val="none"/>
            </w:rPr>
            <w:t>摘  要</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_Toc12056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3"/>
            <w:shd w:val="clear"/>
            <w:tabs>
              <w:tab w:val="right" w:leader="dot" w:pos="8312"/>
            </w:tabs>
            <w:spacing w:line="300" w:lineRule="exact"/>
            <w:ind w:firstLine="482"/>
            <w:rPr>
              <w:rFonts w:ascii="仿宋" w:hAnsi="仿宋" w:eastAsia="仿宋" w:cs="仿宋"/>
              <w:sz w:val="24"/>
              <w:szCs w:val="24"/>
              <w:highlight w:val="none"/>
            </w:rPr>
          </w:pPr>
          <w:r>
            <w:rPr>
              <w:highlight w:val="none"/>
            </w:rPr>
            <w:fldChar w:fldCharType="begin"/>
          </w:r>
          <w:r>
            <w:rPr>
              <w:highlight w:val="none"/>
            </w:rPr>
            <w:instrText xml:space="preserve"> HYPERLINK \l "_Toc25839" </w:instrText>
          </w:r>
          <w:r>
            <w:rPr>
              <w:highlight w:val="none"/>
            </w:rPr>
            <w:fldChar w:fldCharType="separate"/>
          </w:r>
          <w:r>
            <w:rPr>
              <w:rFonts w:hint="eastAsia" w:ascii="仿宋" w:hAnsi="仿宋" w:eastAsia="仿宋" w:cs="仿宋"/>
              <w:bCs w:val="0"/>
              <w:sz w:val="24"/>
              <w:szCs w:val="24"/>
              <w:highlight w:val="none"/>
            </w:rPr>
            <w:t>前  言</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_Toc25839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3"/>
            <w:shd w:val="clear"/>
            <w:tabs>
              <w:tab w:val="right" w:leader="dot" w:pos="8312"/>
            </w:tabs>
            <w:spacing w:line="300" w:lineRule="exact"/>
            <w:ind w:firstLine="482"/>
            <w:rPr>
              <w:rFonts w:ascii="仿宋" w:hAnsi="仿宋" w:eastAsia="仿宋" w:cs="仿宋"/>
              <w:sz w:val="24"/>
              <w:szCs w:val="24"/>
              <w:highlight w:val="none"/>
            </w:rPr>
          </w:pPr>
          <w:r>
            <w:rPr>
              <w:highlight w:val="none"/>
            </w:rPr>
            <w:fldChar w:fldCharType="begin"/>
          </w:r>
          <w:r>
            <w:rPr>
              <w:highlight w:val="none"/>
            </w:rPr>
            <w:instrText xml:space="preserve"> HYPERLINK \l "_Toc14950" </w:instrText>
          </w:r>
          <w:r>
            <w:rPr>
              <w:highlight w:val="none"/>
            </w:rPr>
            <w:fldChar w:fldCharType="separate"/>
          </w:r>
          <w:r>
            <w:rPr>
              <w:rFonts w:hint="eastAsia" w:ascii="仿宋" w:hAnsi="仿宋" w:eastAsia="仿宋" w:cs="仿宋"/>
              <w:bCs w:val="0"/>
              <w:sz w:val="24"/>
              <w:szCs w:val="24"/>
              <w:highlight w:val="none"/>
            </w:rPr>
            <w:t>一、项目基本情况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_Toc14950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shd w:val="clear"/>
            <w:tabs>
              <w:tab w:val="right" w:leader="dot" w:pos="8312"/>
            </w:tabs>
            <w:ind w:firstLine="480"/>
            <w:rPr>
              <w:rFonts w:ascii="仿宋" w:hAnsi="仿宋" w:eastAsia="仿宋" w:cs="仿宋"/>
              <w:sz w:val="24"/>
              <w:szCs w:val="24"/>
              <w:highlight w:val="none"/>
            </w:rPr>
          </w:pPr>
          <w:r>
            <w:rPr>
              <w:highlight w:val="none"/>
            </w:rPr>
            <w:fldChar w:fldCharType="begin"/>
          </w:r>
          <w:r>
            <w:rPr>
              <w:highlight w:val="none"/>
            </w:rPr>
            <w:instrText xml:space="preserve"> HYPERLINK \l "_Toc31738" </w:instrText>
          </w:r>
          <w:r>
            <w:rPr>
              <w:highlight w:val="none"/>
            </w:rPr>
            <w:fldChar w:fldCharType="separate"/>
          </w:r>
          <w:r>
            <w:rPr>
              <w:rFonts w:hint="eastAsia" w:ascii="仿宋" w:hAnsi="仿宋" w:eastAsia="仿宋" w:cs="仿宋"/>
              <w:bCs/>
              <w:sz w:val="24"/>
              <w:szCs w:val="24"/>
              <w:highlight w:val="none"/>
            </w:rPr>
            <w:t>（一）项目概况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_Toc31738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8"/>
            <w:shd w:val="clear"/>
            <w:tabs>
              <w:tab w:val="right" w:leader="dot" w:pos="8312"/>
            </w:tabs>
            <w:spacing w:line="300" w:lineRule="exact"/>
            <w:ind w:left="0" w:leftChars="0" w:firstLine="630" w:firstLineChars="300"/>
            <w:rPr>
              <w:rFonts w:ascii="仿宋" w:hAnsi="仿宋" w:eastAsia="仿宋" w:cs="仿宋"/>
              <w:sz w:val="24"/>
              <w:szCs w:val="24"/>
              <w:highlight w:val="none"/>
            </w:rPr>
          </w:pPr>
          <w:r>
            <w:rPr>
              <w:highlight w:val="none"/>
            </w:rPr>
            <w:fldChar w:fldCharType="begin"/>
          </w:r>
          <w:r>
            <w:rPr>
              <w:highlight w:val="none"/>
            </w:rPr>
            <w:instrText xml:space="preserve"> HYPERLINK \l "_Toc15492" </w:instrText>
          </w:r>
          <w:r>
            <w:rPr>
              <w:highlight w:val="none"/>
            </w:rPr>
            <w:fldChar w:fldCharType="separate"/>
          </w:r>
          <w:r>
            <w:rPr>
              <w:rFonts w:hint="eastAsia" w:ascii="仿宋" w:hAnsi="仿宋" w:eastAsia="仿宋" w:cs="仿宋"/>
              <w:sz w:val="24"/>
              <w:szCs w:val="24"/>
              <w:highlight w:val="none"/>
            </w:rPr>
            <w:t>1.项目立项背景</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_Toc15492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8"/>
            <w:shd w:val="clear"/>
            <w:tabs>
              <w:tab w:val="right" w:leader="dot" w:pos="8312"/>
            </w:tabs>
            <w:spacing w:line="300" w:lineRule="exact"/>
            <w:ind w:left="0" w:leftChars="0" w:firstLine="630" w:firstLineChars="300"/>
            <w:rPr>
              <w:rFonts w:ascii="仿宋" w:hAnsi="仿宋" w:eastAsia="仿宋" w:cs="仿宋"/>
              <w:sz w:val="24"/>
              <w:szCs w:val="24"/>
              <w:highlight w:val="none"/>
            </w:rPr>
          </w:pPr>
          <w:r>
            <w:rPr>
              <w:highlight w:val="none"/>
            </w:rPr>
            <w:fldChar w:fldCharType="begin"/>
          </w:r>
          <w:r>
            <w:rPr>
              <w:highlight w:val="none"/>
            </w:rPr>
            <w:instrText xml:space="preserve"> HYPERLINK \l "_Toc18822" </w:instrText>
          </w:r>
          <w:r>
            <w:rPr>
              <w:highlight w:val="none"/>
            </w:rPr>
            <w:fldChar w:fldCharType="separate"/>
          </w:r>
          <w:r>
            <w:rPr>
              <w:rFonts w:hint="eastAsia" w:ascii="仿宋" w:hAnsi="仿宋" w:eastAsia="仿宋" w:cs="仿宋"/>
              <w:sz w:val="24"/>
              <w:szCs w:val="24"/>
              <w:highlight w:val="none"/>
            </w:rPr>
            <w:t>2.评价基准日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_Toc18822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8"/>
            <w:shd w:val="clear"/>
            <w:tabs>
              <w:tab w:val="right" w:leader="dot" w:pos="8312"/>
            </w:tabs>
            <w:spacing w:line="300" w:lineRule="exact"/>
            <w:ind w:left="0" w:leftChars="0" w:firstLine="630" w:firstLineChars="300"/>
            <w:rPr>
              <w:rFonts w:ascii="仿宋" w:hAnsi="仿宋" w:eastAsia="仿宋" w:cs="仿宋"/>
              <w:sz w:val="24"/>
              <w:szCs w:val="24"/>
              <w:highlight w:val="none"/>
            </w:rPr>
          </w:pPr>
          <w:r>
            <w:rPr>
              <w:highlight w:val="none"/>
            </w:rPr>
            <w:fldChar w:fldCharType="begin"/>
          </w:r>
          <w:r>
            <w:rPr>
              <w:highlight w:val="none"/>
            </w:rPr>
            <w:instrText xml:space="preserve"> HYPERLINK \l "_Toc23372" </w:instrText>
          </w:r>
          <w:r>
            <w:rPr>
              <w:highlight w:val="none"/>
            </w:rPr>
            <w:fldChar w:fldCharType="separate"/>
          </w:r>
          <w:r>
            <w:rPr>
              <w:rFonts w:hint="eastAsia" w:ascii="仿宋" w:hAnsi="仿宋" w:eastAsia="仿宋" w:cs="仿宋"/>
              <w:sz w:val="24"/>
              <w:szCs w:val="24"/>
              <w:highlight w:val="none"/>
            </w:rPr>
            <w:t>3.项目主要内容及实施情况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_Toc23372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8"/>
            <w:shd w:val="clear"/>
            <w:tabs>
              <w:tab w:val="right" w:leader="dot" w:pos="8312"/>
            </w:tabs>
            <w:spacing w:line="300" w:lineRule="exact"/>
            <w:ind w:left="0" w:leftChars="0" w:firstLine="630" w:firstLineChars="300"/>
            <w:rPr>
              <w:rFonts w:ascii="仿宋" w:hAnsi="仿宋" w:eastAsia="仿宋" w:cs="仿宋"/>
              <w:sz w:val="24"/>
              <w:szCs w:val="24"/>
              <w:highlight w:val="none"/>
            </w:rPr>
          </w:pPr>
          <w:r>
            <w:rPr>
              <w:highlight w:val="none"/>
            </w:rPr>
            <w:fldChar w:fldCharType="begin"/>
          </w:r>
          <w:r>
            <w:rPr>
              <w:highlight w:val="none"/>
            </w:rPr>
            <w:instrText xml:space="preserve"> HYPERLINK \l "_Toc19847" </w:instrText>
          </w:r>
          <w:r>
            <w:rPr>
              <w:highlight w:val="none"/>
            </w:rPr>
            <w:fldChar w:fldCharType="separate"/>
          </w:r>
          <w:r>
            <w:rPr>
              <w:rFonts w:hint="eastAsia" w:ascii="仿宋" w:hAnsi="仿宋" w:eastAsia="仿宋" w:cs="仿宋"/>
              <w:sz w:val="24"/>
              <w:szCs w:val="24"/>
              <w:highlight w:val="none"/>
            </w:rPr>
            <w:t>4.项目资金投入和使用情况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_Toc19847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shd w:val="clear"/>
            <w:tabs>
              <w:tab w:val="right" w:leader="dot" w:pos="8312"/>
            </w:tabs>
            <w:ind w:firstLine="480"/>
            <w:rPr>
              <w:rFonts w:ascii="仿宋" w:hAnsi="仿宋" w:eastAsia="仿宋" w:cs="仿宋"/>
              <w:sz w:val="24"/>
              <w:szCs w:val="24"/>
              <w:highlight w:val="none"/>
            </w:rPr>
          </w:pPr>
          <w:r>
            <w:rPr>
              <w:highlight w:val="none"/>
            </w:rPr>
            <w:fldChar w:fldCharType="begin"/>
          </w:r>
          <w:r>
            <w:rPr>
              <w:highlight w:val="none"/>
            </w:rPr>
            <w:instrText xml:space="preserve"> HYPERLINK \l "_Toc19040" </w:instrText>
          </w:r>
          <w:r>
            <w:rPr>
              <w:highlight w:val="none"/>
            </w:rPr>
            <w:fldChar w:fldCharType="separate"/>
          </w:r>
          <w:r>
            <w:rPr>
              <w:rFonts w:hint="eastAsia" w:ascii="仿宋" w:hAnsi="仿宋" w:eastAsia="仿宋" w:cs="仿宋"/>
              <w:bCs/>
              <w:sz w:val="24"/>
              <w:szCs w:val="24"/>
              <w:highlight w:val="none"/>
            </w:rPr>
            <w:t>（二）项目绩效目标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_Toc19040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8"/>
            <w:shd w:val="clear"/>
            <w:tabs>
              <w:tab w:val="right" w:leader="dot" w:pos="8312"/>
            </w:tabs>
            <w:spacing w:line="300" w:lineRule="exact"/>
            <w:ind w:left="0" w:leftChars="0" w:firstLine="630" w:firstLineChars="300"/>
            <w:rPr>
              <w:rFonts w:ascii="仿宋" w:hAnsi="仿宋" w:eastAsia="仿宋" w:cs="仿宋"/>
              <w:sz w:val="24"/>
              <w:szCs w:val="24"/>
              <w:highlight w:val="none"/>
            </w:rPr>
          </w:pPr>
          <w:r>
            <w:rPr>
              <w:highlight w:val="none"/>
            </w:rPr>
            <w:fldChar w:fldCharType="begin"/>
          </w:r>
          <w:r>
            <w:rPr>
              <w:highlight w:val="none"/>
            </w:rPr>
            <w:instrText xml:space="preserve"> HYPERLINK \l "_Toc15015" </w:instrText>
          </w:r>
          <w:r>
            <w:rPr>
              <w:highlight w:val="none"/>
            </w:rPr>
            <w:fldChar w:fldCharType="separate"/>
          </w:r>
          <w:r>
            <w:rPr>
              <w:rFonts w:hint="eastAsia" w:ascii="仿宋" w:hAnsi="仿宋" w:eastAsia="仿宋" w:cs="仿宋"/>
              <w:sz w:val="24"/>
              <w:szCs w:val="24"/>
              <w:highlight w:val="none"/>
            </w:rPr>
            <w:t>1.项目产出目标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_Toc15015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8"/>
            <w:shd w:val="clear"/>
            <w:tabs>
              <w:tab w:val="right" w:leader="dot" w:pos="8312"/>
            </w:tabs>
            <w:spacing w:line="300" w:lineRule="exact"/>
            <w:ind w:left="0" w:leftChars="0" w:firstLine="630" w:firstLineChars="300"/>
            <w:rPr>
              <w:rFonts w:ascii="仿宋" w:hAnsi="仿宋" w:eastAsia="仿宋" w:cs="仿宋"/>
              <w:sz w:val="24"/>
              <w:szCs w:val="24"/>
              <w:highlight w:val="none"/>
            </w:rPr>
          </w:pPr>
          <w:r>
            <w:rPr>
              <w:highlight w:val="none"/>
            </w:rPr>
            <w:fldChar w:fldCharType="begin"/>
          </w:r>
          <w:r>
            <w:rPr>
              <w:highlight w:val="none"/>
            </w:rPr>
            <w:instrText xml:space="preserve"> HYPERLINK \l "_Toc20745" </w:instrText>
          </w:r>
          <w:r>
            <w:rPr>
              <w:highlight w:val="none"/>
            </w:rPr>
            <w:fldChar w:fldCharType="separate"/>
          </w:r>
          <w:r>
            <w:rPr>
              <w:rFonts w:hint="eastAsia" w:ascii="仿宋" w:hAnsi="仿宋" w:eastAsia="仿宋" w:cs="仿宋"/>
              <w:sz w:val="24"/>
              <w:szCs w:val="24"/>
              <w:highlight w:val="none"/>
            </w:rPr>
            <w:t>2.项目效益目标</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_Toc20745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shd w:val="clear"/>
            <w:tabs>
              <w:tab w:val="right" w:leader="dot" w:pos="8312"/>
            </w:tabs>
            <w:ind w:firstLine="480"/>
            <w:rPr>
              <w:rFonts w:ascii="仿宋" w:hAnsi="仿宋" w:eastAsia="仿宋" w:cs="仿宋"/>
              <w:sz w:val="24"/>
              <w:szCs w:val="24"/>
              <w:highlight w:val="none"/>
            </w:rPr>
          </w:pPr>
          <w:r>
            <w:rPr>
              <w:highlight w:val="none"/>
            </w:rPr>
            <w:fldChar w:fldCharType="begin"/>
          </w:r>
          <w:r>
            <w:rPr>
              <w:highlight w:val="none"/>
            </w:rPr>
            <w:instrText xml:space="preserve"> HYPERLINK \l "_Toc17713" </w:instrText>
          </w:r>
          <w:r>
            <w:rPr>
              <w:highlight w:val="none"/>
            </w:rPr>
            <w:fldChar w:fldCharType="separate"/>
          </w:r>
          <w:r>
            <w:rPr>
              <w:rFonts w:hint="eastAsia" w:ascii="仿宋" w:hAnsi="仿宋" w:eastAsia="仿宋" w:cs="仿宋"/>
              <w:bCs/>
              <w:sz w:val="24"/>
              <w:szCs w:val="24"/>
              <w:highlight w:val="none"/>
            </w:rPr>
            <w:t>（三）项目目标完成情况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_Toc17713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3"/>
            <w:shd w:val="clear"/>
            <w:tabs>
              <w:tab w:val="right" w:leader="dot" w:pos="8312"/>
            </w:tabs>
            <w:spacing w:line="300" w:lineRule="exact"/>
            <w:ind w:firstLine="482"/>
            <w:rPr>
              <w:rFonts w:ascii="仿宋" w:hAnsi="仿宋" w:eastAsia="仿宋" w:cs="仿宋"/>
              <w:sz w:val="24"/>
              <w:szCs w:val="24"/>
              <w:highlight w:val="none"/>
            </w:rPr>
          </w:pPr>
          <w:r>
            <w:rPr>
              <w:highlight w:val="none"/>
            </w:rPr>
            <w:fldChar w:fldCharType="begin"/>
          </w:r>
          <w:r>
            <w:rPr>
              <w:highlight w:val="none"/>
            </w:rPr>
            <w:instrText xml:space="preserve"> HYPERLINK \l "_Toc15363" </w:instrText>
          </w:r>
          <w:r>
            <w:rPr>
              <w:highlight w:val="none"/>
            </w:rPr>
            <w:fldChar w:fldCharType="separate"/>
          </w:r>
          <w:r>
            <w:rPr>
              <w:rFonts w:hint="eastAsia" w:ascii="仿宋" w:hAnsi="仿宋" w:eastAsia="仿宋" w:cs="仿宋"/>
              <w:bCs w:val="0"/>
              <w:sz w:val="24"/>
              <w:szCs w:val="24"/>
              <w:highlight w:val="none"/>
            </w:rPr>
            <w:t>二、绩效评价工作开展情况</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_Toc15363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shd w:val="clear"/>
            <w:tabs>
              <w:tab w:val="right" w:leader="dot" w:pos="8312"/>
            </w:tabs>
            <w:ind w:firstLine="480"/>
            <w:rPr>
              <w:rFonts w:ascii="仿宋" w:hAnsi="仿宋" w:eastAsia="仿宋" w:cs="仿宋"/>
              <w:sz w:val="24"/>
              <w:szCs w:val="24"/>
              <w:highlight w:val="none"/>
            </w:rPr>
          </w:pPr>
          <w:r>
            <w:rPr>
              <w:highlight w:val="none"/>
            </w:rPr>
            <w:fldChar w:fldCharType="begin"/>
          </w:r>
          <w:r>
            <w:rPr>
              <w:highlight w:val="none"/>
            </w:rPr>
            <w:instrText xml:space="preserve"> HYPERLINK \l "_Toc12830" </w:instrText>
          </w:r>
          <w:r>
            <w:rPr>
              <w:highlight w:val="none"/>
            </w:rPr>
            <w:fldChar w:fldCharType="separate"/>
          </w:r>
          <w:r>
            <w:rPr>
              <w:rFonts w:hint="eastAsia" w:ascii="仿宋" w:hAnsi="仿宋" w:eastAsia="仿宋" w:cs="仿宋"/>
              <w:bCs/>
              <w:sz w:val="24"/>
              <w:szCs w:val="24"/>
              <w:highlight w:val="none"/>
            </w:rPr>
            <w:t>（一）绩效评价目的、对象及范围</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_Toc12830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shd w:val="clear"/>
            <w:tabs>
              <w:tab w:val="right" w:leader="dot" w:pos="8312"/>
            </w:tabs>
            <w:ind w:firstLine="480"/>
            <w:rPr>
              <w:rFonts w:ascii="仿宋" w:hAnsi="仿宋" w:eastAsia="仿宋" w:cs="仿宋"/>
              <w:sz w:val="24"/>
              <w:szCs w:val="24"/>
              <w:highlight w:val="none"/>
            </w:rPr>
          </w:pPr>
          <w:r>
            <w:rPr>
              <w:highlight w:val="none"/>
            </w:rPr>
            <w:fldChar w:fldCharType="begin"/>
          </w:r>
          <w:r>
            <w:rPr>
              <w:highlight w:val="none"/>
            </w:rPr>
            <w:instrText xml:space="preserve"> HYPERLINK \l "_Toc712" </w:instrText>
          </w:r>
          <w:r>
            <w:rPr>
              <w:highlight w:val="none"/>
            </w:rPr>
            <w:fldChar w:fldCharType="separate"/>
          </w:r>
          <w:r>
            <w:rPr>
              <w:rFonts w:hint="eastAsia" w:ascii="仿宋" w:hAnsi="仿宋" w:eastAsia="仿宋" w:cs="仿宋"/>
              <w:bCs/>
              <w:sz w:val="24"/>
              <w:szCs w:val="24"/>
              <w:highlight w:val="none"/>
            </w:rPr>
            <w:t>（二）绩效评价原则及方法、评价指标体系</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_Toc712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8"/>
            <w:shd w:val="clear"/>
            <w:tabs>
              <w:tab w:val="right" w:leader="dot" w:pos="8312"/>
            </w:tabs>
            <w:spacing w:line="300" w:lineRule="exact"/>
            <w:ind w:left="0" w:leftChars="0" w:firstLine="630" w:firstLineChars="300"/>
            <w:rPr>
              <w:rFonts w:ascii="仿宋" w:hAnsi="仿宋" w:eastAsia="仿宋" w:cs="仿宋"/>
              <w:sz w:val="24"/>
              <w:szCs w:val="24"/>
              <w:highlight w:val="none"/>
            </w:rPr>
          </w:pPr>
          <w:r>
            <w:rPr>
              <w:highlight w:val="none"/>
            </w:rPr>
            <w:fldChar w:fldCharType="begin"/>
          </w:r>
          <w:r>
            <w:rPr>
              <w:highlight w:val="none"/>
            </w:rPr>
            <w:instrText xml:space="preserve"> HYPERLINK \l "_Toc28611" </w:instrText>
          </w:r>
          <w:r>
            <w:rPr>
              <w:highlight w:val="none"/>
            </w:rPr>
            <w:fldChar w:fldCharType="separate"/>
          </w:r>
          <w:r>
            <w:rPr>
              <w:rFonts w:hint="eastAsia" w:ascii="仿宋" w:hAnsi="仿宋" w:eastAsia="仿宋" w:cs="仿宋"/>
              <w:sz w:val="24"/>
              <w:szCs w:val="24"/>
              <w:highlight w:val="none"/>
            </w:rPr>
            <w:t>1.绩效评价原则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_Toc28611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8"/>
            <w:shd w:val="clear"/>
            <w:tabs>
              <w:tab w:val="right" w:leader="dot" w:pos="8312"/>
            </w:tabs>
            <w:spacing w:line="300" w:lineRule="exact"/>
            <w:ind w:left="0" w:leftChars="0" w:firstLine="630" w:firstLineChars="300"/>
            <w:rPr>
              <w:rFonts w:ascii="仿宋" w:hAnsi="仿宋" w:eastAsia="仿宋" w:cs="仿宋"/>
              <w:sz w:val="24"/>
              <w:szCs w:val="24"/>
              <w:highlight w:val="none"/>
            </w:rPr>
          </w:pPr>
          <w:r>
            <w:rPr>
              <w:highlight w:val="none"/>
            </w:rPr>
            <w:fldChar w:fldCharType="begin"/>
          </w:r>
          <w:r>
            <w:rPr>
              <w:highlight w:val="none"/>
            </w:rPr>
            <w:instrText xml:space="preserve"> HYPERLINK \l "_Toc25626" </w:instrText>
          </w:r>
          <w:r>
            <w:rPr>
              <w:highlight w:val="none"/>
            </w:rPr>
            <w:fldChar w:fldCharType="separate"/>
          </w:r>
          <w:r>
            <w:rPr>
              <w:rFonts w:hint="eastAsia" w:ascii="仿宋" w:hAnsi="仿宋" w:eastAsia="仿宋" w:cs="仿宋"/>
              <w:sz w:val="24"/>
              <w:szCs w:val="24"/>
              <w:highlight w:val="none"/>
            </w:rPr>
            <w:t>2.绩效评价方法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_Toc25626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8"/>
            <w:shd w:val="clear"/>
            <w:tabs>
              <w:tab w:val="right" w:leader="dot" w:pos="8312"/>
            </w:tabs>
            <w:spacing w:line="300" w:lineRule="exact"/>
            <w:ind w:left="0" w:leftChars="0" w:firstLine="630" w:firstLineChars="300"/>
            <w:rPr>
              <w:rFonts w:ascii="仿宋" w:hAnsi="仿宋" w:eastAsia="仿宋" w:cs="仿宋"/>
              <w:sz w:val="24"/>
              <w:szCs w:val="24"/>
              <w:highlight w:val="none"/>
            </w:rPr>
          </w:pPr>
          <w:r>
            <w:rPr>
              <w:highlight w:val="none"/>
            </w:rPr>
            <w:fldChar w:fldCharType="begin"/>
          </w:r>
          <w:r>
            <w:rPr>
              <w:highlight w:val="none"/>
            </w:rPr>
            <w:instrText xml:space="preserve"> HYPERLINK \l "_Toc3247" </w:instrText>
          </w:r>
          <w:r>
            <w:rPr>
              <w:highlight w:val="none"/>
            </w:rPr>
            <w:fldChar w:fldCharType="separate"/>
          </w:r>
          <w:r>
            <w:rPr>
              <w:rFonts w:hint="eastAsia" w:ascii="仿宋" w:hAnsi="仿宋" w:eastAsia="仿宋" w:cs="仿宋"/>
              <w:sz w:val="24"/>
              <w:szCs w:val="24"/>
              <w:highlight w:val="none"/>
            </w:rPr>
            <w:t>3.绩效评价指标体系</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_Toc3247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shd w:val="clear"/>
            <w:tabs>
              <w:tab w:val="right" w:leader="dot" w:pos="8312"/>
            </w:tabs>
            <w:ind w:firstLine="480"/>
            <w:rPr>
              <w:rFonts w:ascii="仿宋" w:hAnsi="仿宋" w:eastAsia="仿宋" w:cs="仿宋"/>
              <w:sz w:val="24"/>
              <w:szCs w:val="24"/>
              <w:highlight w:val="none"/>
            </w:rPr>
          </w:pPr>
          <w:r>
            <w:rPr>
              <w:highlight w:val="none"/>
            </w:rPr>
            <w:fldChar w:fldCharType="begin"/>
          </w:r>
          <w:r>
            <w:rPr>
              <w:highlight w:val="none"/>
            </w:rPr>
            <w:instrText xml:space="preserve"> HYPERLINK \l "_Toc7122" </w:instrText>
          </w:r>
          <w:r>
            <w:rPr>
              <w:highlight w:val="none"/>
            </w:rPr>
            <w:fldChar w:fldCharType="separate"/>
          </w:r>
          <w:r>
            <w:rPr>
              <w:rFonts w:hint="eastAsia" w:ascii="仿宋" w:hAnsi="仿宋" w:eastAsia="仿宋" w:cs="仿宋"/>
              <w:bCs/>
              <w:sz w:val="24"/>
              <w:szCs w:val="24"/>
              <w:highlight w:val="none"/>
            </w:rPr>
            <w:t>（三）绩效评价工作过程</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_Toc7122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8"/>
            <w:shd w:val="clear"/>
            <w:tabs>
              <w:tab w:val="right" w:leader="dot" w:pos="8312"/>
            </w:tabs>
            <w:spacing w:line="300" w:lineRule="exact"/>
            <w:ind w:left="0" w:leftChars="0" w:firstLine="630" w:firstLineChars="300"/>
            <w:rPr>
              <w:rFonts w:ascii="仿宋" w:hAnsi="仿宋" w:eastAsia="仿宋" w:cs="仿宋"/>
              <w:sz w:val="24"/>
              <w:szCs w:val="24"/>
              <w:highlight w:val="none"/>
            </w:rPr>
          </w:pPr>
          <w:r>
            <w:rPr>
              <w:highlight w:val="none"/>
            </w:rPr>
            <w:fldChar w:fldCharType="begin"/>
          </w:r>
          <w:r>
            <w:rPr>
              <w:highlight w:val="none"/>
            </w:rPr>
            <w:instrText xml:space="preserve"> HYPERLINK \l "_Toc18105" </w:instrText>
          </w:r>
          <w:r>
            <w:rPr>
              <w:highlight w:val="none"/>
            </w:rPr>
            <w:fldChar w:fldCharType="separate"/>
          </w:r>
          <w:r>
            <w:rPr>
              <w:rFonts w:hint="eastAsia" w:ascii="仿宋" w:hAnsi="仿宋" w:eastAsia="仿宋" w:cs="仿宋"/>
              <w:sz w:val="24"/>
              <w:szCs w:val="24"/>
              <w:highlight w:val="none"/>
            </w:rPr>
            <w:t>1.绩效评价设计过程</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_Toc18105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8"/>
            <w:shd w:val="clear"/>
            <w:tabs>
              <w:tab w:val="right" w:leader="dot" w:pos="8312"/>
            </w:tabs>
            <w:spacing w:line="300" w:lineRule="exact"/>
            <w:ind w:left="0" w:leftChars="0" w:firstLine="630" w:firstLineChars="300"/>
            <w:rPr>
              <w:rFonts w:ascii="仿宋" w:hAnsi="仿宋" w:eastAsia="仿宋" w:cs="仿宋"/>
              <w:sz w:val="24"/>
              <w:szCs w:val="24"/>
              <w:highlight w:val="none"/>
            </w:rPr>
          </w:pPr>
          <w:r>
            <w:rPr>
              <w:highlight w:val="none"/>
            </w:rPr>
            <w:fldChar w:fldCharType="begin"/>
          </w:r>
          <w:r>
            <w:rPr>
              <w:highlight w:val="none"/>
            </w:rPr>
            <w:instrText xml:space="preserve"> HYPERLINK \l "_Toc9283" </w:instrText>
          </w:r>
          <w:r>
            <w:rPr>
              <w:highlight w:val="none"/>
            </w:rPr>
            <w:fldChar w:fldCharType="separate"/>
          </w:r>
          <w:r>
            <w:rPr>
              <w:rFonts w:hint="eastAsia" w:ascii="仿宋" w:hAnsi="仿宋" w:eastAsia="仿宋" w:cs="仿宋"/>
              <w:bCs/>
              <w:sz w:val="24"/>
              <w:szCs w:val="24"/>
              <w:highlight w:val="none"/>
            </w:rPr>
            <w:t>2.证据收集方法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_Toc9283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8"/>
            <w:shd w:val="clear"/>
            <w:tabs>
              <w:tab w:val="right" w:leader="dot" w:pos="8312"/>
            </w:tabs>
            <w:spacing w:line="300" w:lineRule="exact"/>
            <w:ind w:left="0" w:leftChars="0" w:firstLine="630" w:firstLineChars="300"/>
            <w:rPr>
              <w:rFonts w:ascii="仿宋" w:hAnsi="仿宋" w:eastAsia="仿宋" w:cs="仿宋"/>
              <w:sz w:val="24"/>
              <w:szCs w:val="24"/>
              <w:highlight w:val="none"/>
            </w:rPr>
          </w:pPr>
          <w:r>
            <w:rPr>
              <w:highlight w:val="none"/>
            </w:rPr>
            <w:fldChar w:fldCharType="begin"/>
          </w:r>
          <w:r>
            <w:rPr>
              <w:highlight w:val="none"/>
            </w:rPr>
            <w:instrText xml:space="preserve"> HYPERLINK \l "_Toc31575" </w:instrText>
          </w:r>
          <w:r>
            <w:rPr>
              <w:highlight w:val="none"/>
            </w:rPr>
            <w:fldChar w:fldCharType="separate"/>
          </w:r>
          <w:r>
            <w:rPr>
              <w:rFonts w:hint="eastAsia" w:ascii="仿宋" w:hAnsi="仿宋" w:eastAsia="仿宋" w:cs="仿宋"/>
              <w:bCs/>
              <w:sz w:val="24"/>
              <w:szCs w:val="24"/>
              <w:highlight w:val="none"/>
            </w:rPr>
            <w:t>3.绩效评价实施过程</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_Toc31575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3"/>
            <w:shd w:val="clear"/>
            <w:tabs>
              <w:tab w:val="right" w:leader="dot" w:pos="8312"/>
            </w:tabs>
            <w:spacing w:line="300" w:lineRule="exact"/>
            <w:ind w:firstLine="482"/>
            <w:rPr>
              <w:rFonts w:ascii="仿宋" w:hAnsi="仿宋" w:eastAsia="仿宋" w:cs="仿宋"/>
              <w:sz w:val="24"/>
              <w:szCs w:val="24"/>
              <w:highlight w:val="none"/>
            </w:rPr>
          </w:pPr>
          <w:r>
            <w:rPr>
              <w:highlight w:val="none"/>
            </w:rPr>
            <w:fldChar w:fldCharType="begin"/>
          </w:r>
          <w:r>
            <w:rPr>
              <w:highlight w:val="none"/>
            </w:rPr>
            <w:instrText xml:space="preserve"> HYPERLINK \l "_Toc18361" </w:instrText>
          </w:r>
          <w:r>
            <w:rPr>
              <w:highlight w:val="none"/>
            </w:rPr>
            <w:fldChar w:fldCharType="separate"/>
          </w:r>
          <w:r>
            <w:rPr>
              <w:rFonts w:hint="eastAsia" w:ascii="仿宋" w:hAnsi="仿宋" w:eastAsia="仿宋" w:cs="仿宋"/>
              <w:bCs w:val="0"/>
              <w:sz w:val="24"/>
              <w:szCs w:val="24"/>
              <w:highlight w:val="none"/>
            </w:rPr>
            <w:t>三、综合评价情况及评价结论</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_Toc18361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3"/>
            <w:shd w:val="clear"/>
            <w:tabs>
              <w:tab w:val="right" w:leader="dot" w:pos="8312"/>
            </w:tabs>
            <w:spacing w:line="300" w:lineRule="exact"/>
            <w:ind w:left="557" w:leftChars="232" w:firstLine="0" w:firstLineChars="0"/>
            <w:rPr>
              <w:rFonts w:ascii="仿宋" w:hAnsi="仿宋" w:eastAsia="仿宋" w:cs="仿宋"/>
              <w:b w:val="0"/>
              <w:sz w:val="24"/>
              <w:szCs w:val="24"/>
              <w:highlight w:val="none"/>
            </w:rPr>
          </w:pPr>
          <w:r>
            <w:rPr>
              <w:highlight w:val="none"/>
            </w:rPr>
            <w:fldChar w:fldCharType="begin"/>
          </w:r>
          <w:r>
            <w:rPr>
              <w:highlight w:val="none"/>
            </w:rPr>
            <w:instrText xml:space="preserve"> HYPERLINK \l "_Toc19365" </w:instrText>
          </w:r>
          <w:r>
            <w:rPr>
              <w:highlight w:val="none"/>
            </w:rPr>
            <w:fldChar w:fldCharType="separate"/>
          </w:r>
          <w:r>
            <w:rPr>
              <w:rFonts w:hint="eastAsia" w:ascii="仿宋" w:hAnsi="仿宋" w:eastAsia="仿宋" w:cs="仿宋"/>
              <w:b w:val="0"/>
              <w:sz w:val="24"/>
              <w:szCs w:val="24"/>
              <w:highlight w:val="none"/>
            </w:rPr>
            <w:t>武汉市武昌区卫生健康局2019年“大医院专家坐诊”项目绩效评价指标体系及评分表</w:t>
          </w:r>
          <w:r>
            <w:rPr>
              <w:rFonts w:hint="eastAsia" w:ascii="仿宋" w:hAnsi="仿宋" w:eastAsia="仿宋" w:cs="仿宋"/>
              <w:b w:val="0"/>
              <w:sz w:val="24"/>
              <w:szCs w:val="24"/>
              <w:highlight w:val="none"/>
            </w:rPr>
            <w:tab/>
          </w:r>
          <w:r>
            <w:rPr>
              <w:rFonts w:hint="eastAsia" w:ascii="仿宋" w:hAnsi="仿宋" w:eastAsia="仿宋" w:cs="仿宋"/>
              <w:b w:val="0"/>
              <w:sz w:val="24"/>
              <w:szCs w:val="24"/>
              <w:highlight w:val="none"/>
            </w:rPr>
            <w:fldChar w:fldCharType="begin"/>
          </w:r>
          <w:r>
            <w:rPr>
              <w:rFonts w:hint="eastAsia" w:ascii="仿宋" w:hAnsi="仿宋" w:eastAsia="仿宋" w:cs="仿宋"/>
              <w:b w:val="0"/>
              <w:sz w:val="24"/>
              <w:szCs w:val="24"/>
              <w:highlight w:val="none"/>
            </w:rPr>
            <w:instrText xml:space="preserve"> PAGEREF _Toc19365 </w:instrText>
          </w:r>
          <w:r>
            <w:rPr>
              <w:rFonts w:hint="eastAsia" w:ascii="仿宋" w:hAnsi="仿宋" w:eastAsia="仿宋" w:cs="仿宋"/>
              <w:b w:val="0"/>
              <w:sz w:val="24"/>
              <w:szCs w:val="24"/>
              <w:highlight w:val="none"/>
            </w:rPr>
            <w:fldChar w:fldCharType="separate"/>
          </w:r>
          <w:r>
            <w:rPr>
              <w:rFonts w:hint="eastAsia" w:ascii="仿宋" w:hAnsi="仿宋" w:eastAsia="仿宋" w:cs="仿宋"/>
              <w:b w:val="0"/>
              <w:sz w:val="24"/>
              <w:szCs w:val="24"/>
              <w:highlight w:val="none"/>
            </w:rPr>
            <w:t>20</w:t>
          </w:r>
          <w:r>
            <w:rPr>
              <w:rFonts w:hint="eastAsia" w:ascii="仿宋" w:hAnsi="仿宋" w:eastAsia="仿宋" w:cs="仿宋"/>
              <w:b w:val="0"/>
              <w:sz w:val="24"/>
              <w:szCs w:val="24"/>
              <w:highlight w:val="none"/>
            </w:rPr>
            <w:fldChar w:fldCharType="end"/>
          </w:r>
          <w:r>
            <w:rPr>
              <w:rFonts w:hint="eastAsia" w:ascii="仿宋" w:hAnsi="仿宋" w:eastAsia="仿宋" w:cs="仿宋"/>
              <w:b w:val="0"/>
              <w:sz w:val="24"/>
              <w:szCs w:val="24"/>
              <w:highlight w:val="none"/>
            </w:rPr>
            <w:fldChar w:fldCharType="end"/>
          </w:r>
        </w:p>
        <w:p>
          <w:pPr>
            <w:pStyle w:val="13"/>
            <w:shd w:val="clear"/>
            <w:tabs>
              <w:tab w:val="right" w:leader="dot" w:pos="8312"/>
            </w:tabs>
            <w:spacing w:line="300" w:lineRule="exact"/>
            <w:ind w:firstLine="482"/>
            <w:rPr>
              <w:rFonts w:ascii="仿宋" w:hAnsi="仿宋" w:eastAsia="仿宋" w:cs="仿宋"/>
              <w:sz w:val="24"/>
              <w:szCs w:val="24"/>
              <w:highlight w:val="none"/>
            </w:rPr>
          </w:pPr>
          <w:r>
            <w:rPr>
              <w:highlight w:val="none"/>
            </w:rPr>
            <w:fldChar w:fldCharType="begin"/>
          </w:r>
          <w:r>
            <w:rPr>
              <w:highlight w:val="none"/>
            </w:rPr>
            <w:instrText xml:space="preserve"> HYPERLINK \l "_Toc10967" </w:instrText>
          </w:r>
          <w:r>
            <w:rPr>
              <w:highlight w:val="none"/>
            </w:rPr>
            <w:fldChar w:fldCharType="separate"/>
          </w:r>
          <w:r>
            <w:rPr>
              <w:rFonts w:hint="eastAsia" w:ascii="仿宋" w:hAnsi="仿宋" w:eastAsia="仿宋" w:cs="仿宋"/>
              <w:bCs w:val="0"/>
              <w:sz w:val="24"/>
              <w:szCs w:val="24"/>
              <w:highlight w:val="none"/>
            </w:rPr>
            <w:t>四、绩效评价指标分析</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_Toc10967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shd w:val="clear"/>
            <w:tabs>
              <w:tab w:val="right" w:leader="dot" w:pos="8312"/>
            </w:tabs>
            <w:ind w:firstLine="480"/>
            <w:rPr>
              <w:rFonts w:ascii="仿宋" w:hAnsi="仿宋" w:eastAsia="仿宋" w:cs="仿宋"/>
              <w:sz w:val="24"/>
              <w:szCs w:val="24"/>
              <w:highlight w:val="none"/>
            </w:rPr>
          </w:pPr>
          <w:r>
            <w:rPr>
              <w:highlight w:val="none"/>
            </w:rPr>
            <w:fldChar w:fldCharType="begin"/>
          </w:r>
          <w:r>
            <w:rPr>
              <w:highlight w:val="none"/>
            </w:rPr>
            <w:instrText xml:space="preserve"> HYPERLINK \l "_Toc6611" </w:instrText>
          </w:r>
          <w:r>
            <w:rPr>
              <w:highlight w:val="none"/>
            </w:rPr>
            <w:fldChar w:fldCharType="separate"/>
          </w:r>
          <w:r>
            <w:rPr>
              <w:rFonts w:hint="eastAsia" w:ascii="仿宋" w:hAnsi="仿宋" w:eastAsia="仿宋" w:cs="仿宋"/>
              <w:bCs/>
              <w:sz w:val="24"/>
              <w:szCs w:val="24"/>
              <w:highlight w:val="none"/>
            </w:rPr>
            <w:t>（一）项目决策（15分）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_Toc6611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shd w:val="clear"/>
            <w:tabs>
              <w:tab w:val="right" w:leader="dot" w:pos="8312"/>
            </w:tabs>
            <w:ind w:firstLine="480"/>
            <w:rPr>
              <w:rFonts w:ascii="仿宋" w:hAnsi="仿宋" w:eastAsia="仿宋" w:cs="仿宋"/>
              <w:sz w:val="24"/>
              <w:szCs w:val="24"/>
              <w:highlight w:val="none"/>
            </w:rPr>
          </w:pPr>
          <w:r>
            <w:rPr>
              <w:highlight w:val="none"/>
            </w:rPr>
            <w:fldChar w:fldCharType="begin"/>
          </w:r>
          <w:r>
            <w:rPr>
              <w:highlight w:val="none"/>
            </w:rPr>
            <w:instrText xml:space="preserve"> HYPERLINK \l "_Toc32470" </w:instrText>
          </w:r>
          <w:r>
            <w:rPr>
              <w:highlight w:val="none"/>
            </w:rPr>
            <w:fldChar w:fldCharType="separate"/>
          </w:r>
          <w:r>
            <w:rPr>
              <w:rFonts w:hint="eastAsia" w:ascii="仿宋" w:hAnsi="仿宋" w:eastAsia="仿宋" w:cs="仿宋"/>
              <w:bCs/>
              <w:sz w:val="24"/>
              <w:szCs w:val="24"/>
              <w:highlight w:val="none"/>
            </w:rPr>
            <w:t>（二）项目过程（23分）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_Toc32470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shd w:val="clear"/>
            <w:tabs>
              <w:tab w:val="right" w:leader="dot" w:pos="8312"/>
            </w:tabs>
            <w:ind w:firstLine="480"/>
            <w:rPr>
              <w:rFonts w:ascii="仿宋" w:hAnsi="仿宋" w:eastAsia="仿宋" w:cs="仿宋"/>
              <w:sz w:val="24"/>
              <w:szCs w:val="24"/>
              <w:highlight w:val="none"/>
            </w:rPr>
          </w:pPr>
          <w:r>
            <w:rPr>
              <w:highlight w:val="none"/>
            </w:rPr>
            <w:fldChar w:fldCharType="begin"/>
          </w:r>
          <w:r>
            <w:rPr>
              <w:highlight w:val="none"/>
            </w:rPr>
            <w:instrText xml:space="preserve"> HYPERLINK \l "_Toc29393" </w:instrText>
          </w:r>
          <w:r>
            <w:rPr>
              <w:highlight w:val="none"/>
            </w:rPr>
            <w:fldChar w:fldCharType="separate"/>
          </w:r>
          <w:r>
            <w:rPr>
              <w:rFonts w:hint="eastAsia" w:ascii="仿宋" w:hAnsi="仿宋" w:eastAsia="仿宋" w:cs="仿宋"/>
              <w:bCs/>
              <w:sz w:val="24"/>
              <w:szCs w:val="24"/>
              <w:highlight w:val="none"/>
            </w:rPr>
            <w:t>（三）项目产出（48分）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_Toc29393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shd w:val="clear"/>
            <w:tabs>
              <w:tab w:val="right" w:leader="dot" w:pos="8312"/>
            </w:tabs>
            <w:ind w:firstLine="480"/>
            <w:rPr>
              <w:rFonts w:ascii="仿宋" w:hAnsi="仿宋" w:eastAsia="仿宋" w:cs="仿宋"/>
              <w:sz w:val="24"/>
              <w:szCs w:val="24"/>
              <w:highlight w:val="none"/>
            </w:rPr>
          </w:pPr>
          <w:r>
            <w:rPr>
              <w:highlight w:val="none"/>
            </w:rPr>
            <w:fldChar w:fldCharType="begin"/>
          </w:r>
          <w:r>
            <w:rPr>
              <w:highlight w:val="none"/>
            </w:rPr>
            <w:instrText xml:space="preserve"> HYPERLINK \l "_Toc17158" </w:instrText>
          </w:r>
          <w:r>
            <w:rPr>
              <w:highlight w:val="none"/>
            </w:rPr>
            <w:fldChar w:fldCharType="separate"/>
          </w:r>
          <w:r>
            <w:rPr>
              <w:rFonts w:hint="eastAsia" w:ascii="仿宋" w:hAnsi="仿宋" w:eastAsia="仿宋" w:cs="仿宋"/>
              <w:bCs/>
              <w:sz w:val="24"/>
              <w:szCs w:val="24"/>
              <w:highlight w:val="none"/>
            </w:rPr>
            <w:t>（四）项目效益（14分）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_Toc17158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3"/>
            <w:shd w:val="clear"/>
            <w:tabs>
              <w:tab w:val="right" w:leader="dot" w:pos="8312"/>
            </w:tabs>
            <w:spacing w:line="300" w:lineRule="exact"/>
            <w:ind w:firstLine="482"/>
            <w:rPr>
              <w:rFonts w:ascii="仿宋" w:hAnsi="仿宋" w:eastAsia="仿宋" w:cs="仿宋"/>
              <w:sz w:val="24"/>
              <w:szCs w:val="24"/>
              <w:highlight w:val="none"/>
            </w:rPr>
          </w:pPr>
          <w:r>
            <w:rPr>
              <w:highlight w:val="none"/>
            </w:rPr>
            <w:fldChar w:fldCharType="begin"/>
          </w:r>
          <w:r>
            <w:rPr>
              <w:highlight w:val="none"/>
            </w:rPr>
            <w:instrText xml:space="preserve"> HYPERLINK \l "_Toc20071" </w:instrText>
          </w:r>
          <w:r>
            <w:rPr>
              <w:highlight w:val="none"/>
            </w:rPr>
            <w:fldChar w:fldCharType="separate"/>
          </w:r>
          <w:r>
            <w:rPr>
              <w:rFonts w:hint="eastAsia" w:ascii="仿宋" w:hAnsi="仿宋" w:eastAsia="仿宋" w:cs="仿宋"/>
              <w:bCs w:val="0"/>
              <w:sz w:val="24"/>
              <w:szCs w:val="24"/>
              <w:highlight w:val="none"/>
            </w:rPr>
            <w:t>五、主要经验及做法、存在的问题及原因分析</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_Toc20071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shd w:val="clear"/>
            <w:tabs>
              <w:tab w:val="right" w:leader="dot" w:pos="8312"/>
            </w:tabs>
            <w:ind w:firstLine="480"/>
            <w:rPr>
              <w:rFonts w:ascii="仿宋" w:hAnsi="仿宋" w:eastAsia="仿宋" w:cs="仿宋"/>
              <w:sz w:val="24"/>
              <w:szCs w:val="24"/>
              <w:highlight w:val="none"/>
            </w:rPr>
          </w:pPr>
          <w:r>
            <w:rPr>
              <w:highlight w:val="none"/>
            </w:rPr>
            <w:fldChar w:fldCharType="begin"/>
          </w:r>
          <w:r>
            <w:rPr>
              <w:highlight w:val="none"/>
            </w:rPr>
            <w:instrText xml:space="preserve"> HYPERLINK \l "_Toc30454" </w:instrText>
          </w:r>
          <w:r>
            <w:rPr>
              <w:highlight w:val="none"/>
            </w:rPr>
            <w:fldChar w:fldCharType="separate"/>
          </w:r>
          <w:r>
            <w:rPr>
              <w:rFonts w:hint="eastAsia" w:ascii="仿宋" w:hAnsi="仿宋" w:eastAsia="仿宋" w:cs="仿宋"/>
              <w:bCs/>
              <w:sz w:val="24"/>
              <w:szCs w:val="24"/>
              <w:highlight w:val="none"/>
            </w:rPr>
            <w:t>（一）主要经验及做法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_Toc30454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shd w:val="clear"/>
            <w:tabs>
              <w:tab w:val="right" w:leader="dot" w:pos="8312"/>
            </w:tabs>
            <w:ind w:firstLine="480"/>
            <w:rPr>
              <w:rFonts w:ascii="仿宋" w:hAnsi="仿宋" w:eastAsia="仿宋" w:cs="仿宋"/>
              <w:sz w:val="24"/>
              <w:szCs w:val="24"/>
              <w:highlight w:val="none"/>
            </w:rPr>
          </w:pPr>
          <w:r>
            <w:rPr>
              <w:highlight w:val="none"/>
            </w:rPr>
            <w:fldChar w:fldCharType="begin"/>
          </w:r>
          <w:r>
            <w:rPr>
              <w:highlight w:val="none"/>
            </w:rPr>
            <w:instrText xml:space="preserve"> HYPERLINK \l "_Toc8486" </w:instrText>
          </w:r>
          <w:r>
            <w:rPr>
              <w:highlight w:val="none"/>
            </w:rPr>
            <w:fldChar w:fldCharType="separate"/>
          </w:r>
          <w:r>
            <w:rPr>
              <w:rFonts w:hint="eastAsia" w:ascii="仿宋" w:hAnsi="仿宋" w:eastAsia="仿宋" w:cs="仿宋"/>
              <w:bCs/>
              <w:sz w:val="24"/>
              <w:szCs w:val="24"/>
              <w:highlight w:val="none"/>
            </w:rPr>
            <w:t>（二）存在的问题及原因分析</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_Toc8486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3"/>
            <w:shd w:val="clear"/>
            <w:tabs>
              <w:tab w:val="right" w:leader="dot" w:pos="8312"/>
            </w:tabs>
            <w:spacing w:line="300" w:lineRule="exact"/>
            <w:ind w:firstLine="482"/>
            <w:rPr>
              <w:rFonts w:ascii="仿宋" w:hAnsi="仿宋" w:eastAsia="仿宋" w:cs="仿宋"/>
              <w:sz w:val="24"/>
              <w:szCs w:val="24"/>
              <w:highlight w:val="none"/>
            </w:rPr>
          </w:pPr>
          <w:r>
            <w:rPr>
              <w:highlight w:val="none"/>
            </w:rPr>
            <w:fldChar w:fldCharType="begin"/>
          </w:r>
          <w:r>
            <w:rPr>
              <w:highlight w:val="none"/>
            </w:rPr>
            <w:instrText xml:space="preserve"> HYPERLINK \l "_Toc27434" </w:instrText>
          </w:r>
          <w:r>
            <w:rPr>
              <w:highlight w:val="none"/>
            </w:rPr>
            <w:fldChar w:fldCharType="separate"/>
          </w:r>
          <w:r>
            <w:rPr>
              <w:rFonts w:hint="eastAsia" w:ascii="仿宋" w:hAnsi="仿宋" w:eastAsia="仿宋" w:cs="仿宋"/>
              <w:bCs w:val="0"/>
              <w:sz w:val="24"/>
              <w:szCs w:val="24"/>
              <w:highlight w:val="none"/>
            </w:rPr>
            <w:t>六、管理建议</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_Toc27434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3"/>
            <w:shd w:val="clear"/>
            <w:tabs>
              <w:tab w:val="right" w:leader="dot" w:pos="8312"/>
            </w:tabs>
            <w:spacing w:line="300" w:lineRule="exact"/>
            <w:ind w:firstLine="482"/>
            <w:rPr>
              <w:rFonts w:ascii="仿宋" w:hAnsi="仿宋" w:eastAsia="仿宋" w:cs="仿宋"/>
              <w:sz w:val="24"/>
              <w:szCs w:val="24"/>
              <w:highlight w:val="none"/>
            </w:rPr>
          </w:pPr>
          <w:r>
            <w:rPr>
              <w:highlight w:val="none"/>
            </w:rPr>
            <w:fldChar w:fldCharType="begin"/>
          </w:r>
          <w:r>
            <w:rPr>
              <w:highlight w:val="none"/>
            </w:rPr>
            <w:instrText xml:space="preserve"> HYPERLINK \l "_Toc22232" </w:instrText>
          </w:r>
          <w:r>
            <w:rPr>
              <w:highlight w:val="none"/>
            </w:rPr>
            <w:fldChar w:fldCharType="separate"/>
          </w:r>
          <w:r>
            <w:rPr>
              <w:rFonts w:hint="eastAsia" w:ascii="仿宋" w:hAnsi="仿宋" w:eastAsia="仿宋" w:cs="仿宋"/>
              <w:bCs w:val="0"/>
              <w:sz w:val="24"/>
              <w:szCs w:val="24"/>
              <w:highlight w:val="none"/>
            </w:rPr>
            <w:t>七、其他需说明的问题</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_Toc22232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shd w:val="clear"/>
            <w:tabs>
              <w:tab w:val="right" w:leader="dot" w:pos="8312"/>
            </w:tabs>
            <w:ind w:firstLine="480"/>
            <w:rPr>
              <w:rFonts w:ascii="仿宋" w:hAnsi="仿宋" w:eastAsia="仿宋" w:cs="仿宋"/>
              <w:sz w:val="24"/>
              <w:szCs w:val="24"/>
              <w:highlight w:val="none"/>
            </w:rPr>
          </w:pPr>
          <w:r>
            <w:rPr>
              <w:highlight w:val="none"/>
            </w:rPr>
            <w:fldChar w:fldCharType="begin"/>
          </w:r>
          <w:r>
            <w:rPr>
              <w:highlight w:val="none"/>
            </w:rPr>
            <w:instrText xml:space="preserve"> HYPERLINK \l "_Toc16716" </w:instrText>
          </w:r>
          <w:r>
            <w:rPr>
              <w:highlight w:val="none"/>
            </w:rPr>
            <w:fldChar w:fldCharType="separate"/>
          </w:r>
          <w:r>
            <w:rPr>
              <w:rFonts w:hint="eastAsia" w:ascii="仿宋" w:hAnsi="仿宋" w:eastAsia="仿宋" w:cs="仿宋"/>
              <w:bCs/>
              <w:sz w:val="24"/>
              <w:szCs w:val="24"/>
              <w:highlight w:val="none"/>
            </w:rPr>
            <w:t>（一）关于评价责任的说明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_Toc16716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shd w:val="clear"/>
            <w:tabs>
              <w:tab w:val="right" w:leader="dot" w:pos="8312"/>
            </w:tabs>
            <w:ind w:firstLine="480"/>
            <w:rPr>
              <w:rFonts w:ascii="仿宋" w:hAnsi="仿宋" w:eastAsia="仿宋" w:cs="仿宋"/>
              <w:sz w:val="24"/>
              <w:szCs w:val="24"/>
              <w:highlight w:val="none"/>
            </w:rPr>
          </w:pPr>
          <w:r>
            <w:rPr>
              <w:highlight w:val="none"/>
            </w:rPr>
            <w:fldChar w:fldCharType="begin"/>
          </w:r>
          <w:r>
            <w:rPr>
              <w:highlight w:val="none"/>
            </w:rPr>
            <w:instrText xml:space="preserve"> HYPERLINK \l "_Toc9557" </w:instrText>
          </w:r>
          <w:r>
            <w:rPr>
              <w:highlight w:val="none"/>
            </w:rPr>
            <w:fldChar w:fldCharType="separate"/>
          </w:r>
          <w:r>
            <w:rPr>
              <w:rFonts w:hint="eastAsia" w:ascii="仿宋" w:hAnsi="仿宋" w:eastAsia="仿宋" w:cs="仿宋"/>
              <w:bCs/>
              <w:sz w:val="24"/>
              <w:szCs w:val="24"/>
              <w:highlight w:val="none"/>
            </w:rPr>
            <w:t>（二）关于本项目评价中存在的局限性的说明</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_Toc9557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shd w:val="clear"/>
            <w:tabs>
              <w:tab w:val="right" w:leader="dot" w:pos="8306"/>
            </w:tabs>
            <w:ind w:firstLine="0" w:firstLineChars="0"/>
            <w:outlineLvl w:val="0"/>
            <w:rPr>
              <w:rFonts w:ascii="仿宋" w:hAnsi="仿宋" w:eastAsia="仿宋" w:cs="仿宋"/>
              <w:sz w:val="24"/>
              <w:szCs w:val="24"/>
              <w:highlight w:val="none"/>
            </w:rPr>
          </w:pPr>
          <w:r>
            <w:rPr>
              <w:rFonts w:hint="eastAsia" w:ascii="仿宋" w:hAnsi="仿宋" w:eastAsia="仿宋" w:cs="仿宋"/>
              <w:bCs/>
              <w:sz w:val="24"/>
              <w:szCs w:val="24"/>
              <w:highlight w:val="none"/>
            </w:rPr>
            <w:fldChar w:fldCharType="end"/>
          </w:r>
        </w:p>
      </w:sdtContent>
    </w:sdt>
    <w:p>
      <w:pPr>
        <w:shd w:val="clear"/>
        <w:spacing w:line="340" w:lineRule="exact"/>
        <w:ind w:firstLine="0" w:firstLineChars="0"/>
        <w:jc w:val="center"/>
        <w:outlineLvl w:val="0"/>
        <w:rPr>
          <w:rFonts w:ascii="仿宋" w:hAnsi="仿宋" w:eastAsia="仿宋" w:cs="仿宋"/>
          <w:b/>
          <w:bCs/>
          <w:color w:val="000000" w:themeColor="text1"/>
          <w:sz w:val="28"/>
          <w:szCs w:val="28"/>
          <w:highlight w:val="none"/>
        </w:rPr>
      </w:pPr>
      <w:bookmarkStart w:id="0" w:name="_Toc12056"/>
      <w:r>
        <w:rPr>
          <w:rFonts w:hint="eastAsia" w:ascii="仿宋" w:hAnsi="仿宋" w:eastAsia="仿宋" w:cs="仿宋"/>
          <w:b/>
          <w:bCs/>
          <w:color w:val="000000" w:themeColor="text1"/>
          <w:sz w:val="28"/>
          <w:szCs w:val="28"/>
          <w:highlight w:val="none"/>
        </w:rPr>
        <w:t>摘  要</w:t>
      </w:r>
      <w:bookmarkEnd w:id="0"/>
    </w:p>
    <w:p>
      <w:pPr>
        <w:pStyle w:val="33"/>
        <w:shd w:val="clear"/>
        <w:ind w:left="482" w:hanging="482" w:hangingChars="200"/>
        <w:jc w:val="left"/>
        <w:rPr>
          <w:rFonts w:ascii="仿宋" w:hAnsi="仿宋" w:eastAsia="仿宋" w:cs="仿宋"/>
          <w:b/>
          <w:highlight w:val="none"/>
        </w:rPr>
      </w:pPr>
      <w:r>
        <w:rPr>
          <w:rFonts w:hint="eastAsia" w:ascii="仿宋" w:hAnsi="仿宋" w:eastAsia="仿宋" w:cs="仿宋"/>
          <w:b/>
          <w:highlight w:val="none"/>
        </w:rPr>
        <w:t>一、项目名称：武汉市武昌区卫生健康局2019年度“大医院专家坐诊”项目绩效评价报告</w:t>
      </w:r>
    </w:p>
    <w:p>
      <w:pPr>
        <w:pStyle w:val="33"/>
        <w:shd w:val="clear"/>
        <w:ind w:firstLine="0" w:firstLineChars="0"/>
        <w:jc w:val="left"/>
        <w:rPr>
          <w:rFonts w:ascii="仿宋" w:hAnsi="仿宋" w:eastAsia="仿宋" w:cs="仿宋"/>
          <w:b/>
          <w:highlight w:val="none"/>
        </w:rPr>
      </w:pPr>
      <w:r>
        <w:rPr>
          <w:rFonts w:hint="eastAsia" w:ascii="仿宋" w:hAnsi="仿宋" w:eastAsia="仿宋" w:cs="仿宋"/>
          <w:b/>
          <w:highlight w:val="none"/>
        </w:rPr>
        <w:t>二、项目金额：226.00万元</w:t>
      </w:r>
    </w:p>
    <w:p>
      <w:pPr>
        <w:shd w:val="clear"/>
        <w:ind w:firstLine="0" w:firstLineChars="0"/>
        <w:jc w:val="left"/>
        <w:rPr>
          <w:rFonts w:ascii="仿宋" w:hAnsi="仿宋" w:eastAsia="仿宋" w:cs="仿宋"/>
          <w:b/>
          <w:highlight w:val="none"/>
        </w:rPr>
      </w:pPr>
      <w:r>
        <w:rPr>
          <w:rFonts w:hint="eastAsia" w:ascii="仿宋" w:hAnsi="仿宋" w:eastAsia="仿宋" w:cs="仿宋"/>
          <w:b/>
          <w:highlight w:val="none"/>
        </w:rPr>
        <w:t>三、绩效评价结果</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bottom w:val="single" w:color="008000" w:sz="6" w:space="0"/>
            </w:tcBorders>
            <w:vAlign w:val="center"/>
          </w:tcPr>
          <w:p>
            <w:pPr>
              <w:shd w:val="clear"/>
              <w:ind w:firstLine="480"/>
              <w:rPr>
                <w:rFonts w:ascii="仿宋" w:hAnsi="仿宋" w:eastAsia="仿宋" w:cs="仿宋"/>
                <w:highlight w:val="none"/>
              </w:rPr>
            </w:pPr>
            <w:r>
              <w:rPr>
                <w:rFonts w:hint="eastAsia" w:ascii="仿宋" w:hAnsi="仿宋" w:eastAsia="仿宋" w:cs="仿宋"/>
                <w:highlight w:val="none"/>
              </w:rPr>
              <w:t>评价准则</w:t>
            </w:r>
          </w:p>
        </w:tc>
        <w:tc>
          <w:tcPr>
            <w:tcW w:w="2126" w:type="dxa"/>
            <w:tcBorders>
              <w:bottom w:val="single" w:color="008000" w:sz="6" w:space="0"/>
            </w:tcBorders>
            <w:vAlign w:val="center"/>
          </w:tcPr>
          <w:p>
            <w:pPr>
              <w:shd w:val="clear"/>
              <w:ind w:firstLine="480"/>
              <w:rPr>
                <w:rFonts w:ascii="仿宋" w:hAnsi="仿宋" w:eastAsia="仿宋" w:cs="仿宋"/>
                <w:highlight w:val="none"/>
              </w:rPr>
            </w:pPr>
            <w:r>
              <w:rPr>
                <w:rFonts w:hint="eastAsia" w:ascii="仿宋" w:hAnsi="仿宋" w:eastAsia="仿宋" w:cs="仿宋"/>
                <w:highlight w:val="none"/>
              </w:rPr>
              <w:t>准则分值</w:t>
            </w:r>
          </w:p>
        </w:tc>
        <w:tc>
          <w:tcPr>
            <w:tcW w:w="2268" w:type="dxa"/>
            <w:tcBorders>
              <w:bottom w:val="single" w:color="008000" w:sz="6" w:space="0"/>
            </w:tcBorders>
            <w:vAlign w:val="center"/>
          </w:tcPr>
          <w:p>
            <w:pPr>
              <w:shd w:val="clear"/>
              <w:ind w:left="183" w:firstLine="480"/>
              <w:rPr>
                <w:rFonts w:ascii="仿宋" w:hAnsi="仿宋" w:eastAsia="仿宋" w:cs="仿宋"/>
                <w:highlight w:val="none"/>
              </w:rPr>
            </w:pPr>
            <w:r>
              <w:rPr>
                <w:rFonts w:hint="eastAsia" w:ascii="仿宋" w:hAnsi="仿宋" w:eastAsia="仿宋" w:cs="仿宋"/>
                <w:highlight w:val="none"/>
              </w:rPr>
              <w:t>评价得分</w:t>
            </w:r>
          </w:p>
        </w:tc>
        <w:tc>
          <w:tcPr>
            <w:tcW w:w="2126" w:type="dxa"/>
            <w:tcBorders>
              <w:bottom w:val="single" w:color="008000" w:sz="6" w:space="0"/>
            </w:tcBorders>
            <w:vAlign w:val="center"/>
          </w:tcPr>
          <w:p>
            <w:pPr>
              <w:shd w:val="clear"/>
              <w:ind w:firstLine="480"/>
              <w:rPr>
                <w:rFonts w:ascii="仿宋" w:hAnsi="仿宋" w:eastAsia="仿宋" w:cs="仿宋"/>
                <w:highlight w:val="none"/>
              </w:rPr>
            </w:pPr>
            <w:r>
              <w:rPr>
                <w:rFonts w:hint="eastAsia" w:ascii="仿宋" w:hAnsi="仿宋" w:eastAsia="仿宋" w:cs="仿宋"/>
                <w:highlight w:val="none"/>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shd w:val="clear"/>
              <w:ind w:firstLine="480"/>
              <w:jc w:val="left"/>
              <w:rPr>
                <w:rFonts w:ascii="仿宋" w:hAnsi="仿宋" w:eastAsia="仿宋" w:cs="仿宋"/>
                <w:highlight w:val="none"/>
              </w:rPr>
            </w:pPr>
            <w:r>
              <w:rPr>
                <w:rFonts w:hint="eastAsia" w:ascii="仿宋" w:hAnsi="仿宋" w:eastAsia="仿宋" w:cs="仿宋"/>
                <w:highlight w:val="none"/>
              </w:rPr>
              <w:t>项目决策</w:t>
            </w:r>
          </w:p>
        </w:tc>
        <w:tc>
          <w:tcPr>
            <w:tcW w:w="2126" w:type="dxa"/>
            <w:vAlign w:val="center"/>
          </w:tcPr>
          <w:p>
            <w:pPr>
              <w:shd w:val="clear"/>
              <w:ind w:firstLine="0" w:firstLineChars="0"/>
              <w:jc w:val="center"/>
              <w:rPr>
                <w:rFonts w:ascii="仿宋" w:hAnsi="仿宋" w:eastAsia="仿宋" w:cs="仿宋"/>
                <w:highlight w:val="none"/>
              </w:rPr>
            </w:pPr>
            <w:r>
              <w:rPr>
                <w:rFonts w:hint="eastAsia" w:ascii="仿宋" w:hAnsi="仿宋" w:eastAsia="仿宋" w:cs="仿宋"/>
                <w:highlight w:val="none"/>
              </w:rPr>
              <w:t>15分</w:t>
            </w:r>
          </w:p>
        </w:tc>
        <w:tc>
          <w:tcPr>
            <w:tcW w:w="2268" w:type="dxa"/>
            <w:vAlign w:val="center"/>
          </w:tcPr>
          <w:p>
            <w:pPr>
              <w:shd w:val="clear"/>
              <w:ind w:firstLine="0" w:firstLineChars="0"/>
              <w:jc w:val="center"/>
              <w:rPr>
                <w:rFonts w:ascii="仿宋" w:hAnsi="仿宋" w:eastAsia="仿宋" w:cs="仿宋"/>
                <w:highlight w:val="none"/>
              </w:rPr>
            </w:pPr>
            <w:r>
              <w:rPr>
                <w:rFonts w:hint="eastAsia" w:ascii="仿宋" w:hAnsi="仿宋" w:eastAsia="仿宋" w:cs="仿宋"/>
                <w:highlight w:val="none"/>
                <w:lang w:val="en-US" w:eastAsia="zh-CN"/>
              </w:rPr>
              <w:t>10</w:t>
            </w:r>
            <w:r>
              <w:rPr>
                <w:rFonts w:hint="eastAsia" w:ascii="仿宋" w:hAnsi="仿宋" w:eastAsia="仿宋" w:cs="仿宋"/>
                <w:highlight w:val="none"/>
              </w:rPr>
              <w:t>分</w:t>
            </w:r>
          </w:p>
        </w:tc>
        <w:tc>
          <w:tcPr>
            <w:tcW w:w="2126" w:type="dxa"/>
            <w:vAlign w:val="center"/>
          </w:tcPr>
          <w:p>
            <w:pPr>
              <w:shd w:val="clear"/>
              <w:ind w:firstLine="796" w:firstLineChars="332"/>
              <w:rPr>
                <w:rFonts w:hint="eastAsia" w:ascii="仿宋" w:hAnsi="仿宋" w:eastAsia="仿宋" w:cs="仿宋"/>
                <w:highlight w:val="none"/>
                <w:lang w:eastAsia="zh-CN"/>
              </w:rPr>
            </w:pPr>
            <w:r>
              <w:rPr>
                <w:rFonts w:hint="eastAsia" w:ascii="仿宋" w:hAnsi="仿宋" w:eastAsia="仿宋" w:cs="仿宋"/>
                <w:highlight w:val="none"/>
                <w:lang w:val="en-US" w:eastAsia="zh-CN"/>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shd w:val="clear"/>
              <w:ind w:firstLine="480"/>
              <w:jc w:val="left"/>
              <w:rPr>
                <w:rFonts w:ascii="仿宋" w:hAnsi="仿宋" w:eastAsia="仿宋" w:cs="仿宋"/>
                <w:highlight w:val="none"/>
              </w:rPr>
            </w:pPr>
            <w:r>
              <w:rPr>
                <w:rFonts w:hint="eastAsia" w:ascii="仿宋" w:hAnsi="仿宋" w:eastAsia="仿宋" w:cs="仿宋"/>
                <w:highlight w:val="none"/>
              </w:rPr>
              <w:t>项目过程</w:t>
            </w:r>
          </w:p>
        </w:tc>
        <w:tc>
          <w:tcPr>
            <w:tcW w:w="2126" w:type="dxa"/>
            <w:vAlign w:val="center"/>
          </w:tcPr>
          <w:p>
            <w:pPr>
              <w:shd w:val="clear"/>
              <w:ind w:firstLine="0" w:firstLineChars="0"/>
              <w:jc w:val="center"/>
              <w:rPr>
                <w:rFonts w:ascii="仿宋" w:hAnsi="仿宋" w:eastAsia="仿宋" w:cs="仿宋"/>
                <w:highlight w:val="none"/>
              </w:rPr>
            </w:pPr>
            <w:r>
              <w:rPr>
                <w:rFonts w:hint="eastAsia" w:ascii="仿宋" w:hAnsi="仿宋" w:eastAsia="仿宋" w:cs="仿宋"/>
                <w:highlight w:val="none"/>
              </w:rPr>
              <w:t>23分</w:t>
            </w:r>
          </w:p>
        </w:tc>
        <w:tc>
          <w:tcPr>
            <w:tcW w:w="2268" w:type="dxa"/>
            <w:vAlign w:val="center"/>
          </w:tcPr>
          <w:p>
            <w:pPr>
              <w:shd w:val="clear"/>
              <w:ind w:firstLine="0" w:firstLineChars="0"/>
              <w:jc w:val="center"/>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9</w:t>
            </w:r>
            <w:r>
              <w:rPr>
                <w:rFonts w:hint="eastAsia" w:ascii="仿宋" w:hAnsi="仿宋" w:eastAsia="仿宋" w:cs="仿宋"/>
                <w:highlight w:val="none"/>
              </w:rPr>
              <w:t>分</w:t>
            </w:r>
          </w:p>
        </w:tc>
        <w:tc>
          <w:tcPr>
            <w:tcW w:w="2126" w:type="dxa"/>
            <w:vAlign w:val="center"/>
          </w:tcPr>
          <w:p>
            <w:pPr>
              <w:shd w:val="clear"/>
              <w:ind w:firstLine="796" w:firstLineChars="332"/>
              <w:rPr>
                <w:rFonts w:hint="default" w:ascii="仿宋" w:hAnsi="仿宋" w:eastAsia="仿宋" w:cs="仿宋"/>
                <w:highlight w:val="none"/>
                <w:lang w:val="en-US" w:eastAsia="zh-CN"/>
              </w:rPr>
            </w:pPr>
            <w:r>
              <w:rPr>
                <w:rFonts w:hint="eastAsia" w:ascii="仿宋" w:hAnsi="仿宋" w:eastAsia="仿宋" w:cs="仿宋"/>
                <w:highlight w:val="none"/>
                <w:lang w:val="en-US"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shd w:val="clear"/>
              <w:ind w:firstLine="480"/>
              <w:jc w:val="left"/>
              <w:rPr>
                <w:rFonts w:ascii="仿宋" w:hAnsi="仿宋" w:eastAsia="仿宋" w:cs="仿宋"/>
                <w:highlight w:val="none"/>
              </w:rPr>
            </w:pPr>
            <w:r>
              <w:rPr>
                <w:rFonts w:hint="eastAsia" w:ascii="仿宋" w:hAnsi="仿宋" w:eastAsia="仿宋" w:cs="仿宋"/>
                <w:highlight w:val="none"/>
              </w:rPr>
              <w:t>项目产出</w:t>
            </w:r>
          </w:p>
        </w:tc>
        <w:tc>
          <w:tcPr>
            <w:tcW w:w="2126" w:type="dxa"/>
            <w:vAlign w:val="center"/>
          </w:tcPr>
          <w:p>
            <w:pPr>
              <w:shd w:val="clear"/>
              <w:ind w:firstLine="0" w:firstLineChars="0"/>
              <w:jc w:val="center"/>
              <w:textAlignment w:val="top"/>
              <w:rPr>
                <w:rFonts w:ascii="仿宋" w:hAnsi="仿宋" w:eastAsia="仿宋" w:cs="仿宋"/>
                <w:highlight w:val="none"/>
              </w:rPr>
            </w:pPr>
            <w:r>
              <w:rPr>
                <w:rFonts w:hint="eastAsia" w:ascii="仿宋" w:hAnsi="仿宋" w:eastAsia="仿宋" w:cs="仿宋"/>
                <w:highlight w:val="none"/>
              </w:rPr>
              <w:t>48分</w:t>
            </w:r>
          </w:p>
        </w:tc>
        <w:tc>
          <w:tcPr>
            <w:tcW w:w="2268" w:type="dxa"/>
            <w:vAlign w:val="center"/>
          </w:tcPr>
          <w:p>
            <w:pPr>
              <w:shd w:val="clear"/>
              <w:ind w:firstLine="0" w:firstLineChars="0"/>
              <w:jc w:val="center"/>
              <w:textAlignment w:val="top"/>
              <w:rPr>
                <w:rFonts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4.8</w:t>
            </w:r>
            <w:r>
              <w:rPr>
                <w:rFonts w:hint="eastAsia" w:ascii="仿宋" w:hAnsi="仿宋" w:eastAsia="仿宋" w:cs="仿宋"/>
                <w:highlight w:val="none"/>
              </w:rPr>
              <w:t>分</w:t>
            </w:r>
          </w:p>
        </w:tc>
        <w:tc>
          <w:tcPr>
            <w:tcW w:w="2126" w:type="dxa"/>
            <w:vAlign w:val="center"/>
          </w:tcPr>
          <w:p>
            <w:pPr>
              <w:shd w:val="clear"/>
              <w:ind w:firstLine="796" w:firstLineChars="332"/>
              <w:textAlignment w:val="top"/>
              <w:rPr>
                <w:rFonts w:ascii="仿宋" w:hAnsi="仿宋" w:eastAsia="仿宋" w:cs="仿宋"/>
                <w:highlight w:val="none"/>
              </w:rPr>
            </w:pPr>
            <w:r>
              <w:rPr>
                <w:rFonts w:hint="eastAsia" w:ascii="仿宋" w:hAnsi="仿宋" w:eastAsia="仿宋" w:cs="仿宋"/>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tcBorders>
            <w:vAlign w:val="center"/>
          </w:tcPr>
          <w:p>
            <w:pPr>
              <w:shd w:val="clear"/>
              <w:ind w:firstLine="480"/>
              <w:jc w:val="left"/>
              <w:rPr>
                <w:rFonts w:ascii="仿宋" w:hAnsi="仿宋" w:eastAsia="仿宋" w:cs="仿宋"/>
                <w:highlight w:val="none"/>
              </w:rPr>
            </w:pPr>
            <w:r>
              <w:rPr>
                <w:rFonts w:hint="eastAsia" w:ascii="仿宋" w:hAnsi="仿宋" w:eastAsia="仿宋" w:cs="仿宋"/>
                <w:highlight w:val="none"/>
              </w:rPr>
              <w:t>项目效益</w:t>
            </w:r>
          </w:p>
        </w:tc>
        <w:tc>
          <w:tcPr>
            <w:tcW w:w="2126" w:type="dxa"/>
            <w:tcBorders>
              <w:top w:val="single" w:color="008000" w:sz="6" w:space="0"/>
            </w:tcBorders>
            <w:vAlign w:val="center"/>
          </w:tcPr>
          <w:p>
            <w:pPr>
              <w:shd w:val="clear"/>
              <w:ind w:firstLine="0" w:firstLineChars="0"/>
              <w:jc w:val="center"/>
              <w:rPr>
                <w:rFonts w:ascii="仿宋" w:hAnsi="仿宋" w:eastAsia="仿宋" w:cs="仿宋"/>
                <w:highlight w:val="none"/>
              </w:rPr>
            </w:pPr>
            <w:r>
              <w:rPr>
                <w:rFonts w:hint="eastAsia" w:ascii="仿宋" w:hAnsi="仿宋" w:eastAsia="仿宋" w:cs="仿宋"/>
                <w:highlight w:val="none"/>
              </w:rPr>
              <w:t>14分</w:t>
            </w:r>
          </w:p>
        </w:tc>
        <w:tc>
          <w:tcPr>
            <w:tcW w:w="2268" w:type="dxa"/>
            <w:tcBorders>
              <w:top w:val="single" w:color="008000" w:sz="6" w:space="0"/>
            </w:tcBorders>
            <w:vAlign w:val="center"/>
          </w:tcPr>
          <w:p>
            <w:pPr>
              <w:shd w:val="clear"/>
              <w:ind w:firstLine="0" w:firstLineChars="0"/>
              <w:jc w:val="center"/>
              <w:rPr>
                <w:rFonts w:ascii="仿宋" w:hAnsi="仿宋" w:eastAsia="仿宋" w:cs="仿宋"/>
                <w:highlight w:val="none"/>
              </w:rPr>
            </w:pPr>
            <w:r>
              <w:rPr>
                <w:rFonts w:hint="eastAsia" w:ascii="仿宋" w:hAnsi="仿宋" w:eastAsia="仿宋" w:cs="仿宋"/>
                <w:highlight w:val="none"/>
              </w:rPr>
              <w:t>12分</w:t>
            </w:r>
          </w:p>
        </w:tc>
        <w:tc>
          <w:tcPr>
            <w:tcW w:w="2126" w:type="dxa"/>
            <w:tcBorders>
              <w:top w:val="single" w:color="008000" w:sz="6" w:space="0"/>
            </w:tcBorders>
            <w:vAlign w:val="center"/>
          </w:tcPr>
          <w:p>
            <w:pPr>
              <w:shd w:val="clear"/>
              <w:ind w:firstLine="796" w:firstLineChars="332"/>
              <w:rPr>
                <w:rFonts w:ascii="仿宋" w:hAnsi="仿宋" w:eastAsia="仿宋" w:cs="仿宋"/>
                <w:highlight w:val="none"/>
              </w:rPr>
            </w:pPr>
            <w:r>
              <w:rPr>
                <w:rFonts w:hint="eastAsia" w:ascii="仿宋" w:hAnsi="仿宋" w:eastAsia="仿宋" w:cs="仿宋"/>
                <w:highlight w:val="none"/>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tcBorders>
            <w:vAlign w:val="center"/>
          </w:tcPr>
          <w:p>
            <w:pPr>
              <w:shd w:val="clear"/>
              <w:ind w:firstLine="482"/>
              <w:jc w:val="left"/>
              <w:rPr>
                <w:rFonts w:ascii="仿宋" w:hAnsi="仿宋" w:eastAsia="仿宋" w:cs="仿宋"/>
                <w:b/>
                <w:bCs/>
                <w:highlight w:val="none"/>
              </w:rPr>
            </w:pPr>
            <w:r>
              <w:rPr>
                <w:rFonts w:hint="eastAsia" w:ascii="仿宋" w:hAnsi="仿宋" w:eastAsia="仿宋" w:cs="仿宋"/>
                <w:b/>
                <w:bCs/>
                <w:highlight w:val="none"/>
              </w:rPr>
              <w:t>综合绩效</w:t>
            </w:r>
          </w:p>
        </w:tc>
        <w:tc>
          <w:tcPr>
            <w:tcW w:w="2126" w:type="dxa"/>
            <w:tcBorders>
              <w:top w:val="single" w:color="008000" w:sz="6" w:space="0"/>
            </w:tcBorders>
            <w:vAlign w:val="center"/>
          </w:tcPr>
          <w:p>
            <w:pPr>
              <w:shd w:val="clear"/>
              <w:ind w:firstLine="0" w:firstLineChars="0"/>
              <w:jc w:val="center"/>
              <w:rPr>
                <w:rFonts w:ascii="仿宋" w:hAnsi="仿宋" w:eastAsia="仿宋" w:cs="仿宋"/>
                <w:b/>
                <w:bCs/>
                <w:highlight w:val="none"/>
              </w:rPr>
            </w:pPr>
            <w:r>
              <w:rPr>
                <w:rFonts w:hint="eastAsia" w:ascii="仿宋" w:hAnsi="仿宋" w:eastAsia="仿宋" w:cs="仿宋"/>
                <w:b/>
                <w:bCs/>
                <w:highlight w:val="none"/>
              </w:rPr>
              <w:t>100分</w:t>
            </w:r>
          </w:p>
        </w:tc>
        <w:tc>
          <w:tcPr>
            <w:tcW w:w="2268" w:type="dxa"/>
            <w:tcBorders>
              <w:top w:val="single" w:color="008000" w:sz="6" w:space="0"/>
            </w:tcBorders>
            <w:vAlign w:val="center"/>
          </w:tcPr>
          <w:p>
            <w:pPr>
              <w:shd w:val="clear"/>
              <w:ind w:firstLine="0" w:firstLineChars="0"/>
              <w:jc w:val="center"/>
              <w:rPr>
                <w:rFonts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5</w:t>
            </w:r>
            <w:r>
              <w:rPr>
                <w:rFonts w:hint="eastAsia" w:ascii="仿宋" w:hAnsi="仿宋" w:eastAsia="仿宋" w:cs="仿宋"/>
                <w:b/>
                <w:bCs/>
                <w:highlight w:val="none"/>
                <w:lang w:val="en-US" w:eastAsia="zh-CN"/>
              </w:rPr>
              <w:t>.8</w:t>
            </w:r>
            <w:r>
              <w:rPr>
                <w:rFonts w:hint="eastAsia" w:ascii="仿宋" w:hAnsi="仿宋" w:eastAsia="仿宋" w:cs="仿宋"/>
                <w:b/>
                <w:bCs/>
                <w:highlight w:val="none"/>
              </w:rPr>
              <w:t>分</w:t>
            </w:r>
          </w:p>
        </w:tc>
        <w:tc>
          <w:tcPr>
            <w:tcW w:w="2126" w:type="dxa"/>
            <w:tcBorders>
              <w:top w:val="single" w:color="008000" w:sz="6" w:space="0"/>
            </w:tcBorders>
            <w:vAlign w:val="center"/>
          </w:tcPr>
          <w:p>
            <w:pPr>
              <w:shd w:val="clear"/>
              <w:ind w:firstLine="800" w:firstLineChars="332"/>
              <w:rPr>
                <w:rFonts w:ascii="仿宋" w:hAnsi="仿宋" w:eastAsia="仿宋" w:cs="仿宋"/>
                <w:b/>
                <w:bCs/>
                <w:highlight w:val="none"/>
              </w:rPr>
            </w:pPr>
            <w:r>
              <w:rPr>
                <w:rFonts w:hint="eastAsia" w:ascii="仿宋" w:hAnsi="仿宋" w:eastAsia="仿宋" w:cs="仿宋"/>
                <w:b/>
                <w:bCs/>
                <w:highlight w:val="none"/>
              </w:rPr>
              <w:t>中</w:t>
            </w:r>
          </w:p>
        </w:tc>
      </w:tr>
    </w:tbl>
    <w:p>
      <w:pPr>
        <w:shd w:val="clear"/>
        <w:ind w:firstLine="0" w:firstLineChars="0"/>
        <w:rPr>
          <w:rFonts w:ascii="仿宋" w:hAnsi="仿宋" w:eastAsia="仿宋" w:cs="仿宋"/>
          <w:b/>
          <w:highlight w:val="none"/>
        </w:rPr>
      </w:pPr>
      <w:r>
        <w:rPr>
          <w:rFonts w:hint="eastAsia" w:ascii="仿宋" w:hAnsi="仿宋" w:eastAsia="仿宋" w:cs="仿宋"/>
          <w:b/>
          <w:highlight w:val="none"/>
        </w:rPr>
        <w:t>四、评价工作组组成名单</w:t>
      </w:r>
    </w:p>
    <w:p>
      <w:pPr>
        <w:shd w:val="clear"/>
        <w:ind w:firstLine="480"/>
        <w:rPr>
          <w:rFonts w:ascii="仿宋" w:hAnsi="仿宋" w:eastAsia="仿宋" w:cs="仿宋"/>
          <w:highlight w:val="none"/>
        </w:rPr>
      </w:pPr>
      <w:r>
        <w:rPr>
          <w:rFonts w:hint="eastAsia" w:ascii="仿宋" w:hAnsi="仿宋" w:eastAsia="仿宋" w:cs="仿宋"/>
          <w:highlight w:val="none"/>
        </w:rPr>
        <w:t>评价组负责人：严同华</w:t>
      </w:r>
    </w:p>
    <w:p>
      <w:pPr>
        <w:shd w:val="clear"/>
        <w:ind w:firstLine="480"/>
        <w:rPr>
          <w:rFonts w:ascii="仿宋" w:hAnsi="仿宋" w:eastAsia="仿宋" w:cs="仿宋"/>
          <w:highlight w:val="none"/>
        </w:rPr>
      </w:pPr>
      <w:r>
        <w:rPr>
          <w:rFonts w:hint="eastAsia" w:ascii="仿宋" w:hAnsi="仿宋" w:eastAsia="仿宋" w:cs="仿宋"/>
          <w:highlight w:val="none"/>
        </w:rPr>
        <w:t>复核人员：于淑芳</w:t>
      </w:r>
    </w:p>
    <w:p>
      <w:pPr>
        <w:shd w:val="clear"/>
        <w:ind w:firstLine="480"/>
        <w:rPr>
          <w:rFonts w:ascii="仿宋" w:hAnsi="仿宋" w:eastAsia="仿宋" w:cs="仿宋"/>
          <w:highlight w:val="none"/>
        </w:rPr>
      </w:pPr>
      <w:r>
        <w:rPr>
          <w:rFonts w:hint="eastAsia" w:ascii="仿宋" w:hAnsi="仿宋" w:eastAsia="仿宋" w:cs="仿宋"/>
          <w:highlight w:val="none"/>
        </w:rPr>
        <w:t>主审人员：尹琦</w:t>
      </w:r>
    </w:p>
    <w:p>
      <w:pPr>
        <w:shd w:val="clear"/>
        <w:ind w:firstLine="480"/>
        <w:rPr>
          <w:rFonts w:ascii="仿宋" w:hAnsi="仿宋" w:eastAsia="仿宋" w:cs="仿宋"/>
          <w:highlight w:val="none"/>
        </w:rPr>
      </w:pPr>
      <w:r>
        <w:rPr>
          <w:rFonts w:hint="eastAsia" w:ascii="仿宋" w:hAnsi="仿宋" w:eastAsia="仿宋" w:cs="仿宋"/>
          <w:highlight w:val="none"/>
        </w:rPr>
        <w:t>小组成员：李芳、尹琦</w:t>
      </w:r>
    </w:p>
    <w:p>
      <w:pPr>
        <w:shd w:val="clear"/>
        <w:ind w:firstLine="0" w:firstLineChars="0"/>
        <w:rPr>
          <w:rFonts w:ascii="仿宋" w:hAnsi="仿宋" w:eastAsia="仿宋" w:cs="仿宋"/>
          <w:b/>
          <w:highlight w:val="none"/>
        </w:rPr>
      </w:pPr>
      <w:r>
        <w:rPr>
          <w:rFonts w:hint="eastAsia" w:ascii="仿宋" w:hAnsi="仿宋" w:eastAsia="仿宋" w:cs="仿宋"/>
          <w:b/>
          <w:highlight w:val="none"/>
        </w:rPr>
        <w:t>五、主要评价方法概述</w:t>
      </w:r>
    </w:p>
    <w:p>
      <w:pPr>
        <w:shd w:val="clear"/>
        <w:ind w:firstLine="480"/>
        <w:rPr>
          <w:rFonts w:ascii="仿宋" w:hAnsi="仿宋" w:eastAsia="仿宋" w:cs="仿宋"/>
          <w:highlight w:val="none"/>
        </w:rPr>
      </w:pPr>
      <w:r>
        <w:rPr>
          <w:rFonts w:hint="eastAsia" w:ascii="仿宋" w:hAnsi="仿宋" w:eastAsia="仿宋" w:cs="仿宋"/>
          <w:highlight w:val="none"/>
        </w:rPr>
        <w:t>绩效评价原则应当遵循科学规范、公正公开、分级分类及绩效相关的原则，严格执行规定的程序，按照科学可行的要求，采用定量与定性分析相结合的方法，且符合真实、客观、公正的要求，针对具体支出及其产出绩效进行评价；绩效评价指标是指衡量绩效目标实现程度的考核工具，具体分为共性指标和个性指标；绩效评价方法主要采用成本效益分析法、目标比较法、因素分析法、问卷调查法及其他评价方法等。</w:t>
      </w:r>
    </w:p>
    <w:p>
      <w:pPr>
        <w:shd w:val="clear"/>
        <w:ind w:firstLine="0" w:firstLineChars="0"/>
        <w:rPr>
          <w:rFonts w:ascii="仿宋" w:hAnsi="仿宋" w:eastAsia="仿宋" w:cs="仿宋"/>
          <w:highlight w:val="none"/>
        </w:rPr>
      </w:pPr>
      <w:r>
        <w:rPr>
          <w:rFonts w:hint="eastAsia" w:ascii="仿宋" w:hAnsi="仿宋" w:eastAsia="仿宋" w:cs="仿宋"/>
          <w:b/>
          <w:highlight w:val="none"/>
        </w:rPr>
        <w:t>六、存在的主要问题概述</w:t>
      </w:r>
    </w:p>
    <w:p>
      <w:pPr>
        <w:shd w:val="clear"/>
        <w:ind w:firstLine="480"/>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绩效评价项目决策和过程方面</w:t>
      </w:r>
    </w:p>
    <w:p>
      <w:pPr>
        <w:shd w:val="clear"/>
        <w:ind w:firstLine="480"/>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en-US" w:eastAsia="zh-CN"/>
        </w:rPr>
        <w:t>绩效目标设定不合理。2019年项目申报表中大医院专家坐诊人数设定指标值为34人，而截至2019年11月专家坐诊人数为264人，项目实际执行情况与年初设定绩效目标存在很大差异</w:t>
      </w:r>
      <w:r>
        <w:rPr>
          <w:rFonts w:hint="eastAsia" w:ascii="仿宋" w:hAnsi="仿宋" w:eastAsia="仿宋" w:cs="仿宋"/>
          <w:highlight w:val="none"/>
        </w:rPr>
        <w:t>。</w:t>
      </w:r>
    </w:p>
    <w:p>
      <w:pPr>
        <w:shd w:val="clear"/>
        <w:ind w:firstLine="48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根据《2019年大医院专家坐诊项目申报表》，专家坐诊补贴标准按职称及医院级别分为300元/人/次和500元/人/次，但项目实施单位未制定专家坐诊补贴标准相关政策文件，也未编制项目预算支出明细和测算依据</w:t>
      </w:r>
      <w:r>
        <w:rPr>
          <w:rFonts w:hint="eastAsia" w:ascii="仿宋" w:hAnsi="仿宋" w:eastAsia="仿宋" w:cs="仿宋"/>
          <w:highlight w:val="none"/>
        </w:rPr>
        <w:t>。</w:t>
      </w:r>
    </w:p>
    <w:p>
      <w:pPr>
        <w:shd w:val="clear"/>
        <w:ind w:firstLine="480"/>
        <w:rPr>
          <w:rFonts w:hint="eastAsia" w:ascii="仿宋" w:hAnsi="仿宋" w:eastAsia="仿宋" w:cs="仿宋"/>
          <w:highlight w:val="none"/>
          <w:lang w:val="en-US"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3）该项目未严格按照《武汉市2017年开展医疗联合体建设试点工作实施方案》（武医改办[2017]5号）执行，未签订医联体合作协议，文件中“（一）健全组织管理制度。……各医联体根据章程，拟定医联体合同协议，明确各方责任。”</w:t>
      </w:r>
    </w:p>
    <w:p>
      <w:pPr>
        <w:shd w:val="clear"/>
        <w:ind w:firstLine="480"/>
        <w:rPr>
          <w:rFonts w:hint="default" w:ascii="仿宋" w:hAnsi="仿宋" w:eastAsia="仿宋" w:cs="仿宋"/>
          <w:highlight w:val="none"/>
          <w:lang w:val="en-US" w:eastAsia="zh-CN"/>
        </w:rPr>
      </w:pPr>
      <w:r>
        <w:rPr>
          <w:rFonts w:hint="eastAsia" w:ascii="仿宋" w:hAnsi="仿宋" w:eastAsia="仿宋" w:cs="仿宋"/>
          <w:highlight w:val="none"/>
          <w:lang w:val="en-US" w:eastAsia="zh-CN"/>
        </w:rPr>
        <w:t>2.</w:t>
      </w:r>
      <w:r>
        <w:rPr>
          <w:rFonts w:hint="default" w:ascii="仿宋" w:hAnsi="仿宋" w:eastAsia="仿宋" w:cs="仿宋"/>
          <w:highlight w:val="none"/>
          <w:lang w:val="en-US" w:eastAsia="zh-CN"/>
        </w:rPr>
        <w:t>绩效评价项目产出方面</w:t>
      </w:r>
    </w:p>
    <w:p>
      <w:pPr>
        <w:shd w:val="clear"/>
        <w:ind w:firstLine="480"/>
        <w:rPr>
          <w:rFonts w:hint="default" w:ascii="仿宋" w:hAnsi="仿宋" w:eastAsia="仿宋" w:cs="仿宋"/>
          <w:highlight w:val="none"/>
          <w:lang w:val="en-US" w:eastAsia="zh-CN"/>
        </w:rPr>
      </w:pPr>
      <w:r>
        <w:rPr>
          <w:rFonts w:hint="default" w:ascii="仿宋" w:hAnsi="仿宋" w:eastAsia="仿宋" w:cs="仿宋"/>
          <w:highlight w:val="none"/>
          <w:lang w:val="en-US" w:eastAsia="zh-CN"/>
        </w:rPr>
        <w:t>项目产出中专家坐诊补贴标准达标率、专家坐诊补贴标准执行率等两项指标未完成。根据《2019年大医院专家坐诊项目申报表》，专家坐诊补贴标准按职称及医院级别分为300元/人/次和500元/人/次。根据财务支付资料显示，项目补贴发放标准为坐诊会诊300元/人/次、500元/人/次、驻点半年30000元/人/半年、排班网络接诊20000元/人/年，补贴按照职称及医院级别发放标准未明确界定，部分职称如护士长、护师等发放补贴标准与主任医师、正专家等一样。</w:t>
      </w:r>
    </w:p>
    <w:p>
      <w:pPr>
        <w:shd w:val="clear"/>
        <w:ind w:firstLine="0" w:firstLineChars="0"/>
        <w:rPr>
          <w:rFonts w:ascii="仿宋" w:hAnsi="仿宋" w:eastAsia="仿宋" w:cs="仿宋"/>
          <w:b/>
          <w:highlight w:val="none"/>
        </w:rPr>
      </w:pPr>
      <w:r>
        <w:rPr>
          <w:rFonts w:hint="eastAsia" w:ascii="仿宋" w:hAnsi="仿宋" w:eastAsia="仿宋" w:cs="仿宋"/>
          <w:b/>
          <w:highlight w:val="none"/>
        </w:rPr>
        <w:t>七、管理建议概述</w:t>
      </w:r>
    </w:p>
    <w:p>
      <w:pPr>
        <w:shd w:val="clear"/>
        <w:ind w:firstLine="480"/>
        <w:rPr>
          <w:rFonts w:ascii="仿宋" w:hAnsi="仿宋" w:eastAsia="仿宋" w:cs="仿宋"/>
          <w:highlight w:val="none"/>
        </w:rPr>
      </w:pPr>
      <w:bookmarkStart w:id="1" w:name="_Toc445363911"/>
      <w:bookmarkStart w:id="2" w:name="_Toc6468"/>
      <w:bookmarkStart w:id="3" w:name="_Toc494137716"/>
      <w:r>
        <w:rPr>
          <w:rFonts w:hint="eastAsia" w:ascii="仿宋" w:hAnsi="仿宋" w:eastAsia="仿宋" w:cs="仿宋"/>
          <w:highlight w:val="none"/>
        </w:rPr>
        <w:t>1.应依据《财政支出绩效评价管理办法》（财预[2020]10号），并充分结合项目资金实际使用情况，合理申报当年项目预算和绩效目标，绩效目标应分解可细化、可量化，能够清晰衡量，最大限度的发挥财政资金的使用效益，以便于项目绩效评价工作的开展。</w:t>
      </w:r>
    </w:p>
    <w:p>
      <w:pPr>
        <w:shd w:val="clear"/>
        <w:ind w:firstLine="480"/>
        <w:rPr>
          <w:rFonts w:ascii="仿宋" w:hAnsi="仿宋" w:eastAsia="仿宋" w:cs="仿宋"/>
          <w:highlight w:val="none"/>
        </w:rPr>
      </w:pPr>
      <w:r>
        <w:rPr>
          <w:rFonts w:hint="eastAsia" w:ascii="仿宋" w:hAnsi="仿宋" w:eastAsia="仿宋" w:cs="仿宋"/>
          <w:highlight w:val="none"/>
        </w:rPr>
        <w:t>2.完善项目财务制度等管理制度建设，加强项目财务管理工作，制定项目专项财务及资金管理办法，明确财务管理、资金分配办法，制定大医院专家坐诊补贴标准政策文件。</w:t>
      </w:r>
    </w:p>
    <w:p>
      <w:pPr>
        <w:shd w:val="clear"/>
        <w:ind w:firstLine="0" w:firstLineChars="0"/>
        <w:rPr>
          <w:rFonts w:ascii="仿宋" w:hAnsi="仿宋" w:eastAsia="仿宋" w:cs="仿宋"/>
          <w:color w:val="000000" w:themeColor="text1"/>
          <w:sz w:val="28"/>
          <w:szCs w:val="28"/>
          <w:highlight w:val="none"/>
        </w:rPr>
      </w:pPr>
    </w:p>
    <w:p>
      <w:pPr>
        <w:shd w:val="clear"/>
        <w:ind w:firstLine="0" w:firstLineChars="0"/>
        <w:rPr>
          <w:rFonts w:ascii="仿宋" w:hAnsi="仿宋" w:eastAsia="仿宋" w:cs="仿宋"/>
          <w:color w:val="000000" w:themeColor="text1"/>
          <w:sz w:val="28"/>
          <w:szCs w:val="28"/>
          <w:highlight w:val="none"/>
        </w:rPr>
      </w:pPr>
    </w:p>
    <w:p>
      <w:pPr>
        <w:shd w:val="clear"/>
        <w:ind w:firstLine="0" w:firstLineChars="0"/>
        <w:rPr>
          <w:rFonts w:ascii="仿宋" w:hAnsi="仿宋" w:eastAsia="仿宋" w:cs="仿宋"/>
          <w:color w:val="000000" w:themeColor="text1"/>
          <w:sz w:val="28"/>
          <w:szCs w:val="28"/>
          <w:highlight w:val="none"/>
        </w:rPr>
      </w:pPr>
    </w:p>
    <w:p>
      <w:pPr>
        <w:shd w:val="clear"/>
        <w:ind w:firstLine="560"/>
        <w:rPr>
          <w:rFonts w:ascii="仿宋" w:hAnsi="仿宋" w:eastAsia="仿宋" w:cs="仿宋"/>
          <w:color w:val="000000" w:themeColor="text1"/>
          <w:sz w:val="28"/>
          <w:szCs w:val="28"/>
          <w:highlight w:val="none"/>
        </w:rPr>
      </w:pPr>
      <w:r>
        <w:rPr>
          <w:rFonts w:ascii="仿宋" w:hAnsi="仿宋" w:eastAsia="仿宋" w:cs="仿宋"/>
          <w:color w:val="000000" w:themeColor="text1"/>
          <w:sz w:val="28"/>
          <w:szCs w:val="28"/>
          <w:highlight w:val="none"/>
        </w:rPr>
        <w:br w:type="page"/>
      </w:r>
    </w:p>
    <w:p>
      <w:pPr>
        <w:pStyle w:val="2"/>
        <w:shd w:val="clear"/>
        <w:spacing w:beforeLines="50" w:after="163" w:line="240" w:lineRule="atLeast"/>
        <w:ind w:firstLine="0" w:firstLineChars="0"/>
        <w:rPr>
          <w:rFonts w:ascii="仿宋" w:hAnsi="仿宋" w:eastAsia="仿宋" w:cs="仿宋"/>
          <w:b/>
          <w:bCs w:val="0"/>
          <w:color w:val="000000" w:themeColor="text1"/>
          <w:sz w:val="28"/>
          <w:szCs w:val="28"/>
          <w:highlight w:val="none"/>
        </w:rPr>
      </w:pPr>
      <w:bookmarkStart w:id="4" w:name="_Toc25839"/>
      <w:r>
        <w:rPr>
          <w:rFonts w:hint="eastAsia" w:ascii="仿宋" w:hAnsi="仿宋" w:eastAsia="仿宋" w:cs="仿宋"/>
          <w:b/>
          <w:bCs w:val="0"/>
          <w:color w:val="000000" w:themeColor="text1"/>
          <w:sz w:val="28"/>
          <w:szCs w:val="28"/>
          <w:highlight w:val="none"/>
        </w:rPr>
        <w:t>前  言</w:t>
      </w:r>
      <w:bookmarkEnd w:id="1"/>
      <w:bookmarkEnd w:id="2"/>
      <w:bookmarkEnd w:id="3"/>
      <w:bookmarkEnd w:id="4"/>
    </w:p>
    <w:p>
      <w:pPr>
        <w:shd w:val="clear"/>
        <w:ind w:firstLine="482"/>
        <w:rPr>
          <w:rFonts w:ascii="仿宋" w:hAnsi="仿宋" w:eastAsia="仿宋" w:cs="仿宋"/>
          <w:highlight w:val="none"/>
        </w:rPr>
      </w:pPr>
      <w:r>
        <w:rPr>
          <w:rFonts w:hint="eastAsia" w:ascii="仿宋" w:hAnsi="仿宋" w:eastAsia="仿宋" w:cs="仿宋"/>
          <w:b/>
          <w:bCs/>
          <w:highlight w:val="none"/>
        </w:rPr>
        <w:t>开展绩效评价的背景</w:t>
      </w:r>
    </w:p>
    <w:p>
      <w:pPr>
        <w:shd w:val="clear"/>
        <w:ind w:firstLine="480"/>
        <w:rPr>
          <w:rFonts w:ascii="仿宋" w:hAnsi="仿宋" w:eastAsia="仿宋" w:cs="仿宋"/>
          <w:highlight w:val="none"/>
        </w:rPr>
      </w:pPr>
      <w:r>
        <w:rPr>
          <w:rFonts w:hint="eastAsia" w:ascii="仿宋" w:hAnsi="仿宋" w:eastAsia="仿宋" w:cs="仿宋"/>
          <w:highlight w:val="none"/>
        </w:rPr>
        <w:t>由于政府公共职能进一步转换，财政支出规模持续扩大，信息公开力度不断加强，财政资金使用是否规范有效、预期效益是否达到目标、政府公共服务职能是否有效履行、财政支出责任是否得到真正落实成为社会各界关注的焦点。提高政府财政资金使用效益和公共服务水平必须进行预算绩效管理。绩效评价是预算绩效管理的核心内容，财政支出绩效评价是指财政部门和预算部门（单位）根据设定的绩效目标，运用科学、合理的绩效评价指标、评价标准和评价方法，对财政支出的经济性、效率性和效益性进行客观、公正的评价。</w:t>
      </w:r>
    </w:p>
    <w:p>
      <w:pPr>
        <w:shd w:val="clear"/>
        <w:ind w:firstLine="480"/>
        <w:rPr>
          <w:rFonts w:ascii="仿宋" w:hAnsi="仿宋" w:eastAsia="仿宋" w:cs="仿宋"/>
          <w:highlight w:val="none"/>
        </w:rPr>
      </w:pPr>
      <w:r>
        <w:rPr>
          <w:rFonts w:hint="eastAsia" w:ascii="仿宋" w:hAnsi="仿宋" w:eastAsia="仿宋" w:cs="仿宋"/>
          <w:highlight w:val="none"/>
        </w:rPr>
        <w:t>为贯彻落实我国财政部绩效管理工作的一系列规定，加强财政支出管理，强化支出责任，建立科学、合理的财政支出绩效评价管理体系，提高财政资金使用效益，根据《中华人民共和国预算法》、《中共中央 国务院关于全面实施预算绩效管理的意见》(中发[2018]34号)、《预算绩效评价共性指标体系框架》（财预[2013]53号）、《中央部门预算绩效目标管理办法》（财预[2015]88号）、《财政部关于贯彻落实&lt;中共中央 国务院关于全面实施预算绩效管理的意见&gt;的通知》（财预[2018]167号）、《项目支出绩效评价管理办法》(财预[2020]10号)、《省财政厅关于推进全面实施预算绩效管理工作的通知》（鄂财绩发[2019]10号）、《省财政厅关于印发&lt;湖北省财政厅预算绩效管理内部工作规程&gt;的通知》（鄂财办绩[2019]105号）、《武昌区2020年预算绩效评价及项目支出绩效执行监控的通知》等有关法律法规和制度办法为此次绩效评价的具体实施提供了指导，确保了绩效评价工作的顺利开展。</w:t>
      </w:r>
    </w:p>
    <w:p>
      <w:pPr>
        <w:shd w:val="clear"/>
        <w:ind w:firstLine="482"/>
        <w:rPr>
          <w:rFonts w:ascii="仿宋" w:hAnsi="仿宋" w:eastAsia="仿宋" w:cs="仿宋"/>
          <w:b/>
          <w:highlight w:val="none"/>
        </w:rPr>
      </w:pPr>
      <w:r>
        <w:rPr>
          <w:rFonts w:hint="eastAsia" w:ascii="仿宋" w:hAnsi="仿宋" w:eastAsia="仿宋" w:cs="仿宋"/>
          <w:b/>
          <w:highlight w:val="none"/>
        </w:rPr>
        <w:t>评价委托关系</w:t>
      </w:r>
    </w:p>
    <w:p>
      <w:pPr>
        <w:shd w:val="clear"/>
        <w:ind w:firstLine="480"/>
        <w:rPr>
          <w:rFonts w:ascii="仿宋" w:hAnsi="仿宋" w:eastAsia="仿宋" w:cs="仿宋"/>
          <w:highlight w:val="none"/>
        </w:rPr>
      </w:pPr>
      <w:r>
        <w:rPr>
          <w:rFonts w:hint="eastAsia" w:ascii="仿宋" w:hAnsi="仿宋" w:eastAsia="仿宋" w:cs="仿宋"/>
          <w:bCs/>
          <w:highlight w:val="none"/>
        </w:rPr>
        <w:t>本事务所于2020年7月14日接受武汉市武昌区财政局（以下简称“区财政局”）委托，</w:t>
      </w:r>
      <w:r>
        <w:rPr>
          <w:rFonts w:hint="eastAsia" w:ascii="仿宋" w:hAnsi="仿宋" w:eastAsia="仿宋" w:cs="仿宋"/>
          <w:highlight w:val="none"/>
        </w:rPr>
        <w:t>对武汉市武昌区卫生健康局（以下简称“区卫健局”）实施的2019年“大医院专家坐诊项目”</w:t>
      </w:r>
      <w:r>
        <w:rPr>
          <w:rFonts w:hint="eastAsia"/>
          <w:highlight w:val="none"/>
        </w:rPr>
        <w:t>项目</w:t>
      </w:r>
      <w:r>
        <w:rPr>
          <w:rFonts w:hint="eastAsia" w:ascii="仿宋" w:hAnsi="仿宋" w:eastAsia="仿宋" w:cs="仿宋"/>
          <w:highlight w:val="none"/>
        </w:rPr>
        <w:t>情况进行绩效评价。</w:t>
      </w:r>
    </w:p>
    <w:p>
      <w:pPr>
        <w:shd w:val="clear"/>
        <w:ind w:firstLine="480"/>
        <w:rPr>
          <w:rFonts w:ascii="仿宋" w:hAnsi="仿宋" w:eastAsia="仿宋" w:cs="仿宋"/>
          <w:highlight w:val="none"/>
        </w:rPr>
      </w:pPr>
      <w:bookmarkStart w:id="5" w:name="_Toc494137717"/>
      <w:bookmarkStart w:id="6" w:name="_Toc26933"/>
      <w:bookmarkStart w:id="7" w:name="_Toc445363912"/>
      <w:bookmarkStart w:id="8" w:name="_Toc387957799"/>
      <w:bookmarkStart w:id="9" w:name="_Toc361304672"/>
      <w:r>
        <w:rPr>
          <w:rFonts w:hint="eastAsia" w:ascii="仿宋" w:hAnsi="仿宋" w:eastAsia="仿宋" w:cs="仿宋"/>
          <w:highlight w:val="none"/>
        </w:rPr>
        <w:t>根据区财政局的统一部署，本次评价工作的截止时间为2020年9月</w:t>
      </w:r>
      <w:r>
        <w:rPr>
          <w:rFonts w:hint="eastAsia" w:ascii="仿宋" w:hAnsi="仿宋" w:eastAsia="仿宋" w:cs="仿宋"/>
          <w:highlight w:val="none"/>
          <w:lang w:val="en-US" w:eastAsia="zh-CN"/>
        </w:rPr>
        <w:t>16</w:t>
      </w:r>
      <w:r>
        <w:rPr>
          <w:rFonts w:hint="eastAsia" w:ascii="仿宋" w:hAnsi="仿宋" w:eastAsia="仿宋" w:cs="仿宋"/>
          <w:highlight w:val="none"/>
        </w:rPr>
        <w:t>日。为了做好本次评价工作，按照绩效评价方案，本所派选工作人员组成绩效评价工作组，开展绩效评价工作。在本次评价过程中，本所对本次评价所依据的文件、评价范围和被评价单位的基础资料进行收集、整理、审核与汇总，对相关资料和有形成果进行核实，并依据拟定的评价指标体系及评价标准进行了评价分析，从而评定得出评价结果。</w:t>
      </w:r>
    </w:p>
    <w:p>
      <w:pPr>
        <w:pStyle w:val="2"/>
        <w:shd w:val="clear"/>
        <w:spacing w:beforeLines="50" w:after="163" w:line="400" w:lineRule="exact"/>
        <w:ind w:firstLine="0" w:firstLineChars="0"/>
        <w:jc w:val="left"/>
        <w:rPr>
          <w:rFonts w:ascii="仿宋" w:hAnsi="仿宋" w:eastAsia="仿宋" w:cs="仿宋"/>
          <w:b/>
          <w:bCs w:val="0"/>
          <w:color w:val="000000" w:themeColor="text1"/>
          <w:sz w:val="28"/>
          <w:szCs w:val="28"/>
          <w:highlight w:val="none"/>
        </w:rPr>
      </w:pPr>
      <w:bookmarkStart w:id="10" w:name="_Toc14950"/>
      <w:r>
        <w:rPr>
          <w:rFonts w:hint="eastAsia" w:ascii="仿宋" w:hAnsi="仿宋" w:eastAsia="仿宋" w:cs="仿宋"/>
          <w:b/>
          <w:bCs w:val="0"/>
          <w:color w:val="000000" w:themeColor="text1"/>
          <w:sz w:val="28"/>
          <w:szCs w:val="28"/>
          <w:highlight w:val="none"/>
        </w:rPr>
        <w:t>一、项目基本情况</w:t>
      </w:r>
      <w:bookmarkEnd w:id="5"/>
      <w:bookmarkEnd w:id="6"/>
      <w:bookmarkEnd w:id="7"/>
      <w:bookmarkEnd w:id="10"/>
    </w:p>
    <w:p>
      <w:pPr>
        <w:pStyle w:val="3"/>
        <w:numPr>
          <w:ilvl w:val="1"/>
          <w:numId w:val="0"/>
        </w:numPr>
        <w:shd w:val="clear"/>
        <w:tabs>
          <w:tab w:val="clear" w:pos="420"/>
        </w:tabs>
        <w:spacing w:beforeLines="50" w:afterLines="50" w:line="400" w:lineRule="exact"/>
        <w:rPr>
          <w:rFonts w:ascii="仿宋" w:hAnsi="仿宋" w:eastAsia="仿宋" w:cs="仿宋"/>
          <w:b/>
          <w:bCs/>
          <w:color w:val="000000" w:themeColor="text1"/>
          <w:sz w:val="24"/>
          <w:szCs w:val="24"/>
          <w:highlight w:val="none"/>
        </w:rPr>
      </w:pPr>
      <w:bookmarkStart w:id="11" w:name="_Toc445363913"/>
      <w:bookmarkStart w:id="12" w:name="_Toc2738"/>
      <w:bookmarkStart w:id="13" w:name="_Toc31738"/>
      <w:bookmarkStart w:id="14" w:name="_Toc494137718"/>
      <w:r>
        <w:rPr>
          <w:rFonts w:hint="eastAsia" w:ascii="仿宋" w:hAnsi="仿宋" w:eastAsia="仿宋" w:cs="仿宋"/>
          <w:b/>
          <w:bCs/>
          <w:color w:val="000000" w:themeColor="text1"/>
          <w:sz w:val="24"/>
          <w:szCs w:val="24"/>
          <w:highlight w:val="none"/>
        </w:rPr>
        <w:t>（一）项目概况</w:t>
      </w:r>
      <w:bookmarkEnd w:id="11"/>
      <w:bookmarkEnd w:id="12"/>
      <w:bookmarkEnd w:id="13"/>
      <w:bookmarkEnd w:id="14"/>
    </w:p>
    <w:p>
      <w:pPr>
        <w:pStyle w:val="4"/>
        <w:shd w:val="clear"/>
        <w:spacing w:before="10" w:after="10" w:line="400" w:lineRule="exact"/>
        <w:ind w:firstLine="482"/>
        <w:rPr>
          <w:rFonts w:ascii="仿宋" w:hAnsi="仿宋" w:eastAsia="仿宋" w:cs="仿宋"/>
          <w:color w:val="000000" w:themeColor="text1"/>
          <w:sz w:val="24"/>
          <w:szCs w:val="24"/>
          <w:highlight w:val="none"/>
        </w:rPr>
      </w:pPr>
      <w:bookmarkStart w:id="15" w:name="_Toc15492"/>
      <w:bookmarkStart w:id="16" w:name="_Toc828"/>
      <w:r>
        <w:rPr>
          <w:rFonts w:hint="eastAsia" w:ascii="仿宋" w:hAnsi="仿宋" w:eastAsia="仿宋" w:cs="仿宋"/>
          <w:color w:val="000000" w:themeColor="text1"/>
          <w:sz w:val="24"/>
          <w:szCs w:val="24"/>
          <w:highlight w:val="none"/>
        </w:rPr>
        <w:t>1.项目立项背景</w:t>
      </w:r>
      <w:bookmarkEnd w:id="8"/>
      <w:bookmarkEnd w:id="9"/>
      <w:bookmarkEnd w:id="15"/>
      <w:bookmarkEnd w:id="16"/>
    </w:p>
    <w:p>
      <w:pPr>
        <w:shd w:val="clear"/>
        <w:ind w:firstLine="480"/>
        <w:rPr>
          <w:highlight w:val="none"/>
        </w:rPr>
      </w:pPr>
      <w:bookmarkStart w:id="17" w:name="_Toc4043"/>
      <w:r>
        <w:rPr>
          <w:rFonts w:hint="eastAsia" w:ascii="仿宋" w:hAnsi="仿宋" w:eastAsia="仿宋" w:cs="仿宋"/>
          <w:highlight w:val="none"/>
        </w:rPr>
        <w:t>为全面推进医疗联合体建设，实现医疗机构间优势互补和分工协作，促进优质医疗资源下沉，提升基层医疗服务能力，推动构建分级诊疗制度，根据《国务院办公厅关于推进医疗联合体建设和发展的指导意见》(国办发[2017]32号)、《国家卫生计生委关于开展医疗联合体建设试点工作的指导意见》(国卫医发[2016]75号)的精神和要求，2017年起在武汉全市启动医疗联合体(以下简称“医联体”)建设试点工作。</w:t>
      </w:r>
    </w:p>
    <w:p>
      <w:pPr>
        <w:pStyle w:val="4"/>
        <w:shd w:val="clear"/>
        <w:spacing w:before="10" w:after="10" w:line="360" w:lineRule="auto"/>
        <w:ind w:firstLine="482"/>
        <w:rPr>
          <w:rFonts w:ascii="仿宋" w:hAnsi="仿宋" w:eastAsia="仿宋" w:cs="仿宋"/>
          <w:color w:val="000000" w:themeColor="text1"/>
          <w:sz w:val="24"/>
          <w:szCs w:val="24"/>
          <w:highlight w:val="none"/>
        </w:rPr>
      </w:pPr>
      <w:bookmarkStart w:id="18" w:name="_Toc18822"/>
      <w:r>
        <w:rPr>
          <w:rFonts w:hint="eastAsia" w:ascii="仿宋" w:hAnsi="仿宋" w:eastAsia="仿宋" w:cs="仿宋"/>
          <w:color w:val="000000" w:themeColor="text1"/>
          <w:sz w:val="24"/>
          <w:szCs w:val="24"/>
          <w:highlight w:val="none"/>
        </w:rPr>
        <w:t>2.评价基准日</w:t>
      </w:r>
      <w:bookmarkEnd w:id="17"/>
      <w:bookmarkEnd w:id="18"/>
    </w:p>
    <w:p>
      <w:pPr>
        <w:shd w:val="clear"/>
        <w:ind w:firstLine="480"/>
        <w:rPr>
          <w:rFonts w:ascii="仿宋" w:hAnsi="仿宋" w:eastAsia="仿宋" w:cs="仿宋"/>
          <w:highlight w:val="none"/>
        </w:rPr>
      </w:pPr>
      <w:r>
        <w:rPr>
          <w:rFonts w:hint="eastAsia" w:ascii="仿宋" w:hAnsi="仿宋" w:eastAsia="仿宋" w:cs="仿宋"/>
          <w:highlight w:val="none"/>
          <w:shd w:val="clear"/>
        </w:rPr>
        <w:t>评价基准日</w:t>
      </w:r>
      <w:r>
        <w:rPr>
          <w:rFonts w:hint="eastAsia" w:ascii="仿宋" w:hAnsi="仿宋" w:eastAsia="仿宋" w:cs="仿宋"/>
          <w:highlight w:val="none"/>
        </w:rPr>
        <w:t>：2019年12月31日</w:t>
      </w:r>
    </w:p>
    <w:p>
      <w:pPr>
        <w:pStyle w:val="4"/>
        <w:shd w:val="clear"/>
        <w:spacing w:before="10" w:after="10" w:line="360" w:lineRule="auto"/>
        <w:ind w:firstLine="482"/>
        <w:rPr>
          <w:rFonts w:ascii="仿宋" w:hAnsi="仿宋" w:eastAsia="仿宋" w:cs="仿宋"/>
          <w:color w:val="000000" w:themeColor="text1"/>
          <w:sz w:val="24"/>
          <w:szCs w:val="24"/>
          <w:highlight w:val="none"/>
        </w:rPr>
      </w:pPr>
      <w:bookmarkStart w:id="19" w:name="_Toc23372"/>
      <w:bookmarkStart w:id="20" w:name="_Toc8204"/>
      <w:r>
        <w:rPr>
          <w:rFonts w:hint="eastAsia" w:ascii="仿宋" w:hAnsi="仿宋" w:eastAsia="仿宋" w:cs="仿宋"/>
          <w:color w:val="000000" w:themeColor="text1"/>
          <w:sz w:val="24"/>
          <w:szCs w:val="24"/>
          <w:highlight w:val="none"/>
        </w:rPr>
        <w:t>3.项目主要内容及实施情况</w:t>
      </w:r>
      <w:bookmarkEnd w:id="19"/>
      <w:bookmarkEnd w:id="20"/>
    </w:p>
    <w:p>
      <w:pPr>
        <w:shd w:val="clear"/>
        <w:ind w:firstLine="480"/>
        <w:rPr>
          <w:rFonts w:ascii="仿宋" w:hAnsi="仿宋" w:eastAsia="仿宋" w:cs="仿宋"/>
          <w:color w:val="000000" w:themeColor="text1"/>
          <w:highlight w:val="none"/>
        </w:rPr>
      </w:pPr>
      <w:r>
        <w:rPr>
          <w:rFonts w:hint="eastAsia" w:ascii="仿宋" w:hAnsi="仿宋" w:eastAsia="仿宋" w:cs="仿宋"/>
          <w:color w:val="000000" w:themeColor="text1"/>
          <w:highlight w:val="none"/>
        </w:rPr>
        <w:t>3.1项目实施单位</w:t>
      </w:r>
    </w:p>
    <w:p>
      <w:pPr>
        <w:shd w:val="clear"/>
        <w:ind w:firstLine="480"/>
        <w:rPr>
          <w:rFonts w:ascii="仿宋" w:hAnsi="仿宋" w:eastAsia="仿宋" w:cs="仿宋"/>
          <w:color w:val="000000" w:themeColor="text1"/>
          <w:highlight w:val="none"/>
        </w:rPr>
      </w:pPr>
      <w:r>
        <w:rPr>
          <w:rFonts w:hint="eastAsia" w:ascii="仿宋" w:hAnsi="仿宋" w:eastAsia="仿宋" w:cs="仿宋"/>
          <w:highlight w:val="none"/>
        </w:rPr>
        <w:t>区卫健局2019年“大医院专家坐诊”项目</w:t>
      </w:r>
      <w:r>
        <w:rPr>
          <w:rFonts w:hint="eastAsia" w:ascii="仿宋" w:hAnsi="仿宋" w:eastAsia="仿宋" w:cs="仿宋"/>
          <w:color w:val="000000" w:themeColor="text1"/>
          <w:highlight w:val="none"/>
        </w:rPr>
        <w:t>具体执行单位为</w:t>
      </w:r>
      <w:r>
        <w:rPr>
          <w:rFonts w:hint="eastAsia" w:ascii="仿宋" w:hAnsi="仿宋" w:eastAsia="仿宋" w:cs="仿宋"/>
          <w:highlight w:val="none"/>
        </w:rPr>
        <w:t>武汉市武昌区卫生健康局</w:t>
      </w:r>
      <w:r>
        <w:rPr>
          <w:rFonts w:hint="eastAsia" w:ascii="仿宋" w:hAnsi="仿宋" w:eastAsia="仿宋" w:cs="仿宋"/>
          <w:color w:val="000000" w:themeColor="text1"/>
          <w:highlight w:val="none"/>
        </w:rPr>
        <w:t>，位于湖北省武汉市武昌区胭脂路荆南街14号，负责人系张国松，机关性质为机关，赋码机关为中共武汉市武昌区委机构编制委员会办公室，统一社会信用代码：11420106MB17965068。</w:t>
      </w:r>
    </w:p>
    <w:p>
      <w:pPr>
        <w:shd w:val="clear"/>
        <w:ind w:firstLine="480"/>
        <w:rPr>
          <w:rFonts w:ascii="仿宋" w:hAnsi="仿宋" w:eastAsia="仿宋" w:cs="仿宋"/>
          <w:highlight w:val="none"/>
        </w:rPr>
      </w:pPr>
      <w:r>
        <w:rPr>
          <w:rFonts w:hint="eastAsia" w:ascii="仿宋" w:hAnsi="仿宋" w:eastAsia="仿宋" w:cs="仿宋"/>
          <w:highlight w:val="none"/>
        </w:rPr>
        <w:t>武汉市武昌区卫生健康局是武昌区人民政府工作部门，为正处级。</w:t>
      </w:r>
    </w:p>
    <w:p>
      <w:pPr>
        <w:shd w:val="clear"/>
        <w:ind w:firstLine="480"/>
        <w:rPr>
          <w:rFonts w:ascii="仿宋" w:hAnsi="仿宋" w:eastAsia="仿宋" w:cs="仿宋"/>
          <w:highlight w:val="none"/>
        </w:rPr>
      </w:pPr>
      <w:r>
        <w:rPr>
          <w:rFonts w:hint="eastAsia" w:ascii="仿宋" w:hAnsi="仿宋" w:eastAsia="仿宋" w:cs="仿宋"/>
          <w:highlight w:val="none"/>
        </w:rPr>
        <w:t>（1）主要职责</w:t>
      </w:r>
    </w:p>
    <w:p>
      <w:pPr>
        <w:shd w:val="clear"/>
        <w:ind w:firstLine="480"/>
        <w:rPr>
          <w:rFonts w:ascii="仿宋" w:hAnsi="仿宋" w:eastAsia="仿宋" w:cs="仿宋"/>
          <w:highlight w:val="none"/>
        </w:rPr>
      </w:pPr>
      <w:r>
        <w:rPr>
          <w:rFonts w:hint="eastAsia" w:ascii="仿宋" w:hAnsi="仿宋" w:eastAsia="仿宋" w:cs="仿宋"/>
          <w:highlight w:val="none"/>
        </w:rPr>
        <w:t>①贯彻落实国民健康政策，拟订卫生健康事业发展的政策措施，实施有关标准和技术规范。统筹规划全区卫生健康资源配置，指导区域卫生健康规划的编制和实施。协调推进健康武昌建设，组织实施推进卫生健康基本公共服务均等化、普惠化、便捷化和公共资源向基层延伸等政策措施。</w:t>
      </w:r>
    </w:p>
    <w:p>
      <w:pPr>
        <w:shd w:val="clear"/>
        <w:ind w:firstLine="480"/>
        <w:rPr>
          <w:rFonts w:ascii="仿宋" w:hAnsi="仿宋" w:eastAsia="仿宋" w:cs="仿宋"/>
          <w:highlight w:val="none"/>
        </w:rPr>
      </w:pPr>
      <w:r>
        <w:rPr>
          <w:rFonts w:hint="eastAsia" w:ascii="仿宋" w:hAnsi="仿宋" w:eastAsia="仿宋" w:cs="仿宋"/>
          <w:highlight w:val="none"/>
        </w:rPr>
        <w:t>②协调推进深化医药卫生体制改革，研究提出深化医药卫生体制改革措施的建议。组织深化公立医院综合改革，健全现代医院管理制度，组织实施推动卫生健康公共服务主体多元、方式多样化发展的政策措施，提出医疗服务和药品价格政策的建议。</w:t>
      </w:r>
    </w:p>
    <w:p>
      <w:pPr>
        <w:shd w:val="clear"/>
        <w:ind w:firstLine="480"/>
        <w:rPr>
          <w:rFonts w:ascii="仿宋" w:hAnsi="仿宋" w:eastAsia="仿宋" w:cs="仿宋"/>
          <w:highlight w:val="none"/>
        </w:rPr>
      </w:pPr>
      <w:r>
        <w:rPr>
          <w:rFonts w:hint="eastAsia" w:ascii="仿宋" w:hAnsi="仿宋" w:eastAsia="仿宋" w:cs="仿宋"/>
          <w:highlight w:val="none"/>
        </w:rPr>
        <w:t>③制定并落实全区疾病预防控制规划以及严重危害人民健康公共卫生问题的干预措施，组织实施免疫规划，组织开展传染病监测。负责卫生应急工作，组织指导突发公共卫生事件的预防控制和各类突发公共事件的医疗卫生救援。</w:t>
      </w:r>
    </w:p>
    <w:p>
      <w:pPr>
        <w:shd w:val="clear"/>
        <w:ind w:firstLine="480"/>
        <w:rPr>
          <w:rFonts w:ascii="仿宋" w:hAnsi="仿宋" w:eastAsia="仿宋" w:cs="仿宋"/>
          <w:highlight w:val="none"/>
        </w:rPr>
      </w:pPr>
      <w:r>
        <w:rPr>
          <w:rFonts w:hint="eastAsia" w:ascii="仿宋" w:hAnsi="仿宋" w:eastAsia="仿宋" w:cs="仿宋"/>
          <w:highlight w:val="none"/>
        </w:rPr>
        <w:t>④组织拟订并协调落实应对人口老龄化政策措施，负责推进全区老年健康服务体系建设和医养结合工作。</w:t>
      </w:r>
    </w:p>
    <w:p>
      <w:pPr>
        <w:shd w:val="clear"/>
        <w:ind w:firstLine="480"/>
        <w:rPr>
          <w:rFonts w:ascii="仿宋" w:hAnsi="仿宋" w:eastAsia="仿宋" w:cs="仿宋"/>
          <w:highlight w:val="none"/>
        </w:rPr>
      </w:pPr>
      <w:r>
        <w:rPr>
          <w:rFonts w:hint="eastAsia" w:ascii="仿宋" w:hAnsi="仿宋" w:eastAsia="仿宋" w:cs="仿宋"/>
          <w:highlight w:val="none"/>
        </w:rPr>
        <w:t>⑤贯彻落实国家及省、市药物政策和基本药物制度，开展药品使用监测、临床综合评价和短缺药品预警，提出符合基层实际的基本药物价格政策的建议。组织开展食品安全风险监测评估。</w:t>
      </w:r>
    </w:p>
    <w:p>
      <w:pPr>
        <w:shd w:val="clear"/>
        <w:ind w:firstLine="480"/>
        <w:rPr>
          <w:rFonts w:ascii="仿宋" w:hAnsi="仿宋" w:eastAsia="仿宋" w:cs="仿宋"/>
          <w:highlight w:val="none"/>
        </w:rPr>
      </w:pPr>
      <w:r>
        <w:rPr>
          <w:rFonts w:hint="eastAsia" w:ascii="仿宋" w:hAnsi="仿宋" w:eastAsia="仿宋" w:cs="仿宋"/>
          <w:highlight w:val="none"/>
        </w:rPr>
        <w:t>⑥负责职责范围内的职业卫生、放射卫生、环境卫生、学校卫生、公共场所卫生、饮用水卫生等公共卫生的监督管理，负责传染病防治监督，健全卫生健康综合监督体系。</w:t>
      </w:r>
    </w:p>
    <w:p>
      <w:pPr>
        <w:shd w:val="clear"/>
        <w:ind w:firstLine="480"/>
        <w:rPr>
          <w:rFonts w:ascii="仿宋" w:hAnsi="仿宋" w:eastAsia="仿宋" w:cs="仿宋"/>
          <w:highlight w:val="none"/>
        </w:rPr>
      </w:pPr>
      <w:r>
        <w:rPr>
          <w:rFonts w:hint="eastAsia" w:ascii="仿宋" w:hAnsi="仿宋" w:eastAsia="仿宋" w:cs="仿宋"/>
          <w:highlight w:val="none"/>
        </w:rPr>
        <w:t>⑦负责全区医疗机构、医疗服务行业管理办法的实施，加强行风建设，建立医疗服务评价和监督管理体系。会同有关部门贯彻执行卫生健康专业技术人员资格标准。组织实施医疗服务规范、标准和卫生健康专业技术人员执业规则、服务规范。</w:t>
      </w:r>
    </w:p>
    <w:p>
      <w:pPr>
        <w:shd w:val="clear"/>
        <w:ind w:firstLine="480"/>
        <w:rPr>
          <w:rFonts w:ascii="仿宋" w:hAnsi="仿宋" w:eastAsia="仿宋" w:cs="仿宋"/>
          <w:highlight w:val="none"/>
        </w:rPr>
      </w:pPr>
      <w:r>
        <w:rPr>
          <w:rFonts w:hint="eastAsia" w:ascii="仿宋" w:hAnsi="仿宋" w:eastAsia="仿宋" w:cs="仿宋"/>
          <w:highlight w:val="none"/>
        </w:rPr>
        <w:t>⑧负责计划生育管理和服务工作，开展人口监测预警，研究提出人口与家庭发展相关政策建议，落实计划生育政策措施。</w:t>
      </w:r>
    </w:p>
    <w:p>
      <w:pPr>
        <w:shd w:val="clear"/>
        <w:ind w:firstLine="480"/>
        <w:rPr>
          <w:rFonts w:ascii="仿宋" w:hAnsi="仿宋" w:eastAsia="仿宋" w:cs="仿宋"/>
          <w:highlight w:val="none"/>
        </w:rPr>
      </w:pPr>
      <w:r>
        <w:rPr>
          <w:rFonts w:hint="eastAsia" w:ascii="仿宋" w:hAnsi="仿宋" w:eastAsia="仿宋" w:cs="仿宋"/>
          <w:highlight w:val="none"/>
        </w:rPr>
        <w:t>⑨指导全区卫生健康工作，指导基层医疗卫生、妇幼健康服务体系和全科医生队伍建设。推进卫生健康科技创新发展。</w:t>
      </w:r>
    </w:p>
    <w:p>
      <w:pPr>
        <w:shd w:val="clear"/>
        <w:ind w:firstLine="480"/>
        <w:rPr>
          <w:rFonts w:ascii="仿宋" w:hAnsi="仿宋" w:eastAsia="仿宋" w:cs="仿宋"/>
          <w:highlight w:val="none"/>
        </w:rPr>
      </w:pPr>
      <w:r>
        <w:rPr>
          <w:rFonts w:hint="eastAsia" w:ascii="仿宋" w:hAnsi="仿宋" w:eastAsia="仿宋" w:cs="仿宋"/>
          <w:highlight w:val="none"/>
        </w:rPr>
        <w:t>⑩制定全区中医药发展规划，促进中医药事业健康发展；实施中医药行业管理；组织开展全区中医药人才培养、师承教育工作，推广中医药科技成果和适宜技术。</w:t>
      </w:r>
    </w:p>
    <w:p>
      <w:pPr>
        <w:shd w:val="clear"/>
        <w:ind w:firstLine="480"/>
        <w:rPr>
          <w:rFonts w:ascii="仿宋" w:hAnsi="仿宋" w:eastAsia="仿宋" w:cs="仿宋"/>
          <w:highlight w:val="none"/>
        </w:rPr>
      </w:pPr>
      <w:r>
        <w:rPr>
          <w:rFonts w:hint="eastAsia" w:ascii="仿宋" w:hAnsi="仿宋" w:eastAsia="仿宋" w:cs="仿宋"/>
          <w:highlight w:val="none"/>
        </w:rPr>
        <w:t>⑪组织开展爱国卫生运动。负责卫生健康宣传、健康教育和健康促进和信息化建设等工作。</w:t>
      </w:r>
    </w:p>
    <w:p>
      <w:pPr>
        <w:shd w:val="clear"/>
        <w:ind w:firstLine="480"/>
        <w:rPr>
          <w:rFonts w:ascii="仿宋" w:hAnsi="仿宋" w:eastAsia="仿宋" w:cs="仿宋"/>
          <w:highlight w:val="none"/>
        </w:rPr>
      </w:pPr>
      <w:r>
        <w:rPr>
          <w:rFonts w:hint="eastAsia" w:ascii="仿宋" w:hAnsi="仿宋" w:eastAsia="仿宋" w:cs="仿宋"/>
          <w:highlight w:val="none"/>
        </w:rPr>
        <w:t>⑫归口管理区计划生育协会的业务工作。</w:t>
      </w:r>
    </w:p>
    <w:p>
      <w:pPr>
        <w:shd w:val="clear"/>
        <w:ind w:firstLine="480"/>
        <w:rPr>
          <w:rFonts w:ascii="仿宋" w:hAnsi="仿宋" w:eastAsia="仿宋" w:cs="仿宋"/>
          <w:highlight w:val="none"/>
        </w:rPr>
      </w:pPr>
      <w:r>
        <w:rPr>
          <w:rFonts w:hint="eastAsia" w:ascii="仿宋" w:hAnsi="仿宋" w:eastAsia="仿宋" w:cs="仿宋"/>
          <w:highlight w:val="none"/>
        </w:rPr>
        <w:t>⑬按规定承担全面从严治党、国家安全、意识形态、综治维稳、精神文明建设、安全生产、生态环境保护、保密等主体责任。</w:t>
      </w:r>
    </w:p>
    <w:p>
      <w:pPr>
        <w:shd w:val="clear"/>
        <w:ind w:firstLine="480"/>
        <w:rPr>
          <w:rFonts w:ascii="仿宋" w:hAnsi="仿宋" w:eastAsia="仿宋" w:cs="仿宋"/>
          <w:highlight w:val="none"/>
        </w:rPr>
      </w:pPr>
      <w:r>
        <w:rPr>
          <w:rFonts w:hint="eastAsia" w:ascii="仿宋" w:hAnsi="仿宋" w:eastAsia="仿宋" w:cs="仿宋"/>
          <w:highlight w:val="none"/>
        </w:rPr>
        <w:t>⑭完成上级交办的其他任务。</w:t>
      </w:r>
    </w:p>
    <w:p>
      <w:pPr>
        <w:shd w:val="clear"/>
        <w:ind w:firstLine="480"/>
        <w:rPr>
          <w:rFonts w:ascii="仿宋" w:hAnsi="仿宋" w:eastAsia="仿宋" w:cs="仿宋"/>
          <w:highlight w:val="none"/>
        </w:rPr>
      </w:pPr>
      <w:r>
        <w:rPr>
          <w:rFonts w:hint="eastAsia" w:ascii="仿宋" w:hAnsi="仿宋" w:eastAsia="仿宋" w:cs="仿宋"/>
          <w:highlight w:val="none"/>
        </w:rPr>
        <w:t>⑮职能转变。区卫生健康局应牢固树立大卫生、大健康理念，推进健康武昌行动，以改革创新为动力，以促健康、转模式、强基层、重保障为着力点，把以治病为中心转变到以人民健康为中心，为人民群众提供全方位全周期健康服务。更加注重预防为主和健康促进，加强预防控制重大疾病工作，积极应对人口老龄化，健全健康服务体系；更加注重工作重心下移和资源下沉，推进卫生健康公共资源向基层延伸、向生活困难群众倾斜；更加注重提高服务质量和水平，推进卫生健康基本公共服务均等化、普惠化、便捷化；协调推进深化医药卫生体制改革，加大公立医院改革力度，推动卫生健康公共服务主体多元、方式多样化发展。</w:t>
      </w:r>
    </w:p>
    <w:p>
      <w:pPr>
        <w:shd w:val="clear"/>
        <w:ind w:firstLine="480"/>
        <w:rPr>
          <w:rFonts w:ascii="仿宋" w:hAnsi="仿宋" w:eastAsia="仿宋" w:cs="仿宋"/>
          <w:highlight w:val="none"/>
        </w:rPr>
      </w:pPr>
      <w:r>
        <w:rPr>
          <w:rFonts w:hint="eastAsia" w:ascii="仿宋" w:hAnsi="仿宋" w:eastAsia="仿宋" w:cs="仿宋"/>
          <w:highlight w:val="none"/>
        </w:rPr>
        <w:t>（2）内设机构</w:t>
      </w:r>
    </w:p>
    <w:p>
      <w:pPr>
        <w:shd w:val="clear"/>
        <w:ind w:firstLine="480"/>
        <w:rPr>
          <w:rFonts w:ascii="仿宋" w:hAnsi="仿宋" w:eastAsia="仿宋" w:cs="仿宋"/>
          <w:highlight w:val="none"/>
        </w:rPr>
      </w:pPr>
      <w:r>
        <w:rPr>
          <w:rFonts w:hint="eastAsia" w:ascii="仿宋" w:hAnsi="仿宋" w:eastAsia="仿宋" w:cs="仿宋"/>
          <w:highlight w:val="none"/>
        </w:rPr>
        <w:t>①办公室（卫生应急科）：负责机关日常运转，承担公文处理、机要保密、信息发布、政务公开、议提案办理、督查督办等工作；负责信访、投诉、消防及安全生产等工作；负责全局绩效目标的编制和考评工作；负责人事人才管理，承担机关并指导所属事业单位的机构编制和专业技术人员资格管理，负责组织协调全区卫生健康专业技术人员岗位培训和科学普及工作；承担机关和预算管理单位预决算、财务、资产管理和内部审计工作；组织开展卫生健康统计工作；承担组织推进公立医院综合改革工作；负责依法行政、普法责任制和卫生健康法律法规宣传教育；承担卫生应急协调工作，指导全区卫生应急体系和能力建设。</w:t>
      </w:r>
    </w:p>
    <w:p>
      <w:pPr>
        <w:shd w:val="clear"/>
        <w:ind w:firstLine="480"/>
        <w:rPr>
          <w:rFonts w:ascii="仿宋" w:hAnsi="仿宋" w:eastAsia="仿宋" w:cs="仿宋"/>
          <w:highlight w:val="none"/>
        </w:rPr>
      </w:pPr>
      <w:r>
        <w:rPr>
          <w:rFonts w:hint="eastAsia" w:ascii="仿宋" w:hAnsi="仿宋" w:eastAsia="仿宋" w:cs="仿宋"/>
          <w:highlight w:val="none"/>
        </w:rPr>
        <w:t>②党建工作科：负责指导基层党组织、基层领导班子、干部队伍和党员队伍建设；负责纪检监察、党风廉政工作衔接落实；负责组织、宣传、政法、统战、政研、综合治理、平安建设、精神文明、老干、干部人事档案管理等工作并指导基层贯彻落实；负责共青团、妇联等方面工作；指导工会工作。</w:t>
      </w:r>
    </w:p>
    <w:p>
      <w:pPr>
        <w:shd w:val="clear"/>
        <w:ind w:firstLine="480"/>
        <w:rPr>
          <w:rFonts w:ascii="仿宋" w:hAnsi="仿宋" w:eastAsia="仿宋" w:cs="仿宋"/>
          <w:highlight w:val="none"/>
        </w:rPr>
      </w:pPr>
      <w:r>
        <w:rPr>
          <w:rFonts w:hint="eastAsia" w:ascii="仿宋" w:hAnsi="仿宋" w:eastAsia="仿宋" w:cs="仿宋"/>
          <w:highlight w:val="none"/>
        </w:rPr>
        <w:t>③健康武昌建设办公室（区爱国卫生运动委员会办公室、区血吸虫病防治领导小组办公室）：组织拟订全区卫生健康事业发展中长期规划，承担健康武昌建设协调推进工作，组织拟订健康武昌建设重大政策、任务、措施并督促实施；组织开展爱国卫生运动及卫生健康宣传、健康教育、健康促进活动；拟订并组织实施血吸虫病防治政策、规划和方案。</w:t>
      </w:r>
    </w:p>
    <w:p>
      <w:pPr>
        <w:shd w:val="clear"/>
        <w:ind w:firstLine="480"/>
        <w:rPr>
          <w:rFonts w:ascii="仿宋" w:hAnsi="仿宋" w:eastAsia="仿宋" w:cs="仿宋"/>
          <w:highlight w:val="none"/>
        </w:rPr>
      </w:pPr>
      <w:r>
        <w:rPr>
          <w:rFonts w:hint="eastAsia" w:ascii="仿宋" w:hAnsi="仿宋" w:eastAsia="仿宋" w:cs="仿宋"/>
          <w:highlight w:val="none"/>
        </w:rPr>
        <w:t>④疾病预防控制与职业健康科：拟订全区重大疾病防治规划并组织实施，完善疾病预防控制体系，承担传染病疫情信息报告工作；承担实验室生物安全管理工作；开展食品安全风险监测、评估和交流，协调推进营养健康工作；承担突发公共卫生事件应急处置有关工作。开展重点职业病监测、专项调查、职业健康风险评估和职业人群健康管理工作，协调开展职业病防治工作。</w:t>
      </w:r>
    </w:p>
    <w:p>
      <w:pPr>
        <w:shd w:val="clear"/>
        <w:ind w:firstLine="480"/>
        <w:rPr>
          <w:rFonts w:ascii="仿宋" w:hAnsi="仿宋" w:eastAsia="仿宋" w:cs="仿宋"/>
          <w:highlight w:val="none"/>
        </w:rPr>
      </w:pPr>
      <w:r>
        <w:rPr>
          <w:rFonts w:hint="eastAsia" w:ascii="仿宋" w:hAnsi="仿宋" w:eastAsia="仿宋" w:cs="仿宋"/>
          <w:highlight w:val="none"/>
        </w:rPr>
        <w:t>⑤医政医管科（中医科、区人民政府公民献血领导小组办公室、区国防动员委员会医疗卫生办公室）：拟订全区医疗机构、医疗技术应用、医疗质量和安全、医疗服务、采供血机构管理以及行风建设等行业管理政策规范并组织实施；承担推进护理、康复事业发展工作；指导公立医院运行管理、绩效评价和考核制度。负责指导全区中医和中西医结合医疗机构、人员、技术的管理；负责协调中医服务体系建设工作。负责区人民政府公民献血领导小组、区国防动员委员会医疗卫生办公室日常工作。</w:t>
      </w:r>
    </w:p>
    <w:p>
      <w:pPr>
        <w:shd w:val="clear"/>
        <w:ind w:firstLine="480"/>
        <w:rPr>
          <w:rFonts w:ascii="仿宋" w:hAnsi="仿宋" w:eastAsia="仿宋" w:cs="仿宋"/>
          <w:highlight w:val="none"/>
        </w:rPr>
      </w:pPr>
      <w:r>
        <w:rPr>
          <w:rFonts w:hint="eastAsia" w:ascii="仿宋" w:hAnsi="仿宋" w:eastAsia="仿宋" w:cs="仿宋"/>
          <w:highlight w:val="none"/>
        </w:rPr>
        <w:t>⑥基层卫生科：负责贯彻落实基层卫生健康有关法律、法规、政策、规划；拟订全区基层卫生健康工作规范并组织实施；落实国家基本公共卫生服务项目；推进落实药物政策和基本药物制度；制定全区基层卫生发展规划；组织实施基层卫生服务体系建设，协调、监督、评估全区基层卫生工作；组织开展全科医师培训工作；指导全区卫生信息化建设；研究提出全区深化基层医药卫生体制改革任务、措施的建议，承担深化基层医药卫生体制改革具体工作。</w:t>
      </w:r>
    </w:p>
    <w:p>
      <w:pPr>
        <w:shd w:val="clear"/>
        <w:ind w:firstLine="480"/>
        <w:rPr>
          <w:rFonts w:ascii="仿宋" w:hAnsi="仿宋" w:eastAsia="仿宋" w:cs="仿宋"/>
          <w:highlight w:val="none"/>
        </w:rPr>
      </w:pPr>
      <w:r>
        <w:rPr>
          <w:rFonts w:hint="eastAsia" w:ascii="仿宋" w:hAnsi="仿宋" w:eastAsia="仿宋" w:cs="仿宋"/>
          <w:highlight w:val="none"/>
        </w:rPr>
        <w:t>⑦综合监督科：承担辖区医疗机构、公共场所属地卫生健康综合监管职能；负责公共场所卫生、饮用水卫生、学校卫生、传染病防治、消毒管理、职业卫生监督检查；负责全区医疗机构日常卫生监督，组织开展打击非法行医、整顿医疗市场活动；完善综合监督体系，指导规范执法行为。做好医疗机构普法教育和行政执法责任制工作。</w:t>
      </w:r>
    </w:p>
    <w:p>
      <w:pPr>
        <w:shd w:val="clear"/>
        <w:ind w:firstLine="480"/>
        <w:rPr>
          <w:rFonts w:ascii="仿宋" w:hAnsi="仿宋" w:eastAsia="仿宋" w:cs="仿宋"/>
          <w:highlight w:val="none"/>
        </w:rPr>
      </w:pPr>
      <w:r>
        <w:rPr>
          <w:rFonts w:hint="eastAsia" w:ascii="仿宋" w:hAnsi="仿宋" w:eastAsia="仿宋" w:cs="仿宋"/>
          <w:highlight w:val="none"/>
        </w:rPr>
        <w:t>⑧人口监测与家庭发展科：负责制定和组织实施人口与计划生育工作方案；承担全区人口监测预警工作，落实人口与家庭发展相关措施；组织落实计划生育特殊家庭扶助制度和计划生育家庭人员奖励政策；协调落实家庭发展与生育支持政策。</w:t>
      </w:r>
    </w:p>
    <w:p>
      <w:pPr>
        <w:shd w:val="clear"/>
        <w:ind w:firstLine="480"/>
        <w:rPr>
          <w:rFonts w:ascii="仿宋" w:hAnsi="仿宋" w:eastAsia="仿宋" w:cs="仿宋"/>
          <w:highlight w:val="none"/>
        </w:rPr>
      </w:pPr>
      <w:r>
        <w:rPr>
          <w:rFonts w:hint="eastAsia" w:ascii="仿宋" w:hAnsi="仿宋" w:eastAsia="仿宋" w:cs="仿宋"/>
          <w:highlight w:val="none"/>
        </w:rPr>
        <w:t>⑨妇幼与老龄健康科：拟订全区妇幼卫生健康政策，组织实施有关标准和技术规范，推进妇幼健康服务体系建设，指导妇幼卫生、母婴安全、出生缺陷防治、婴幼儿早期发展和优生优育工作，协同做好计划生育技术质量监督及业务指导。组织拟订并协调落实全区应对老龄化的政策措施，组织拟订医养结合的政策、标准和规范，建立和完善老年健康服务体系；承担区老龄工作委员会的具体工作。</w:t>
      </w:r>
    </w:p>
    <w:p>
      <w:pPr>
        <w:shd w:val="clear"/>
        <w:ind w:firstLine="480"/>
        <w:rPr>
          <w:rFonts w:ascii="仿宋" w:hAnsi="仿宋" w:eastAsia="仿宋" w:cs="仿宋"/>
          <w:highlight w:val="none"/>
        </w:rPr>
      </w:pPr>
      <w:r>
        <w:rPr>
          <w:rFonts w:hint="eastAsia" w:ascii="仿宋" w:hAnsi="仿宋" w:eastAsia="仿宋" w:cs="仿宋"/>
          <w:highlight w:val="none"/>
        </w:rPr>
        <w:t>（3）行政编制</w:t>
      </w:r>
    </w:p>
    <w:p>
      <w:pPr>
        <w:shd w:val="clear"/>
        <w:ind w:firstLine="480"/>
        <w:rPr>
          <w:rFonts w:ascii="仿宋" w:hAnsi="仿宋" w:eastAsia="仿宋" w:cs="仿宋"/>
          <w:highlight w:val="none"/>
        </w:rPr>
      </w:pPr>
      <w:r>
        <w:rPr>
          <w:rFonts w:hint="eastAsia" w:ascii="仿宋" w:hAnsi="仿宋" w:eastAsia="仿宋" w:cs="仿宋"/>
          <w:highlight w:val="none"/>
        </w:rPr>
        <w:t>区卫健局机关行政编制24名。设局长1名，副局长3名；科级领导职数11名（含卫生健康监察专员1名、工会主席1名）。</w:t>
      </w:r>
    </w:p>
    <w:p>
      <w:pPr>
        <w:shd w:val="clear"/>
        <w:ind w:firstLine="480"/>
        <w:rPr>
          <w:rFonts w:ascii="仿宋" w:hAnsi="仿宋" w:eastAsia="仿宋" w:cs="仿宋"/>
          <w:highlight w:val="none"/>
        </w:rPr>
      </w:pPr>
      <w:r>
        <w:rPr>
          <w:rFonts w:hint="eastAsia" w:ascii="仿宋" w:hAnsi="仿宋" w:eastAsia="仿宋" w:cs="仿宋"/>
          <w:highlight w:val="none"/>
        </w:rPr>
        <w:t>武昌区卫生健康局由机关及下属13个二级单位组成，二级单位包括：武昌区疾病预防控制中心、武昌区妇幼保健院、武昌区卫生计生执法大队、武汉市七医院、武昌区积玉桥街社区卫生服务中心、武昌区首义路街社区卫生服务中心、武昌区中华路街社区卫生服务中心、武昌区黄鹤楼街社区卫生服务中心、武昌区白沙洲街第二社区卫生服务中心、武昌区杨园街社区卫生服务中心、武昌区徐家棚街社区卫生服务中心、武昌区水果湖街社区卫生服务中心、武昌区中医院。</w:t>
      </w:r>
    </w:p>
    <w:p>
      <w:pPr>
        <w:shd w:val="clear"/>
        <w:ind w:firstLine="480"/>
        <w:rPr>
          <w:rFonts w:ascii="仿宋" w:hAnsi="仿宋" w:eastAsia="仿宋" w:cs="仿宋"/>
          <w:highlight w:val="none"/>
        </w:rPr>
      </w:pPr>
      <w:r>
        <w:rPr>
          <w:rFonts w:hint="eastAsia" w:ascii="仿宋" w:hAnsi="仿宋" w:eastAsia="仿宋" w:cs="仿宋"/>
          <w:highlight w:val="none"/>
        </w:rPr>
        <w:t>区卫健局在职实有总人数692人，其中：行政实有22人，事业实有670人(其中：参照公务员法管理32人)。离退休人员1156人，其中：离休14人，退休1142人。</w:t>
      </w:r>
    </w:p>
    <w:p>
      <w:pPr>
        <w:shd w:val="clear"/>
        <w:ind w:firstLine="480"/>
        <w:rPr>
          <w:rFonts w:ascii="仿宋" w:hAnsi="仿宋" w:eastAsia="仿宋" w:cs="仿宋"/>
          <w:highlight w:val="none"/>
        </w:rPr>
      </w:pPr>
      <w:r>
        <w:rPr>
          <w:rFonts w:hint="eastAsia" w:ascii="仿宋" w:hAnsi="仿宋" w:eastAsia="仿宋" w:cs="仿宋"/>
          <w:highlight w:val="none"/>
        </w:rPr>
        <w:t>3.2项目实施周期与地点</w:t>
      </w:r>
    </w:p>
    <w:p>
      <w:pPr>
        <w:shd w:val="clear"/>
        <w:ind w:firstLine="480"/>
        <w:rPr>
          <w:rFonts w:ascii="仿宋" w:hAnsi="仿宋" w:eastAsia="仿宋" w:cs="仿宋"/>
          <w:highlight w:val="none"/>
        </w:rPr>
      </w:pPr>
      <w:r>
        <w:rPr>
          <w:rFonts w:hint="eastAsia" w:ascii="仿宋" w:hAnsi="仿宋" w:eastAsia="仿宋" w:cs="仿宋"/>
          <w:highlight w:val="none"/>
        </w:rPr>
        <w:t>项目实施周期：2019年1月——2019年12月</w:t>
      </w:r>
    </w:p>
    <w:p>
      <w:pPr>
        <w:shd w:val="clear"/>
        <w:ind w:firstLine="480"/>
        <w:rPr>
          <w:rFonts w:ascii="仿宋" w:hAnsi="仿宋" w:eastAsia="仿宋" w:cs="仿宋"/>
          <w:highlight w:val="none"/>
        </w:rPr>
      </w:pPr>
      <w:r>
        <w:rPr>
          <w:rFonts w:hint="eastAsia" w:ascii="仿宋" w:hAnsi="仿宋" w:eastAsia="仿宋" w:cs="仿宋"/>
          <w:highlight w:val="none"/>
        </w:rPr>
        <w:t>项目实施地点：武昌区</w:t>
      </w:r>
    </w:p>
    <w:p>
      <w:pPr>
        <w:shd w:val="clear"/>
        <w:ind w:firstLine="480"/>
        <w:rPr>
          <w:rFonts w:ascii="仿宋" w:hAnsi="仿宋" w:eastAsia="仿宋" w:cs="仿宋"/>
          <w:highlight w:val="none"/>
        </w:rPr>
      </w:pPr>
      <w:r>
        <w:rPr>
          <w:rFonts w:hint="eastAsia" w:ascii="仿宋" w:hAnsi="仿宋" w:eastAsia="仿宋" w:cs="仿宋"/>
          <w:highlight w:val="none"/>
        </w:rPr>
        <w:t>3.3项目主要内容</w:t>
      </w:r>
    </w:p>
    <w:p>
      <w:pPr>
        <w:shd w:val="clear"/>
        <w:ind w:firstLine="480"/>
        <w:rPr>
          <w:rFonts w:ascii="仿宋" w:hAnsi="仿宋" w:eastAsia="仿宋" w:cs="仿宋"/>
          <w:highlight w:val="none"/>
        </w:rPr>
      </w:pPr>
      <w:r>
        <w:rPr>
          <w:rFonts w:hint="eastAsia" w:ascii="仿宋" w:hAnsi="仿宋" w:eastAsia="仿宋" w:cs="仿宋"/>
          <w:highlight w:val="none"/>
        </w:rPr>
        <w:t>根据市卫计委“医联体”的工作要求，辖区各三级综合大医院按照武昌区综合医改工作需求，排除医疗和管理的专家参与医联体内的中心坐诊和双向转诊及会诊工作，引导群众改变就医观念和习惯，提升了基层医疗服务能力。</w:t>
      </w:r>
    </w:p>
    <w:p>
      <w:pPr>
        <w:shd w:val="clear"/>
        <w:ind w:firstLine="480"/>
        <w:rPr>
          <w:rFonts w:ascii="仿宋" w:hAnsi="仿宋" w:eastAsia="仿宋" w:cs="仿宋"/>
          <w:highlight w:val="none"/>
        </w:rPr>
      </w:pPr>
      <w:r>
        <w:rPr>
          <w:rFonts w:hint="eastAsia" w:ascii="仿宋" w:hAnsi="仿宋" w:eastAsia="仿宋" w:cs="仿宋"/>
          <w:highlight w:val="none"/>
        </w:rPr>
        <w:t>2019年度项目年初设立绩效目标并申报项目预算计划投入资金226.00万元。2019年度该项目计划安排34名大医院专家下沉到社区卫生服务中心常态化坐诊、驻诊和带教。大医院专家坐诊社区覆盖面达到100.00%，并根据职称及医院级别，按照300.00元/人/次、500.00元/人/次的补贴标准，对下沉社区大医院专家进行工作补助。</w:t>
      </w:r>
    </w:p>
    <w:p>
      <w:pPr>
        <w:shd w:val="clear"/>
        <w:ind w:firstLine="480"/>
        <w:rPr>
          <w:rFonts w:ascii="仿宋" w:hAnsi="仿宋" w:eastAsia="仿宋" w:cs="仿宋"/>
          <w:highlight w:val="none"/>
        </w:rPr>
      </w:pPr>
      <w:r>
        <w:rPr>
          <w:rFonts w:hint="eastAsia" w:ascii="仿宋" w:hAnsi="仿宋" w:eastAsia="仿宋" w:cs="仿宋"/>
          <w:highlight w:val="none"/>
        </w:rPr>
        <w:t>3.4项目完成概况</w:t>
      </w:r>
    </w:p>
    <w:p>
      <w:pPr>
        <w:shd w:val="clear"/>
        <w:ind w:firstLine="480"/>
        <w:rPr>
          <w:rFonts w:hint="eastAsia" w:ascii="仿宋" w:hAnsi="仿宋" w:eastAsia="仿宋" w:cs="仿宋"/>
          <w:highlight w:val="none"/>
        </w:rPr>
      </w:pPr>
      <w:bookmarkStart w:id="21" w:name="_Toc494137719"/>
      <w:bookmarkStart w:id="22" w:name="_Toc17455"/>
      <w:r>
        <w:rPr>
          <w:rFonts w:hint="eastAsia" w:ascii="仿宋" w:hAnsi="仿宋" w:eastAsia="仿宋" w:cs="仿宋"/>
          <w:highlight w:val="none"/>
        </w:rPr>
        <w:t>截至2019年12月31日，区卫健局2019年大医院专家坐诊项目预算下达资金指标总额226.00万元。经审核，该项目实际支出226.00万元</w:t>
      </w:r>
      <w:bookmarkEnd w:id="21"/>
      <w:r>
        <w:rPr>
          <w:rFonts w:hint="eastAsia" w:ascii="仿宋" w:hAnsi="仿宋" w:eastAsia="仿宋" w:cs="仿宋"/>
          <w:highlight w:val="none"/>
        </w:rPr>
        <w:t>；年初设定坐诊专家人数指标值为34人，截至2019年11月共计选派264名专家参与坐诊会诊8275人次；截至2019年10月，武昌区全区常住人口家庭医生签约167484人，实际履约147247人，家庭医生签约服务履约率为87.92%；项目计划上转下转病人数同比增长率达到10%以上，该项目2019年度医联体内上转下转病人10889人次，同比增长36.30%，上转下转病人数同比增长完成率为363%</w:t>
      </w:r>
      <w:r>
        <w:rPr>
          <w:rFonts w:hint="eastAsia" w:ascii="仿宋" w:hAnsi="仿宋" w:eastAsia="仿宋" w:cs="仿宋"/>
          <w:highlight w:val="none"/>
          <w:lang w:eastAsia="zh-CN"/>
        </w:rPr>
        <w:t>；</w:t>
      </w:r>
      <w:r>
        <w:rPr>
          <w:rFonts w:hint="eastAsia" w:ascii="仿宋" w:hAnsi="仿宋" w:eastAsia="仿宋" w:cs="仿宋"/>
          <w:highlight w:val="none"/>
        </w:rPr>
        <w:t>年初设定社区</w:t>
      </w:r>
      <w:r>
        <w:rPr>
          <w:rFonts w:hint="eastAsia" w:ascii="仿宋" w:hAnsi="仿宋" w:eastAsia="仿宋" w:cs="仿宋"/>
          <w:highlight w:val="none"/>
          <w:lang w:val="en-US" w:eastAsia="zh-CN"/>
        </w:rPr>
        <w:t>中心覆盖为</w:t>
      </w:r>
      <w:r>
        <w:rPr>
          <w:rFonts w:hint="eastAsia" w:ascii="仿宋" w:hAnsi="仿宋" w:eastAsia="仿宋" w:cs="仿宋"/>
          <w:highlight w:val="none"/>
        </w:rPr>
        <w:t>黄鹤楼中心、首义路中心、杨园中心、徐家棚中心、积玉桥中心、水果湖中心、中华路中心和白沙二中心等8个社区</w:t>
      </w:r>
      <w:r>
        <w:rPr>
          <w:rFonts w:hint="eastAsia" w:ascii="仿宋" w:hAnsi="仿宋" w:eastAsia="仿宋" w:cs="仿宋"/>
          <w:highlight w:val="none"/>
          <w:lang w:val="en-US" w:eastAsia="zh-CN"/>
        </w:rPr>
        <w:t>中心</w:t>
      </w:r>
      <w:r>
        <w:rPr>
          <w:rFonts w:hint="eastAsia" w:ascii="仿宋" w:hAnsi="仿宋" w:eastAsia="仿宋" w:cs="仿宋"/>
          <w:highlight w:val="none"/>
        </w:rPr>
        <w:t>实际</w:t>
      </w:r>
      <w:r>
        <w:rPr>
          <w:rFonts w:hint="eastAsia" w:ascii="仿宋" w:hAnsi="仿宋" w:eastAsia="仿宋" w:cs="仿宋"/>
          <w:highlight w:val="none"/>
          <w:lang w:eastAsia="zh-CN"/>
        </w:rPr>
        <w:t>，</w:t>
      </w:r>
      <w:r>
        <w:rPr>
          <w:rFonts w:hint="eastAsia" w:ascii="仿宋" w:hAnsi="仿宋" w:eastAsia="仿宋" w:cs="仿宋"/>
          <w:highlight w:val="none"/>
        </w:rPr>
        <w:t>大医院专家坐诊</w:t>
      </w:r>
      <w:r>
        <w:rPr>
          <w:rFonts w:hint="eastAsia" w:ascii="仿宋" w:hAnsi="仿宋" w:eastAsia="仿宋" w:cs="仿宋"/>
          <w:highlight w:val="none"/>
          <w:lang w:val="en-US" w:eastAsia="zh-CN"/>
        </w:rPr>
        <w:t>实际</w:t>
      </w:r>
      <w:r>
        <w:rPr>
          <w:rFonts w:hint="eastAsia" w:ascii="仿宋" w:hAnsi="仿宋" w:eastAsia="仿宋" w:cs="仿宋"/>
          <w:highlight w:val="none"/>
        </w:rPr>
        <w:t>覆盖社区</w:t>
      </w:r>
      <w:r>
        <w:rPr>
          <w:rFonts w:hint="eastAsia" w:ascii="仿宋" w:hAnsi="仿宋" w:eastAsia="仿宋" w:cs="仿宋"/>
          <w:highlight w:val="none"/>
          <w:lang w:val="en-US" w:eastAsia="zh-CN"/>
        </w:rPr>
        <w:t>中心</w:t>
      </w:r>
      <w:r>
        <w:rPr>
          <w:rFonts w:hint="eastAsia" w:ascii="仿宋" w:hAnsi="仿宋" w:eastAsia="仿宋" w:cs="仿宋"/>
          <w:highlight w:val="none"/>
        </w:rPr>
        <w:t>有黄鹤楼中心、首义路中心、杨园中心、徐家棚中心、积玉桥中心、水果湖中心、中华路中心和白沙二中心等8个社区</w:t>
      </w:r>
      <w:r>
        <w:rPr>
          <w:rFonts w:hint="eastAsia" w:ascii="仿宋" w:hAnsi="仿宋" w:eastAsia="仿宋" w:cs="仿宋"/>
          <w:highlight w:val="none"/>
          <w:lang w:val="en-US" w:eastAsia="zh-CN"/>
        </w:rPr>
        <w:t>中心</w:t>
      </w:r>
      <w:r>
        <w:rPr>
          <w:rFonts w:hint="eastAsia" w:ascii="仿宋" w:hAnsi="仿宋" w:eastAsia="仿宋" w:cs="仿宋"/>
          <w:highlight w:val="none"/>
        </w:rPr>
        <w:t>。</w:t>
      </w:r>
    </w:p>
    <w:p>
      <w:pPr>
        <w:pStyle w:val="4"/>
        <w:shd w:val="clear"/>
        <w:spacing w:before="10" w:after="10" w:line="400" w:lineRule="exact"/>
        <w:ind w:firstLine="482"/>
        <w:rPr>
          <w:rFonts w:ascii="仿宋" w:hAnsi="仿宋" w:eastAsia="仿宋" w:cs="仿宋"/>
          <w:color w:val="000000" w:themeColor="text1"/>
          <w:sz w:val="24"/>
          <w:szCs w:val="24"/>
          <w:highlight w:val="none"/>
        </w:rPr>
      </w:pPr>
      <w:bookmarkStart w:id="23" w:name="_Toc19847"/>
      <w:r>
        <w:rPr>
          <w:rFonts w:hint="eastAsia" w:ascii="仿宋" w:hAnsi="仿宋" w:eastAsia="仿宋" w:cs="仿宋"/>
          <w:color w:val="000000" w:themeColor="text1"/>
          <w:sz w:val="24"/>
          <w:szCs w:val="24"/>
          <w:highlight w:val="none"/>
        </w:rPr>
        <w:t>4.项目资金投入和使用情况</w:t>
      </w:r>
      <w:bookmarkEnd w:id="22"/>
      <w:bookmarkEnd w:id="23"/>
    </w:p>
    <w:p>
      <w:pPr>
        <w:shd w:val="clear"/>
        <w:ind w:firstLine="480"/>
        <w:rPr>
          <w:rFonts w:ascii="仿宋" w:hAnsi="仿宋" w:eastAsia="仿宋" w:cs="仿宋"/>
          <w:highlight w:val="none"/>
        </w:rPr>
      </w:pPr>
      <w:bookmarkStart w:id="24" w:name="_Toc494137721"/>
      <w:r>
        <w:rPr>
          <w:rFonts w:hint="eastAsia" w:ascii="仿宋" w:hAnsi="仿宋" w:eastAsia="仿宋" w:cs="仿宋"/>
          <w:highlight w:val="none"/>
        </w:rPr>
        <w:t>项目资金投入：区卫健局2019年大医院专家坐诊实际到位资金226.00万元，用于发放大医院专家坐诊补贴。</w:t>
      </w:r>
    </w:p>
    <w:p>
      <w:pPr>
        <w:shd w:val="clear"/>
        <w:ind w:firstLine="480"/>
        <w:rPr>
          <w:rFonts w:ascii="仿宋" w:hAnsi="仿宋" w:eastAsia="仿宋" w:cs="仿宋"/>
          <w:highlight w:val="none"/>
        </w:rPr>
      </w:pPr>
      <w:r>
        <w:rPr>
          <w:rFonts w:hint="eastAsia" w:ascii="仿宋" w:hAnsi="仿宋" w:eastAsia="仿宋" w:cs="仿宋"/>
          <w:highlight w:val="none"/>
        </w:rPr>
        <w:t>项目资金使用情况：</w:t>
      </w:r>
      <w:bookmarkEnd w:id="24"/>
      <w:bookmarkStart w:id="25" w:name="_Toc13572"/>
      <w:r>
        <w:rPr>
          <w:rFonts w:hint="eastAsia" w:ascii="仿宋" w:hAnsi="仿宋" w:eastAsia="仿宋" w:cs="仿宋"/>
          <w:highlight w:val="none"/>
        </w:rPr>
        <w:t>区卫健局2019年大医院专家坐诊项目预算资金226.00万元，实际到位资金226.00万元，实际支出226.00万元，其中：拨付湖北省中医院专家坐诊补贴57.16万元、拨付武昌医院专家坐诊补贴0.45万元、拨付中南医院专家坐诊补贴9.30万元、拨付武汉市第七医院专家坐诊补贴40.00万元、拨付湖北省人民医院专家坐诊补贴27.15万元、拨付武汉市第三医院专家坐诊补贴25.71万元、拨付湖北省中医药大学国医堂专家坐诊补贴60.00万元、预拨徐家棚社区卫生服务中心2020年专家坐诊补贴6.23万元。</w:t>
      </w:r>
    </w:p>
    <w:p>
      <w:pPr>
        <w:pStyle w:val="3"/>
        <w:numPr>
          <w:ilvl w:val="1"/>
          <w:numId w:val="0"/>
        </w:numPr>
        <w:shd w:val="clear"/>
        <w:tabs>
          <w:tab w:val="clear" w:pos="420"/>
        </w:tabs>
        <w:spacing w:beforeLines="50" w:afterLines="50" w:line="400" w:lineRule="exact"/>
        <w:rPr>
          <w:rFonts w:ascii="仿宋" w:hAnsi="仿宋" w:eastAsia="仿宋" w:cs="仿宋"/>
          <w:b/>
          <w:bCs/>
          <w:color w:val="000000" w:themeColor="text1"/>
          <w:sz w:val="24"/>
          <w:szCs w:val="24"/>
          <w:highlight w:val="none"/>
        </w:rPr>
      </w:pPr>
      <w:bookmarkStart w:id="26" w:name="_Toc19040"/>
      <w:r>
        <w:rPr>
          <w:rFonts w:hint="eastAsia" w:ascii="仿宋" w:hAnsi="仿宋" w:eastAsia="仿宋" w:cs="仿宋"/>
          <w:b/>
          <w:bCs/>
          <w:color w:val="000000" w:themeColor="text1"/>
          <w:sz w:val="24"/>
          <w:szCs w:val="24"/>
          <w:highlight w:val="none"/>
        </w:rPr>
        <w:t>（二）项目绩效目标</w:t>
      </w:r>
      <w:bookmarkEnd w:id="25"/>
      <w:bookmarkEnd w:id="26"/>
    </w:p>
    <w:p>
      <w:pPr>
        <w:pStyle w:val="4"/>
        <w:shd w:val="clear"/>
        <w:spacing w:before="10" w:after="10" w:line="360" w:lineRule="auto"/>
        <w:ind w:firstLine="479" w:firstLineChars="199"/>
        <w:rPr>
          <w:rFonts w:ascii="仿宋" w:hAnsi="仿宋" w:eastAsia="仿宋" w:cs="仿宋"/>
          <w:highlight w:val="none"/>
        </w:rPr>
      </w:pPr>
      <w:bookmarkStart w:id="27" w:name="_Toc15015"/>
      <w:bookmarkStart w:id="28" w:name="_Toc30460"/>
      <w:r>
        <w:rPr>
          <w:rFonts w:hint="eastAsia" w:ascii="仿宋" w:hAnsi="仿宋" w:eastAsia="仿宋" w:cs="仿宋"/>
          <w:color w:val="000000" w:themeColor="text1"/>
          <w:sz w:val="24"/>
          <w:szCs w:val="24"/>
          <w:highlight w:val="none"/>
        </w:rPr>
        <w:t>1.项目产出目标</w:t>
      </w:r>
      <w:bookmarkEnd w:id="27"/>
      <w:bookmarkEnd w:id="28"/>
    </w:p>
    <w:p>
      <w:pPr>
        <w:shd w:val="clear"/>
        <w:ind w:firstLine="480"/>
        <w:rPr>
          <w:rFonts w:ascii="仿宋" w:hAnsi="仿宋" w:eastAsia="仿宋" w:cs="仿宋"/>
          <w:highlight w:val="none"/>
        </w:rPr>
      </w:pPr>
      <w:r>
        <w:rPr>
          <w:rFonts w:hint="eastAsia" w:ascii="仿宋" w:hAnsi="仿宋" w:eastAsia="仿宋" w:cs="仿宋"/>
          <w:highlight w:val="none"/>
        </w:rPr>
        <w:t>（1）数量目标：①大医院专家坐诊人数34人；②大医院专家坐诊社区100.00%覆盖。</w:t>
      </w:r>
    </w:p>
    <w:p>
      <w:pPr>
        <w:shd w:val="clear"/>
        <w:ind w:firstLine="480"/>
        <w:rPr>
          <w:rFonts w:ascii="仿宋" w:hAnsi="仿宋" w:eastAsia="仿宋" w:cs="仿宋"/>
          <w:highlight w:val="none"/>
        </w:rPr>
      </w:pPr>
      <w:r>
        <w:rPr>
          <w:rFonts w:hint="eastAsia" w:ascii="仿宋" w:hAnsi="仿宋" w:eastAsia="仿宋" w:cs="仿宋"/>
          <w:highlight w:val="none"/>
        </w:rPr>
        <w:t>（2）成本指标：专家坐诊补贴标准：按职称及医院级别，分为300元/人/次、500元/人/次。</w:t>
      </w:r>
    </w:p>
    <w:p>
      <w:pPr>
        <w:pStyle w:val="4"/>
        <w:shd w:val="clear"/>
        <w:spacing w:before="10" w:after="10" w:line="360" w:lineRule="auto"/>
        <w:ind w:firstLine="482"/>
        <w:rPr>
          <w:rFonts w:ascii="仿宋" w:hAnsi="仿宋" w:eastAsia="仿宋" w:cs="仿宋"/>
          <w:color w:val="000000" w:themeColor="text1"/>
          <w:sz w:val="24"/>
          <w:szCs w:val="24"/>
          <w:highlight w:val="none"/>
        </w:rPr>
      </w:pPr>
      <w:bookmarkStart w:id="29" w:name="_Toc20745"/>
      <w:r>
        <w:rPr>
          <w:rFonts w:hint="eastAsia" w:ascii="仿宋" w:hAnsi="仿宋" w:eastAsia="仿宋" w:cs="仿宋"/>
          <w:color w:val="000000" w:themeColor="text1"/>
          <w:sz w:val="24"/>
          <w:szCs w:val="24"/>
          <w:highlight w:val="none"/>
        </w:rPr>
        <w:t>2.项目效益目标</w:t>
      </w:r>
      <w:bookmarkEnd w:id="29"/>
    </w:p>
    <w:p>
      <w:pPr>
        <w:shd w:val="clear"/>
        <w:ind w:firstLine="480"/>
        <w:rPr>
          <w:rFonts w:ascii="仿宋" w:hAnsi="仿宋" w:eastAsia="仿宋" w:cs="仿宋"/>
          <w:highlight w:val="none"/>
        </w:rPr>
      </w:pPr>
      <w:r>
        <w:rPr>
          <w:rFonts w:hint="eastAsia" w:ascii="仿宋" w:hAnsi="仿宋" w:eastAsia="仿宋" w:cs="仿宋"/>
          <w:highlight w:val="none"/>
        </w:rPr>
        <w:t>2019年度该项目安排34名大医院专家下沉到社区卫生服务中心常态化坐诊、驻诊和带教，引导群众改变就医观念和习惯，提升了基层医疗服务能力，社区居民满意度达到80.00%以上。</w:t>
      </w:r>
    </w:p>
    <w:p>
      <w:pPr>
        <w:pStyle w:val="3"/>
        <w:numPr>
          <w:ilvl w:val="1"/>
          <w:numId w:val="0"/>
        </w:numPr>
        <w:shd w:val="clear"/>
        <w:tabs>
          <w:tab w:val="clear" w:pos="420"/>
        </w:tabs>
        <w:spacing w:beforeLines="50" w:afterLines="50" w:line="400" w:lineRule="exact"/>
        <w:rPr>
          <w:rFonts w:ascii="仿宋" w:hAnsi="仿宋" w:eastAsia="仿宋" w:cs="仿宋"/>
          <w:b/>
          <w:bCs/>
          <w:color w:val="000000" w:themeColor="text1"/>
          <w:sz w:val="24"/>
          <w:szCs w:val="24"/>
          <w:highlight w:val="none"/>
        </w:rPr>
      </w:pPr>
      <w:bookmarkStart w:id="30" w:name="_Toc6746"/>
      <w:bookmarkStart w:id="31" w:name="_Toc17713"/>
      <w:r>
        <w:rPr>
          <w:rFonts w:hint="eastAsia" w:ascii="仿宋" w:hAnsi="仿宋" w:eastAsia="仿宋" w:cs="仿宋"/>
          <w:b/>
          <w:bCs/>
          <w:color w:val="000000" w:themeColor="text1"/>
          <w:sz w:val="24"/>
          <w:szCs w:val="24"/>
          <w:highlight w:val="none"/>
        </w:rPr>
        <w:t>（三）项目目标完成情况</w:t>
      </w:r>
      <w:bookmarkEnd w:id="30"/>
      <w:bookmarkEnd w:id="31"/>
    </w:p>
    <w:p>
      <w:pPr>
        <w:shd w:val="clear"/>
        <w:ind w:firstLine="480"/>
        <w:rPr>
          <w:rFonts w:ascii="仿宋" w:hAnsi="仿宋" w:eastAsia="仿宋" w:cs="仿宋"/>
          <w:highlight w:val="none"/>
        </w:rPr>
      </w:pPr>
      <w:r>
        <w:rPr>
          <w:rFonts w:hint="eastAsia" w:ascii="仿宋" w:hAnsi="仿宋" w:eastAsia="仿宋" w:cs="仿宋"/>
          <w:highlight w:val="none"/>
          <w:shd w:val="clear"/>
        </w:rPr>
        <w:t>依据《财政支出绩效评价管理办法》（财预[2020]10号），并结合本项目预算，设定出产出目标和效益目标。项目完成数量指标中，年初设定坐诊专家人数指标值为34人，截至2019年11月共计选派264名专家参与坐诊会诊8275人次，其中，根据医联体专家坐诊及转会诊工作实际情况，排班安排武汉市第七医院20名专家进行网络会诊。截至2019年11月出诊率为776.47%；</w:t>
      </w:r>
      <w:r>
        <w:rPr>
          <w:rFonts w:hint="eastAsia" w:ascii="仿宋" w:hAnsi="仿宋" w:eastAsia="仿宋" w:cs="仿宋"/>
          <w:highlight w:val="none"/>
          <w:shd w:val="clear"/>
          <w:lang w:val="en-US" w:eastAsia="zh-CN"/>
        </w:rPr>
        <w:t>截至2019年10月，武昌区全区常住人口家庭医生签约167484人，实际履约147247人，</w:t>
      </w:r>
      <w:r>
        <w:rPr>
          <w:rFonts w:hint="eastAsia" w:ascii="仿宋" w:hAnsi="仿宋" w:eastAsia="仿宋" w:cs="仿宋"/>
          <w:highlight w:val="none"/>
          <w:shd w:val="clear"/>
        </w:rPr>
        <w:t>家庭医生签约服务履约率</w:t>
      </w:r>
      <w:r>
        <w:rPr>
          <w:rFonts w:hint="eastAsia" w:ascii="仿宋" w:hAnsi="仿宋" w:eastAsia="仿宋" w:cs="仿宋"/>
          <w:highlight w:val="none"/>
          <w:shd w:val="clear"/>
          <w:lang w:val="en-US" w:eastAsia="zh-CN"/>
        </w:rPr>
        <w:t>为87.92%；</w:t>
      </w:r>
      <w:r>
        <w:rPr>
          <w:rFonts w:hint="eastAsia" w:ascii="仿宋" w:hAnsi="仿宋" w:eastAsia="仿宋" w:cs="仿宋"/>
          <w:highlight w:val="none"/>
          <w:shd w:val="clear"/>
        </w:rPr>
        <w:t>年初设定社区中心覆盖为黄鹤楼中心、首义路中心、杨园中心、徐家棚中心、积玉桥中心、水果湖中心、中华路中心和白沙二中心等8个社区中心实际，大医院专家坐诊实际覆盖社区中心有黄鹤楼中心、首义路中心、杨园中心、徐家棚中心、积玉桥中心、水果湖中心、中华路中心和白沙二中心等8个社区中心</w:t>
      </w:r>
      <w:r>
        <w:rPr>
          <w:rFonts w:hint="eastAsia" w:ascii="仿宋" w:hAnsi="仿宋" w:eastAsia="仿宋" w:cs="仿宋"/>
          <w:highlight w:val="none"/>
          <w:shd w:val="clear"/>
          <w:lang w:val="en-US" w:eastAsia="zh-CN"/>
        </w:rPr>
        <w:t>。</w:t>
      </w:r>
      <w:bookmarkStart w:id="224" w:name="_GoBack"/>
      <w:bookmarkEnd w:id="224"/>
      <w:r>
        <w:rPr>
          <w:rFonts w:hint="eastAsia" w:ascii="仿宋" w:hAnsi="仿宋" w:eastAsia="仿宋" w:cs="仿宋"/>
          <w:highlight w:val="none"/>
          <w:shd w:val="clear"/>
          <w:lang w:val="en-US" w:eastAsia="zh-CN"/>
        </w:rPr>
        <w:t>质量指标中，项目计划上转下转病人数同比增长率达到10%以上，该项目2019年度医联体内上转下转病人10889人次，同比增长36.30%，上转下转病人数同比增长完成率为363%</w:t>
      </w:r>
      <w:r>
        <w:rPr>
          <w:rFonts w:hint="eastAsia" w:ascii="仿宋" w:hAnsi="仿宋" w:eastAsia="仿宋" w:cs="仿宋"/>
          <w:highlight w:val="none"/>
          <w:shd w:val="clear"/>
        </w:rPr>
        <w:t>。社区覆盖率100.00%；成本指标中，项目年初预算为226.00万元，2019年度项目实际支出成本为226.00万元，成本控制率为100.00%。</w:t>
      </w:r>
    </w:p>
    <w:p>
      <w:pPr>
        <w:pStyle w:val="2"/>
        <w:shd w:val="clear"/>
        <w:spacing w:before="326" w:after="163" w:line="240" w:lineRule="exact"/>
        <w:ind w:firstLine="0" w:firstLineChars="0"/>
        <w:jc w:val="both"/>
        <w:rPr>
          <w:rFonts w:ascii="仿宋" w:hAnsi="仿宋" w:eastAsia="仿宋" w:cs="仿宋"/>
          <w:b/>
          <w:bCs w:val="0"/>
          <w:color w:val="auto"/>
          <w:sz w:val="28"/>
          <w:szCs w:val="28"/>
          <w:highlight w:val="none"/>
        </w:rPr>
      </w:pPr>
      <w:bookmarkStart w:id="32" w:name="_Toc15363"/>
      <w:r>
        <w:rPr>
          <w:rFonts w:hint="eastAsia" w:ascii="仿宋" w:hAnsi="仿宋" w:eastAsia="仿宋" w:cs="仿宋"/>
          <w:b/>
          <w:bCs w:val="0"/>
          <w:color w:val="auto"/>
          <w:sz w:val="28"/>
          <w:szCs w:val="28"/>
          <w:highlight w:val="none"/>
        </w:rPr>
        <w:t>二、绩效评价工作开展情况</w:t>
      </w:r>
      <w:bookmarkEnd w:id="32"/>
    </w:p>
    <w:p>
      <w:pPr>
        <w:pStyle w:val="3"/>
        <w:numPr>
          <w:ilvl w:val="1"/>
          <w:numId w:val="0"/>
        </w:numPr>
        <w:shd w:val="clear"/>
        <w:tabs>
          <w:tab w:val="clear" w:pos="420"/>
        </w:tabs>
        <w:spacing w:beforeLines="50" w:afterLines="50" w:line="400" w:lineRule="exact"/>
        <w:rPr>
          <w:rFonts w:ascii="仿宋" w:hAnsi="仿宋" w:eastAsia="仿宋" w:cs="仿宋"/>
          <w:b/>
          <w:bCs/>
          <w:color w:val="000000" w:themeColor="text1"/>
          <w:sz w:val="24"/>
          <w:szCs w:val="24"/>
          <w:highlight w:val="none"/>
        </w:rPr>
      </w:pPr>
      <w:bookmarkStart w:id="33" w:name="_Toc19536"/>
      <w:bookmarkStart w:id="34" w:name="_Toc12830"/>
      <w:r>
        <w:rPr>
          <w:rFonts w:hint="eastAsia" w:ascii="仿宋" w:hAnsi="仿宋" w:eastAsia="仿宋" w:cs="仿宋"/>
          <w:b/>
          <w:bCs/>
          <w:color w:val="000000" w:themeColor="text1"/>
          <w:sz w:val="24"/>
          <w:szCs w:val="24"/>
          <w:highlight w:val="none"/>
        </w:rPr>
        <w:t>（一）绩效评价目的</w:t>
      </w:r>
      <w:bookmarkEnd w:id="33"/>
      <w:r>
        <w:rPr>
          <w:rFonts w:hint="eastAsia" w:ascii="仿宋" w:hAnsi="仿宋" w:eastAsia="仿宋" w:cs="仿宋"/>
          <w:b/>
          <w:bCs/>
          <w:color w:val="000000" w:themeColor="text1"/>
          <w:sz w:val="24"/>
          <w:szCs w:val="24"/>
          <w:highlight w:val="none"/>
        </w:rPr>
        <w:t>、对象及范围</w:t>
      </w:r>
      <w:bookmarkEnd w:id="34"/>
    </w:p>
    <w:p>
      <w:pPr>
        <w:shd w:val="clear"/>
        <w:ind w:firstLine="480"/>
        <w:rPr>
          <w:rFonts w:ascii="仿宋" w:hAnsi="仿宋" w:eastAsia="仿宋" w:cs="仿宋"/>
          <w:highlight w:val="none"/>
        </w:rPr>
      </w:pPr>
      <w:bookmarkStart w:id="35" w:name="_Toc494137722"/>
      <w:bookmarkStart w:id="36" w:name="_Toc5988"/>
      <w:bookmarkStart w:id="37" w:name="_Toc8141"/>
      <w:r>
        <w:rPr>
          <w:rFonts w:hint="eastAsia" w:ascii="仿宋" w:hAnsi="仿宋" w:eastAsia="仿宋" w:cs="仿宋"/>
          <w:highlight w:val="none"/>
        </w:rPr>
        <w:t>本次绩效评价的目的是通过对财政专项资金支出的“追踪问效”，考核、评价财政预算中由武汉市武昌区卫生健康局承担的2019年度“大医院专家坐诊”项目支出的实施和运作情况，检验项目支出是否达到预期目标，以提高部门的绩效意识，为深化预算管理改革、规范预算编制管理，优化支出结构，合理配置资源，提高财政资金使用效率和效益提供参考依据。</w:t>
      </w:r>
      <w:bookmarkEnd w:id="35"/>
      <w:bookmarkEnd w:id="36"/>
      <w:bookmarkEnd w:id="37"/>
    </w:p>
    <w:p>
      <w:pPr>
        <w:pStyle w:val="3"/>
        <w:numPr>
          <w:ilvl w:val="1"/>
          <w:numId w:val="0"/>
        </w:numPr>
        <w:shd w:val="clear"/>
        <w:tabs>
          <w:tab w:val="clear" w:pos="420"/>
        </w:tabs>
        <w:spacing w:beforeLines="50" w:afterLines="50" w:line="400" w:lineRule="exact"/>
        <w:rPr>
          <w:rFonts w:ascii="仿宋" w:hAnsi="仿宋" w:eastAsia="仿宋" w:cs="仿宋"/>
          <w:b/>
          <w:bCs/>
          <w:color w:val="000000" w:themeColor="text1"/>
          <w:sz w:val="24"/>
          <w:szCs w:val="24"/>
          <w:highlight w:val="none"/>
        </w:rPr>
      </w:pPr>
      <w:bookmarkStart w:id="38" w:name="_Toc712"/>
      <w:bookmarkStart w:id="39" w:name="_Toc11132"/>
      <w:r>
        <w:rPr>
          <w:rFonts w:hint="eastAsia" w:ascii="仿宋" w:hAnsi="仿宋" w:eastAsia="仿宋" w:cs="仿宋"/>
          <w:b/>
          <w:bCs/>
          <w:color w:val="000000" w:themeColor="text1"/>
          <w:sz w:val="24"/>
          <w:szCs w:val="24"/>
          <w:highlight w:val="none"/>
        </w:rPr>
        <w:t>（二）绩效评价原则及方法、评价指标体系</w:t>
      </w:r>
      <w:bookmarkEnd w:id="38"/>
    </w:p>
    <w:p>
      <w:pPr>
        <w:pStyle w:val="4"/>
        <w:shd w:val="clear"/>
        <w:spacing w:before="10" w:after="10" w:line="320" w:lineRule="exact"/>
        <w:ind w:firstLine="482"/>
        <w:rPr>
          <w:rFonts w:ascii="仿宋" w:hAnsi="仿宋" w:eastAsia="仿宋" w:cs="仿宋"/>
          <w:color w:val="000000" w:themeColor="text1"/>
          <w:sz w:val="24"/>
          <w:szCs w:val="24"/>
          <w:highlight w:val="none"/>
        </w:rPr>
      </w:pPr>
      <w:bookmarkStart w:id="40" w:name="_Toc32363"/>
      <w:bookmarkStart w:id="41" w:name="_Toc28611"/>
      <w:r>
        <w:rPr>
          <w:rFonts w:hint="eastAsia" w:ascii="仿宋" w:hAnsi="仿宋" w:eastAsia="仿宋" w:cs="仿宋"/>
          <w:color w:val="000000" w:themeColor="text1"/>
          <w:sz w:val="24"/>
          <w:szCs w:val="24"/>
          <w:highlight w:val="none"/>
        </w:rPr>
        <w:t>1.绩效评价原则</w:t>
      </w:r>
      <w:bookmarkEnd w:id="40"/>
      <w:bookmarkEnd w:id="41"/>
    </w:p>
    <w:p>
      <w:pPr>
        <w:shd w:val="clear"/>
        <w:ind w:firstLine="480"/>
        <w:rPr>
          <w:rFonts w:ascii="仿宋" w:hAnsi="仿宋" w:eastAsia="仿宋" w:cs="仿宋"/>
          <w:highlight w:val="none"/>
        </w:rPr>
      </w:pPr>
      <w:bookmarkStart w:id="42" w:name="_Toc494137723"/>
      <w:bookmarkStart w:id="43" w:name="_Toc14593"/>
      <w:r>
        <w:rPr>
          <w:rFonts w:hint="eastAsia" w:ascii="仿宋" w:hAnsi="仿宋" w:eastAsia="仿宋" w:cs="仿宋"/>
          <w:highlight w:val="none"/>
        </w:rPr>
        <w:t>本次评价指标体系制定遵循以下原则：</w:t>
      </w:r>
      <w:bookmarkEnd w:id="42"/>
      <w:bookmarkEnd w:id="43"/>
    </w:p>
    <w:p>
      <w:pPr>
        <w:shd w:val="clear"/>
        <w:ind w:firstLine="480"/>
        <w:rPr>
          <w:rFonts w:ascii="仿宋" w:hAnsi="仿宋" w:eastAsia="仿宋" w:cs="仿宋"/>
          <w:highlight w:val="none"/>
        </w:rPr>
      </w:pPr>
      <w:bookmarkStart w:id="44" w:name="_Toc10895"/>
      <w:bookmarkStart w:id="45" w:name="_Toc494137724"/>
      <w:r>
        <w:rPr>
          <w:rFonts w:hint="eastAsia" w:ascii="仿宋" w:hAnsi="仿宋" w:eastAsia="仿宋" w:cs="仿宋"/>
          <w:highlight w:val="none"/>
        </w:rPr>
        <w:t>（1）科学规范原则。根据项目类型，按照规范、公开、透明的要求制定科学、合理的绩效评价指标、评价标准、评价方法，严格执行规定的程序对区卫健局2019年度“大医院专家坐诊”项目进行客观、公正的评价。</w:t>
      </w:r>
      <w:bookmarkEnd w:id="44"/>
      <w:bookmarkEnd w:id="45"/>
    </w:p>
    <w:p>
      <w:pPr>
        <w:shd w:val="clear"/>
        <w:ind w:firstLine="480"/>
        <w:rPr>
          <w:rFonts w:ascii="仿宋" w:hAnsi="仿宋" w:eastAsia="仿宋" w:cs="仿宋"/>
          <w:highlight w:val="none"/>
        </w:rPr>
      </w:pPr>
      <w:bookmarkStart w:id="46" w:name="_Toc20190"/>
      <w:bookmarkStart w:id="47" w:name="_Toc494137725"/>
      <w:r>
        <w:rPr>
          <w:rFonts w:hint="eastAsia" w:ascii="仿宋" w:hAnsi="仿宋" w:eastAsia="仿宋" w:cs="仿宋"/>
          <w:highlight w:val="none"/>
        </w:rPr>
        <w:t>（2）独立公正原则。绩效评价委托第三方中介机构成立绩效评价工作组进行评价，保证绩效评价过程的独立性与公正性。</w:t>
      </w:r>
      <w:bookmarkEnd w:id="46"/>
      <w:bookmarkEnd w:id="47"/>
    </w:p>
    <w:p>
      <w:pPr>
        <w:shd w:val="clear"/>
        <w:ind w:firstLine="480"/>
        <w:rPr>
          <w:rFonts w:ascii="仿宋" w:hAnsi="仿宋" w:eastAsia="仿宋" w:cs="仿宋"/>
          <w:highlight w:val="none"/>
        </w:rPr>
      </w:pPr>
      <w:bookmarkStart w:id="48" w:name="_Toc8248"/>
      <w:bookmarkStart w:id="49" w:name="_Toc494137726"/>
      <w:r>
        <w:rPr>
          <w:rFonts w:hint="eastAsia" w:ascii="仿宋" w:hAnsi="仿宋" w:eastAsia="仿宋" w:cs="仿宋"/>
          <w:highlight w:val="none"/>
        </w:rPr>
        <w:t>（3）突出重点原则。根据项目实际情况，这次项目检查的重点从项目决策、过程、产出和效益四个方面进行评价。</w:t>
      </w:r>
      <w:bookmarkEnd w:id="48"/>
      <w:bookmarkEnd w:id="49"/>
    </w:p>
    <w:p>
      <w:pPr>
        <w:shd w:val="clear"/>
        <w:ind w:firstLine="480"/>
        <w:rPr>
          <w:rFonts w:ascii="仿宋" w:hAnsi="仿宋" w:eastAsia="仿宋" w:cs="仿宋"/>
          <w:szCs w:val="32"/>
          <w:highlight w:val="none"/>
        </w:rPr>
      </w:pPr>
      <w:bookmarkStart w:id="50" w:name="_Toc13767"/>
      <w:bookmarkStart w:id="51" w:name="_Toc494137727"/>
      <w:r>
        <w:rPr>
          <w:rFonts w:hint="eastAsia" w:ascii="仿宋" w:hAnsi="仿宋" w:eastAsia="仿宋" w:cs="仿宋"/>
          <w:highlight w:val="none"/>
        </w:rPr>
        <w:t>（4）系统性原则。将定量指标与定性指标相结合，以定量分析为主、定性分析为辅，系统反映规划测绘项目所产生的社会效益和经济效益等。</w:t>
      </w:r>
      <w:bookmarkEnd w:id="50"/>
      <w:bookmarkEnd w:id="51"/>
    </w:p>
    <w:p>
      <w:pPr>
        <w:pStyle w:val="4"/>
        <w:shd w:val="clear"/>
        <w:spacing w:before="10" w:after="10" w:line="360" w:lineRule="auto"/>
        <w:ind w:firstLine="482"/>
        <w:rPr>
          <w:rFonts w:ascii="仿宋" w:hAnsi="仿宋" w:eastAsia="仿宋" w:cs="仿宋"/>
          <w:color w:val="000000" w:themeColor="text1"/>
          <w:sz w:val="24"/>
          <w:szCs w:val="24"/>
          <w:highlight w:val="none"/>
        </w:rPr>
      </w:pPr>
      <w:bookmarkStart w:id="52" w:name="_Toc25626"/>
      <w:bookmarkStart w:id="53" w:name="_Toc19188"/>
      <w:r>
        <w:rPr>
          <w:rFonts w:hint="eastAsia" w:ascii="仿宋" w:hAnsi="仿宋" w:eastAsia="仿宋" w:cs="仿宋"/>
          <w:color w:val="000000" w:themeColor="text1"/>
          <w:sz w:val="24"/>
          <w:szCs w:val="24"/>
          <w:highlight w:val="none"/>
        </w:rPr>
        <w:t>2.绩效评价方法</w:t>
      </w:r>
      <w:bookmarkEnd w:id="52"/>
      <w:bookmarkEnd w:id="53"/>
    </w:p>
    <w:p>
      <w:pPr>
        <w:shd w:val="clear"/>
        <w:ind w:firstLine="480"/>
        <w:rPr>
          <w:rFonts w:ascii="仿宋" w:hAnsi="仿宋" w:eastAsia="仿宋" w:cs="仿宋"/>
          <w:highlight w:val="none"/>
        </w:rPr>
      </w:pPr>
      <w:bookmarkStart w:id="54" w:name="_Toc29138"/>
      <w:bookmarkStart w:id="55" w:name="_Toc423868703"/>
      <w:bookmarkStart w:id="56" w:name="_Toc494137739"/>
      <w:r>
        <w:rPr>
          <w:rFonts w:hint="eastAsia" w:ascii="仿宋" w:hAnsi="仿宋" w:eastAsia="仿宋" w:cs="仿宋"/>
          <w:highlight w:val="none"/>
        </w:rPr>
        <w:t>（1）单项指标计分方法</w:t>
      </w:r>
      <w:bookmarkEnd w:id="54"/>
      <w:bookmarkEnd w:id="55"/>
      <w:bookmarkEnd w:id="56"/>
    </w:p>
    <w:p>
      <w:pPr>
        <w:shd w:val="clear"/>
        <w:ind w:firstLine="480"/>
        <w:rPr>
          <w:rFonts w:ascii="仿宋" w:hAnsi="仿宋" w:eastAsia="仿宋" w:cs="仿宋"/>
          <w:highlight w:val="none"/>
        </w:rPr>
      </w:pPr>
      <w:bookmarkStart w:id="57" w:name="_Toc494137740"/>
      <w:bookmarkStart w:id="58" w:name="_Toc21051"/>
      <w:r>
        <w:rPr>
          <w:rFonts w:hint="eastAsia" w:ascii="仿宋" w:hAnsi="仿宋" w:eastAsia="仿宋" w:cs="仿宋"/>
          <w:highlight w:val="none"/>
        </w:rPr>
        <w:t>本次评价指标中，有定性和定量指标，各类指标因考核的内容和标准值的存在与否，情况差异较大。因此单项指标计算中分别采用了不同方法。</w:t>
      </w:r>
      <w:bookmarkEnd w:id="57"/>
      <w:bookmarkEnd w:id="58"/>
    </w:p>
    <w:p>
      <w:pPr>
        <w:shd w:val="clear"/>
        <w:ind w:firstLine="480"/>
        <w:rPr>
          <w:rFonts w:ascii="仿宋" w:hAnsi="仿宋" w:eastAsia="仿宋" w:cs="仿宋"/>
          <w:highlight w:val="none"/>
        </w:rPr>
      </w:pPr>
      <w:bookmarkStart w:id="59" w:name="_Toc494137741"/>
      <w:bookmarkStart w:id="60" w:name="_Toc22885"/>
      <w:r>
        <w:rPr>
          <w:rFonts w:hint="eastAsia" w:ascii="仿宋" w:hAnsi="仿宋" w:eastAsia="仿宋" w:cs="仿宋"/>
          <w:highlight w:val="none"/>
        </w:rPr>
        <w:t>①简单评分法</w:t>
      </w:r>
      <w:bookmarkEnd w:id="59"/>
      <w:bookmarkEnd w:id="60"/>
    </w:p>
    <w:p>
      <w:pPr>
        <w:shd w:val="clear"/>
        <w:ind w:firstLine="480"/>
        <w:rPr>
          <w:rFonts w:ascii="仿宋" w:hAnsi="仿宋" w:eastAsia="仿宋" w:cs="仿宋"/>
          <w:highlight w:val="none"/>
        </w:rPr>
      </w:pPr>
      <w:bookmarkStart w:id="61" w:name="_Toc494137742"/>
      <w:bookmarkStart w:id="62" w:name="_Toc5220"/>
      <w:r>
        <w:rPr>
          <w:rFonts w:hint="eastAsia" w:ascii="仿宋" w:hAnsi="仿宋" w:eastAsia="仿宋" w:cs="仿宋"/>
          <w:highlight w:val="none"/>
        </w:rPr>
        <w:t>对能够取得标准值的指标，采用简单评分法，即：</w:t>
      </w:r>
      <w:bookmarkEnd w:id="61"/>
      <w:bookmarkEnd w:id="62"/>
    </w:p>
    <w:p>
      <w:pPr>
        <w:shd w:val="clear"/>
        <w:ind w:firstLine="480"/>
        <w:rPr>
          <w:rFonts w:ascii="仿宋" w:hAnsi="仿宋" w:eastAsia="仿宋" w:cs="仿宋"/>
          <w:highlight w:val="none"/>
        </w:rPr>
      </w:pPr>
      <w:bookmarkStart w:id="63" w:name="_Toc494137743"/>
      <w:bookmarkStart w:id="64" w:name="_Toc15370"/>
      <w:bookmarkStart w:id="65" w:name="_Toc21731"/>
      <w:bookmarkStart w:id="66" w:name="_Toc494137744"/>
      <w:bookmarkStart w:id="67" w:name="_Toc22051"/>
      <w:r>
        <w:rPr>
          <w:rFonts w:hint="eastAsia"/>
          <w:highlight w:val="none"/>
        </w:rPr>
        <w:t>指标评分值=</w:t>
      </w:r>
      <w:bookmarkEnd w:id="63"/>
      <w:bookmarkEnd w:id="64"/>
      <w:bookmarkEnd w:id="65"/>
      <w:r>
        <w:rPr>
          <w:rFonts w:hint="eastAsia" w:ascii="仿宋" w:hAnsi="仿宋" w:eastAsia="仿宋" w:cs="仿宋"/>
          <w:position w:val="-32"/>
          <w:highlight w:val="none"/>
        </w:rPr>
        <w:object>
          <v:shape id="_x0000_i1025" o:spt="75" type="#_x0000_t75" style="height:33.75pt;width:249.7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p>
      <w:pPr>
        <w:shd w:val="clear"/>
        <w:ind w:firstLine="480"/>
        <w:rPr>
          <w:rFonts w:ascii="仿宋" w:hAnsi="仿宋" w:eastAsia="仿宋" w:cs="仿宋"/>
          <w:highlight w:val="none"/>
        </w:rPr>
      </w:pPr>
      <w:r>
        <w:rPr>
          <w:rFonts w:hint="eastAsia" w:ascii="仿宋" w:hAnsi="仿宋" w:eastAsia="仿宋" w:cs="仿宋"/>
          <w:highlight w:val="none"/>
        </w:rPr>
        <w:t>②因素分析法</w:t>
      </w:r>
      <w:bookmarkEnd w:id="66"/>
      <w:bookmarkEnd w:id="67"/>
    </w:p>
    <w:p>
      <w:pPr>
        <w:shd w:val="clear"/>
        <w:ind w:firstLine="480"/>
        <w:rPr>
          <w:rFonts w:ascii="仿宋" w:hAnsi="仿宋" w:eastAsia="仿宋" w:cs="仿宋"/>
          <w:highlight w:val="none"/>
        </w:rPr>
      </w:pPr>
      <w:bookmarkStart w:id="68" w:name="_Toc1182"/>
      <w:bookmarkStart w:id="69" w:name="_Toc494137745"/>
      <w:r>
        <w:rPr>
          <w:rFonts w:hint="eastAsia" w:ascii="仿宋" w:hAnsi="仿宋" w:eastAsia="仿宋" w:cs="仿宋"/>
          <w:highlight w:val="none"/>
        </w:rPr>
        <w:t>对定性指标和不存在标准值的指标，采用因素分析法，即指标标准定为100，并对影响指标结果的因素进行分析，设计出主要影响因素及因素权重分。采用多人评分方法得出综合评价分值，并用（1）中的方法计算指标评分值。</w:t>
      </w:r>
      <w:bookmarkEnd w:id="68"/>
      <w:bookmarkEnd w:id="69"/>
    </w:p>
    <w:p>
      <w:pPr>
        <w:shd w:val="clear"/>
        <w:ind w:firstLine="480"/>
        <w:rPr>
          <w:rFonts w:ascii="仿宋" w:hAnsi="仿宋" w:eastAsia="仿宋" w:cs="仿宋"/>
          <w:highlight w:val="none"/>
        </w:rPr>
      </w:pPr>
      <w:bookmarkStart w:id="70" w:name="_Toc13097"/>
      <w:bookmarkStart w:id="71" w:name="_Toc494137746"/>
      <w:bookmarkStart w:id="72" w:name="_Toc423868704"/>
      <w:r>
        <w:rPr>
          <w:rFonts w:hint="eastAsia" w:ascii="仿宋" w:hAnsi="仿宋" w:eastAsia="仿宋" w:cs="仿宋"/>
          <w:highlight w:val="none"/>
        </w:rPr>
        <w:t>（2）权重值的估计</w:t>
      </w:r>
      <w:bookmarkEnd w:id="70"/>
      <w:bookmarkEnd w:id="71"/>
      <w:bookmarkEnd w:id="72"/>
    </w:p>
    <w:p>
      <w:pPr>
        <w:shd w:val="clear"/>
        <w:ind w:firstLine="480"/>
        <w:rPr>
          <w:rFonts w:ascii="仿宋" w:hAnsi="仿宋" w:eastAsia="仿宋" w:cs="仿宋"/>
          <w:highlight w:val="none"/>
        </w:rPr>
      </w:pPr>
      <w:bookmarkStart w:id="73" w:name="_Toc494137747"/>
      <w:bookmarkStart w:id="74" w:name="_Toc18310"/>
      <w:r>
        <w:rPr>
          <w:rFonts w:hint="eastAsia" w:ascii="仿宋" w:hAnsi="仿宋" w:eastAsia="仿宋" w:cs="仿宋"/>
          <w:highlight w:val="none"/>
        </w:rPr>
        <w:t>根据本项目特点及各指标维度、类别考评内容，参考了区财政局的意见确定。</w:t>
      </w:r>
      <w:bookmarkEnd w:id="73"/>
      <w:bookmarkEnd w:id="74"/>
    </w:p>
    <w:p>
      <w:pPr>
        <w:shd w:val="clear"/>
        <w:ind w:firstLine="480"/>
        <w:rPr>
          <w:rFonts w:ascii="仿宋" w:hAnsi="仿宋" w:eastAsia="仿宋" w:cs="仿宋"/>
          <w:highlight w:val="none"/>
        </w:rPr>
      </w:pPr>
      <w:bookmarkStart w:id="75" w:name="_Toc159"/>
      <w:bookmarkStart w:id="76" w:name="_Toc494137748"/>
      <w:r>
        <w:rPr>
          <w:rFonts w:hint="eastAsia" w:ascii="仿宋" w:hAnsi="仿宋" w:eastAsia="仿宋" w:cs="仿宋"/>
          <w:highlight w:val="none"/>
        </w:rPr>
        <w:t>（3）指标评价</w:t>
      </w:r>
      <w:bookmarkEnd w:id="75"/>
      <w:bookmarkEnd w:id="76"/>
    </w:p>
    <w:p>
      <w:pPr>
        <w:shd w:val="clear"/>
        <w:ind w:firstLine="480"/>
        <w:rPr>
          <w:rFonts w:ascii="仿宋" w:hAnsi="仿宋" w:eastAsia="仿宋" w:cs="仿宋"/>
          <w:highlight w:val="none"/>
        </w:rPr>
      </w:pPr>
      <w:r>
        <w:rPr>
          <w:rFonts w:hint="eastAsia" w:ascii="仿宋" w:hAnsi="仿宋" w:eastAsia="仿宋" w:cs="仿宋"/>
          <w:highlight w:val="none"/>
        </w:rPr>
        <w:t>包括以下几种：</w:t>
      </w:r>
    </w:p>
    <w:p>
      <w:pPr>
        <w:shd w:val="clear"/>
        <w:ind w:firstLine="480"/>
        <w:rPr>
          <w:rFonts w:ascii="仿宋" w:hAnsi="仿宋" w:eastAsia="仿宋" w:cs="仿宋"/>
          <w:highlight w:val="none"/>
        </w:rPr>
      </w:pPr>
      <w:r>
        <w:rPr>
          <w:rFonts w:hint="eastAsia" w:ascii="仿宋" w:hAnsi="仿宋" w:eastAsia="仿宋" w:cs="仿宋"/>
          <w:highlight w:val="none"/>
        </w:rPr>
        <w:t>①目标比较法</w:t>
      </w:r>
    </w:p>
    <w:p>
      <w:pPr>
        <w:shd w:val="clear"/>
        <w:ind w:firstLine="480"/>
        <w:rPr>
          <w:rFonts w:ascii="仿宋" w:hAnsi="仿宋" w:eastAsia="仿宋" w:cs="仿宋"/>
          <w:highlight w:val="none"/>
        </w:rPr>
      </w:pPr>
      <w:r>
        <w:rPr>
          <w:rFonts w:hint="eastAsia" w:ascii="仿宋" w:hAnsi="仿宋" w:eastAsia="仿宋" w:cs="仿宋"/>
          <w:highlight w:val="none"/>
        </w:rPr>
        <w:t>指通过对申报项目的实际产出与预定目标的比较，分析完成目标或未完成目标的原因，从而评价绩效状况的方法。</w:t>
      </w:r>
    </w:p>
    <w:p>
      <w:pPr>
        <w:shd w:val="clear"/>
        <w:ind w:firstLine="480"/>
        <w:rPr>
          <w:rFonts w:ascii="仿宋" w:hAnsi="仿宋" w:eastAsia="仿宋" w:cs="仿宋"/>
          <w:highlight w:val="none"/>
        </w:rPr>
      </w:pPr>
      <w:r>
        <w:rPr>
          <w:rFonts w:hint="eastAsia" w:ascii="仿宋" w:hAnsi="仿宋" w:eastAsia="仿宋" w:cs="仿宋"/>
          <w:highlight w:val="none"/>
        </w:rPr>
        <w:t>②成本效益法</w:t>
      </w:r>
    </w:p>
    <w:p>
      <w:pPr>
        <w:shd w:val="clear"/>
        <w:ind w:firstLine="480"/>
        <w:rPr>
          <w:rFonts w:ascii="仿宋" w:hAnsi="仿宋" w:eastAsia="仿宋" w:cs="仿宋"/>
          <w:highlight w:val="none"/>
        </w:rPr>
      </w:pPr>
      <w:r>
        <w:rPr>
          <w:rFonts w:hint="eastAsia" w:ascii="仿宋" w:hAnsi="仿宋" w:eastAsia="仿宋" w:cs="仿宋"/>
          <w:highlight w:val="none"/>
        </w:rPr>
        <w:t>指将一定时期内申报项目所产生的效益与付出的成本进行对比分析，从而评价绩效的方法。该方法适用于成本和收益都能准确计量的绩效评价。</w:t>
      </w:r>
    </w:p>
    <w:p>
      <w:pPr>
        <w:shd w:val="clear"/>
        <w:ind w:firstLine="480"/>
        <w:rPr>
          <w:rFonts w:ascii="仿宋" w:hAnsi="仿宋" w:eastAsia="仿宋" w:cs="仿宋"/>
          <w:highlight w:val="none"/>
        </w:rPr>
      </w:pPr>
      <w:r>
        <w:rPr>
          <w:rFonts w:hint="eastAsia" w:ascii="仿宋" w:hAnsi="仿宋" w:eastAsia="仿宋" w:cs="仿宋"/>
          <w:highlight w:val="none"/>
        </w:rPr>
        <w:t>③问卷调查法</w:t>
      </w:r>
    </w:p>
    <w:p>
      <w:pPr>
        <w:shd w:val="clear"/>
        <w:ind w:firstLine="480"/>
        <w:rPr>
          <w:rFonts w:ascii="仿宋" w:hAnsi="仿宋" w:eastAsia="仿宋" w:cs="仿宋"/>
          <w:highlight w:val="none"/>
        </w:rPr>
      </w:pPr>
      <w:r>
        <w:rPr>
          <w:rFonts w:hint="eastAsia" w:ascii="仿宋" w:hAnsi="仿宋" w:eastAsia="仿宋" w:cs="仿宋"/>
          <w:highlight w:val="none"/>
        </w:rPr>
        <w:t>指通过设计不同形式的调查问卷，在一定范围内发放，收集、分析调查问卷，进行评价和判断的方法。</w:t>
      </w:r>
    </w:p>
    <w:p>
      <w:pPr>
        <w:shd w:val="clear"/>
        <w:ind w:firstLine="480"/>
        <w:rPr>
          <w:rFonts w:ascii="仿宋" w:hAnsi="仿宋" w:eastAsia="仿宋" w:cs="仿宋"/>
          <w:highlight w:val="none"/>
        </w:rPr>
      </w:pPr>
      <w:bookmarkStart w:id="77" w:name="_Toc12339"/>
      <w:bookmarkStart w:id="78" w:name="_Toc494137749"/>
      <w:bookmarkStart w:id="79" w:name="_Toc423868706"/>
      <w:r>
        <w:rPr>
          <w:rFonts w:hint="eastAsia" w:ascii="仿宋" w:hAnsi="仿宋" w:eastAsia="仿宋" w:cs="仿宋"/>
          <w:highlight w:val="none"/>
        </w:rPr>
        <w:t>（4）绩效评价标准</w:t>
      </w:r>
      <w:bookmarkEnd w:id="77"/>
      <w:bookmarkEnd w:id="78"/>
      <w:bookmarkEnd w:id="79"/>
    </w:p>
    <w:p>
      <w:pPr>
        <w:shd w:val="clear"/>
        <w:ind w:firstLine="480"/>
        <w:rPr>
          <w:rFonts w:ascii="仿宋" w:hAnsi="仿宋" w:eastAsia="仿宋" w:cs="仿宋"/>
          <w:highlight w:val="none"/>
        </w:rPr>
      </w:pPr>
      <w:bookmarkStart w:id="80" w:name="_Toc494137750"/>
      <w:bookmarkStart w:id="81" w:name="_Toc6286"/>
      <w:r>
        <w:rPr>
          <w:rFonts w:hint="eastAsia" w:ascii="仿宋" w:hAnsi="仿宋" w:eastAsia="仿宋" w:cs="仿宋"/>
          <w:highlight w:val="none"/>
        </w:rPr>
        <w:t>绩效评价标准是指衡量财政支出绩效目标完成程度的尺度。绩效评价标准具体包括：</w:t>
      </w:r>
      <w:bookmarkEnd w:id="80"/>
      <w:bookmarkEnd w:id="81"/>
    </w:p>
    <w:p>
      <w:pPr>
        <w:shd w:val="clear"/>
        <w:ind w:firstLine="480"/>
        <w:rPr>
          <w:rFonts w:ascii="仿宋" w:hAnsi="仿宋" w:eastAsia="仿宋" w:cs="仿宋"/>
          <w:highlight w:val="none"/>
        </w:rPr>
      </w:pPr>
      <w:bookmarkStart w:id="82" w:name="_Toc9004"/>
      <w:bookmarkStart w:id="83" w:name="_Toc494137751"/>
      <w:r>
        <w:rPr>
          <w:rFonts w:hint="eastAsia" w:ascii="仿宋" w:hAnsi="仿宋" w:eastAsia="仿宋" w:cs="仿宋"/>
          <w:highlight w:val="none"/>
        </w:rPr>
        <w:t>①计划标准。是指以预先制定的目标、计划、预算、定额等数据作为评价的标准。</w:t>
      </w:r>
      <w:bookmarkEnd w:id="82"/>
      <w:bookmarkEnd w:id="83"/>
    </w:p>
    <w:p>
      <w:pPr>
        <w:shd w:val="clear"/>
        <w:ind w:firstLine="480"/>
        <w:rPr>
          <w:rFonts w:ascii="仿宋" w:hAnsi="仿宋" w:eastAsia="仿宋" w:cs="仿宋"/>
          <w:highlight w:val="none"/>
        </w:rPr>
      </w:pPr>
      <w:bookmarkStart w:id="84" w:name="_Toc494137752"/>
      <w:bookmarkStart w:id="85" w:name="_Toc32115"/>
      <w:r>
        <w:rPr>
          <w:rFonts w:hint="eastAsia" w:ascii="仿宋" w:hAnsi="仿宋" w:eastAsia="仿宋" w:cs="仿宋"/>
          <w:highlight w:val="none"/>
        </w:rPr>
        <w:t>②行业标准。是指参照国家公布的行业指标数据制定的评价标准。</w:t>
      </w:r>
      <w:bookmarkEnd w:id="84"/>
      <w:bookmarkEnd w:id="85"/>
    </w:p>
    <w:p>
      <w:pPr>
        <w:shd w:val="clear"/>
        <w:ind w:firstLine="480"/>
        <w:rPr>
          <w:rFonts w:ascii="仿宋" w:hAnsi="仿宋" w:eastAsia="仿宋" w:cs="仿宋"/>
          <w:highlight w:val="none"/>
        </w:rPr>
      </w:pPr>
      <w:bookmarkStart w:id="86" w:name="_Toc28841"/>
      <w:bookmarkStart w:id="87" w:name="_Toc494137753"/>
      <w:r>
        <w:rPr>
          <w:rFonts w:hint="eastAsia" w:ascii="仿宋" w:hAnsi="仿宋" w:eastAsia="仿宋" w:cs="仿宋"/>
          <w:highlight w:val="none"/>
        </w:rPr>
        <w:t>③历史标准。是指参照同类指标的历史数据制定的评价标准。</w:t>
      </w:r>
      <w:bookmarkEnd w:id="86"/>
      <w:bookmarkEnd w:id="87"/>
    </w:p>
    <w:p>
      <w:pPr>
        <w:shd w:val="clear"/>
        <w:ind w:firstLine="480"/>
        <w:rPr>
          <w:rFonts w:ascii="仿宋" w:hAnsi="仿宋" w:eastAsia="仿宋" w:cs="仿宋"/>
          <w:highlight w:val="none"/>
        </w:rPr>
      </w:pPr>
      <w:bookmarkStart w:id="88" w:name="_Toc32660"/>
      <w:bookmarkStart w:id="89" w:name="_Toc494137754"/>
      <w:r>
        <w:rPr>
          <w:rFonts w:hint="eastAsia" w:ascii="仿宋" w:hAnsi="仿宋" w:eastAsia="仿宋" w:cs="仿宋"/>
          <w:highlight w:val="none"/>
        </w:rPr>
        <w:t>④其他经财政部门确认的标准。</w:t>
      </w:r>
      <w:bookmarkEnd w:id="88"/>
      <w:bookmarkEnd w:id="89"/>
    </w:p>
    <w:p>
      <w:pPr>
        <w:shd w:val="clear"/>
        <w:ind w:firstLine="480"/>
        <w:rPr>
          <w:rFonts w:ascii="仿宋" w:hAnsi="仿宋" w:eastAsia="仿宋" w:cs="仿宋"/>
          <w:highlight w:val="none"/>
        </w:rPr>
      </w:pPr>
      <w:bookmarkStart w:id="90" w:name="_Toc3359"/>
      <w:bookmarkStart w:id="91" w:name="_Toc494137755"/>
      <w:bookmarkStart w:id="92" w:name="_Toc423868707"/>
      <w:r>
        <w:rPr>
          <w:rFonts w:hint="eastAsia" w:ascii="仿宋" w:hAnsi="仿宋" w:eastAsia="仿宋" w:cs="仿宋"/>
          <w:highlight w:val="none"/>
        </w:rPr>
        <w:t>（5）绩效评价结果级别评定</w:t>
      </w:r>
      <w:bookmarkEnd w:id="90"/>
      <w:bookmarkEnd w:id="91"/>
      <w:bookmarkEnd w:id="92"/>
    </w:p>
    <w:p>
      <w:pPr>
        <w:shd w:val="clear"/>
        <w:ind w:firstLine="480"/>
        <w:rPr>
          <w:rFonts w:ascii="仿宋" w:hAnsi="仿宋" w:eastAsia="仿宋" w:cs="仿宋"/>
          <w:highlight w:val="none"/>
        </w:rPr>
      </w:pPr>
      <w:bookmarkStart w:id="93" w:name="_Toc6603"/>
      <w:bookmarkStart w:id="94" w:name="_Toc494137756"/>
      <w:r>
        <w:rPr>
          <w:rFonts w:hint="eastAsia" w:ascii="仿宋" w:hAnsi="仿宋" w:eastAsia="仿宋" w:cs="仿宋"/>
          <w:highlight w:val="none"/>
        </w:rPr>
        <w:t>评价结果级别评定是根据综合评分方法取得的计分结果确定所属等级。通常评价结果级别为优、良、中、差。</w:t>
      </w:r>
      <w:bookmarkEnd w:id="93"/>
      <w:bookmarkEnd w:id="94"/>
    </w:p>
    <w:p>
      <w:pPr>
        <w:shd w:val="clear"/>
        <w:ind w:firstLine="482"/>
        <w:jc w:val="center"/>
        <w:rPr>
          <w:rFonts w:ascii="仿宋" w:hAnsi="仿宋" w:eastAsia="仿宋" w:cs="仿宋"/>
          <w:b/>
          <w:bCs/>
          <w:highlight w:val="none"/>
        </w:rPr>
      </w:pPr>
      <w:bookmarkStart w:id="95" w:name="_Toc494137757"/>
      <w:bookmarkStart w:id="96" w:name="_Toc26445"/>
      <w:r>
        <w:rPr>
          <w:rFonts w:hint="eastAsia" w:ascii="仿宋" w:hAnsi="仿宋" w:eastAsia="仿宋" w:cs="仿宋"/>
          <w:b/>
          <w:bCs/>
          <w:highlight w:val="none"/>
        </w:rPr>
        <w:t>财政项目绩效评价计分结果级别评定对照表</w:t>
      </w:r>
      <w:bookmarkEnd w:id="95"/>
      <w:bookmarkEnd w:id="96"/>
    </w:p>
    <w:tbl>
      <w:tblPr>
        <w:tblStyle w:val="21"/>
        <w:tblW w:w="695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581"/>
        <w:gridCol w:w="33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3581" w:type="dxa"/>
            <w:vAlign w:val="center"/>
          </w:tcPr>
          <w:p>
            <w:pPr>
              <w:shd w:val="clear"/>
              <w:ind w:firstLine="0" w:firstLineChars="0"/>
              <w:jc w:val="center"/>
              <w:rPr>
                <w:rFonts w:ascii="仿宋" w:hAnsi="仿宋" w:eastAsia="仿宋" w:cs="仿宋"/>
                <w:highlight w:val="none"/>
              </w:rPr>
            </w:pPr>
            <w:bookmarkStart w:id="97" w:name="_Toc494137758"/>
            <w:bookmarkStart w:id="98" w:name="_Toc10726"/>
            <w:r>
              <w:rPr>
                <w:rFonts w:hint="eastAsia" w:ascii="仿宋" w:hAnsi="仿宋" w:eastAsia="仿宋" w:cs="仿宋"/>
                <w:highlight w:val="none"/>
              </w:rPr>
              <w:t>评价计分结果</w:t>
            </w:r>
            <w:bookmarkEnd w:id="97"/>
            <w:bookmarkEnd w:id="98"/>
          </w:p>
        </w:tc>
        <w:tc>
          <w:tcPr>
            <w:tcW w:w="3374" w:type="dxa"/>
            <w:vAlign w:val="center"/>
          </w:tcPr>
          <w:p>
            <w:pPr>
              <w:shd w:val="clear"/>
              <w:ind w:firstLine="0" w:firstLineChars="0"/>
              <w:jc w:val="center"/>
              <w:rPr>
                <w:rFonts w:ascii="仿宋" w:hAnsi="仿宋" w:eastAsia="仿宋" w:cs="仿宋"/>
                <w:highlight w:val="none"/>
              </w:rPr>
            </w:pPr>
            <w:bookmarkStart w:id="99" w:name="_Toc494137759"/>
            <w:bookmarkStart w:id="100" w:name="_Toc4013"/>
            <w:r>
              <w:rPr>
                <w:rFonts w:hint="eastAsia" w:ascii="仿宋" w:hAnsi="仿宋" w:eastAsia="仿宋" w:cs="仿宋"/>
                <w:highlight w:val="none"/>
              </w:rPr>
              <w:t>评价结果级别</w:t>
            </w:r>
            <w:bookmarkEnd w:id="99"/>
            <w:bookmarkEnd w:id="10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3581" w:type="dxa"/>
            <w:vAlign w:val="center"/>
          </w:tcPr>
          <w:p>
            <w:pPr>
              <w:shd w:val="clear"/>
              <w:ind w:firstLine="0" w:firstLineChars="0"/>
              <w:jc w:val="center"/>
              <w:rPr>
                <w:rFonts w:ascii="仿宋" w:hAnsi="仿宋" w:eastAsia="仿宋" w:cs="仿宋"/>
                <w:highlight w:val="none"/>
              </w:rPr>
            </w:pPr>
            <w:bookmarkStart w:id="101" w:name="_Toc494137760"/>
            <w:bookmarkStart w:id="102" w:name="_Toc2255"/>
            <w:r>
              <w:rPr>
                <w:rFonts w:hint="eastAsia" w:ascii="仿宋" w:hAnsi="仿宋" w:eastAsia="仿宋" w:cs="仿宋"/>
                <w:highlight w:val="none"/>
              </w:rPr>
              <w:t>90分～100分（含90分）</w:t>
            </w:r>
            <w:bookmarkEnd w:id="101"/>
            <w:bookmarkEnd w:id="102"/>
          </w:p>
        </w:tc>
        <w:tc>
          <w:tcPr>
            <w:tcW w:w="3374" w:type="dxa"/>
            <w:vAlign w:val="center"/>
          </w:tcPr>
          <w:p>
            <w:pPr>
              <w:shd w:val="clear"/>
              <w:ind w:firstLine="0" w:firstLineChars="0"/>
              <w:jc w:val="center"/>
              <w:rPr>
                <w:rFonts w:ascii="仿宋" w:hAnsi="仿宋" w:eastAsia="仿宋" w:cs="仿宋"/>
                <w:highlight w:val="none"/>
              </w:rPr>
            </w:pPr>
            <w:bookmarkStart w:id="103" w:name="_Toc494137761"/>
            <w:bookmarkStart w:id="104" w:name="_Toc17526"/>
            <w:r>
              <w:rPr>
                <w:rFonts w:hint="eastAsia" w:ascii="仿宋" w:hAnsi="仿宋" w:eastAsia="仿宋" w:cs="仿宋"/>
                <w:highlight w:val="none"/>
              </w:rPr>
              <w:t>优</w:t>
            </w:r>
            <w:bookmarkEnd w:id="103"/>
            <w:bookmarkEnd w:id="104"/>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jc w:val="center"/>
        </w:trPr>
        <w:tc>
          <w:tcPr>
            <w:tcW w:w="3581" w:type="dxa"/>
            <w:vAlign w:val="center"/>
          </w:tcPr>
          <w:p>
            <w:pPr>
              <w:shd w:val="clear"/>
              <w:ind w:firstLine="0" w:firstLineChars="0"/>
              <w:jc w:val="center"/>
              <w:rPr>
                <w:rFonts w:ascii="仿宋" w:hAnsi="仿宋" w:eastAsia="仿宋" w:cs="仿宋"/>
                <w:highlight w:val="none"/>
              </w:rPr>
            </w:pPr>
            <w:bookmarkStart w:id="105" w:name="_Toc494137762"/>
            <w:bookmarkStart w:id="106" w:name="_Toc26895"/>
            <w:r>
              <w:rPr>
                <w:rFonts w:hint="eastAsia" w:ascii="仿宋" w:hAnsi="仿宋" w:eastAsia="仿宋" w:cs="仿宋"/>
                <w:highlight w:val="none"/>
              </w:rPr>
              <w:t>80分～90分（含80分）</w:t>
            </w:r>
            <w:bookmarkEnd w:id="105"/>
            <w:bookmarkEnd w:id="106"/>
          </w:p>
        </w:tc>
        <w:tc>
          <w:tcPr>
            <w:tcW w:w="3374" w:type="dxa"/>
            <w:vAlign w:val="center"/>
          </w:tcPr>
          <w:p>
            <w:pPr>
              <w:shd w:val="clear"/>
              <w:ind w:firstLine="0" w:firstLineChars="0"/>
              <w:jc w:val="center"/>
              <w:rPr>
                <w:rFonts w:ascii="仿宋" w:hAnsi="仿宋" w:eastAsia="仿宋" w:cs="仿宋"/>
                <w:highlight w:val="none"/>
              </w:rPr>
            </w:pPr>
            <w:bookmarkStart w:id="107" w:name="_Toc494137763"/>
            <w:bookmarkStart w:id="108" w:name="_Toc20105"/>
            <w:r>
              <w:rPr>
                <w:rFonts w:hint="eastAsia" w:ascii="仿宋" w:hAnsi="仿宋" w:eastAsia="仿宋" w:cs="仿宋"/>
                <w:highlight w:val="none"/>
              </w:rPr>
              <w:t>良</w:t>
            </w:r>
            <w:bookmarkEnd w:id="107"/>
            <w:bookmarkEnd w:id="108"/>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jc w:val="center"/>
        </w:trPr>
        <w:tc>
          <w:tcPr>
            <w:tcW w:w="3581" w:type="dxa"/>
            <w:vAlign w:val="center"/>
          </w:tcPr>
          <w:p>
            <w:pPr>
              <w:shd w:val="clear"/>
              <w:ind w:firstLine="0" w:firstLineChars="0"/>
              <w:jc w:val="center"/>
              <w:rPr>
                <w:rFonts w:ascii="仿宋" w:hAnsi="仿宋" w:eastAsia="仿宋" w:cs="仿宋"/>
                <w:highlight w:val="none"/>
              </w:rPr>
            </w:pPr>
            <w:bookmarkStart w:id="109" w:name="_Toc494137764"/>
            <w:bookmarkStart w:id="110" w:name="_Toc22135"/>
            <w:r>
              <w:rPr>
                <w:rFonts w:hint="eastAsia" w:ascii="仿宋" w:hAnsi="仿宋" w:eastAsia="仿宋" w:cs="仿宋"/>
                <w:highlight w:val="none"/>
              </w:rPr>
              <w:t>60分～80分（含60分）</w:t>
            </w:r>
            <w:bookmarkEnd w:id="109"/>
            <w:bookmarkEnd w:id="110"/>
          </w:p>
        </w:tc>
        <w:tc>
          <w:tcPr>
            <w:tcW w:w="3374" w:type="dxa"/>
            <w:vAlign w:val="center"/>
          </w:tcPr>
          <w:p>
            <w:pPr>
              <w:shd w:val="clear"/>
              <w:ind w:firstLine="0" w:firstLineChars="0"/>
              <w:jc w:val="center"/>
              <w:rPr>
                <w:rFonts w:ascii="仿宋" w:hAnsi="仿宋" w:eastAsia="仿宋" w:cs="仿宋"/>
                <w:highlight w:val="none"/>
              </w:rPr>
            </w:pPr>
            <w:bookmarkStart w:id="111" w:name="_Toc16138"/>
            <w:bookmarkStart w:id="112" w:name="_Toc494137765"/>
            <w:r>
              <w:rPr>
                <w:rFonts w:hint="eastAsia" w:ascii="仿宋" w:hAnsi="仿宋" w:eastAsia="仿宋" w:cs="仿宋"/>
                <w:highlight w:val="none"/>
              </w:rPr>
              <w:t>中</w:t>
            </w:r>
            <w:bookmarkEnd w:id="111"/>
            <w:bookmarkEnd w:id="11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3581" w:type="dxa"/>
            <w:vAlign w:val="center"/>
          </w:tcPr>
          <w:p>
            <w:pPr>
              <w:shd w:val="clear"/>
              <w:ind w:firstLine="0" w:firstLineChars="0"/>
              <w:jc w:val="center"/>
              <w:rPr>
                <w:rFonts w:ascii="仿宋" w:hAnsi="仿宋" w:eastAsia="仿宋" w:cs="仿宋"/>
                <w:highlight w:val="none"/>
              </w:rPr>
            </w:pPr>
            <w:bookmarkStart w:id="113" w:name="_Toc18411"/>
            <w:bookmarkStart w:id="114" w:name="_Toc494137768"/>
            <w:r>
              <w:rPr>
                <w:rFonts w:hint="eastAsia" w:ascii="仿宋" w:hAnsi="仿宋" w:eastAsia="仿宋" w:cs="仿宋"/>
                <w:highlight w:val="none"/>
              </w:rPr>
              <w:t>60分以下</w:t>
            </w:r>
            <w:bookmarkEnd w:id="113"/>
            <w:bookmarkEnd w:id="114"/>
          </w:p>
        </w:tc>
        <w:tc>
          <w:tcPr>
            <w:tcW w:w="3374" w:type="dxa"/>
            <w:vAlign w:val="center"/>
          </w:tcPr>
          <w:p>
            <w:pPr>
              <w:shd w:val="clear"/>
              <w:ind w:firstLine="0" w:firstLineChars="0"/>
              <w:jc w:val="center"/>
              <w:rPr>
                <w:rFonts w:ascii="仿宋" w:hAnsi="仿宋" w:eastAsia="仿宋" w:cs="仿宋"/>
                <w:highlight w:val="none"/>
              </w:rPr>
            </w:pPr>
            <w:bookmarkStart w:id="115" w:name="_Toc494137769"/>
            <w:bookmarkStart w:id="116" w:name="_Toc23150"/>
            <w:r>
              <w:rPr>
                <w:rFonts w:hint="eastAsia" w:ascii="仿宋" w:hAnsi="仿宋" w:eastAsia="仿宋" w:cs="仿宋"/>
                <w:highlight w:val="none"/>
              </w:rPr>
              <w:t>差</w:t>
            </w:r>
            <w:bookmarkEnd w:id="115"/>
            <w:bookmarkEnd w:id="116"/>
          </w:p>
        </w:tc>
      </w:tr>
    </w:tbl>
    <w:p>
      <w:pPr>
        <w:pStyle w:val="4"/>
        <w:shd w:val="clear"/>
        <w:spacing w:before="10" w:after="10" w:line="320" w:lineRule="exact"/>
        <w:ind w:firstLine="482"/>
        <w:rPr>
          <w:rFonts w:ascii="仿宋" w:hAnsi="仿宋" w:eastAsia="仿宋" w:cs="仿宋"/>
          <w:color w:val="000000" w:themeColor="text1"/>
          <w:sz w:val="24"/>
          <w:szCs w:val="24"/>
          <w:highlight w:val="none"/>
        </w:rPr>
      </w:pPr>
      <w:bookmarkStart w:id="117" w:name="_Toc3247"/>
      <w:bookmarkStart w:id="118" w:name="_Toc31905"/>
      <w:r>
        <w:rPr>
          <w:rFonts w:hint="eastAsia" w:ascii="仿宋" w:hAnsi="仿宋" w:eastAsia="仿宋" w:cs="仿宋"/>
          <w:color w:val="000000" w:themeColor="text1"/>
          <w:sz w:val="24"/>
          <w:szCs w:val="24"/>
          <w:highlight w:val="none"/>
        </w:rPr>
        <w:t>3.绩效评价指标体系</w:t>
      </w:r>
      <w:bookmarkEnd w:id="117"/>
      <w:bookmarkEnd w:id="118"/>
    </w:p>
    <w:p>
      <w:pPr>
        <w:shd w:val="clear"/>
        <w:ind w:firstLine="480"/>
        <w:rPr>
          <w:rFonts w:ascii="仿宋" w:hAnsi="仿宋" w:eastAsia="仿宋" w:cs="仿宋"/>
          <w:b/>
          <w:szCs w:val="32"/>
          <w:highlight w:val="none"/>
        </w:rPr>
      </w:pPr>
      <w:r>
        <w:rPr>
          <w:rFonts w:hint="eastAsia" w:ascii="仿宋" w:hAnsi="仿宋" w:eastAsia="仿宋" w:cs="仿宋"/>
          <w:highlight w:val="none"/>
        </w:rPr>
        <w:t>根据《项目支出绩效评价管理办法》(财预[2020]10号)文件，并结合本项目的具体情况，运用定量定性原则，确定了绩效评价的一级指标、二级指标和三级指标，从项目的决策、过程、产出和效益四个维度，采用了10个二级指标，设计了</w:t>
      </w:r>
      <w:r>
        <w:rPr>
          <w:rFonts w:hint="eastAsia" w:ascii="仿宋" w:hAnsi="仿宋" w:eastAsia="仿宋" w:cs="仿宋"/>
          <w:highlight w:val="none"/>
          <w:lang w:val="en-US" w:eastAsia="zh-CN"/>
        </w:rPr>
        <w:t>20</w:t>
      </w:r>
      <w:r>
        <w:rPr>
          <w:rFonts w:hint="eastAsia" w:ascii="仿宋" w:hAnsi="仿宋" w:eastAsia="仿宋" w:cs="仿宋"/>
          <w:highlight w:val="none"/>
        </w:rPr>
        <w:t>个三级指标对区卫健局2019年度“大医院专家坐诊”项目进行综合评价。</w:t>
      </w:r>
    </w:p>
    <w:p>
      <w:pPr>
        <w:shd w:val="clear"/>
        <w:ind w:firstLine="480"/>
        <w:rPr>
          <w:rFonts w:ascii="仿宋" w:hAnsi="仿宋" w:eastAsia="仿宋" w:cs="仿宋"/>
          <w:highlight w:val="none"/>
        </w:rPr>
      </w:pPr>
      <w:bookmarkStart w:id="119" w:name="_Toc9539"/>
      <w:r>
        <w:rPr>
          <w:rFonts w:hint="eastAsia" w:ascii="仿宋" w:hAnsi="仿宋" w:eastAsia="仿宋" w:cs="仿宋"/>
          <w:highlight w:val="none"/>
        </w:rPr>
        <w:t>（1）项目</w:t>
      </w:r>
      <w:bookmarkEnd w:id="119"/>
      <w:r>
        <w:rPr>
          <w:rFonts w:hint="eastAsia" w:ascii="仿宋" w:hAnsi="仿宋" w:eastAsia="仿宋" w:cs="仿宋"/>
          <w:highlight w:val="none"/>
        </w:rPr>
        <w:t>决策</w:t>
      </w:r>
    </w:p>
    <w:p>
      <w:pPr>
        <w:shd w:val="clear"/>
        <w:ind w:firstLine="480"/>
        <w:rPr>
          <w:rFonts w:ascii="仿宋" w:hAnsi="仿宋" w:eastAsia="仿宋" w:cs="仿宋"/>
          <w:highlight w:val="none"/>
        </w:rPr>
      </w:pPr>
      <w:r>
        <w:rPr>
          <w:rFonts w:hint="eastAsia" w:ascii="仿宋" w:hAnsi="仿宋" w:eastAsia="仿宋" w:cs="仿宋"/>
          <w:highlight w:val="none"/>
        </w:rPr>
        <w:t>该指标重点评价项目立项的充分性和规范性、绩效目标设定的合理性、预算编制科学性和资金分配合理性等，由3个二级指标、6个三级指标组成，各指标的含义详见下表：</w:t>
      </w:r>
    </w:p>
    <w:p>
      <w:pPr>
        <w:shd w:val="clear"/>
        <w:spacing w:line="320" w:lineRule="exact"/>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武汉市武昌区卫生健康局2019年度“大医院专家坐诊”项目绩效评价</w:t>
      </w:r>
    </w:p>
    <w:p>
      <w:pPr>
        <w:shd w:val="clear"/>
        <w:spacing w:line="320" w:lineRule="exact"/>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指标及说明（项目决策）</w:t>
      </w:r>
    </w:p>
    <w:tbl>
      <w:tblPr>
        <w:tblStyle w:val="21"/>
        <w:tblW w:w="8400" w:type="dxa"/>
        <w:tblInd w:w="0" w:type="dxa"/>
        <w:tblLayout w:type="fixed"/>
        <w:tblCellMar>
          <w:top w:w="0" w:type="dxa"/>
          <w:left w:w="0" w:type="dxa"/>
          <w:bottom w:w="0" w:type="dxa"/>
          <w:right w:w="0" w:type="dxa"/>
        </w:tblCellMar>
      </w:tblPr>
      <w:tblGrid>
        <w:gridCol w:w="451"/>
        <w:gridCol w:w="456"/>
        <w:gridCol w:w="936"/>
        <w:gridCol w:w="432"/>
        <w:gridCol w:w="1356"/>
        <w:gridCol w:w="408"/>
        <w:gridCol w:w="4361"/>
      </w:tblGrid>
      <w:tr>
        <w:tblPrEx>
          <w:tblCellMar>
            <w:top w:w="0" w:type="dxa"/>
            <w:left w:w="0" w:type="dxa"/>
            <w:bottom w:w="0" w:type="dxa"/>
            <w:right w:w="0" w:type="dxa"/>
          </w:tblCellMar>
        </w:tblPrEx>
        <w:trPr>
          <w:trHeight w:val="510" w:hRule="atLeast"/>
        </w:trPr>
        <w:tc>
          <w:tcPr>
            <w:tcW w:w="451"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bookmarkStart w:id="120" w:name="_Toc26715"/>
            <w:r>
              <w:rPr>
                <w:rFonts w:hint="eastAsia" w:ascii="仿宋" w:hAnsi="仿宋" w:eastAsia="仿宋" w:cs="仿宋"/>
                <w:color w:val="000000"/>
                <w:kern w:val="0"/>
                <w:sz w:val="18"/>
                <w:szCs w:val="18"/>
                <w:highlight w:val="none"/>
              </w:rPr>
              <w:t>一级指标</w:t>
            </w:r>
          </w:p>
        </w:tc>
        <w:tc>
          <w:tcPr>
            <w:tcW w:w="45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权重</w:t>
            </w:r>
          </w:p>
        </w:tc>
        <w:tc>
          <w:tcPr>
            <w:tcW w:w="93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二级指标</w:t>
            </w:r>
          </w:p>
        </w:tc>
        <w:tc>
          <w:tcPr>
            <w:tcW w:w="43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权重</w:t>
            </w:r>
          </w:p>
        </w:tc>
        <w:tc>
          <w:tcPr>
            <w:tcW w:w="135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三级指标</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权重</w:t>
            </w:r>
          </w:p>
        </w:tc>
        <w:tc>
          <w:tcPr>
            <w:tcW w:w="43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评价内容</w:t>
            </w:r>
          </w:p>
        </w:tc>
      </w:tr>
      <w:tr>
        <w:tblPrEx>
          <w:tblCellMar>
            <w:top w:w="0" w:type="dxa"/>
            <w:left w:w="0" w:type="dxa"/>
            <w:bottom w:w="0" w:type="dxa"/>
            <w:right w:w="0" w:type="dxa"/>
          </w:tblCellMar>
        </w:tblPrEx>
        <w:trPr>
          <w:trHeight w:val="693" w:hRule="atLeast"/>
        </w:trPr>
        <w:tc>
          <w:tcPr>
            <w:tcW w:w="451"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决策</w:t>
            </w:r>
          </w:p>
        </w:tc>
        <w:tc>
          <w:tcPr>
            <w:tcW w:w="45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15</w:t>
            </w:r>
          </w:p>
        </w:tc>
        <w:tc>
          <w:tcPr>
            <w:tcW w:w="936" w:type="dxa"/>
            <w:vMerge w:val="restart"/>
            <w:tcBorders>
              <w:top w:val="single" w:color="auto"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项目</w:t>
            </w:r>
            <w:r>
              <w:rPr>
                <w:rFonts w:hint="eastAsia" w:ascii="仿宋" w:hAnsi="仿宋" w:eastAsia="仿宋" w:cs="仿宋"/>
                <w:color w:val="000000"/>
                <w:kern w:val="0"/>
                <w:sz w:val="18"/>
                <w:szCs w:val="18"/>
                <w:highlight w:val="none"/>
              </w:rPr>
              <w:br w:type="textWrapping"/>
            </w:r>
            <w:r>
              <w:rPr>
                <w:rFonts w:hint="eastAsia" w:ascii="仿宋" w:hAnsi="仿宋" w:eastAsia="仿宋" w:cs="仿宋"/>
                <w:color w:val="000000"/>
                <w:kern w:val="0"/>
                <w:sz w:val="18"/>
                <w:szCs w:val="18"/>
                <w:highlight w:val="none"/>
              </w:rPr>
              <w:t>立项</w:t>
            </w:r>
          </w:p>
        </w:tc>
        <w:tc>
          <w:tcPr>
            <w:tcW w:w="432" w:type="dxa"/>
            <w:vMerge w:val="restart"/>
            <w:tcBorders>
              <w:top w:val="single" w:color="auto"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w:t>
            </w:r>
          </w:p>
        </w:tc>
        <w:tc>
          <w:tcPr>
            <w:tcW w:w="1356" w:type="dxa"/>
            <w:tcBorders>
              <w:top w:val="single" w:color="auto"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立项依据充分性</w:t>
            </w:r>
          </w:p>
        </w:tc>
        <w:tc>
          <w:tcPr>
            <w:tcW w:w="408"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w:t>
            </w:r>
          </w:p>
        </w:tc>
        <w:tc>
          <w:tcPr>
            <w:tcW w:w="43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left"/>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项目符合经济社会发展规划和部门年度工作计划（1分）；根据需要制定中长期实施规划（1分）。</w:t>
            </w:r>
          </w:p>
        </w:tc>
      </w:tr>
      <w:tr>
        <w:tblPrEx>
          <w:tblCellMar>
            <w:top w:w="0" w:type="dxa"/>
            <w:left w:w="0" w:type="dxa"/>
            <w:bottom w:w="0" w:type="dxa"/>
            <w:right w:w="0" w:type="dxa"/>
          </w:tblCellMar>
        </w:tblPrEx>
        <w:trPr>
          <w:trHeight w:val="579" w:hRule="atLeast"/>
        </w:trPr>
        <w:tc>
          <w:tcPr>
            <w:tcW w:w="451"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hd w:val="clear"/>
              <w:ind w:firstLine="360"/>
              <w:jc w:val="center"/>
              <w:rPr>
                <w:rFonts w:ascii="仿宋" w:hAnsi="仿宋" w:eastAsia="仿宋" w:cs="仿宋"/>
                <w:color w:val="000000"/>
                <w:kern w:val="0"/>
                <w:sz w:val="18"/>
                <w:szCs w:val="18"/>
                <w:highlight w:val="none"/>
              </w:rPr>
            </w:pPr>
          </w:p>
        </w:tc>
        <w:tc>
          <w:tcPr>
            <w:tcW w:w="45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hd w:val="clear"/>
              <w:ind w:firstLine="360"/>
              <w:jc w:val="center"/>
              <w:rPr>
                <w:rFonts w:ascii="仿宋" w:hAnsi="仿宋" w:eastAsia="仿宋" w:cs="仿宋"/>
                <w:color w:val="000000"/>
                <w:kern w:val="0"/>
                <w:sz w:val="18"/>
                <w:szCs w:val="18"/>
                <w:highlight w:val="none"/>
              </w:rPr>
            </w:pPr>
          </w:p>
        </w:tc>
        <w:tc>
          <w:tcPr>
            <w:tcW w:w="936" w:type="dxa"/>
            <w:vMerge w:val="continue"/>
            <w:tcBorders>
              <w:top w:val="single" w:color="000000"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shd w:val="clear"/>
              <w:ind w:firstLine="360"/>
              <w:jc w:val="center"/>
              <w:rPr>
                <w:rFonts w:ascii="仿宋" w:hAnsi="仿宋" w:eastAsia="仿宋" w:cs="仿宋"/>
                <w:color w:val="000000"/>
                <w:kern w:val="0"/>
                <w:sz w:val="18"/>
                <w:szCs w:val="18"/>
                <w:highlight w:val="none"/>
              </w:rPr>
            </w:pPr>
          </w:p>
        </w:tc>
        <w:tc>
          <w:tcPr>
            <w:tcW w:w="432" w:type="dxa"/>
            <w:vMerge w:val="continue"/>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shd w:val="clear"/>
              <w:ind w:firstLine="360"/>
              <w:jc w:val="center"/>
              <w:rPr>
                <w:rFonts w:ascii="仿宋" w:hAnsi="仿宋" w:eastAsia="仿宋" w:cs="仿宋"/>
                <w:color w:val="000000"/>
                <w:kern w:val="0"/>
                <w:sz w:val="18"/>
                <w:szCs w:val="18"/>
                <w:highlight w:val="none"/>
              </w:rPr>
            </w:pPr>
          </w:p>
        </w:tc>
        <w:tc>
          <w:tcPr>
            <w:tcW w:w="1356" w:type="dxa"/>
            <w:tcBorders>
              <w:top w:val="single" w:color="000000"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widowControl/>
              <w:shd w:val="clear"/>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立项程序规范性</w:t>
            </w:r>
          </w:p>
        </w:tc>
        <w:tc>
          <w:tcPr>
            <w:tcW w:w="408"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w:t>
            </w:r>
          </w:p>
        </w:tc>
        <w:tc>
          <w:tcPr>
            <w:tcW w:w="43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left"/>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项目按照规定的程序申请设立（1分）；审批文件、材料符合相关要求（1分）。</w:t>
            </w:r>
          </w:p>
        </w:tc>
      </w:tr>
      <w:tr>
        <w:tblPrEx>
          <w:tblCellMar>
            <w:top w:w="0" w:type="dxa"/>
            <w:left w:w="0" w:type="dxa"/>
            <w:bottom w:w="0" w:type="dxa"/>
            <w:right w:w="0" w:type="dxa"/>
          </w:tblCellMar>
        </w:tblPrEx>
        <w:trPr>
          <w:trHeight w:val="1268" w:hRule="atLeast"/>
        </w:trPr>
        <w:tc>
          <w:tcPr>
            <w:tcW w:w="451"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hd w:val="clear"/>
              <w:ind w:firstLine="360"/>
              <w:jc w:val="center"/>
              <w:rPr>
                <w:rFonts w:ascii="仿宋" w:hAnsi="仿宋" w:eastAsia="仿宋" w:cs="仿宋"/>
                <w:color w:val="000000"/>
                <w:kern w:val="0"/>
                <w:sz w:val="18"/>
                <w:szCs w:val="18"/>
                <w:highlight w:val="none"/>
              </w:rPr>
            </w:pPr>
          </w:p>
        </w:tc>
        <w:tc>
          <w:tcPr>
            <w:tcW w:w="45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hd w:val="clear"/>
              <w:ind w:firstLine="360"/>
              <w:jc w:val="center"/>
              <w:rPr>
                <w:rFonts w:ascii="仿宋" w:hAnsi="仿宋" w:eastAsia="仿宋" w:cs="仿宋"/>
                <w:color w:val="000000"/>
                <w:kern w:val="0"/>
                <w:sz w:val="18"/>
                <w:szCs w:val="18"/>
                <w:highlight w:val="none"/>
              </w:rPr>
            </w:pPr>
          </w:p>
        </w:tc>
        <w:tc>
          <w:tcPr>
            <w:tcW w:w="936" w:type="dxa"/>
            <w:vMerge w:val="restart"/>
            <w:tcBorders>
              <w:top w:val="single" w:color="auto"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绩效</w:t>
            </w:r>
          </w:p>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目标</w:t>
            </w:r>
          </w:p>
        </w:tc>
        <w:tc>
          <w:tcPr>
            <w:tcW w:w="432" w:type="dxa"/>
            <w:vMerge w:val="restar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w:t>
            </w:r>
          </w:p>
        </w:tc>
        <w:tc>
          <w:tcPr>
            <w:tcW w:w="135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绩效目标合理性</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w:t>
            </w:r>
          </w:p>
        </w:tc>
        <w:tc>
          <w:tcPr>
            <w:tcW w:w="43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left"/>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项目设定绩效目标，目标与实际工作内容具有相关性（1分）；项目预期产出效益和效果符合正常的业绩水平（1分）；绩效目标与预算确定的项目投资额或资金量相匹配（1分）。</w:t>
            </w:r>
          </w:p>
        </w:tc>
      </w:tr>
      <w:tr>
        <w:tblPrEx>
          <w:tblCellMar>
            <w:top w:w="0" w:type="dxa"/>
            <w:left w:w="0" w:type="dxa"/>
            <w:bottom w:w="0" w:type="dxa"/>
            <w:right w:w="0" w:type="dxa"/>
          </w:tblCellMar>
        </w:tblPrEx>
        <w:trPr>
          <w:trHeight w:val="730" w:hRule="atLeast"/>
        </w:trPr>
        <w:tc>
          <w:tcPr>
            <w:tcW w:w="451"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hd w:val="clear"/>
              <w:ind w:firstLine="360"/>
              <w:jc w:val="center"/>
              <w:rPr>
                <w:rFonts w:ascii="仿宋" w:hAnsi="仿宋" w:eastAsia="仿宋" w:cs="仿宋"/>
                <w:color w:val="000000"/>
                <w:kern w:val="0"/>
                <w:sz w:val="18"/>
                <w:szCs w:val="18"/>
                <w:highlight w:val="none"/>
              </w:rPr>
            </w:pPr>
          </w:p>
        </w:tc>
        <w:tc>
          <w:tcPr>
            <w:tcW w:w="45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hd w:val="clear"/>
              <w:ind w:firstLine="360"/>
              <w:jc w:val="center"/>
              <w:rPr>
                <w:rFonts w:ascii="仿宋" w:hAnsi="仿宋" w:eastAsia="仿宋" w:cs="仿宋"/>
                <w:color w:val="000000"/>
                <w:kern w:val="0"/>
                <w:sz w:val="18"/>
                <w:szCs w:val="18"/>
                <w:highlight w:val="none"/>
              </w:rPr>
            </w:pPr>
          </w:p>
        </w:tc>
        <w:tc>
          <w:tcPr>
            <w:tcW w:w="936" w:type="dxa"/>
            <w:vMerge w:val="continue"/>
            <w:tcBorders>
              <w:top w:val="single" w:color="000000"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shd w:val="clear"/>
              <w:ind w:firstLine="360"/>
              <w:jc w:val="center"/>
              <w:rPr>
                <w:rFonts w:ascii="仿宋" w:hAnsi="仿宋" w:eastAsia="仿宋" w:cs="仿宋"/>
                <w:color w:val="000000"/>
                <w:kern w:val="0"/>
                <w:sz w:val="18"/>
                <w:szCs w:val="18"/>
                <w:highlight w:val="none"/>
              </w:rPr>
            </w:pPr>
          </w:p>
        </w:tc>
        <w:tc>
          <w:tcPr>
            <w:tcW w:w="432" w:type="dxa"/>
            <w:vMerge w:val="continue"/>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shd w:val="clear"/>
              <w:ind w:firstLine="360"/>
              <w:jc w:val="center"/>
              <w:rPr>
                <w:rFonts w:ascii="仿宋" w:hAnsi="仿宋" w:eastAsia="仿宋" w:cs="仿宋"/>
                <w:color w:val="000000"/>
                <w:kern w:val="0"/>
                <w:sz w:val="18"/>
                <w:szCs w:val="18"/>
                <w:highlight w:val="none"/>
              </w:rPr>
            </w:pPr>
          </w:p>
        </w:tc>
        <w:tc>
          <w:tcPr>
            <w:tcW w:w="135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hd w:val="clear"/>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绩效指标明确性</w:t>
            </w:r>
          </w:p>
        </w:tc>
        <w:tc>
          <w:tcPr>
            <w:tcW w:w="4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w:t>
            </w:r>
          </w:p>
        </w:tc>
        <w:tc>
          <w:tcPr>
            <w:tcW w:w="43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left"/>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绩效目标细化分解为具体的绩效指标且清晰可衡量（1分）；绩效指标与项目年度计划相匹配（2分）。</w:t>
            </w:r>
          </w:p>
        </w:tc>
      </w:tr>
      <w:tr>
        <w:tblPrEx>
          <w:tblCellMar>
            <w:top w:w="0" w:type="dxa"/>
            <w:left w:w="0" w:type="dxa"/>
            <w:bottom w:w="0" w:type="dxa"/>
            <w:right w:w="0" w:type="dxa"/>
          </w:tblCellMar>
        </w:tblPrEx>
        <w:trPr>
          <w:trHeight w:val="973" w:hRule="atLeast"/>
        </w:trPr>
        <w:tc>
          <w:tcPr>
            <w:tcW w:w="451"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hd w:val="clear"/>
              <w:ind w:firstLine="360"/>
              <w:jc w:val="center"/>
              <w:rPr>
                <w:rFonts w:ascii="仿宋" w:hAnsi="仿宋" w:eastAsia="仿宋" w:cs="仿宋"/>
                <w:color w:val="000000"/>
                <w:kern w:val="0"/>
                <w:sz w:val="18"/>
                <w:szCs w:val="18"/>
                <w:highlight w:val="none"/>
              </w:rPr>
            </w:pPr>
          </w:p>
        </w:tc>
        <w:tc>
          <w:tcPr>
            <w:tcW w:w="45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hd w:val="clear"/>
              <w:ind w:firstLine="360"/>
              <w:jc w:val="center"/>
              <w:rPr>
                <w:rFonts w:ascii="仿宋" w:hAnsi="仿宋" w:eastAsia="仿宋" w:cs="仿宋"/>
                <w:color w:val="000000"/>
                <w:kern w:val="0"/>
                <w:sz w:val="18"/>
                <w:szCs w:val="18"/>
                <w:highlight w:val="none"/>
              </w:rPr>
            </w:pPr>
          </w:p>
        </w:tc>
        <w:tc>
          <w:tcPr>
            <w:tcW w:w="936" w:type="dxa"/>
            <w:vMerge w:val="restart"/>
            <w:tcBorders>
              <w:top w:val="single" w:color="auto" w:sz="4" w:space="0"/>
              <w:left w:val="single" w:color="auto"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资金</w:t>
            </w:r>
          </w:p>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投入</w:t>
            </w:r>
          </w:p>
        </w:tc>
        <w:tc>
          <w:tcPr>
            <w:tcW w:w="432" w:type="dxa"/>
            <w:vMerge w:val="restart"/>
            <w:tcBorders>
              <w:top w:val="single" w:color="auto" w:sz="4" w:space="0"/>
              <w:left w:val="single" w:color="000000" w:sz="4" w:space="0"/>
              <w:right w:val="single" w:color="000000" w:sz="4" w:space="0"/>
            </w:tcBorders>
            <w:shd w:val="clear" w:color="auto" w:fill="auto"/>
            <w:tcMar>
              <w:top w:w="12" w:type="dxa"/>
              <w:left w:w="12" w:type="dxa"/>
              <w:right w:w="12" w:type="dxa"/>
            </w:tcMar>
            <w:vAlign w:val="center"/>
          </w:tcPr>
          <w:p>
            <w:pPr>
              <w:shd w:val="clear"/>
              <w:ind w:firstLine="0" w:firstLineChars="0"/>
              <w:jc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w:t>
            </w:r>
          </w:p>
        </w:tc>
        <w:tc>
          <w:tcPr>
            <w:tcW w:w="1356" w:type="dxa"/>
            <w:tcBorders>
              <w:top w:val="single" w:color="auto"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hd w:val="clear"/>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预算编制科学性</w:t>
            </w:r>
          </w:p>
        </w:tc>
        <w:tc>
          <w:tcPr>
            <w:tcW w:w="408"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w:t>
            </w:r>
          </w:p>
        </w:tc>
        <w:tc>
          <w:tcPr>
            <w:tcW w:w="43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left"/>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项目预算额度测算依据充分，按照标准编制（1分）；预算确定的项目投资额或资金量与工作任务相匹配（1分）。</w:t>
            </w:r>
          </w:p>
        </w:tc>
      </w:tr>
      <w:tr>
        <w:tblPrEx>
          <w:tblCellMar>
            <w:top w:w="0" w:type="dxa"/>
            <w:left w:w="0" w:type="dxa"/>
            <w:bottom w:w="0" w:type="dxa"/>
            <w:right w:w="0" w:type="dxa"/>
          </w:tblCellMar>
        </w:tblPrEx>
        <w:trPr>
          <w:trHeight w:val="614" w:hRule="atLeast"/>
        </w:trPr>
        <w:tc>
          <w:tcPr>
            <w:tcW w:w="451"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hd w:val="clear"/>
              <w:ind w:firstLine="360"/>
              <w:jc w:val="center"/>
              <w:rPr>
                <w:rFonts w:ascii="仿宋" w:hAnsi="仿宋" w:eastAsia="仿宋" w:cs="仿宋"/>
                <w:color w:val="000000"/>
                <w:kern w:val="0"/>
                <w:sz w:val="18"/>
                <w:szCs w:val="18"/>
                <w:highlight w:val="none"/>
              </w:rPr>
            </w:pPr>
          </w:p>
        </w:tc>
        <w:tc>
          <w:tcPr>
            <w:tcW w:w="456"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hd w:val="clear"/>
              <w:ind w:firstLine="360"/>
              <w:jc w:val="center"/>
              <w:rPr>
                <w:rFonts w:ascii="仿宋" w:hAnsi="仿宋" w:eastAsia="仿宋" w:cs="仿宋"/>
                <w:color w:val="000000"/>
                <w:kern w:val="0"/>
                <w:sz w:val="18"/>
                <w:szCs w:val="18"/>
                <w:highlight w:val="none"/>
              </w:rPr>
            </w:pPr>
          </w:p>
        </w:tc>
        <w:tc>
          <w:tcPr>
            <w:tcW w:w="936" w:type="dxa"/>
            <w:vMerge w:val="continue"/>
            <w:tcBorders>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shd w:val="clear"/>
              <w:ind w:firstLine="360"/>
              <w:jc w:val="center"/>
              <w:rPr>
                <w:rFonts w:ascii="仿宋" w:hAnsi="仿宋" w:eastAsia="仿宋" w:cs="仿宋"/>
                <w:color w:val="000000"/>
                <w:kern w:val="0"/>
                <w:sz w:val="18"/>
                <w:szCs w:val="18"/>
                <w:highlight w:val="none"/>
              </w:rPr>
            </w:pPr>
          </w:p>
        </w:tc>
        <w:tc>
          <w:tcPr>
            <w:tcW w:w="432" w:type="dxa"/>
            <w:vMerge w:val="continue"/>
            <w:tcBorders>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shd w:val="clear"/>
              <w:ind w:firstLine="360"/>
              <w:jc w:val="center"/>
              <w:rPr>
                <w:rFonts w:ascii="仿宋" w:hAnsi="仿宋" w:eastAsia="仿宋" w:cs="仿宋"/>
                <w:color w:val="000000"/>
                <w:kern w:val="0"/>
                <w:sz w:val="18"/>
                <w:szCs w:val="18"/>
                <w:highlight w:val="none"/>
              </w:rPr>
            </w:pPr>
          </w:p>
        </w:tc>
        <w:tc>
          <w:tcPr>
            <w:tcW w:w="1356" w:type="dxa"/>
            <w:tcBorders>
              <w:top w:val="single" w:color="000000"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widowControl/>
              <w:shd w:val="clear"/>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资金分配合理性</w:t>
            </w:r>
          </w:p>
        </w:tc>
        <w:tc>
          <w:tcPr>
            <w:tcW w:w="408"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3</w:t>
            </w:r>
          </w:p>
        </w:tc>
        <w:tc>
          <w:tcPr>
            <w:tcW w:w="43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left"/>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制定相关资金管理办法（1分）；项目管理办法中明确资金分配办法，资金分配办法全面、合理（2分）。</w:t>
            </w:r>
          </w:p>
        </w:tc>
      </w:tr>
    </w:tbl>
    <w:p>
      <w:pPr>
        <w:shd w:val="clear"/>
        <w:ind w:firstLine="480"/>
        <w:rPr>
          <w:rFonts w:ascii="仿宋" w:hAnsi="仿宋" w:eastAsia="仿宋" w:cs="仿宋"/>
          <w:highlight w:val="none"/>
        </w:rPr>
      </w:pPr>
      <w:r>
        <w:rPr>
          <w:rFonts w:hint="eastAsia" w:ascii="仿宋" w:hAnsi="仿宋" w:eastAsia="仿宋" w:cs="仿宋"/>
          <w:highlight w:val="none"/>
        </w:rPr>
        <w:t>（2）项目过程</w:t>
      </w:r>
      <w:bookmarkEnd w:id="120"/>
    </w:p>
    <w:p>
      <w:pPr>
        <w:shd w:val="clear"/>
        <w:ind w:firstLine="480"/>
        <w:rPr>
          <w:rFonts w:ascii="仿宋" w:hAnsi="仿宋" w:eastAsia="仿宋" w:cs="仿宋"/>
          <w:highlight w:val="none"/>
        </w:rPr>
      </w:pPr>
      <w:r>
        <w:rPr>
          <w:rFonts w:hint="eastAsia" w:ascii="仿宋" w:hAnsi="仿宋" w:eastAsia="仿宋" w:cs="仿宋"/>
          <w:highlight w:val="none"/>
        </w:rPr>
        <w:t>该指标重点评价项目单位管理制度健全性、制度执行的有效性、资金使用合规性、资金到位率、预算执行率等，由2个二级指标、5个三级指标组成，各指标的含义详见下表：</w:t>
      </w:r>
    </w:p>
    <w:p>
      <w:pPr>
        <w:shd w:val="clear"/>
        <w:spacing w:line="320" w:lineRule="exact"/>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武汉市武昌区卫生健康局2019年度“大医院专家坐诊”项目绩效评价</w:t>
      </w:r>
    </w:p>
    <w:p>
      <w:pPr>
        <w:shd w:val="clear"/>
        <w:spacing w:line="320" w:lineRule="exact"/>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指标及说明（项目过程）</w:t>
      </w:r>
    </w:p>
    <w:tbl>
      <w:tblPr>
        <w:tblStyle w:val="21"/>
        <w:tblW w:w="837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19"/>
        <w:gridCol w:w="734"/>
        <w:gridCol w:w="542"/>
        <w:gridCol w:w="1559"/>
        <w:gridCol w:w="426"/>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30" w:type="dxa"/>
            <w:shd w:val="clear" w:color="000000" w:fill="FFFFFF"/>
            <w:vAlign w:val="center"/>
          </w:tcPr>
          <w:p>
            <w:pPr>
              <w:widowControl/>
              <w:shd w:val="clear"/>
              <w:spacing w:line="240" w:lineRule="auto"/>
              <w:ind w:firstLine="0" w:firstLineChars="0"/>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一级</w:t>
            </w:r>
            <w:r>
              <w:rPr>
                <w:rFonts w:hint="eastAsia" w:ascii="仿宋" w:hAnsi="仿宋" w:eastAsia="仿宋" w:cs="仿宋"/>
                <w:color w:val="000000"/>
                <w:kern w:val="0"/>
                <w:sz w:val="18"/>
                <w:szCs w:val="18"/>
                <w:highlight w:val="none"/>
              </w:rPr>
              <w:br w:type="textWrapping"/>
            </w:r>
            <w:r>
              <w:rPr>
                <w:rFonts w:hint="eastAsia" w:ascii="仿宋" w:hAnsi="仿宋" w:eastAsia="仿宋" w:cs="仿宋"/>
                <w:color w:val="000000"/>
                <w:kern w:val="0"/>
                <w:sz w:val="18"/>
                <w:szCs w:val="18"/>
                <w:highlight w:val="none"/>
              </w:rPr>
              <w:t>指标</w:t>
            </w:r>
          </w:p>
        </w:tc>
        <w:tc>
          <w:tcPr>
            <w:tcW w:w="519" w:type="dxa"/>
            <w:shd w:val="clear" w:color="000000" w:fill="FFFFFF"/>
            <w:vAlign w:val="center"/>
          </w:tcPr>
          <w:p>
            <w:pPr>
              <w:widowControl/>
              <w:shd w:val="clear"/>
              <w:spacing w:line="240" w:lineRule="auto"/>
              <w:ind w:firstLine="0" w:firstLineChars="0"/>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权重</w:t>
            </w:r>
          </w:p>
        </w:tc>
        <w:tc>
          <w:tcPr>
            <w:tcW w:w="734" w:type="dxa"/>
            <w:shd w:val="clear" w:color="000000" w:fill="FFFFFF"/>
            <w:vAlign w:val="center"/>
          </w:tcPr>
          <w:p>
            <w:pPr>
              <w:widowControl/>
              <w:shd w:val="clear"/>
              <w:spacing w:line="240" w:lineRule="auto"/>
              <w:ind w:firstLine="0" w:firstLineChars="0"/>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二级指标</w:t>
            </w:r>
          </w:p>
        </w:tc>
        <w:tc>
          <w:tcPr>
            <w:tcW w:w="542" w:type="dxa"/>
            <w:shd w:val="clear" w:color="000000" w:fill="FFFFFF"/>
            <w:vAlign w:val="center"/>
          </w:tcPr>
          <w:p>
            <w:pPr>
              <w:widowControl/>
              <w:shd w:val="clear"/>
              <w:spacing w:line="240" w:lineRule="auto"/>
              <w:ind w:firstLine="0" w:firstLineChars="0"/>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权重</w:t>
            </w:r>
          </w:p>
        </w:tc>
        <w:tc>
          <w:tcPr>
            <w:tcW w:w="1559" w:type="dxa"/>
            <w:shd w:val="clear" w:color="000000" w:fill="FFFFFF"/>
            <w:vAlign w:val="center"/>
          </w:tcPr>
          <w:p>
            <w:pPr>
              <w:widowControl/>
              <w:shd w:val="clear"/>
              <w:spacing w:line="240" w:lineRule="auto"/>
              <w:ind w:firstLine="0" w:firstLineChars="0"/>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三级指标</w:t>
            </w:r>
          </w:p>
        </w:tc>
        <w:tc>
          <w:tcPr>
            <w:tcW w:w="426" w:type="dxa"/>
            <w:shd w:val="clear" w:color="000000" w:fill="FFFFFF"/>
            <w:vAlign w:val="center"/>
          </w:tcPr>
          <w:p>
            <w:pPr>
              <w:widowControl/>
              <w:shd w:val="clear"/>
              <w:spacing w:line="240" w:lineRule="auto"/>
              <w:ind w:firstLine="0" w:firstLineChars="0"/>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权重</w:t>
            </w:r>
          </w:p>
        </w:tc>
        <w:tc>
          <w:tcPr>
            <w:tcW w:w="3969" w:type="dxa"/>
            <w:shd w:val="clear" w:color="auto" w:fill="auto"/>
            <w:vAlign w:val="center"/>
          </w:tcPr>
          <w:p>
            <w:pPr>
              <w:widowControl/>
              <w:shd w:val="clear"/>
              <w:spacing w:line="240" w:lineRule="auto"/>
              <w:ind w:firstLine="0" w:firstLineChars="0"/>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vMerge w:val="restart"/>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过程</w:t>
            </w:r>
          </w:p>
        </w:tc>
        <w:tc>
          <w:tcPr>
            <w:tcW w:w="519" w:type="dxa"/>
            <w:vMerge w:val="restart"/>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23</w:t>
            </w:r>
          </w:p>
        </w:tc>
        <w:tc>
          <w:tcPr>
            <w:tcW w:w="734" w:type="dxa"/>
            <w:vMerge w:val="restart"/>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资金管理</w:t>
            </w:r>
          </w:p>
        </w:tc>
        <w:tc>
          <w:tcPr>
            <w:tcW w:w="542" w:type="dxa"/>
            <w:vMerge w:val="restart"/>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12</w:t>
            </w:r>
          </w:p>
        </w:tc>
        <w:tc>
          <w:tcPr>
            <w:tcW w:w="1559" w:type="dxa"/>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资金到位率</w:t>
            </w:r>
          </w:p>
        </w:tc>
        <w:tc>
          <w:tcPr>
            <w:tcW w:w="426" w:type="dxa"/>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w:t>
            </w:r>
          </w:p>
        </w:tc>
        <w:tc>
          <w:tcPr>
            <w:tcW w:w="3969" w:type="dxa"/>
            <w:shd w:val="clear" w:color="auto" w:fill="auto"/>
            <w:vAlign w:val="center"/>
          </w:tcPr>
          <w:p>
            <w:pPr>
              <w:widowControl/>
              <w:shd w:val="clear"/>
              <w:spacing w:line="240" w:lineRule="auto"/>
              <w:ind w:firstLine="0" w:firstLineChars="0"/>
              <w:jc w:val="left"/>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 xml:space="preserve">按资金到位率分档评价，资金到位率=(实际到位资金/预算资金)×100%，资金到位率分档标准为到位率达到100%计4分、90%≤到位率＜100%计3分、80%≤到位率＜90%计2分、60%≤到位率＜80%计1分、到位率＜60%不得分。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630" w:type="dxa"/>
            <w:vMerge w:val="continue"/>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p>
        </w:tc>
        <w:tc>
          <w:tcPr>
            <w:tcW w:w="519" w:type="dxa"/>
            <w:vMerge w:val="continue"/>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p>
        </w:tc>
        <w:tc>
          <w:tcPr>
            <w:tcW w:w="734" w:type="dxa"/>
            <w:vMerge w:val="continue"/>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p>
        </w:tc>
        <w:tc>
          <w:tcPr>
            <w:tcW w:w="542" w:type="dxa"/>
            <w:vMerge w:val="continue"/>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p>
        </w:tc>
        <w:tc>
          <w:tcPr>
            <w:tcW w:w="1559" w:type="dxa"/>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预算执行率</w:t>
            </w:r>
          </w:p>
        </w:tc>
        <w:tc>
          <w:tcPr>
            <w:tcW w:w="426" w:type="dxa"/>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w:t>
            </w:r>
          </w:p>
        </w:tc>
        <w:tc>
          <w:tcPr>
            <w:tcW w:w="3969" w:type="dxa"/>
            <w:shd w:val="clear" w:color="auto" w:fill="auto"/>
            <w:vAlign w:val="center"/>
          </w:tcPr>
          <w:p>
            <w:pPr>
              <w:widowControl/>
              <w:shd w:val="clear"/>
              <w:spacing w:line="240" w:lineRule="auto"/>
              <w:ind w:firstLine="0" w:firstLineChars="0"/>
              <w:jc w:val="left"/>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按预算执行率分档评价，预算执行率=实际支出资金/实际到位资金×100%，预算执行率分档标准为执行率达到100%计4分、80%≤执行率＜100%计2分、60%≤执行率＜80%计1分、                                                                                                                        执行率＜60%不得分。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trPr>
        <w:tc>
          <w:tcPr>
            <w:tcW w:w="630" w:type="dxa"/>
            <w:vMerge w:val="continue"/>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p>
        </w:tc>
        <w:tc>
          <w:tcPr>
            <w:tcW w:w="519" w:type="dxa"/>
            <w:vMerge w:val="continue"/>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p>
        </w:tc>
        <w:tc>
          <w:tcPr>
            <w:tcW w:w="734" w:type="dxa"/>
            <w:vMerge w:val="continue"/>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p>
        </w:tc>
        <w:tc>
          <w:tcPr>
            <w:tcW w:w="542" w:type="dxa"/>
            <w:vMerge w:val="continue"/>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p>
        </w:tc>
        <w:tc>
          <w:tcPr>
            <w:tcW w:w="1559" w:type="dxa"/>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资金使用合规性</w:t>
            </w:r>
          </w:p>
        </w:tc>
        <w:tc>
          <w:tcPr>
            <w:tcW w:w="426" w:type="dxa"/>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4</w:t>
            </w:r>
          </w:p>
        </w:tc>
        <w:tc>
          <w:tcPr>
            <w:tcW w:w="3969" w:type="dxa"/>
            <w:shd w:val="clear" w:color="auto" w:fill="auto"/>
            <w:vAlign w:val="center"/>
          </w:tcPr>
          <w:p>
            <w:pPr>
              <w:widowControl/>
              <w:shd w:val="clear"/>
              <w:spacing w:line="240" w:lineRule="auto"/>
              <w:ind w:firstLine="0" w:firstLineChars="0"/>
              <w:jc w:val="left"/>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项目支出不存在虚列支出情况（1分）；不存在支出手续不合规情况（1分）；不存在截留、挤占、挪用情况（1分），不存在超标准开支情况（1分）。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30" w:type="dxa"/>
            <w:vMerge w:val="continue"/>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p>
        </w:tc>
        <w:tc>
          <w:tcPr>
            <w:tcW w:w="519" w:type="dxa"/>
            <w:vMerge w:val="continue"/>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p>
        </w:tc>
        <w:tc>
          <w:tcPr>
            <w:tcW w:w="734" w:type="dxa"/>
            <w:vMerge w:val="restart"/>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组织实施</w:t>
            </w:r>
          </w:p>
        </w:tc>
        <w:tc>
          <w:tcPr>
            <w:tcW w:w="542" w:type="dxa"/>
            <w:vMerge w:val="restart"/>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11</w:t>
            </w:r>
          </w:p>
        </w:tc>
        <w:tc>
          <w:tcPr>
            <w:tcW w:w="1559" w:type="dxa"/>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管理制度健全性</w:t>
            </w:r>
          </w:p>
        </w:tc>
        <w:tc>
          <w:tcPr>
            <w:tcW w:w="426" w:type="dxa"/>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5</w:t>
            </w:r>
          </w:p>
        </w:tc>
        <w:tc>
          <w:tcPr>
            <w:tcW w:w="3969" w:type="dxa"/>
            <w:shd w:val="clear" w:color="auto" w:fill="auto"/>
            <w:vAlign w:val="center"/>
          </w:tcPr>
          <w:p>
            <w:pPr>
              <w:widowControl/>
              <w:shd w:val="clear"/>
              <w:spacing w:line="240" w:lineRule="auto"/>
              <w:ind w:firstLine="0" w:firstLineChars="0"/>
              <w:jc w:val="left"/>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已制定或具有相应的财务和业务管理制度（3分）；财务和业务管理制度是否合法、合规、完整（2分）。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630" w:type="dxa"/>
            <w:vMerge w:val="continue"/>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p>
        </w:tc>
        <w:tc>
          <w:tcPr>
            <w:tcW w:w="519" w:type="dxa"/>
            <w:vMerge w:val="continue"/>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p>
        </w:tc>
        <w:tc>
          <w:tcPr>
            <w:tcW w:w="734" w:type="dxa"/>
            <w:vMerge w:val="continue"/>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p>
        </w:tc>
        <w:tc>
          <w:tcPr>
            <w:tcW w:w="542" w:type="dxa"/>
            <w:vMerge w:val="continue"/>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p>
        </w:tc>
        <w:tc>
          <w:tcPr>
            <w:tcW w:w="1559" w:type="dxa"/>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制度执行有效性</w:t>
            </w:r>
          </w:p>
        </w:tc>
        <w:tc>
          <w:tcPr>
            <w:tcW w:w="426" w:type="dxa"/>
            <w:shd w:val="clear" w:color="auto" w:fill="auto"/>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6</w:t>
            </w:r>
          </w:p>
        </w:tc>
        <w:tc>
          <w:tcPr>
            <w:tcW w:w="3969" w:type="dxa"/>
            <w:shd w:val="clear" w:color="auto" w:fill="auto"/>
            <w:vAlign w:val="center"/>
          </w:tcPr>
          <w:p>
            <w:pPr>
              <w:widowControl/>
              <w:shd w:val="clear"/>
              <w:spacing w:line="240" w:lineRule="auto"/>
              <w:ind w:firstLine="0" w:firstLineChars="0"/>
              <w:jc w:val="left"/>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项目按管理制度进行管理并严格执行项目管理程序（3分）；项目合同书、验收报告、技术鉴定等资料齐全并及时归档，发现一处不符合规定扣1分，扣完即止（3分）。</w:t>
            </w:r>
          </w:p>
        </w:tc>
      </w:tr>
    </w:tbl>
    <w:p>
      <w:pPr>
        <w:shd w:val="clear"/>
        <w:ind w:firstLine="480"/>
        <w:rPr>
          <w:rFonts w:ascii="仿宋" w:hAnsi="仿宋" w:eastAsia="仿宋" w:cs="仿宋"/>
          <w:highlight w:val="none"/>
        </w:rPr>
      </w:pPr>
      <w:bookmarkStart w:id="121" w:name="_Toc26629"/>
      <w:r>
        <w:rPr>
          <w:rFonts w:hint="eastAsia" w:ascii="仿宋" w:hAnsi="仿宋" w:eastAsia="仿宋" w:cs="仿宋"/>
          <w:highlight w:val="none"/>
        </w:rPr>
        <w:t>（3）项目产出</w:t>
      </w:r>
      <w:bookmarkEnd w:id="121"/>
    </w:p>
    <w:p>
      <w:pPr>
        <w:shd w:val="clear"/>
        <w:ind w:firstLine="480"/>
        <w:rPr>
          <w:rFonts w:ascii="仿宋" w:hAnsi="仿宋" w:eastAsia="仿宋" w:cs="仿宋"/>
          <w:highlight w:val="none"/>
        </w:rPr>
      </w:pPr>
      <w:r>
        <w:rPr>
          <w:rFonts w:hint="eastAsia" w:ascii="仿宋" w:hAnsi="仿宋" w:eastAsia="仿宋" w:cs="仿宋"/>
          <w:highlight w:val="none"/>
        </w:rPr>
        <w:t>该指标重点评价项目的实际完成情况、目标完成及时性情况、质量情况和成本情况，由4个二级指标、</w:t>
      </w:r>
      <w:r>
        <w:rPr>
          <w:rFonts w:hint="eastAsia" w:ascii="仿宋" w:hAnsi="仿宋" w:eastAsia="仿宋" w:cs="仿宋"/>
          <w:highlight w:val="none"/>
          <w:lang w:val="en-US" w:eastAsia="zh-CN"/>
        </w:rPr>
        <w:t>7</w:t>
      </w:r>
      <w:r>
        <w:rPr>
          <w:rFonts w:hint="eastAsia" w:ascii="仿宋" w:hAnsi="仿宋" w:eastAsia="仿宋" w:cs="仿宋"/>
          <w:highlight w:val="none"/>
        </w:rPr>
        <w:t>个三级指标组成，各指标的含义详见下表：</w:t>
      </w:r>
    </w:p>
    <w:p>
      <w:pPr>
        <w:shd w:val="clear"/>
        <w:spacing w:line="320" w:lineRule="exact"/>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武汉市武昌区卫生健康局2019年度“大医院专家坐诊”项目绩效评价</w:t>
      </w:r>
    </w:p>
    <w:p>
      <w:pPr>
        <w:shd w:val="clear"/>
        <w:spacing w:line="320" w:lineRule="exact"/>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指标及说明（项目产出）</w:t>
      </w:r>
    </w:p>
    <w:tbl>
      <w:tblPr>
        <w:tblStyle w:val="21"/>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5"/>
        <w:gridCol w:w="468"/>
        <w:gridCol w:w="816"/>
        <w:gridCol w:w="432"/>
        <w:gridCol w:w="1380"/>
        <w:gridCol w:w="456"/>
        <w:gridCol w:w="4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595"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一级 指标</w:t>
            </w:r>
          </w:p>
        </w:tc>
        <w:tc>
          <w:tcPr>
            <w:tcW w:w="468"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权重</w:t>
            </w:r>
          </w:p>
        </w:tc>
        <w:tc>
          <w:tcPr>
            <w:tcW w:w="816"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二级     指标</w:t>
            </w:r>
          </w:p>
        </w:tc>
        <w:tc>
          <w:tcPr>
            <w:tcW w:w="432"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权重</w:t>
            </w:r>
          </w:p>
        </w:tc>
        <w:tc>
          <w:tcPr>
            <w:tcW w:w="1380"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三级指标</w:t>
            </w:r>
          </w:p>
        </w:tc>
        <w:tc>
          <w:tcPr>
            <w:tcW w:w="456"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权重</w:t>
            </w:r>
          </w:p>
        </w:tc>
        <w:tc>
          <w:tcPr>
            <w:tcW w:w="4193"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7" w:hRule="atLeast"/>
        </w:trPr>
        <w:tc>
          <w:tcPr>
            <w:tcW w:w="595" w:type="dxa"/>
            <w:vMerge w:val="restart"/>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产出</w:t>
            </w:r>
          </w:p>
        </w:tc>
        <w:tc>
          <w:tcPr>
            <w:tcW w:w="468" w:type="dxa"/>
            <w:vMerge w:val="restart"/>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48</w:t>
            </w:r>
          </w:p>
        </w:tc>
        <w:tc>
          <w:tcPr>
            <w:tcW w:w="816" w:type="dxa"/>
            <w:vMerge w:val="restart"/>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产出数量</w:t>
            </w:r>
          </w:p>
        </w:tc>
        <w:tc>
          <w:tcPr>
            <w:tcW w:w="432" w:type="dxa"/>
            <w:vMerge w:val="restart"/>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18</w:t>
            </w:r>
          </w:p>
        </w:tc>
        <w:tc>
          <w:tcPr>
            <w:tcW w:w="1380"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hint="eastAsia" w:ascii="仿宋" w:hAnsi="仿宋" w:eastAsia="仿宋" w:cs="仿宋"/>
                <w:sz w:val="18"/>
                <w:szCs w:val="18"/>
                <w:highlight w:val="none"/>
              </w:rPr>
            </w:pPr>
            <w:r>
              <w:rPr>
                <w:rFonts w:hint="eastAsia" w:ascii="仿宋" w:hAnsi="仿宋" w:eastAsia="仿宋" w:cs="仿宋"/>
                <w:sz w:val="18"/>
                <w:szCs w:val="18"/>
                <w:highlight w:val="none"/>
              </w:rPr>
              <w:t>社区覆盖率</w:t>
            </w:r>
          </w:p>
        </w:tc>
        <w:tc>
          <w:tcPr>
            <w:tcW w:w="456"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hint="eastAsia" w:ascii="仿宋" w:hAnsi="仿宋" w:eastAsia="仿宋" w:cs="仿宋"/>
                <w:color w:val="000000"/>
                <w:kern w:val="0"/>
                <w:sz w:val="18"/>
                <w:szCs w:val="18"/>
                <w:highlight w:val="none"/>
                <w:lang w:eastAsia="zh-CN"/>
              </w:rPr>
            </w:pPr>
            <w:r>
              <w:rPr>
                <w:rFonts w:hint="eastAsia" w:ascii="仿宋" w:hAnsi="仿宋" w:eastAsia="仿宋" w:cs="仿宋"/>
                <w:color w:val="000000"/>
                <w:kern w:val="0"/>
                <w:sz w:val="18"/>
                <w:szCs w:val="18"/>
                <w:highlight w:val="none"/>
                <w:lang w:val="en-US" w:eastAsia="zh-CN"/>
              </w:rPr>
              <w:t>6</w:t>
            </w:r>
          </w:p>
        </w:tc>
        <w:tc>
          <w:tcPr>
            <w:tcW w:w="4193" w:type="dxa"/>
            <w:shd w:val="clear" w:color="auto" w:fill="auto"/>
            <w:tcMar>
              <w:top w:w="12" w:type="dxa"/>
              <w:left w:w="12" w:type="dxa"/>
              <w:right w:w="12" w:type="dxa"/>
            </w:tcMar>
            <w:vAlign w:val="center"/>
          </w:tcPr>
          <w:p>
            <w:pPr>
              <w:widowControl/>
              <w:shd w:val="clear"/>
              <w:spacing w:line="240" w:lineRule="auto"/>
              <w:ind w:firstLine="0" w:firstLineChars="0"/>
              <w:jc w:val="left"/>
              <w:textAlignment w:val="center"/>
              <w:rPr>
                <w:rFonts w:ascii="仿宋" w:hAnsi="仿宋" w:eastAsia="仿宋" w:cs="仿宋"/>
                <w:sz w:val="18"/>
                <w:szCs w:val="18"/>
                <w:highlight w:val="none"/>
              </w:rPr>
            </w:pPr>
            <w:r>
              <w:rPr>
                <w:rFonts w:hint="eastAsia" w:ascii="仿宋" w:hAnsi="仿宋" w:eastAsia="仿宋" w:cs="仿宋"/>
                <w:sz w:val="18"/>
                <w:szCs w:val="18"/>
                <w:highlight w:val="none"/>
              </w:rPr>
              <w:t>按社区覆盖率分档评价，社区覆盖率=(实际覆盖数/计划覆盖数)×100%，社区覆盖率分档标准为覆盖率达到100%计</w:t>
            </w:r>
            <w:r>
              <w:rPr>
                <w:rFonts w:hint="eastAsia" w:ascii="仿宋" w:hAnsi="仿宋" w:eastAsia="仿宋" w:cs="仿宋"/>
                <w:sz w:val="18"/>
                <w:szCs w:val="18"/>
                <w:highlight w:val="none"/>
                <w:lang w:val="en-US" w:eastAsia="zh-CN"/>
              </w:rPr>
              <w:t>6</w:t>
            </w:r>
            <w:r>
              <w:rPr>
                <w:rFonts w:hint="eastAsia" w:ascii="仿宋" w:hAnsi="仿宋" w:eastAsia="仿宋" w:cs="仿宋"/>
                <w:sz w:val="18"/>
                <w:szCs w:val="18"/>
                <w:highlight w:val="none"/>
              </w:rPr>
              <w:t>分、90%≤覆盖率＜100%计</w:t>
            </w: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rPr>
              <w:t>分、80%≤覆盖率＜90%计</w:t>
            </w: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 xml:space="preserve">分、60%≤覆盖率＜80%计1分、覆盖率＜60%不得分。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2" w:hRule="atLeast"/>
        </w:trPr>
        <w:tc>
          <w:tcPr>
            <w:tcW w:w="595" w:type="dxa"/>
            <w:vMerge w:val="continue"/>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p>
        </w:tc>
        <w:tc>
          <w:tcPr>
            <w:tcW w:w="468" w:type="dxa"/>
            <w:vMerge w:val="continue"/>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p>
        </w:tc>
        <w:tc>
          <w:tcPr>
            <w:tcW w:w="816" w:type="dxa"/>
            <w:vMerge w:val="continue"/>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hint="eastAsia" w:ascii="仿宋" w:hAnsi="仿宋" w:eastAsia="仿宋" w:cs="仿宋"/>
                <w:sz w:val="18"/>
                <w:szCs w:val="18"/>
                <w:highlight w:val="none"/>
              </w:rPr>
            </w:pPr>
          </w:p>
        </w:tc>
        <w:tc>
          <w:tcPr>
            <w:tcW w:w="432" w:type="dxa"/>
            <w:vMerge w:val="continue"/>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hint="eastAsia" w:ascii="仿宋" w:hAnsi="仿宋" w:eastAsia="仿宋" w:cs="仿宋"/>
                <w:sz w:val="18"/>
                <w:szCs w:val="18"/>
                <w:highlight w:val="none"/>
              </w:rPr>
            </w:pPr>
          </w:p>
        </w:tc>
        <w:tc>
          <w:tcPr>
            <w:tcW w:w="1380"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hint="eastAsia" w:ascii="仿宋" w:hAnsi="仿宋" w:eastAsia="仿宋" w:cs="仿宋"/>
                <w:sz w:val="18"/>
                <w:szCs w:val="18"/>
                <w:highlight w:val="none"/>
              </w:rPr>
            </w:pPr>
            <w:r>
              <w:rPr>
                <w:rFonts w:hint="eastAsia" w:ascii="仿宋" w:hAnsi="仿宋" w:eastAsia="仿宋" w:cs="仿宋"/>
                <w:sz w:val="18"/>
                <w:szCs w:val="18"/>
                <w:highlight w:val="none"/>
              </w:rPr>
              <w:t>家庭医生签约服务履约率</w:t>
            </w:r>
          </w:p>
        </w:tc>
        <w:tc>
          <w:tcPr>
            <w:tcW w:w="456"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hint="eastAsia" w:ascii="仿宋" w:hAnsi="仿宋" w:eastAsia="仿宋" w:cs="仿宋"/>
                <w:color w:val="000000"/>
                <w:kern w:val="0"/>
                <w:sz w:val="18"/>
                <w:szCs w:val="18"/>
                <w:highlight w:val="none"/>
                <w:lang w:val="en-US" w:eastAsia="zh-CN"/>
              </w:rPr>
            </w:pPr>
            <w:r>
              <w:rPr>
                <w:rFonts w:hint="eastAsia" w:ascii="仿宋" w:hAnsi="仿宋" w:eastAsia="仿宋" w:cs="仿宋"/>
                <w:color w:val="000000"/>
                <w:kern w:val="0"/>
                <w:sz w:val="18"/>
                <w:szCs w:val="18"/>
                <w:highlight w:val="none"/>
                <w:lang w:val="en-US" w:eastAsia="zh-CN"/>
              </w:rPr>
              <w:t>6</w:t>
            </w:r>
          </w:p>
        </w:tc>
        <w:tc>
          <w:tcPr>
            <w:tcW w:w="4193" w:type="dxa"/>
            <w:shd w:val="clear" w:color="auto" w:fill="auto"/>
            <w:tcMar>
              <w:top w:w="12" w:type="dxa"/>
              <w:left w:w="12" w:type="dxa"/>
              <w:right w:w="12" w:type="dxa"/>
            </w:tcMar>
            <w:vAlign w:val="center"/>
          </w:tcPr>
          <w:p>
            <w:pPr>
              <w:widowControl/>
              <w:shd w:val="clear"/>
              <w:spacing w:line="240" w:lineRule="auto"/>
              <w:ind w:firstLine="0" w:firstLineChars="0"/>
              <w:jc w:val="left"/>
              <w:textAlignment w:val="center"/>
              <w:rPr>
                <w:rFonts w:hint="eastAsia" w:ascii="仿宋" w:hAnsi="仿宋" w:eastAsia="仿宋" w:cs="仿宋"/>
                <w:sz w:val="18"/>
                <w:szCs w:val="18"/>
                <w:highlight w:val="none"/>
              </w:rPr>
            </w:pPr>
            <w:r>
              <w:rPr>
                <w:rFonts w:hint="eastAsia" w:ascii="仿宋" w:hAnsi="仿宋" w:eastAsia="仿宋" w:cs="仿宋"/>
                <w:sz w:val="18"/>
                <w:szCs w:val="18"/>
                <w:highlight w:val="none"/>
              </w:rPr>
              <w:t>按服务履约率分档评价，服务履约率=(实际履约人数/计划履约人数)×100%，服务履约率分档标准为服务履约率达到100%计6分、90%≤履约率＜100%计4分、80%≤履约率＜90%计2分</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60%≤履约率＜80%计1分、                                                       履约率＜60%不得分。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9" w:hRule="atLeast"/>
        </w:trPr>
        <w:tc>
          <w:tcPr>
            <w:tcW w:w="595" w:type="dxa"/>
            <w:vMerge w:val="continue"/>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p>
        </w:tc>
        <w:tc>
          <w:tcPr>
            <w:tcW w:w="468" w:type="dxa"/>
            <w:vMerge w:val="continue"/>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p>
        </w:tc>
        <w:tc>
          <w:tcPr>
            <w:tcW w:w="816" w:type="dxa"/>
            <w:vMerge w:val="continue"/>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p>
        </w:tc>
        <w:tc>
          <w:tcPr>
            <w:tcW w:w="432" w:type="dxa"/>
            <w:vMerge w:val="continue"/>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p>
        </w:tc>
        <w:tc>
          <w:tcPr>
            <w:tcW w:w="1380"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sz w:val="18"/>
                <w:szCs w:val="18"/>
                <w:highlight w:val="none"/>
              </w:rPr>
            </w:pPr>
            <w:r>
              <w:rPr>
                <w:rFonts w:hint="eastAsia" w:ascii="仿宋" w:hAnsi="仿宋" w:eastAsia="仿宋" w:cs="仿宋"/>
                <w:sz w:val="18"/>
                <w:szCs w:val="18"/>
                <w:highlight w:val="none"/>
              </w:rPr>
              <w:t>坐诊专家出诊率</w:t>
            </w:r>
          </w:p>
        </w:tc>
        <w:tc>
          <w:tcPr>
            <w:tcW w:w="456"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hint="eastAsia" w:ascii="仿宋" w:hAnsi="仿宋" w:eastAsia="仿宋" w:cs="仿宋"/>
                <w:color w:val="000000"/>
                <w:kern w:val="0"/>
                <w:sz w:val="18"/>
                <w:szCs w:val="18"/>
                <w:highlight w:val="none"/>
                <w:lang w:eastAsia="zh-CN"/>
              </w:rPr>
            </w:pPr>
            <w:r>
              <w:rPr>
                <w:rFonts w:hint="eastAsia" w:ascii="仿宋" w:hAnsi="仿宋" w:eastAsia="仿宋" w:cs="仿宋"/>
                <w:color w:val="000000"/>
                <w:kern w:val="0"/>
                <w:sz w:val="18"/>
                <w:szCs w:val="18"/>
                <w:highlight w:val="none"/>
                <w:lang w:val="en-US" w:eastAsia="zh-CN"/>
              </w:rPr>
              <w:t>6</w:t>
            </w:r>
          </w:p>
        </w:tc>
        <w:tc>
          <w:tcPr>
            <w:tcW w:w="4193" w:type="dxa"/>
            <w:shd w:val="clear" w:color="auto" w:fill="auto"/>
            <w:tcMar>
              <w:top w:w="12" w:type="dxa"/>
              <w:left w:w="12" w:type="dxa"/>
              <w:right w:w="12" w:type="dxa"/>
            </w:tcMar>
            <w:vAlign w:val="center"/>
          </w:tcPr>
          <w:p>
            <w:pPr>
              <w:widowControl/>
              <w:shd w:val="clear"/>
              <w:spacing w:line="240" w:lineRule="auto"/>
              <w:ind w:firstLine="0" w:firstLineChars="0"/>
              <w:jc w:val="left"/>
              <w:textAlignment w:val="center"/>
              <w:rPr>
                <w:rFonts w:ascii="仿宋" w:hAnsi="仿宋" w:eastAsia="仿宋" w:cs="仿宋"/>
                <w:sz w:val="18"/>
                <w:szCs w:val="18"/>
                <w:highlight w:val="none"/>
              </w:rPr>
            </w:pPr>
            <w:r>
              <w:rPr>
                <w:rFonts w:hint="eastAsia" w:ascii="仿宋" w:hAnsi="仿宋" w:eastAsia="仿宋" w:cs="仿宋"/>
                <w:sz w:val="18"/>
                <w:szCs w:val="18"/>
                <w:highlight w:val="none"/>
              </w:rPr>
              <w:t>按出诊率分档评价，出诊率=(实际出诊专家人数/计划出诊专家人数)×100%，出诊率分档标准为出诊率达到100%计</w:t>
            </w:r>
            <w:r>
              <w:rPr>
                <w:rFonts w:hint="eastAsia" w:ascii="仿宋" w:hAnsi="仿宋" w:eastAsia="仿宋" w:cs="仿宋"/>
                <w:sz w:val="18"/>
                <w:szCs w:val="18"/>
                <w:highlight w:val="none"/>
                <w:lang w:val="en-US" w:eastAsia="zh-CN"/>
              </w:rPr>
              <w:t>6</w:t>
            </w:r>
            <w:r>
              <w:rPr>
                <w:rFonts w:hint="eastAsia" w:ascii="仿宋" w:hAnsi="仿宋" w:eastAsia="仿宋" w:cs="仿宋"/>
                <w:sz w:val="18"/>
                <w:szCs w:val="18"/>
                <w:highlight w:val="none"/>
              </w:rPr>
              <w:t>分、90%≤出诊率＜100%计</w:t>
            </w: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rPr>
              <w:t>分、80%≤出诊率＜90%计</w:t>
            </w: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分、60%≤出诊率＜80%计1分、出诊率＜60%不得分。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95" w:type="dxa"/>
            <w:vMerge w:val="continue"/>
            <w:shd w:val="clear" w:color="auto" w:fill="auto"/>
            <w:tcMar>
              <w:top w:w="12" w:type="dxa"/>
              <w:left w:w="12" w:type="dxa"/>
              <w:right w:w="12" w:type="dxa"/>
            </w:tcMar>
            <w:vAlign w:val="center"/>
          </w:tcPr>
          <w:p>
            <w:pPr>
              <w:shd w:val="clear"/>
              <w:spacing w:line="240" w:lineRule="auto"/>
              <w:ind w:firstLine="360"/>
              <w:jc w:val="left"/>
              <w:rPr>
                <w:rFonts w:ascii="仿宋" w:hAnsi="仿宋" w:eastAsia="仿宋" w:cs="仿宋"/>
                <w:kern w:val="0"/>
                <w:sz w:val="18"/>
                <w:szCs w:val="18"/>
                <w:highlight w:val="none"/>
              </w:rPr>
            </w:pPr>
          </w:p>
        </w:tc>
        <w:tc>
          <w:tcPr>
            <w:tcW w:w="468" w:type="dxa"/>
            <w:vMerge w:val="continue"/>
            <w:shd w:val="clear" w:color="auto" w:fill="auto"/>
            <w:tcMar>
              <w:top w:w="12" w:type="dxa"/>
              <w:left w:w="12" w:type="dxa"/>
              <w:right w:w="12" w:type="dxa"/>
            </w:tcMar>
            <w:vAlign w:val="center"/>
          </w:tcPr>
          <w:p>
            <w:pPr>
              <w:shd w:val="clear"/>
              <w:spacing w:line="240" w:lineRule="auto"/>
              <w:ind w:firstLine="360"/>
              <w:jc w:val="left"/>
              <w:rPr>
                <w:rFonts w:ascii="仿宋" w:hAnsi="仿宋" w:eastAsia="仿宋" w:cs="仿宋"/>
                <w:kern w:val="0"/>
                <w:sz w:val="18"/>
                <w:szCs w:val="18"/>
                <w:highlight w:val="none"/>
              </w:rPr>
            </w:pPr>
          </w:p>
        </w:tc>
        <w:tc>
          <w:tcPr>
            <w:tcW w:w="816" w:type="dxa"/>
            <w:vMerge w:val="restart"/>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产出质量</w:t>
            </w:r>
          </w:p>
        </w:tc>
        <w:tc>
          <w:tcPr>
            <w:tcW w:w="432" w:type="dxa"/>
            <w:vMerge w:val="restart"/>
            <w:shd w:val="clear" w:color="auto" w:fill="auto"/>
            <w:tcMar>
              <w:top w:w="12" w:type="dxa"/>
              <w:left w:w="12" w:type="dxa"/>
              <w:right w:w="12" w:type="dxa"/>
            </w:tcMar>
            <w:vAlign w:val="center"/>
          </w:tcPr>
          <w:p>
            <w:pPr>
              <w:shd w:val="clear"/>
              <w:spacing w:line="240" w:lineRule="auto"/>
              <w:ind w:firstLine="0" w:firstLineChars="0"/>
              <w:jc w:val="center"/>
              <w:rPr>
                <w:rFonts w:hint="default" w:ascii="仿宋" w:hAnsi="仿宋" w:eastAsia="仿宋" w:cs="仿宋"/>
                <w:kern w:val="0"/>
                <w:sz w:val="18"/>
                <w:szCs w:val="18"/>
                <w:highlight w:val="none"/>
                <w:lang w:val="en-US" w:eastAsia="zh-CN"/>
              </w:rPr>
            </w:pPr>
            <w:r>
              <w:rPr>
                <w:rFonts w:hint="eastAsia" w:ascii="仿宋" w:hAnsi="仿宋" w:eastAsia="仿宋" w:cs="仿宋"/>
                <w:kern w:val="0"/>
                <w:sz w:val="18"/>
                <w:szCs w:val="18"/>
                <w:highlight w:val="none"/>
                <w:lang w:val="en-US" w:eastAsia="zh-CN"/>
              </w:rPr>
              <w:t>14</w:t>
            </w:r>
          </w:p>
        </w:tc>
        <w:tc>
          <w:tcPr>
            <w:tcW w:w="1380"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sz w:val="18"/>
                <w:szCs w:val="18"/>
                <w:highlight w:val="none"/>
              </w:rPr>
            </w:pPr>
            <w:r>
              <w:rPr>
                <w:rFonts w:hint="eastAsia" w:ascii="仿宋" w:hAnsi="仿宋" w:eastAsia="仿宋" w:cs="仿宋"/>
                <w:sz w:val="18"/>
                <w:szCs w:val="18"/>
                <w:highlight w:val="none"/>
              </w:rPr>
              <w:t>专家坐诊补贴标准</w:t>
            </w:r>
            <w:r>
              <w:rPr>
                <w:rFonts w:hint="eastAsia" w:ascii="仿宋" w:hAnsi="仿宋" w:eastAsia="仿宋" w:cs="仿宋"/>
                <w:sz w:val="18"/>
                <w:szCs w:val="18"/>
                <w:highlight w:val="none"/>
                <w:lang w:val="en-US" w:eastAsia="zh-CN"/>
              </w:rPr>
              <w:t>执行</w:t>
            </w:r>
            <w:r>
              <w:rPr>
                <w:rFonts w:hint="eastAsia" w:ascii="仿宋" w:hAnsi="仿宋" w:eastAsia="仿宋" w:cs="仿宋"/>
                <w:sz w:val="18"/>
                <w:szCs w:val="18"/>
                <w:highlight w:val="none"/>
              </w:rPr>
              <w:t>率</w:t>
            </w:r>
          </w:p>
        </w:tc>
        <w:tc>
          <w:tcPr>
            <w:tcW w:w="456"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8</w:t>
            </w:r>
          </w:p>
        </w:tc>
        <w:tc>
          <w:tcPr>
            <w:tcW w:w="4193" w:type="dxa"/>
            <w:shd w:val="clear" w:color="auto" w:fill="auto"/>
            <w:tcMar>
              <w:top w:w="12" w:type="dxa"/>
              <w:left w:w="12" w:type="dxa"/>
              <w:right w:w="12" w:type="dxa"/>
            </w:tcMar>
            <w:vAlign w:val="center"/>
          </w:tcPr>
          <w:p>
            <w:pPr>
              <w:widowControl/>
              <w:shd w:val="clear"/>
              <w:spacing w:line="240" w:lineRule="auto"/>
              <w:ind w:firstLine="0" w:firstLineChars="0"/>
              <w:jc w:val="left"/>
              <w:textAlignment w:val="center"/>
              <w:rPr>
                <w:rFonts w:ascii="仿宋" w:hAnsi="仿宋" w:eastAsia="仿宋" w:cs="仿宋"/>
                <w:sz w:val="18"/>
                <w:szCs w:val="18"/>
                <w:highlight w:val="none"/>
              </w:rPr>
            </w:pPr>
            <w:r>
              <w:rPr>
                <w:rFonts w:hint="eastAsia" w:ascii="仿宋" w:hAnsi="仿宋" w:eastAsia="仿宋" w:cs="仿宋"/>
                <w:sz w:val="18"/>
                <w:szCs w:val="18"/>
                <w:highlight w:val="none"/>
              </w:rPr>
              <w:t>按照规定补贴标准发放，得8分。否则不得分。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595" w:type="dxa"/>
            <w:vMerge w:val="continue"/>
            <w:shd w:val="clear" w:color="auto" w:fill="auto"/>
            <w:tcMar>
              <w:top w:w="12" w:type="dxa"/>
              <w:left w:w="12" w:type="dxa"/>
              <w:right w:w="12" w:type="dxa"/>
            </w:tcMar>
            <w:vAlign w:val="center"/>
          </w:tcPr>
          <w:p>
            <w:pPr>
              <w:shd w:val="clear"/>
              <w:spacing w:line="240" w:lineRule="auto"/>
              <w:ind w:firstLine="360"/>
              <w:jc w:val="left"/>
              <w:rPr>
                <w:rFonts w:ascii="仿宋" w:hAnsi="仿宋" w:eastAsia="仿宋" w:cs="仿宋"/>
                <w:kern w:val="0"/>
                <w:sz w:val="18"/>
                <w:szCs w:val="18"/>
                <w:highlight w:val="none"/>
              </w:rPr>
            </w:pPr>
          </w:p>
        </w:tc>
        <w:tc>
          <w:tcPr>
            <w:tcW w:w="468" w:type="dxa"/>
            <w:vMerge w:val="continue"/>
            <w:shd w:val="clear" w:color="auto" w:fill="auto"/>
            <w:tcMar>
              <w:top w:w="12" w:type="dxa"/>
              <w:left w:w="12" w:type="dxa"/>
              <w:right w:w="12" w:type="dxa"/>
            </w:tcMar>
            <w:vAlign w:val="center"/>
          </w:tcPr>
          <w:p>
            <w:pPr>
              <w:shd w:val="clear"/>
              <w:spacing w:line="240" w:lineRule="auto"/>
              <w:ind w:firstLine="360"/>
              <w:jc w:val="left"/>
              <w:rPr>
                <w:rFonts w:ascii="仿宋" w:hAnsi="仿宋" w:eastAsia="仿宋" w:cs="仿宋"/>
                <w:kern w:val="0"/>
                <w:sz w:val="18"/>
                <w:szCs w:val="18"/>
                <w:highlight w:val="none"/>
              </w:rPr>
            </w:pPr>
          </w:p>
        </w:tc>
        <w:tc>
          <w:tcPr>
            <w:tcW w:w="816" w:type="dxa"/>
            <w:vMerge w:val="continue"/>
            <w:tcBorders/>
            <w:shd w:val="clear" w:color="auto" w:fill="auto"/>
            <w:tcMar>
              <w:top w:w="12" w:type="dxa"/>
              <w:left w:w="12" w:type="dxa"/>
              <w:right w:w="12" w:type="dxa"/>
            </w:tcMar>
            <w:vAlign w:val="center"/>
          </w:tcPr>
          <w:p>
            <w:pPr>
              <w:shd w:val="clear"/>
              <w:spacing w:line="240" w:lineRule="auto"/>
              <w:ind w:firstLine="0" w:firstLineChars="0"/>
              <w:jc w:val="center"/>
              <w:rPr>
                <w:rFonts w:hint="eastAsia" w:ascii="仿宋" w:hAnsi="仿宋" w:eastAsia="仿宋" w:cs="仿宋"/>
                <w:kern w:val="0"/>
                <w:sz w:val="18"/>
                <w:szCs w:val="18"/>
                <w:highlight w:val="none"/>
              </w:rPr>
            </w:pPr>
          </w:p>
        </w:tc>
        <w:tc>
          <w:tcPr>
            <w:tcW w:w="432" w:type="dxa"/>
            <w:vMerge w:val="continue"/>
            <w:tcBorders/>
            <w:shd w:val="clear" w:color="auto" w:fill="auto"/>
            <w:tcMar>
              <w:top w:w="12" w:type="dxa"/>
              <w:left w:w="12" w:type="dxa"/>
              <w:right w:w="12" w:type="dxa"/>
            </w:tcMar>
            <w:vAlign w:val="center"/>
          </w:tcPr>
          <w:p>
            <w:pPr>
              <w:shd w:val="clear"/>
              <w:spacing w:line="240" w:lineRule="auto"/>
              <w:ind w:firstLine="0" w:firstLineChars="0"/>
              <w:jc w:val="center"/>
              <w:rPr>
                <w:rFonts w:hint="eastAsia" w:ascii="仿宋" w:hAnsi="仿宋" w:eastAsia="仿宋" w:cs="仿宋"/>
                <w:kern w:val="0"/>
                <w:sz w:val="18"/>
                <w:szCs w:val="18"/>
                <w:highlight w:val="none"/>
              </w:rPr>
            </w:pPr>
          </w:p>
        </w:tc>
        <w:tc>
          <w:tcPr>
            <w:tcW w:w="1380"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上转下转病人数同比增长完成率</w:t>
            </w:r>
          </w:p>
        </w:tc>
        <w:tc>
          <w:tcPr>
            <w:tcW w:w="456"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hint="eastAsia" w:ascii="仿宋" w:hAnsi="仿宋" w:eastAsia="仿宋" w:cs="仿宋"/>
                <w:color w:val="000000"/>
                <w:kern w:val="0"/>
                <w:sz w:val="18"/>
                <w:szCs w:val="18"/>
                <w:highlight w:val="none"/>
                <w:lang w:val="en-US" w:eastAsia="zh-CN" w:bidi="ar-SA"/>
              </w:rPr>
            </w:pPr>
            <w:r>
              <w:rPr>
                <w:rFonts w:hint="eastAsia" w:ascii="仿宋" w:hAnsi="仿宋" w:eastAsia="仿宋" w:cs="仿宋"/>
                <w:color w:val="000000"/>
                <w:kern w:val="0"/>
                <w:sz w:val="18"/>
                <w:szCs w:val="18"/>
                <w:highlight w:val="none"/>
                <w:lang w:val="en-US" w:eastAsia="zh-CN"/>
              </w:rPr>
              <w:t>6</w:t>
            </w:r>
          </w:p>
        </w:tc>
        <w:tc>
          <w:tcPr>
            <w:tcW w:w="4193" w:type="dxa"/>
            <w:shd w:val="clear" w:color="auto" w:fill="auto"/>
            <w:tcMar>
              <w:top w:w="12" w:type="dxa"/>
              <w:left w:w="12" w:type="dxa"/>
              <w:right w:w="12" w:type="dxa"/>
            </w:tcMar>
            <w:vAlign w:val="center"/>
          </w:tcPr>
          <w:p>
            <w:pPr>
              <w:widowControl/>
              <w:shd w:val="clear"/>
              <w:spacing w:line="240" w:lineRule="auto"/>
              <w:ind w:firstLine="0" w:firstLineChars="0"/>
              <w:jc w:val="left"/>
              <w:textAlignment w:val="center"/>
              <w:rPr>
                <w:rFonts w:hint="eastAsia" w:ascii="仿宋" w:hAnsi="仿宋" w:eastAsia="仿宋" w:cs="仿宋"/>
                <w:kern w:val="2"/>
                <w:sz w:val="18"/>
                <w:szCs w:val="18"/>
                <w:highlight w:val="none"/>
                <w:lang w:val="en-US" w:eastAsia="zh-CN" w:bidi="ar-SA"/>
              </w:rPr>
            </w:pPr>
            <w:r>
              <w:rPr>
                <w:rFonts w:hint="eastAsia" w:ascii="仿宋" w:hAnsi="仿宋" w:eastAsia="仿宋" w:cs="仿宋"/>
                <w:sz w:val="18"/>
                <w:szCs w:val="18"/>
                <w:highlight w:val="none"/>
              </w:rPr>
              <w:t>按同比增长完成率分档评价，同比增长完成率=(实际上转下转病人数同比增长率/计划上转下转病人数同比增长率)×100%，同比增长完成率分档标准为完成率达到100%计</w:t>
            </w:r>
            <w:r>
              <w:rPr>
                <w:rFonts w:hint="eastAsia" w:ascii="仿宋" w:hAnsi="仿宋" w:eastAsia="仿宋" w:cs="仿宋"/>
                <w:sz w:val="18"/>
                <w:szCs w:val="18"/>
                <w:highlight w:val="none"/>
                <w:lang w:val="en-US" w:eastAsia="zh-CN"/>
              </w:rPr>
              <w:t>6</w:t>
            </w:r>
            <w:r>
              <w:rPr>
                <w:rFonts w:hint="eastAsia" w:ascii="仿宋" w:hAnsi="仿宋" w:eastAsia="仿宋" w:cs="仿宋"/>
                <w:sz w:val="18"/>
                <w:szCs w:val="18"/>
                <w:highlight w:val="none"/>
              </w:rPr>
              <w:t>分、90%≤完成率＜100%计</w:t>
            </w: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rPr>
              <w:t>分、80%≤完成率＜90%计</w:t>
            </w: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分、60%≤完成率＜80%计1分、完成率＜60%不得分。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595" w:type="dxa"/>
            <w:vMerge w:val="continue"/>
            <w:shd w:val="clear" w:color="auto" w:fill="auto"/>
            <w:tcMar>
              <w:top w:w="12" w:type="dxa"/>
              <w:left w:w="12" w:type="dxa"/>
              <w:right w:w="12" w:type="dxa"/>
            </w:tcMar>
            <w:vAlign w:val="center"/>
          </w:tcPr>
          <w:p>
            <w:pPr>
              <w:shd w:val="clear"/>
              <w:spacing w:line="240" w:lineRule="auto"/>
              <w:ind w:firstLine="360"/>
              <w:jc w:val="left"/>
              <w:rPr>
                <w:rFonts w:ascii="仿宋" w:hAnsi="仿宋" w:eastAsia="仿宋" w:cs="仿宋"/>
                <w:kern w:val="0"/>
                <w:sz w:val="18"/>
                <w:szCs w:val="18"/>
                <w:highlight w:val="none"/>
              </w:rPr>
            </w:pPr>
          </w:p>
        </w:tc>
        <w:tc>
          <w:tcPr>
            <w:tcW w:w="468" w:type="dxa"/>
            <w:vMerge w:val="continue"/>
            <w:shd w:val="clear" w:color="auto" w:fill="auto"/>
            <w:tcMar>
              <w:top w:w="12" w:type="dxa"/>
              <w:left w:w="12" w:type="dxa"/>
              <w:right w:w="12" w:type="dxa"/>
            </w:tcMar>
            <w:vAlign w:val="center"/>
          </w:tcPr>
          <w:p>
            <w:pPr>
              <w:shd w:val="clear"/>
              <w:spacing w:line="240" w:lineRule="auto"/>
              <w:ind w:firstLine="360"/>
              <w:jc w:val="left"/>
              <w:rPr>
                <w:rFonts w:ascii="仿宋" w:hAnsi="仿宋" w:eastAsia="仿宋" w:cs="仿宋"/>
                <w:kern w:val="0"/>
                <w:sz w:val="18"/>
                <w:szCs w:val="18"/>
                <w:highlight w:val="none"/>
              </w:rPr>
            </w:pPr>
          </w:p>
        </w:tc>
        <w:tc>
          <w:tcPr>
            <w:tcW w:w="816" w:type="dxa"/>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产出时效</w:t>
            </w:r>
          </w:p>
        </w:tc>
        <w:tc>
          <w:tcPr>
            <w:tcW w:w="432" w:type="dxa"/>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8</w:t>
            </w:r>
          </w:p>
        </w:tc>
        <w:tc>
          <w:tcPr>
            <w:tcW w:w="1380"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sz w:val="18"/>
                <w:szCs w:val="18"/>
                <w:highlight w:val="none"/>
              </w:rPr>
            </w:pPr>
            <w:r>
              <w:rPr>
                <w:rFonts w:hint="eastAsia" w:ascii="仿宋" w:hAnsi="仿宋" w:eastAsia="仿宋" w:cs="仿宋"/>
                <w:sz w:val="18"/>
                <w:szCs w:val="18"/>
                <w:highlight w:val="none"/>
              </w:rPr>
              <w:t>专家坐诊补贴发放及时性</w:t>
            </w:r>
          </w:p>
        </w:tc>
        <w:tc>
          <w:tcPr>
            <w:tcW w:w="456"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8</w:t>
            </w:r>
          </w:p>
        </w:tc>
        <w:tc>
          <w:tcPr>
            <w:tcW w:w="4193" w:type="dxa"/>
            <w:shd w:val="clear" w:color="auto" w:fill="auto"/>
            <w:tcMar>
              <w:top w:w="12" w:type="dxa"/>
              <w:left w:w="12" w:type="dxa"/>
              <w:right w:w="12" w:type="dxa"/>
            </w:tcMar>
            <w:vAlign w:val="center"/>
          </w:tcPr>
          <w:p>
            <w:pPr>
              <w:widowControl/>
              <w:shd w:val="clear"/>
              <w:spacing w:line="240" w:lineRule="auto"/>
              <w:ind w:firstLine="0" w:firstLineChars="0"/>
              <w:jc w:val="left"/>
              <w:textAlignment w:val="center"/>
              <w:rPr>
                <w:rFonts w:ascii="仿宋" w:hAnsi="仿宋" w:eastAsia="仿宋" w:cs="仿宋"/>
                <w:sz w:val="18"/>
                <w:szCs w:val="18"/>
                <w:highlight w:val="none"/>
              </w:rPr>
            </w:pPr>
            <w:r>
              <w:rPr>
                <w:rFonts w:hint="eastAsia" w:ascii="仿宋" w:hAnsi="仿宋" w:eastAsia="仿宋" w:cs="仿宋"/>
                <w:sz w:val="18"/>
                <w:szCs w:val="18"/>
                <w:highlight w:val="none"/>
              </w:rPr>
              <w:t>补贴发放足额、及时，得8分。否则不得分。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595" w:type="dxa"/>
            <w:vMerge w:val="continue"/>
            <w:shd w:val="clear" w:color="auto" w:fill="auto"/>
            <w:tcMar>
              <w:top w:w="12" w:type="dxa"/>
              <w:left w:w="12" w:type="dxa"/>
              <w:right w:w="12" w:type="dxa"/>
            </w:tcMar>
            <w:vAlign w:val="center"/>
          </w:tcPr>
          <w:p>
            <w:pPr>
              <w:shd w:val="clear"/>
              <w:spacing w:line="240" w:lineRule="auto"/>
              <w:ind w:firstLine="360"/>
              <w:jc w:val="left"/>
              <w:rPr>
                <w:rFonts w:ascii="仿宋" w:hAnsi="仿宋" w:eastAsia="仿宋" w:cs="仿宋"/>
                <w:kern w:val="0"/>
                <w:sz w:val="18"/>
                <w:szCs w:val="18"/>
                <w:highlight w:val="none"/>
              </w:rPr>
            </w:pPr>
          </w:p>
        </w:tc>
        <w:tc>
          <w:tcPr>
            <w:tcW w:w="468" w:type="dxa"/>
            <w:vMerge w:val="continue"/>
            <w:shd w:val="clear" w:color="auto" w:fill="auto"/>
            <w:tcMar>
              <w:top w:w="12" w:type="dxa"/>
              <w:left w:w="12" w:type="dxa"/>
              <w:right w:w="12" w:type="dxa"/>
            </w:tcMar>
            <w:vAlign w:val="center"/>
          </w:tcPr>
          <w:p>
            <w:pPr>
              <w:shd w:val="clear"/>
              <w:spacing w:line="240" w:lineRule="auto"/>
              <w:ind w:firstLine="360"/>
              <w:jc w:val="left"/>
              <w:rPr>
                <w:rFonts w:ascii="仿宋" w:hAnsi="仿宋" w:eastAsia="仿宋" w:cs="仿宋"/>
                <w:kern w:val="0"/>
                <w:sz w:val="18"/>
                <w:szCs w:val="18"/>
                <w:highlight w:val="none"/>
              </w:rPr>
            </w:pPr>
          </w:p>
        </w:tc>
        <w:tc>
          <w:tcPr>
            <w:tcW w:w="816" w:type="dxa"/>
            <w:shd w:val="clear" w:color="auto" w:fill="auto"/>
            <w:tcMar>
              <w:top w:w="12" w:type="dxa"/>
              <w:left w:w="12" w:type="dxa"/>
              <w:right w:w="12" w:type="dxa"/>
            </w:tcMar>
            <w:vAlign w:val="center"/>
          </w:tcPr>
          <w:p>
            <w:pPr>
              <w:shd w:val="clear"/>
              <w:spacing w:line="240" w:lineRule="auto"/>
              <w:ind w:firstLine="0" w:firstLineChars="0"/>
              <w:jc w:val="center"/>
              <w:rPr>
                <w:rFonts w:hint="default" w:ascii="仿宋" w:hAnsi="仿宋" w:eastAsia="仿宋" w:cs="仿宋"/>
                <w:kern w:val="0"/>
                <w:sz w:val="18"/>
                <w:szCs w:val="18"/>
                <w:highlight w:val="none"/>
                <w:lang w:val="en-US" w:eastAsia="zh-CN"/>
              </w:rPr>
            </w:pPr>
            <w:r>
              <w:rPr>
                <w:rFonts w:hint="eastAsia" w:ascii="仿宋" w:hAnsi="仿宋" w:eastAsia="仿宋" w:cs="仿宋"/>
                <w:kern w:val="0"/>
                <w:sz w:val="18"/>
                <w:szCs w:val="18"/>
                <w:highlight w:val="none"/>
                <w:lang w:val="en-US" w:eastAsia="zh-CN"/>
              </w:rPr>
              <w:t>成本指标</w:t>
            </w:r>
          </w:p>
        </w:tc>
        <w:tc>
          <w:tcPr>
            <w:tcW w:w="432" w:type="dxa"/>
            <w:shd w:val="clear" w:color="auto" w:fill="auto"/>
            <w:tcMar>
              <w:top w:w="12" w:type="dxa"/>
              <w:left w:w="12" w:type="dxa"/>
              <w:right w:w="12" w:type="dxa"/>
            </w:tcMar>
            <w:vAlign w:val="center"/>
          </w:tcPr>
          <w:p>
            <w:pPr>
              <w:shd w:val="clear"/>
              <w:spacing w:line="240" w:lineRule="auto"/>
              <w:ind w:firstLine="0" w:firstLineChars="0"/>
              <w:jc w:val="center"/>
              <w:rPr>
                <w:rFonts w:hint="eastAsia" w:ascii="仿宋" w:hAnsi="仿宋" w:eastAsia="仿宋" w:cs="仿宋"/>
                <w:kern w:val="0"/>
                <w:sz w:val="18"/>
                <w:szCs w:val="18"/>
                <w:highlight w:val="none"/>
                <w:lang w:val="en-US" w:eastAsia="zh-CN"/>
              </w:rPr>
            </w:pPr>
            <w:r>
              <w:rPr>
                <w:rFonts w:hint="eastAsia" w:ascii="仿宋" w:hAnsi="仿宋" w:eastAsia="仿宋" w:cs="仿宋"/>
                <w:kern w:val="0"/>
                <w:sz w:val="18"/>
                <w:szCs w:val="18"/>
                <w:highlight w:val="none"/>
                <w:lang w:val="en-US" w:eastAsia="zh-CN"/>
              </w:rPr>
              <w:t>8</w:t>
            </w:r>
          </w:p>
        </w:tc>
        <w:tc>
          <w:tcPr>
            <w:tcW w:w="1380"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sz w:val="18"/>
                <w:szCs w:val="18"/>
                <w:highlight w:val="none"/>
              </w:rPr>
            </w:pPr>
            <w:r>
              <w:rPr>
                <w:rFonts w:hint="eastAsia" w:ascii="仿宋" w:hAnsi="仿宋" w:eastAsia="仿宋" w:cs="仿宋"/>
                <w:sz w:val="18"/>
                <w:szCs w:val="18"/>
                <w:highlight w:val="none"/>
              </w:rPr>
              <w:t>成本控制率</w:t>
            </w:r>
          </w:p>
        </w:tc>
        <w:tc>
          <w:tcPr>
            <w:tcW w:w="456" w:type="dxa"/>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8</w:t>
            </w:r>
          </w:p>
        </w:tc>
        <w:tc>
          <w:tcPr>
            <w:tcW w:w="4193" w:type="dxa"/>
            <w:shd w:val="clear" w:color="auto" w:fill="auto"/>
            <w:tcMar>
              <w:top w:w="12" w:type="dxa"/>
              <w:left w:w="12" w:type="dxa"/>
              <w:right w:w="12" w:type="dxa"/>
            </w:tcMar>
            <w:vAlign w:val="center"/>
          </w:tcPr>
          <w:p>
            <w:pPr>
              <w:widowControl/>
              <w:shd w:val="clear"/>
              <w:spacing w:line="240" w:lineRule="auto"/>
              <w:ind w:firstLine="0" w:firstLineChars="0"/>
              <w:jc w:val="left"/>
              <w:textAlignment w:val="center"/>
              <w:rPr>
                <w:rFonts w:ascii="仿宋" w:hAnsi="仿宋" w:eastAsia="仿宋" w:cs="仿宋"/>
                <w:sz w:val="18"/>
                <w:szCs w:val="18"/>
                <w:highlight w:val="none"/>
              </w:rPr>
            </w:pPr>
            <w:r>
              <w:rPr>
                <w:rFonts w:hint="eastAsia" w:ascii="仿宋" w:hAnsi="仿宋" w:eastAsia="仿宋" w:cs="仿宋"/>
                <w:sz w:val="18"/>
                <w:szCs w:val="18"/>
                <w:highlight w:val="none"/>
              </w:rPr>
              <w:t>按产出数量和产出质量完成情况，结合成本控制率分档评价，产出数量和产出质量未完成一项扣</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分，扣完为止；成本控制率=实际成本/计划成本×100%，成本控制率分档标准为：成本控制率＞100%，不得分</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95%≤成本控制率</w:t>
            </w: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100%</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得上述扣完后分值的80%</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90%≤成本控制率＜95%</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得上述扣完后分值的90%</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成本控制率＜90%</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lang w:val="en-US" w:eastAsia="zh-CN"/>
              </w:rPr>
              <w:t>得</w:t>
            </w:r>
            <w:r>
              <w:rPr>
                <w:rFonts w:hint="eastAsia" w:ascii="仿宋" w:hAnsi="仿宋" w:eastAsia="仿宋" w:cs="仿宋"/>
                <w:sz w:val="18"/>
                <w:szCs w:val="18"/>
                <w:highlight w:val="none"/>
              </w:rPr>
              <w:t>上述扣完后分值的100%。</w:t>
            </w:r>
          </w:p>
        </w:tc>
      </w:tr>
    </w:tbl>
    <w:p>
      <w:pPr>
        <w:shd w:val="clear"/>
        <w:ind w:firstLine="480"/>
        <w:rPr>
          <w:rFonts w:ascii="仿宋" w:hAnsi="仿宋" w:eastAsia="仿宋" w:cs="仿宋"/>
          <w:highlight w:val="none"/>
        </w:rPr>
      </w:pPr>
      <w:bookmarkStart w:id="122" w:name="_Toc20065"/>
      <w:r>
        <w:rPr>
          <w:rFonts w:hint="eastAsia" w:ascii="仿宋" w:hAnsi="仿宋" w:eastAsia="仿宋" w:cs="仿宋"/>
          <w:highlight w:val="none"/>
        </w:rPr>
        <w:t>（4）项目</w:t>
      </w:r>
      <w:bookmarkEnd w:id="122"/>
      <w:r>
        <w:rPr>
          <w:rFonts w:hint="eastAsia" w:ascii="仿宋" w:hAnsi="仿宋" w:eastAsia="仿宋" w:cs="仿宋"/>
          <w:highlight w:val="none"/>
        </w:rPr>
        <w:t>效益</w:t>
      </w:r>
    </w:p>
    <w:p>
      <w:pPr>
        <w:shd w:val="clear"/>
        <w:ind w:firstLine="480"/>
        <w:rPr>
          <w:rFonts w:ascii="仿宋" w:hAnsi="仿宋" w:eastAsia="仿宋" w:cs="仿宋"/>
          <w:highlight w:val="none"/>
        </w:rPr>
      </w:pPr>
      <w:r>
        <w:rPr>
          <w:rFonts w:hint="eastAsia" w:ascii="仿宋" w:hAnsi="仿宋" w:eastAsia="仿宋" w:cs="仿宋"/>
          <w:highlight w:val="none"/>
        </w:rPr>
        <w:t>该指标重点评价项目取得的阶段效益情况，由1个二级指标、2个三级指标组成，各指标的含义详下表：</w:t>
      </w:r>
    </w:p>
    <w:p>
      <w:pPr>
        <w:shd w:val="clear"/>
        <w:spacing w:line="320" w:lineRule="exact"/>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武汉市武昌区卫生健康局2019年度“大医院专家坐诊”项目绩效评价</w:t>
      </w:r>
    </w:p>
    <w:p>
      <w:pPr>
        <w:shd w:val="clear"/>
        <w:spacing w:line="320" w:lineRule="exact"/>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指标及说明（项目效益）</w:t>
      </w:r>
    </w:p>
    <w:tbl>
      <w:tblPr>
        <w:tblStyle w:val="21"/>
        <w:tblW w:w="8362" w:type="dxa"/>
        <w:tblInd w:w="0" w:type="dxa"/>
        <w:tblLayout w:type="fixed"/>
        <w:tblCellMar>
          <w:top w:w="0" w:type="dxa"/>
          <w:left w:w="0" w:type="dxa"/>
          <w:bottom w:w="0" w:type="dxa"/>
          <w:right w:w="0" w:type="dxa"/>
        </w:tblCellMar>
      </w:tblPr>
      <w:tblGrid>
        <w:gridCol w:w="607"/>
        <w:gridCol w:w="450"/>
        <w:gridCol w:w="825"/>
        <w:gridCol w:w="435"/>
        <w:gridCol w:w="1380"/>
        <w:gridCol w:w="450"/>
        <w:gridCol w:w="4215"/>
      </w:tblGrid>
      <w:tr>
        <w:tblPrEx>
          <w:tblCellMar>
            <w:top w:w="0" w:type="dxa"/>
            <w:left w:w="0" w:type="dxa"/>
            <w:bottom w:w="0" w:type="dxa"/>
            <w:right w:w="0" w:type="dxa"/>
          </w:tblCellMar>
        </w:tblPrEx>
        <w:trPr>
          <w:trHeight w:val="696" w:hRule="atLeast"/>
        </w:trPr>
        <w:tc>
          <w:tcPr>
            <w:tcW w:w="607" w:type="dxa"/>
            <w:tcBorders>
              <w:top w:val="single" w:color="auto"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hint="eastAsia"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一级</w:t>
            </w:r>
          </w:p>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指标</w:t>
            </w:r>
          </w:p>
        </w:tc>
        <w:tc>
          <w:tcPr>
            <w:tcW w:w="450"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权重</w:t>
            </w:r>
          </w:p>
        </w:tc>
        <w:tc>
          <w:tcPr>
            <w:tcW w:w="825"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二级指标</w:t>
            </w:r>
          </w:p>
        </w:tc>
        <w:tc>
          <w:tcPr>
            <w:tcW w:w="435"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权重</w:t>
            </w:r>
          </w:p>
        </w:tc>
        <w:tc>
          <w:tcPr>
            <w:tcW w:w="1380"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三级指标</w:t>
            </w:r>
          </w:p>
        </w:tc>
        <w:tc>
          <w:tcPr>
            <w:tcW w:w="450"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权重</w:t>
            </w:r>
          </w:p>
        </w:tc>
        <w:tc>
          <w:tcPr>
            <w:tcW w:w="4215" w:type="dxa"/>
            <w:tcBorders>
              <w:top w:val="single" w:color="auto"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shd w:val="clear"/>
              <w:spacing w:line="240" w:lineRule="auto"/>
              <w:ind w:firstLine="0" w:firstLineChars="0"/>
              <w:jc w:val="center"/>
              <w:textAlignment w:val="center"/>
              <w:rPr>
                <w:rFonts w:ascii="仿宋" w:hAnsi="仿宋" w:eastAsia="仿宋" w:cs="仿宋"/>
                <w:color w:val="000000"/>
                <w:kern w:val="0"/>
                <w:sz w:val="18"/>
                <w:szCs w:val="18"/>
                <w:highlight w:val="none"/>
              </w:rPr>
            </w:pPr>
            <w:r>
              <w:rPr>
                <w:rFonts w:hint="eastAsia" w:ascii="仿宋" w:hAnsi="仿宋" w:eastAsia="仿宋" w:cs="仿宋"/>
                <w:color w:val="000000"/>
                <w:kern w:val="0"/>
                <w:sz w:val="18"/>
                <w:szCs w:val="18"/>
                <w:highlight w:val="none"/>
              </w:rPr>
              <w:t>评价内容</w:t>
            </w:r>
          </w:p>
        </w:tc>
      </w:tr>
      <w:tr>
        <w:tblPrEx>
          <w:tblCellMar>
            <w:top w:w="0" w:type="dxa"/>
            <w:left w:w="0" w:type="dxa"/>
            <w:bottom w:w="0" w:type="dxa"/>
            <w:right w:w="0" w:type="dxa"/>
          </w:tblCellMar>
        </w:tblPrEx>
        <w:trPr>
          <w:trHeight w:val="90" w:hRule="atLeast"/>
        </w:trPr>
        <w:tc>
          <w:tcPr>
            <w:tcW w:w="607" w:type="dxa"/>
            <w:vMerge w:val="restart"/>
            <w:tcBorders>
              <w:top w:val="single" w:color="000000" w:sz="4" w:space="0"/>
              <w:left w:val="single" w:color="auto" w:sz="4" w:space="0"/>
              <w:bottom w:val="single" w:color="000000" w:sz="4" w:space="0"/>
              <w:right w:val="single" w:color="auto" w:sz="4" w:space="0"/>
            </w:tcBorders>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效益</w:t>
            </w:r>
          </w:p>
        </w:tc>
        <w:tc>
          <w:tcPr>
            <w:tcW w:w="450"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14</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项目效益</w:t>
            </w:r>
          </w:p>
        </w:tc>
        <w:tc>
          <w:tcPr>
            <w:tcW w:w="435" w:type="dxa"/>
            <w:tcBorders>
              <w:top w:val="single" w:color="auto" w:sz="4" w:space="0"/>
              <w:left w:val="single" w:color="auto" w:sz="4" w:space="0"/>
              <w:bottom w:val="single" w:color="000000" w:sz="4" w:space="0"/>
              <w:right w:val="single" w:color="auto" w:sz="4" w:space="0"/>
            </w:tcBorders>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6</w:t>
            </w:r>
          </w:p>
        </w:tc>
        <w:tc>
          <w:tcPr>
            <w:tcW w:w="1380"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社会效益</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6</w:t>
            </w:r>
          </w:p>
        </w:tc>
        <w:tc>
          <w:tcPr>
            <w:tcW w:w="4215"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shd w:val="clear"/>
              <w:spacing w:line="240" w:lineRule="auto"/>
              <w:ind w:firstLine="0" w:firstLineChars="0"/>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项目实施，提升基层医疗服务能力，提高人民生活幸福指数，对当地社会产生有利影响，计6分。</w:t>
            </w:r>
          </w:p>
        </w:tc>
      </w:tr>
      <w:tr>
        <w:tblPrEx>
          <w:tblCellMar>
            <w:top w:w="0" w:type="dxa"/>
            <w:left w:w="0" w:type="dxa"/>
            <w:bottom w:w="0" w:type="dxa"/>
            <w:right w:w="0" w:type="dxa"/>
          </w:tblCellMar>
        </w:tblPrEx>
        <w:trPr>
          <w:trHeight w:val="1673" w:hRule="atLeast"/>
        </w:trPr>
        <w:tc>
          <w:tcPr>
            <w:tcW w:w="607" w:type="dxa"/>
            <w:vMerge w:val="continue"/>
            <w:tcBorders>
              <w:top w:val="single" w:color="000000" w:sz="4" w:space="0"/>
              <w:left w:val="single" w:color="auto" w:sz="4" w:space="0"/>
              <w:bottom w:val="single" w:color="000000" w:sz="4" w:space="0"/>
              <w:right w:val="single" w:color="auto" w:sz="4" w:space="0"/>
            </w:tcBorders>
            <w:shd w:val="clear" w:color="auto" w:fill="auto"/>
            <w:tcMar>
              <w:top w:w="12" w:type="dxa"/>
              <w:left w:w="12" w:type="dxa"/>
              <w:right w:w="12" w:type="dxa"/>
            </w:tcMar>
            <w:vAlign w:val="center"/>
          </w:tcPr>
          <w:p>
            <w:pPr>
              <w:shd w:val="clear"/>
              <w:ind w:firstLine="480"/>
              <w:rPr>
                <w:rFonts w:ascii="仿宋" w:hAnsi="仿宋" w:eastAsia="仿宋" w:cs="仿宋"/>
                <w:highlight w:val="none"/>
              </w:rPr>
            </w:pPr>
          </w:p>
        </w:tc>
        <w:tc>
          <w:tcPr>
            <w:tcW w:w="450"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hd w:val="clear"/>
              <w:ind w:firstLine="480"/>
              <w:rPr>
                <w:rFonts w:ascii="仿宋" w:hAnsi="仿宋" w:eastAsia="仿宋" w:cs="仿宋"/>
                <w:highlight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hd w:val="clear"/>
              <w:ind w:firstLine="480"/>
              <w:rPr>
                <w:rFonts w:ascii="仿宋" w:hAnsi="仿宋" w:eastAsia="仿宋" w:cs="仿宋"/>
                <w:highlight w:val="none"/>
              </w:rPr>
            </w:pPr>
          </w:p>
        </w:tc>
        <w:tc>
          <w:tcPr>
            <w:tcW w:w="435" w:type="dxa"/>
            <w:tcBorders>
              <w:top w:val="single" w:color="000000"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8</w:t>
            </w:r>
          </w:p>
        </w:tc>
        <w:tc>
          <w:tcPr>
            <w:tcW w:w="1380"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满意度</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spacing w:line="240" w:lineRule="auto"/>
              <w:ind w:firstLine="0" w:firstLineChars="0"/>
              <w:jc w:val="center"/>
              <w:rPr>
                <w:rFonts w:ascii="仿宋" w:hAnsi="仿宋" w:eastAsia="仿宋" w:cs="仿宋"/>
                <w:kern w:val="0"/>
                <w:sz w:val="18"/>
                <w:szCs w:val="18"/>
                <w:highlight w:val="none"/>
              </w:rPr>
            </w:pPr>
            <w:r>
              <w:rPr>
                <w:rFonts w:hint="eastAsia" w:ascii="仿宋" w:hAnsi="仿宋" w:eastAsia="仿宋" w:cs="仿宋"/>
                <w:kern w:val="0"/>
                <w:sz w:val="18"/>
                <w:szCs w:val="18"/>
                <w:highlight w:val="none"/>
              </w:rPr>
              <w:t>8</w:t>
            </w:r>
          </w:p>
        </w:tc>
        <w:tc>
          <w:tcPr>
            <w:tcW w:w="42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spacing w:line="240" w:lineRule="auto"/>
              <w:ind w:firstLine="0" w:firstLineChars="0"/>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发放问卷调查表，按满意度评价，满意度分档标准为：                    </w:t>
            </w:r>
          </w:p>
          <w:p>
            <w:pPr>
              <w:shd w:val="clear"/>
              <w:spacing w:line="240" w:lineRule="auto"/>
              <w:ind w:firstLine="0" w:firstLineChars="0"/>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满意度≥95%计8分，                                          80%≤满意度＜95%计6分，           </w:t>
            </w:r>
          </w:p>
          <w:p>
            <w:pPr>
              <w:shd w:val="clear"/>
              <w:spacing w:line="240" w:lineRule="auto"/>
              <w:ind w:firstLine="0" w:firstLineChars="0"/>
              <w:jc w:val="left"/>
              <w:rPr>
                <w:rFonts w:ascii="仿宋" w:hAnsi="仿宋" w:eastAsia="仿宋" w:cs="仿宋"/>
                <w:kern w:val="0"/>
                <w:sz w:val="18"/>
                <w:szCs w:val="18"/>
                <w:highlight w:val="none"/>
              </w:rPr>
            </w:pPr>
            <w:r>
              <w:rPr>
                <w:rFonts w:hint="eastAsia" w:ascii="仿宋" w:hAnsi="仿宋" w:eastAsia="仿宋" w:cs="仿宋"/>
                <w:kern w:val="0"/>
                <w:sz w:val="18"/>
                <w:szCs w:val="18"/>
                <w:highlight w:val="none"/>
              </w:rPr>
              <w:t xml:space="preserve">60%≤满意度＜80%计4分,                                      满意度＜60%不得分。                                         </w:t>
            </w:r>
          </w:p>
        </w:tc>
      </w:tr>
    </w:tbl>
    <w:p>
      <w:pPr>
        <w:pStyle w:val="3"/>
        <w:numPr>
          <w:ilvl w:val="1"/>
          <w:numId w:val="0"/>
        </w:numPr>
        <w:shd w:val="clear"/>
        <w:tabs>
          <w:tab w:val="clear" w:pos="420"/>
        </w:tabs>
        <w:spacing w:beforeLines="50" w:afterLines="50" w:line="240" w:lineRule="exact"/>
        <w:rPr>
          <w:rFonts w:ascii="仿宋" w:hAnsi="仿宋" w:eastAsia="仿宋" w:cs="仿宋"/>
          <w:b/>
          <w:bCs/>
          <w:color w:val="000000" w:themeColor="text1"/>
          <w:sz w:val="24"/>
          <w:szCs w:val="24"/>
          <w:highlight w:val="none"/>
        </w:rPr>
      </w:pPr>
      <w:bookmarkStart w:id="123" w:name="_Toc7122"/>
      <w:r>
        <w:rPr>
          <w:rFonts w:hint="eastAsia" w:ascii="仿宋" w:hAnsi="仿宋" w:eastAsia="仿宋" w:cs="仿宋"/>
          <w:b/>
          <w:bCs/>
          <w:color w:val="000000" w:themeColor="text1"/>
          <w:sz w:val="24"/>
          <w:szCs w:val="24"/>
          <w:highlight w:val="none"/>
        </w:rPr>
        <w:t>（三）绩效评价工作过程</w:t>
      </w:r>
      <w:bookmarkEnd w:id="39"/>
      <w:bookmarkEnd w:id="123"/>
    </w:p>
    <w:p>
      <w:pPr>
        <w:pStyle w:val="4"/>
        <w:shd w:val="clear"/>
        <w:spacing w:before="10" w:after="10" w:line="320" w:lineRule="exact"/>
        <w:ind w:firstLine="482"/>
        <w:rPr>
          <w:rFonts w:ascii="仿宋" w:hAnsi="仿宋" w:eastAsia="仿宋" w:cs="仿宋"/>
          <w:color w:val="000000" w:themeColor="text1"/>
          <w:sz w:val="24"/>
          <w:szCs w:val="24"/>
          <w:highlight w:val="none"/>
        </w:rPr>
      </w:pPr>
      <w:bookmarkStart w:id="124" w:name="_Toc18105"/>
      <w:r>
        <w:rPr>
          <w:rFonts w:hint="eastAsia" w:ascii="仿宋" w:hAnsi="仿宋" w:eastAsia="仿宋" w:cs="仿宋"/>
          <w:color w:val="000000" w:themeColor="text1"/>
          <w:sz w:val="24"/>
          <w:szCs w:val="24"/>
          <w:highlight w:val="none"/>
        </w:rPr>
        <w:t>1.绩效评价设计过程</w:t>
      </w:r>
      <w:bookmarkEnd w:id="124"/>
    </w:p>
    <w:p>
      <w:pPr>
        <w:shd w:val="clear"/>
        <w:ind w:firstLine="480"/>
        <w:rPr>
          <w:rFonts w:ascii="仿宋" w:hAnsi="仿宋" w:eastAsia="仿宋" w:cs="仿宋"/>
          <w:highlight w:val="none"/>
        </w:rPr>
      </w:pPr>
      <w:r>
        <w:rPr>
          <w:rFonts w:hint="eastAsia" w:ascii="仿宋" w:hAnsi="仿宋" w:eastAsia="仿宋" w:cs="仿宋"/>
          <w:highlight w:val="none"/>
        </w:rPr>
        <w:t>首先，查阅项目的相关文件，充分熟悉项目背景、内容、项目活动等信息。</w:t>
      </w:r>
    </w:p>
    <w:p>
      <w:pPr>
        <w:shd w:val="clear"/>
        <w:ind w:firstLine="480"/>
        <w:rPr>
          <w:rFonts w:ascii="仿宋" w:hAnsi="仿宋" w:eastAsia="仿宋" w:cs="仿宋"/>
          <w:highlight w:val="none"/>
        </w:rPr>
      </w:pPr>
      <w:r>
        <w:rPr>
          <w:rFonts w:hint="eastAsia" w:ascii="仿宋" w:hAnsi="仿宋" w:eastAsia="仿宋" w:cs="仿宋"/>
          <w:highlight w:val="none"/>
        </w:rPr>
        <w:t>其次，根据项目具体情况设定共性指标与个性指标相结合的绩效评价指标体系。</w:t>
      </w:r>
    </w:p>
    <w:p>
      <w:pPr>
        <w:shd w:val="clear"/>
        <w:ind w:firstLine="480"/>
        <w:rPr>
          <w:rFonts w:ascii="仿宋" w:hAnsi="仿宋" w:eastAsia="仿宋" w:cs="仿宋"/>
          <w:highlight w:val="none"/>
        </w:rPr>
      </w:pPr>
      <w:r>
        <w:rPr>
          <w:rFonts w:hint="eastAsia" w:ascii="仿宋" w:hAnsi="仿宋" w:eastAsia="仿宋" w:cs="仿宋"/>
          <w:highlight w:val="none"/>
        </w:rPr>
        <w:t>第三，设计绩效评价指标体系和评分标准。</w:t>
      </w:r>
    </w:p>
    <w:p>
      <w:pPr>
        <w:shd w:val="clear"/>
        <w:ind w:firstLine="480"/>
        <w:rPr>
          <w:rFonts w:ascii="仿宋" w:hAnsi="仿宋" w:eastAsia="仿宋" w:cs="仿宋"/>
          <w:highlight w:val="none"/>
        </w:rPr>
      </w:pPr>
      <w:r>
        <w:rPr>
          <w:rFonts w:hint="eastAsia" w:ascii="仿宋" w:hAnsi="仿宋" w:eastAsia="仿宋" w:cs="仿宋"/>
          <w:highlight w:val="none"/>
        </w:rPr>
        <w:t>最后，制定项目实施方案。明确评价对象、依据、评价方法、评分办法、实施步骤、评价人员及分工等。同时，为了保证得出科学、合理、公正的评价结果，评价小组制定了专门的评价调查问卷、基础数据表和访谈大纲，帮助评价小组在报告后期对评价调查问卷、基础数据表和访谈大纲等进行分析汇总。</w:t>
      </w:r>
    </w:p>
    <w:p>
      <w:pPr>
        <w:pStyle w:val="4"/>
        <w:shd w:val="clear"/>
        <w:spacing w:before="10" w:after="10" w:line="360" w:lineRule="auto"/>
        <w:ind w:firstLine="482"/>
        <w:rPr>
          <w:rFonts w:ascii="仿宋" w:hAnsi="仿宋" w:eastAsia="仿宋" w:cs="仿宋"/>
          <w:color w:val="000000" w:themeColor="text1"/>
          <w:sz w:val="24"/>
          <w:szCs w:val="24"/>
          <w:highlight w:val="none"/>
        </w:rPr>
      </w:pPr>
      <w:bookmarkStart w:id="125" w:name="_Toc27315"/>
      <w:bookmarkStart w:id="126" w:name="_Toc9283"/>
      <w:r>
        <w:rPr>
          <w:rFonts w:hint="eastAsia" w:ascii="仿宋" w:hAnsi="仿宋" w:eastAsia="仿宋" w:cs="仿宋"/>
          <w:color w:val="000000" w:themeColor="text1"/>
          <w:sz w:val="24"/>
          <w:szCs w:val="24"/>
          <w:highlight w:val="none"/>
        </w:rPr>
        <w:t>2.证据收集方法</w:t>
      </w:r>
      <w:bookmarkEnd w:id="125"/>
      <w:bookmarkEnd w:id="126"/>
    </w:p>
    <w:p>
      <w:pPr>
        <w:shd w:val="clear"/>
        <w:ind w:firstLine="480"/>
        <w:rPr>
          <w:rFonts w:ascii="仿宋" w:hAnsi="仿宋" w:eastAsia="仿宋" w:cs="仿宋"/>
          <w:highlight w:val="none"/>
        </w:rPr>
      </w:pPr>
      <w:r>
        <w:rPr>
          <w:rFonts w:hint="eastAsia" w:ascii="仿宋" w:hAnsi="仿宋" w:eastAsia="仿宋" w:cs="仿宋"/>
          <w:highlight w:val="none"/>
        </w:rPr>
        <w:t>武汉市武昌区卫生健康局2019年度“大医院专家坐诊”项目绩效评价计划采取深入项目单位实地察看、面访、座谈、查阅相关资料、核查财务凭证等证据收集方法，并从各部门及各基层部门获取大量高质量和准确可靠的数据信息，同时对项目实施相关机构进行访谈，发放调查问卷，收集绩效评价所需的基础性资料。</w:t>
      </w:r>
    </w:p>
    <w:p>
      <w:pPr>
        <w:shd w:val="clear"/>
        <w:ind w:firstLine="480"/>
        <w:rPr>
          <w:rFonts w:ascii="仿宋" w:hAnsi="仿宋" w:eastAsia="仿宋" w:cs="仿宋"/>
          <w:highlight w:val="none"/>
        </w:rPr>
      </w:pPr>
      <w:r>
        <w:rPr>
          <w:rFonts w:hint="eastAsia" w:ascii="仿宋" w:hAnsi="仿宋" w:eastAsia="仿宋" w:cs="仿宋"/>
          <w:highlight w:val="none"/>
        </w:rPr>
        <w:t>证据及佐证材料收集主要通过项目实施单位提供、发放调查问卷和通过各种媒体渠道取得等形式进行。</w:t>
      </w:r>
    </w:p>
    <w:p>
      <w:pPr>
        <w:shd w:val="clear"/>
        <w:ind w:firstLine="480"/>
        <w:rPr>
          <w:rFonts w:ascii="仿宋" w:hAnsi="仿宋" w:eastAsia="仿宋" w:cs="仿宋"/>
          <w:highlight w:val="none"/>
        </w:rPr>
      </w:pPr>
      <w:r>
        <w:rPr>
          <w:rFonts w:hint="eastAsia" w:ascii="仿宋" w:hAnsi="仿宋" w:eastAsia="仿宋" w:cs="仿宋"/>
          <w:highlight w:val="none"/>
        </w:rPr>
        <w:t>（1）项目实施单位收集提供。对项目实施单位，发出资料清单，收集项目日常工作资料，项目申报材料，要求全面客观、实事求是地提供相关资料，并对提供的资料进行了认真的核查核实。</w:t>
      </w:r>
    </w:p>
    <w:p>
      <w:pPr>
        <w:shd w:val="clear"/>
        <w:ind w:firstLine="480"/>
        <w:rPr>
          <w:rFonts w:ascii="仿宋" w:hAnsi="仿宋" w:eastAsia="仿宋" w:cs="仿宋"/>
          <w:highlight w:val="none"/>
        </w:rPr>
      </w:pPr>
      <w:r>
        <w:rPr>
          <w:rFonts w:hint="eastAsia" w:ascii="仿宋" w:hAnsi="仿宋" w:eastAsia="仿宋" w:cs="仿宋"/>
          <w:highlight w:val="none"/>
        </w:rPr>
        <w:t>（2）发放调查问卷。计划共发放50份武汉市武昌区卫生健康局2019年度“大医院专家坐诊”项目绩效评价调查问卷，实际回收50份。</w:t>
      </w:r>
    </w:p>
    <w:p>
      <w:pPr>
        <w:shd w:val="clear"/>
        <w:ind w:firstLine="480"/>
        <w:rPr>
          <w:rFonts w:ascii="仿宋" w:hAnsi="仿宋" w:eastAsia="仿宋" w:cs="仿宋"/>
          <w:highlight w:val="none"/>
        </w:rPr>
      </w:pPr>
      <w:r>
        <w:rPr>
          <w:rFonts w:hint="eastAsia" w:ascii="仿宋" w:hAnsi="仿宋" w:eastAsia="仿宋" w:cs="仿宋"/>
          <w:highlight w:val="none"/>
        </w:rPr>
        <w:t>（3）其他信息。如与评价有关的国家和地区社会经济发展状况等资料通过向有关部门咨询和查阅统计年鉴、官方网站等取得。</w:t>
      </w:r>
    </w:p>
    <w:p>
      <w:pPr>
        <w:pStyle w:val="4"/>
        <w:shd w:val="clear"/>
        <w:spacing w:before="10" w:after="10" w:line="360" w:lineRule="auto"/>
        <w:ind w:firstLine="482"/>
        <w:rPr>
          <w:rFonts w:ascii="仿宋" w:hAnsi="仿宋" w:eastAsia="仿宋" w:cs="仿宋"/>
          <w:color w:val="000000" w:themeColor="text1"/>
          <w:sz w:val="24"/>
          <w:szCs w:val="24"/>
          <w:highlight w:val="none"/>
        </w:rPr>
      </w:pPr>
      <w:bookmarkStart w:id="127" w:name="_Toc31575"/>
      <w:bookmarkStart w:id="128" w:name="_Toc26941"/>
      <w:r>
        <w:rPr>
          <w:rFonts w:hint="eastAsia" w:ascii="仿宋" w:hAnsi="仿宋" w:eastAsia="仿宋" w:cs="仿宋"/>
          <w:color w:val="000000" w:themeColor="text1"/>
          <w:sz w:val="24"/>
          <w:szCs w:val="24"/>
          <w:highlight w:val="none"/>
        </w:rPr>
        <w:t>3.绩效评价实施过程</w:t>
      </w:r>
      <w:bookmarkEnd w:id="127"/>
      <w:bookmarkEnd w:id="128"/>
    </w:p>
    <w:p>
      <w:pPr>
        <w:shd w:val="clear"/>
        <w:ind w:firstLine="480"/>
        <w:rPr>
          <w:rFonts w:ascii="仿宋" w:hAnsi="仿宋" w:eastAsia="仿宋" w:cs="仿宋"/>
          <w:highlight w:val="none"/>
        </w:rPr>
      </w:pPr>
      <w:r>
        <w:rPr>
          <w:rFonts w:hint="eastAsia" w:ascii="仿宋" w:hAnsi="仿宋" w:eastAsia="仿宋" w:cs="仿宋"/>
          <w:highlight w:val="none"/>
        </w:rPr>
        <w:t>我们接受委托后，选派专业人员进点，制定绩效评价前期工作计划，然后组织评价小组正式进驻现场，开展绩效评价工作。本次评价于2020年7月开展前期工作，计划于2020年9月出具绩效评价报告书，整个评价工作分以下五个阶段进行：</w:t>
      </w:r>
    </w:p>
    <w:p>
      <w:pPr>
        <w:shd w:val="clear"/>
        <w:ind w:firstLine="480"/>
        <w:rPr>
          <w:rFonts w:ascii="仿宋" w:hAnsi="仿宋" w:eastAsia="仿宋" w:cs="仿宋"/>
          <w:highlight w:val="none"/>
        </w:rPr>
      </w:pPr>
      <w:bookmarkStart w:id="129" w:name="_Toc155"/>
      <w:bookmarkStart w:id="130" w:name="_Toc483"/>
      <w:bookmarkStart w:id="131" w:name="_Toc29480"/>
      <w:bookmarkStart w:id="132" w:name="_Toc4712"/>
      <w:bookmarkStart w:id="133" w:name="_Toc13620"/>
      <w:bookmarkStart w:id="134" w:name="_Toc5500"/>
      <w:r>
        <w:rPr>
          <w:rFonts w:hint="eastAsia" w:ascii="仿宋" w:hAnsi="仿宋" w:eastAsia="仿宋" w:cs="仿宋"/>
          <w:highlight w:val="none"/>
        </w:rPr>
        <w:t>（1）接受委托阶段</w:t>
      </w:r>
      <w:bookmarkEnd w:id="129"/>
      <w:bookmarkEnd w:id="130"/>
      <w:bookmarkEnd w:id="131"/>
      <w:bookmarkEnd w:id="132"/>
      <w:bookmarkEnd w:id="133"/>
      <w:bookmarkEnd w:id="134"/>
    </w:p>
    <w:p>
      <w:pPr>
        <w:shd w:val="clear"/>
        <w:ind w:firstLine="480"/>
        <w:rPr>
          <w:rFonts w:ascii="仿宋" w:hAnsi="仿宋" w:eastAsia="仿宋" w:cs="仿宋"/>
          <w:highlight w:val="none"/>
        </w:rPr>
      </w:pPr>
      <w:r>
        <w:rPr>
          <w:rFonts w:hint="eastAsia" w:ascii="仿宋" w:hAnsi="仿宋" w:eastAsia="仿宋" w:cs="仿宋"/>
          <w:highlight w:val="none"/>
        </w:rPr>
        <w:t>本事务所与委托方、被评价单位就绩效评价的有关事宜进行洽谈，明确评价目的，确定评价对象、范围及工作内容。此后根据绩效管理规范的要求和本次评价的实际情况，拟订了绩效评价工作方案，组成本次评价工作组。接受委托后工作组结合武汉市武昌区卫生健康局2019年度“大医院专家坐诊”项目支出实际情况，参照财政部、湖北省省级财政预算资金绩效评价指标框架，初步设定了该项目的绩效评价指标体系。</w:t>
      </w:r>
    </w:p>
    <w:p>
      <w:pPr>
        <w:shd w:val="clear"/>
        <w:ind w:firstLine="480"/>
        <w:rPr>
          <w:rFonts w:ascii="仿宋" w:hAnsi="仿宋" w:eastAsia="仿宋" w:cs="仿宋"/>
          <w:highlight w:val="none"/>
        </w:rPr>
      </w:pPr>
      <w:bookmarkStart w:id="135" w:name="_Toc21526"/>
      <w:bookmarkStart w:id="136" w:name="_Toc7327"/>
      <w:bookmarkStart w:id="137" w:name="_Toc9377"/>
      <w:bookmarkStart w:id="138" w:name="_Toc3153"/>
      <w:bookmarkStart w:id="139" w:name="_Toc29147"/>
      <w:bookmarkStart w:id="140" w:name="_Toc21437"/>
      <w:r>
        <w:rPr>
          <w:rFonts w:hint="eastAsia" w:ascii="仿宋" w:hAnsi="仿宋" w:eastAsia="仿宋" w:cs="仿宋"/>
          <w:highlight w:val="none"/>
        </w:rPr>
        <w:t>（2）绩效评价核实阶段</w:t>
      </w:r>
      <w:bookmarkEnd w:id="135"/>
      <w:bookmarkEnd w:id="136"/>
      <w:bookmarkEnd w:id="137"/>
      <w:bookmarkEnd w:id="138"/>
      <w:bookmarkEnd w:id="139"/>
      <w:bookmarkEnd w:id="140"/>
    </w:p>
    <w:p>
      <w:pPr>
        <w:shd w:val="clear"/>
        <w:ind w:firstLine="480"/>
        <w:rPr>
          <w:rFonts w:ascii="仿宋" w:hAnsi="仿宋" w:eastAsia="仿宋" w:cs="仿宋"/>
          <w:highlight w:val="none"/>
        </w:rPr>
      </w:pPr>
      <w:r>
        <w:rPr>
          <w:rFonts w:hint="eastAsia" w:ascii="仿宋" w:hAnsi="仿宋" w:eastAsia="仿宋" w:cs="仿宋"/>
          <w:highlight w:val="none"/>
        </w:rPr>
        <w:t>按照绩效评价规范要求，绩效评价工作组在本阶段主要是搜集有关资料，并对所有资料进行核实、验证。通过案卷研究、问卷调查、当面交流座谈、随机抽样等方式对被评价项目的相关资料信息进行收集、经过整理、分析，以评价对象在投入、过程上是否依法依规，项目产出是否取得预期目标，项目实施是否取得预期效果并获得服务对象的满意。</w:t>
      </w:r>
    </w:p>
    <w:p>
      <w:pPr>
        <w:shd w:val="clear"/>
        <w:ind w:firstLine="480"/>
        <w:rPr>
          <w:rFonts w:ascii="仿宋" w:hAnsi="仿宋" w:eastAsia="仿宋" w:cs="仿宋"/>
          <w:highlight w:val="none"/>
        </w:rPr>
      </w:pPr>
      <w:bookmarkStart w:id="141" w:name="_Toc20636"/>
      <w:bookmarkStart w:id="142" w:name="_Toc30942"/>
      <w:bookmarkStart w:id="143" w:name="_Toc11917"/>
      <w:bookmarkStart w:id="144" w:name="_Toc21804"/>
      <w:bookmarkStart w:id="145" w:name="_Toc16394"/>
      <w:bookmarkStart w:id="146" w:name="_Toc6519"/>
      <w:r>
        <w:rPr>
          <w:rFonts w:hint="eastAsia" w:ascii="仿宋" w:hAnsi="仿宋" w:eastAsia="仿宋" w:cs="仿宋"/>
          <w:highlight w:val="none"/>
        </w:rPr>
        <w:t>（3）绩效评价初步阶段</w:t>
      </w:r>
      <w:bookmarkEnd w:id="141"/>
      <w:bookmarkEnd w:id="142"/>
      <w:bookmarkEnd w:id="143"/>
      <w:bookmarkEnd w:id="144"/>
      <w:bookmarkEnd w:id="145"/>
      <w:bookmarkEnd w:id="146"/>
    </w:p>
    <w:p>
      <w:pPr>
        <w:shd w:val="clear"/>
        <w:ind w:firstLine="480"/>
        <w:rPr>
          <w:rFonts w:ascii="仿宋" w:hAnsi="仿宋" w:eastAsia="仿宋" w:cs="仿宋"/>
          <w:highlight w:val="none"/>
        </w:rPr>
      </w:pPr>
      <w:r>
        <w:rPr>
          <w:rFonts w:hint="eastAsia" w:ascii="仿宋" w:hAnsi="仿宋" w:eastAsia="仿宋" w:cs="仿宋"/>
          <w:highlight w:val="none"/>
        </w:rPr>
        <w:t>在绩效评价指标框架内，我们根据财政项目资金和项目实施的实际情况，选择相应的评价指标，根据收集到的资料及数据进行具体分析，初步确定项目绩效的评价结果。</w:t>
      </w:r>
    </w:p>
    <w:p>
      <w:pPr>
        <w:shd w:val="clear"/>
        <w:ind w:firstLine="480"/>
        <w:rPr>
          <w:rFonts w:ascii="仿宋" w:hAnsi="仿宋" w:eastAsia="仿宋" w:cs="仿宋"/>
          <w:highlight w:val="none"/>
        </w:rPr>
      </w:pPr>
      <w:bookmarkStart w:id="147" w:name="_Toc23515"/>
      <w:bookmarkStart w:id="148" w:name="_Toc3668"/>
      <w:bookmarkStart w:id="149" w:name="_Toc11900"/>
      <w:bookmarkStart w:id="150" w:name="_Toc9621"/>
      <w:bookmarkStart w:id="151" w:name="_Toc17583"/>
      <w:bookmarkStart w:id="152" w:name="_Toc26889"/>
      <w:r>
        <w:rPr>
          <w:rFonts w:hint="eastAsia" w:ascii="仿宋" w:hAnsi="仿宋" w:eastAsia="仿宋" w:cs="仿宋"/>
          <w:highlight w:val="none"/>
        </w:rPr>
        <w:t>（4）绩效评价汇总阶段</w:t>
      </w:r>
      <w:bookmarkEnd w:id="147"/>
      <w:bookmarkEnd w:id="148"/>
      <w:bookmarkEnd w:id="149"/>
      <w:bookmarkEnd w:id="150"/>
      <w:bookmarkEnd w:id="151"/>
      <w:bookmarkEnd w:id="152"/>
    </w:p>
    <w:p>
      <w:pPr>
        <w:shd w:val="clear"/>
        <w:ind w:firstLine="480"/>
        <w:rPr>
          <w:rFonts w:ascii="仿宋" w:hAnsi="仿宋" w:eastAsia="仿宋" w:cs="仿宋"/>
          <w:highlight w:val="none"/>
        </w:rPr>
      </w:pPr>
      <w:r>
        <w:rPr>
          <w:rFonts w:hint="eastAsia" w:ascii="仿宋" w:hAnsi="仿宋" w:eastAsia="仿宋" w:cs="仿宋"/>
          <w:highlight w:val="none"/>
        </w:rPr>
        <w:t>本阶段我们对初步确定的项目绩效评价结果进行逐级复核、汇总、分析，核查评价工作中是否存在重复和遗漏的情况，在此基础上撰写项目绩效评价报告初稿，经项目经理复核后再由部门经理和法定代表人复核。</w:t>
      </w:r>
    </w:p>
    <w:p>
      <w:pPr>
        <w:shd w:val="clear"/>
        <w:ind w:firstLine="480"/>
        <w:rPr>
          <w:rFonts w:ascii="仿宋" w:hAnsi="仿宋" w:eastAsia="仿宋" w:cs="仿宋"/>
          <w:highlight w:val="none"/>
        </w:rPr>
      </w:pPr>
      <w:bookmarkStart w:id="153" w:name="_Toc13890"/>
      <w:bookmarkStart w:id="154" w:name="_Toc26877"/>
      <w:bookmarkStart w:id="155" w:name="_Toc10025"/>
      <w:bookmarkStart w:id="156" w:name="_Toc14932"/>
      <w:bookmarkStart w:id="157" w:name="_Toc25909"/>
      <w:bookmarkStart w:id="158" w:name="_Toc15214"/>
      <w:r>
        <w:rPr>
          <w:rFonts w:hint="eastAsia" w:ascii="仿宋" w:hAnsi="仿宋" w:eastAsia="仿宋" w:cs="仿宋"/>
          <w:highlight w:val="none"/>
        </w:rPr>
        <w:t>（5）提交报告阶段</w:t>
      </w:r>
      <w:bookmarkEnd w:id="153"/>
      <w:bookmarkEnd w:id="154"/>
      <w:bookmarkEnd w:id="155"/>
      <w:bookmarkEnd w:id="156"/>
      <w:bookmarkEnd w:id="157"/>
      <w:bookmarkEnd w:id="158"/>
    </w:p>
    <w:p>
      <w:pPr>
        <w:shd w:val="clear"/>
        <w:ind w:firstLine="480"/>
        <w:rPr>
          <w:rFonts w:ascii="仿宋" w:hAnsi="仿宋" w:eastAsia="仿宋" w:cs="仿宋"/>
          <w:highlight w:val="none"/>
        </w:rPr>
        <w:sectPr>
          <w:footerReference r:id="rId5" w:type="default"/>
          <w:pgSz w:w="11906" w:h="16838"/>
          <w:pgMar w:top="1440" w:right="1797" w:bottom="1440" w:left="1797" w:header="851" w:footer="992" w:gutter="0"/>
          <w:cols w:space="425" w:num="1"/>
          <w:docGrid w:type="lines" w:linePitch="326" w:charSpace="0"/>
        </w:sectPr>
      </w:pPr>
      <w:r>
        <w:rPr>
          <w:rFonts w:hint="eastAsia" w:ascii="仿宋" w:hAnsi="仿宋" w:eastAsia="仿宋" w:cs="仿宋"/>
          <w:highlight w:val="none"/>
        </w:rPr>
        <w:t>向委托方提交项目绩效评价初稿，在同委托方、被评价单位充分交换意见并作必要的修改后，向委托方提交正式的绩效评价报告</w:t>
      </w:r>
      <w:bookmarkStart w:id="159" w:name="_Toc494137772"/>
      <w:bookmarkStart w:id="160" w:name="_Toc22406"/>
      <w:r>
        <w:rPr>
          <w:rFonts w:hint="eastAsia" w:ascii="仿宋" w:hAnsi="仿宋" w:eastAsia="仿宋" w:cs="仿宋"/>
          <w:highlight w:val="none"/>
        </w:rPr>
        <w:t>。</w:t>
      </w:r>
    </w:p>
    <w:bookmarkEnd w:id="159"/>
    <w:bookmarkEnd w:id="160"/>
    <w:p>
      <w:pPr>
        <w:pStyle w:val="2"/>
        <w:shd w:val="clear"/>
        <w:spacing w:before="326" w:after="163" w:line="160" w:lineRule="exact"/>
        <w:ind w:firstLine="0" w:firstLineChars="0"/>
        <w:jc w:val="left"/>
        <w:rPr>
          <w:rFonts w:ascii="仿宋" w:hAnsi="仿宋" w:eastAsia="仿宋" w:cs="仿宋"/>
          <w:b/>
          <w:bCs w:val="0"/>
          <w:color w:val="auto"/>
          <w:sz w:val="28"/>
          <w:szCs w:val="28"/>
          <w:highlight w:val="none"/>
        </w:rPr>
      </w:pPr>
      <w:bookmarkStart w:id="161" w:name="_Toc22162"/>
      <w:bookmarkStart w:id="162" w:name="_Toc18361"/>
      <w:r>
        <w:rPr>
          <w:rFonts w:hint="eastAsia" w:ascii="仿宋" w:hAnsi="仿宋" w:eastAsia="仿宋" w:cs="仿宋"/>
          <w:b/>
          <w:bCs w:val="0"/>
          <w:color w:val="auto"/>
          <w:sz w:val="28"/>
          <w:szCs w:val="28"/>
          <w:highlight w:val="none"/>
        </w:rPr>
        <w:t>三、综合评价情况及评价结论</w:t>
      </w:r>
      <w:bookmarkEnd w:id="161"/>
      <w:bookmarkEnd w:id="162"/>
    </w:p>
    <w:tbl>
      <w:tblPr>
        <w:tblStyle w:val="21"/>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891"/>
        <w:gridCol w:w="521"/>
        <w:gridCol w:w="925"/>
        <w:gridCol w:w="632"/>
        <w:gridCol w:w="1091"/>
        <w:gridCol w:w="546"/>
        <w:gridCol w:w="3164"/>
        <w:gridCol w:w="698"/>
        <w:gridCol w:w="5706"/>
      </w:tblGrid>
      <w:tr>
        <w:tblPrEx>
          <w:tblCellMar>
            <w:top w:w="0" w:type="dxa"/>
            <w:left w:w="108" w:type="dxa"/>
            <w:bottom w:w="0" w:type="dxa"/>
            <w:right w:w="108" w:type="dxa"/>
          </w:tblCellMar>
        </w:tblPrEx>
        <w:trPr>
          <w:trHeight w:val="460" w:hRule="atLeast"/>
        </w:trPr>
        <w:tc>
          <w:tcPr>
            <w:tcW w:w="14174" w:type="dxa"/>
            <w:gridSpan w:val="9"/>
            <w:tcBorders>
              <w:top w:val="nil"/>
              <w:left w:val="nil"/>
              <w:bottom w:val="single" w:color="auto" w:sz="4" w:space="0"/>
              <w:right w:val="nil"/>
            </w:tcBorders>
            <w:shd w:val="clear" w:color="auto" w:fill="auto"/>
            <w:noWrap/>
            <w:vAlign w:val="center"/>
          </w:tcPr>
          <w:p>
            <w:pPr>
              <w:pStyle w:val="2"/>
              <w:shd w:val="clear"/>
              <w:spacing w:before="326" w:after="163" w:line="320" w:lineRule="exact"/>
              <w:ind w:firstLine="562"/>
              <w:rPr>
                <w:rFonts w:ascii="仿宋" w:hAnsi="仿宋" w:eastAsia="仿宋" w:cs="仿宋"/>
                <w:b/>
                <w:szCs w:val="28"/>
                <w:highlight w:val="none"/>
              </w:rPr>
            </w:pPr>
            <w:bookmarkStart w:id="163" w:name="_Toc19365"/>
            <w:bookmarkStart w:id="164" w:name="_Hlk23950516"/>
            <w:r>
              <w:rPr>
                <w:rFonts w:hint="eastAsia" w:ascii="仿宋" w:hAnsi="仿宋" w:eastAsia="仿宋" w:cs="仿宋"/>
                <w:b/>
                <w:bCs w:val="0"/>
                <w:color w:val="auto"/>
                <w:sz w:val="28"/>
                <w:szCs w:val="28"/>
                <w:highlight w:val="none"/>
                <w:shd w:val="clear"/>
              </w:rPr>
              <w:t>武汉市武昌区卫生健康局2019年“大医院专家坐诊”项目绩效评价指标体系及评分表</w:t>
            </w:r>
            <w:bookmarkEnd w:id="163"/>
            <w:bookmarkEnd w:id="164"/>
          </w:p>
        </w:tc>
      </w:tr>
      <w:tr>
        <w:tblPrEx>
          <w:tblCellMar>
            <w:top w:w="0" w:type="dxa"/>
            <w:left w:w="108" w:type="dxa"/>
            <w:bottom w:w="0" w:type="dxa"/>
            <w:right w:w="108" w:type="dxa"/>
          </w:tblCellMar>
        </w:tblPrEx>
        <w:trPr>
          <w:trHeight w:val="555" w:hRule="atLeast"/>
        </w:trPr>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一级指标（目标分类）</w:t>
            </w:r>
          </w:p>
        </w:tc>
        <w:tc>
          <w:tcPr>
            <w:tcW w:w="521"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分值</w:t>
            </w:r>
          </w:p>
        </w:tc>
        <w:tc>
          <w:tcPr>
            <w:tcW w:w="925"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二级指标（分类细化）</w:t>
            </w:r>
          </w:p>
        </w:tc>
        <w:tc>
          <w:tcPr>
            <w:tcW w:w="632"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分值</w:t>
            </w: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三级指标（绩效目标内容）</w:t>
            </w:r>
          </w:p>
        </w:tc>
        <w:tc>
          <w:tcPr>
            <w:tcW w:w="54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分值</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绩效标准</w:t>
            </w:r>
          </w:p>
          <w:p>
            <w:pPr>
              <w:widowControl/>
              <w:shd w:val="clear"/>
              <w:spacing w:line="240" w:lineRule="auto"/>
              <w:ind w:firstLine="0" w:firstLineChars="0"/>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（绩效目标值）</w:t>
            </w:r>
          </w:p>
        </w:tc>
        <w:tc>
          <w:tcPr>
            <w:tcW w:w="698"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实际得分</w:t>
            </w:r>
          </w:p>
        </w:tc>
        <w:tc>
          <w:tcPr>
            <w:tcW w:w="570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评分细则</w:t>
            </w:r>
          </w:p>
        </w:tc>
      </w:tr>
      <w:tr>
        <w:tblPrEx>
          <w:tblCellMar>
            <w:top w:w="0" w:type="dxa"/>
            <w:left w:w="108" w:type="dxa"/>
            <w:bottom w:w="0" w:type="dxa"/>
            <w:right w:w="108" w:type="dxa"/>
          </w:tblCellMar>
        </w:tblPrEx>
        <w:trPr>
          <w:trHeight w:val="90" w:hRule="atLeast"/>
        </w:trPr>
        <w:tc>
          <w:tcPr>
            <w:tcW w:w="891"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决策</w:t>
            </w:r>
          </w:p>
        </w:tc>
        <w:tc>
          <w:tcPr>
            <w:tcW w:w="52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15</w:t>
            </w:r>
          </w:p>
        </w:tc>
        <w:tc>
          <w:tcPr>
            <w:tcW w:w="9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项目</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立项</w:t>
            </w:r>
          </w:p>
        </w:tc>
        <w:tc>
          <w:tcPr>
            <w:tcW w:w="63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4</w:t>
            </w:r>
          </w:p>
        </w:tc>
        <w:tc>
          <w:tcPr>
            <w:tcW w:w="1091"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立项依据充分性</w:t>
            </w:r>
          </w:p>
        </w:tc>
        <w:tc>
          <w:tcPr>
            <w:tcW w:w="54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2</w:t>
            </w:r>
          </w:p>
        </w:tc>
        <w:tc>
          <w:tcPr>
            <w:tcW w:w="3164"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项目符合经济社会发展规划和部门年度工作计划（1分）；根据需要制定中长期实施规划（1分）。</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p>
        </w:tc>
        <w:tc>
          <w:tcPr>
            <w:tcW w:w="570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该项目依据《国务院办公厅关于推进医疗联合体建设和发展的指导意见》（国办发[2017]32号）、《国家卫生计生委关于开展医疗联合体建设试点工作的指导意见》（国卫医发[2016]75号）的精神和要求，结合《武汉市2017年开展医疗联合体建设试点工作实施方案》（武医改办[2017]5号）的内容进行立项，符合经济社会发展规划和部门年度工作计划。项目中长期实施规划依据《武汉市2017年开展医疗联合体建设试点工作实施方案》（武医改办[2017]5号）延续执行。得2分。</w:t>
            </w:r>
          </w:p>
        </w:tc>
      </w:tr>
      <w:tr>
        <w:tblPrEx>
          <w:tblCellMar>
            <w:top w:w="0" w:type="dxa"/>
            <w:left w:w="108" w:type="dxa"/>
            <w:bottom w:w="0" w:type="dxa"/>
            <w:right w:w="108" w:type="dxa"/>
          </w:tblCellMar>
        </w:tblPrEx>
        <w:trPr>
          <w:trHeight w:val="1276" w:hRule="atLeast"/>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52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632"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1091"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立项程序规范性</w:t>
            </w:r>
          </w:p>
        </w:tc>
        <w:tc>
          <w:tcPr>
            <w:tcW w:w="54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2</w:t>
            </w:r>
          </w:p>
        </w:tc>
        <w:tc>
          <w:tcPr>
            <w:tcW w:w="3164"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项目按照规定的程序申请设立（1分）；审批文件、材料符合相关要求（1分）。</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p>
        </w:tc>
        <w:tc>
          <w:tcPr>
            <w:tcW w:w="570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该项目依据《国务院办公厅关于推进医疗联合体建设和发展的指导意见》（国办发[2017]32号）、《国家卫生计生委关于开展医疗联合体建设试点工作的指导意见》（国卫医发[2016]75号）的精神和要求，结合《武汉市2017年开展医疗联合体建设试点工作实施方案》（武医改办[2017]5号）的内容进行立项。由武昌区财政局对项目预算及绩效目标进行审批，并下达预算审核批复（武昌财预[2019]47号），该项目年初预算金额226.00万元。得2分。</w:t>
            </w:r>
          </w:p>
        </w:tc>
      </w:tr>
      <w:tr>
        <w:tblPrEx>
          <w:tblCellMar>
            <w:top w:w="0" w:type="dxa"/>
            <w:left w:w="108" w:type="dxa"/>
            <w:bottom w:w="0" w:type="dxa"/>
            <w:right w:w="108" w:type="dxa"/>
          </w:tblCellMar>
        </w:tblPrEx>
        <w:trPr>
          <w:trHeight w:val="2109" w:hRule="atLeast"/>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52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9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绩效</w:t>
            </w:r>
          </w:p>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目标</w:t>
            </w:r>
          </w:p>
        </w:tc>
        <w:tc>
          <w:tcPr>
            <w:tcW w:w="63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6</w:t>
            </w:r>
          </w:p>
        </w:tc>
        <w:tc>
          <w:tcPr>
            <w:tcW w:w="1091"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绩效目标合理性</w:t>
            </w:r>
          </w:p>
        </w:tc>
        <w:tc>
          <w:tcPr>
            <w:tcW w:w="54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3</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项目设定绩效目标，目标与实际工作内容具有相关性（1分）；项目预期产出效益和效果符合正常的业绩水平（1分）；绩效目标与预算确定的项目投资额或资金量相匹配（1分）。</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p>
        </w:tc>
        <w:tc>
          <w:tcPr>
            <w:tcW w:w="570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年初已设定绩效目标，产出指标主要为专家坐诊人数及坐诊社区覆盖面，与实际工作内容相关；项目绩效目标与预算资金相匹配。但项目预期产出与实际产出差距较大，如大医院专家坐诊人数，绩效指标值设定为34人，实际专家坐诊人数截至2019年11月为264名。扣1分，得2分。</w:t>
            </w:r>
          </w:p>
        </w:tc>
      </w:tr>
      <w:tr>
        <w:tblPrEx>
          <w:tblCellMar>
            <w:top w:w="0" w:type="dxa"/>
            <w:left w:w="108" w:type="dxa"/>
            <w:bottom w:w="0" w:type="dxa"/>
            <w:right w:w="108" w:type="dxa"/>
          </w:tblCellMar>
        </w:tblPrEx>
        <w:trPr>
          <w:trHeight w:val="1589" w:hRule="atLeast"/>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52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632"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1091"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绩效指标明确性</w:t>
            </w:r>
          </w:p>
        </w:tc>
        <w:tc>
          <w:tcPr>
            <w:tcW w:w="54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3</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绩效目标细化分解为具体的绩效指标且清晰可衡量（1分）；绩效指标与项目年度计划相匹配（2分）。</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w:t>
            </w:r>
          </w:p>
        </w:tc>
        <w:tc>
          <w:tcPr>
            <w:tcW w:w="570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项目绩效目标细化、量化，分解的各项指标清晰可衡量，设定年度绩效指标与2019年度工作任务相匹配。得3分。</w:t>
            </w:r>
          </w:p>
        </w:tc>
      </w:tr>
      <w:tr>
        <w:tblPrEx>
          <w:tblCellMar>
            <w:top w:w="0" w:type="dxa"/>
            <w:left w:w="108" w:type="dxa"/>
            <w:bottom w:w="0" w:type="dxa"/>
            <w:right w:w="108" w:type="dxa"/>
          </w:tblCellMar>
        </w:tblPrEx>
        <w:trPr>
          <w:trHeight w:val="1782" w:hRule="atLeast"/>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52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925" w:type="dxa"/>
            <w:vMerge w:val="restart"/>
            <w:tcBorders>
              <w:top w:val="single" w:color="auto" w:sz="4" w:space="0"/>
              <w:left w:val="single" w:color="auto" w:sz="4" w:space="0"/>
              <w:right w:val="single" w:color="auto" w:sz="4" w:space="0"/>
            </w:tcBorders>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资金</w:t>
            </w:r>
          </w:p>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投入</w:t>
            </w:r>
          </w:p>
        </w:tc>
        <w:tc>
          <w:tcPr>
            <w:tcW w:w="632" w:type="dxa"/>
            <w:vMerge w:val="restart"/>
            <w:tcBorders>
              <w:top w:val="single" w:color="auto" w:sz="4" w:space="0"/>
              <w:left w:val="single" w:color="auto" w:sz="4" w:space="0"/>
              <w:right w:val="single" w:color="auto" w:sz="4" w:space="0"/>
            </w:tcBorders>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5</w:t>
            </w:r>
          </w:p>
        </w:tc>
        <w:tc>
          <w:tcPr>
            <w:tcW w:w="1091"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预算编制科学性</w:t>
            </w:r>
          </w:p>
        </w:tc>
        <w:tc>
          <w:tcPr>
            <w:tcW w:w="54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2</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项目预算额度测算依据充分，按照标准编制（1分）；预算确定的项目投资额或资金量与工作任务相匹配（1分）。</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p>
        </w:tc>
        <w:tc>
          <w:tcPr>
            <w:tcW w:w="570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根据市卫计委“医联体”的工作要求，辖区各三级综合大医院按照武昌区综合医改工作需求进行预算测算，项目预算已经武昌区财政局审核批复。但该项目未编制项目预算支出明细和测算依据。扣1分，得1分。</w:t>
            </w:r>
          </w:p>
        </w:tc>
      </w:tr>
      <w:tr>
        <w:tblPrEx>
          <w:tblCellMar>
            <w:top w:w="0" w:type="dxa"/>
            <w:left w:w="108" w:type="dxa"/>
            <w:bottom w:w="0" w:type="dxa"/>
            <w:right w:w="108" w:type="dxa"/>
          </w:tblCellMar>
        </w:tblPrEx>
        <w:trPr>
          <w:trHeight w:val="2110" w:hRule="atLeast"/>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52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925" w:type="dxa"/>
            <w:vMerge w:val="continue"/>
            <w:tcBorders>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632" w:type="dxa"/>
            <w:vMerge w:val="continue"/>
            <w:tcBorders>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1091"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资金分配合理性</w:t>
            </w:r>
          </w:p>
        </w:tc>
        <w:tc>
          <w:tcPr>
            <w:tcW w:w="54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3</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制定相关资金管理办法（1分）；预算资金分配依据是否充分，资金分配办法全面、合理（2分）。</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0</w:t>
            </w:r>
          </w:p>
        </w:tc>
        <w:tc>
          <w:tcPr>
            <w:tcW w:w="570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该项目资金分配制定了相应的标准：按照职称及医院级别，分别为300元/人/次和500元/人/次，但资金分配标准不全面不完善，项目补贴实际发放标准为坐诊会诊300元/人/次、500元/人/次、驻点半年30000元/人/半年、排班网络接诊20000元/人/年，未制定相关资金管理办法。扣3分，得0分。</w:t>
            </w:r>
          </w:p>
        </w:tc>
      </w:tr>
      <w:tr>
        <w:tblPrEx>
          <w:tblCellMar>
            <w:top w:w="0" w:type="dxa"/>
            <w:left w:w="108" w:type="dxa"/>
            <w:bottom w:w="0" w:type="dxa"/>
            <w:right w:w="108" w:type="dxa"/>
          </w:tblCellMar>
        </w:tblPrEx>
        <w:trPr>
          <w:trHeight w:val="2223" w:hRule="atLeast"/>
        </w:trPr>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过程</w:t>
            </w:r>
          </w:p>
        </w:tc>
        <w:tc>
          <w:tcPr>
            <w:tcW w:w="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23</w:t>
            </w: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资金</w:t>
            </w:r>
          </w:p>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管理</w:t>
            </w:r>
          </w:p>
        </w:tc>
        <w:tc>
          <w:tcPr>
            <w:tcW w:w="6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12</w:t>
            </w: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资金到位率</w:t>
            </w:r>
          </w:p>
        </w:tc>
        <w:tc>
          <w:tcPr>
            <w:tcW w:w="54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4</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 xml:space="preserve">按资金到位率分档评价，资金到位率=(实际到位资金/预算资金)×100%，资金到位率分档标准为到位率达到100%计4分、90%≤到位率＜100%计3分、80%≤到位率＜90%计2分、60%≤到位率＜80%计1分、到位率＜60%不得分。                                                                                                                                            </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w:t>
            </w:r>
          </w:p>
        </w:tc>
        <w:tc>
          <w:tcPr>
            <w:tcW w:w="570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项目年度预算资金226.00万元，实际到位资金226.00万元，资金到位率为100.00%。得4分。</w:t>
            </w:r>
          </w:p>
        </w:tc>
      </w:tr>
      <w:tr>
        <w:tblPrEx>
          <w:tblCellMar>
            <w:top w:w="0" w:type="dxa"/>
            <w:left w:w="108" w:type="dxa"/>
            <w:bottom w:w="0" w:type="dxa"/>
            <w:right w:w="108" w:type="dxa"/>
          </w:tblCellMar>
        </w:tblPrEx>
        <w:trPr>
          <w:trHeight w:val="2027" w:hRule="atLeast"/>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52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632"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预算执行率</w:t>
            </w:r>
          </w:p>
        </w:tc>
        <w:tc>
          <w:tcPr>
            <w:tcW w:w="54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4</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 xml:space="preserve">按预算执行率分档评价，预算执行率=实际支出资金/实际到位资金×100%，预算执行率分档标准为执行率达到100%计4分、80%≤执行率＜100%计2分、60%≤执行率＜80%计1分、执行率＜60%不得分。                                                                                                      </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w:t>
            </w:r>
          </w:p>
        </w:tc>
        <w:tc>
          <w:tcPr>
            <w:tcW w:w="570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项目实际到位资金226.00万元，实际支出资金226.00万元，预算执行率为100.00%。得4分。</w:t>
            </w:r>
          </w:p>
        </w:tc>
      </w:tr>
      <w:tr>
        <w:tblPrEx>
          <w:tblCellMar>
            <w:top w:w="0" w:type="dxa"/>
            <w:left w:w="108" w:type="dxa"/>
            <w:bottom w:w="0" w:type="dxa"/>
            <w:right w:w="108" w:type="dxa"/>
          </w:tblCellMar>
        </w:tblPrEx>
        <w:trPr>
          <w:trHeight w:val="1864" w:hRule="atLeast"/>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52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632"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资金使用合规性</w:t>
            </w:r>
          </w:p>
        </w:tc>
        <w:tc>
          <w:tcPr>
            <w:tcW w:w="54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4</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项目支出不存在虚列支出情况（1分）；不存在支出手续不合规情况（1分）；不存在截留、挤占、挪用情况（1分），不存在超标准开支情况（1分）。</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w:t>
            </w:r>
          </w:p>
        </w:tc>
        <w:tc>
          <w:tcPr>
            <w:tcW w:w="570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项目支出不存在虚列支出情况；不存在支出手续不合规情况；不存在截留、挤占、挪用情况，不存在超标准开支情况。得4分。</w:t>
            </w:r>
          </w:p>
        </w:tc>
      </w:tr>
      <w:tr>
        <w:tblPrEx>
          <w:tblCellMar>
            <w:top w:w="0" w:type="dxa"/>
            <w:left w:w="108" w:type="dxa"/>
            <w:bottom w:w="0" w:type="dxa"/>
            <w:right w:w="108" w:type="dxa"/>
          </w:tblCellMar>
        </w:tblPrEx>
        <w:trPr>
          <w:trHeight w:val="1170" w:hRule="atLeast"/>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52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组织</w:t>
            </w:r>
          </w:p>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实施</w:t>
            </w:r>
          </w:p>
        </w:tc>
        <w:tc>
          <w:tcPr>
            <w:tcW w:w="6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11</w:t>
            </w: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管理制度健全性</w:t>
            </w:r>
          </w:p>
        </w:tc>
        <w:tc>
          <w:tcPr>
            <w:tcW w:w="54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5</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已制定或具有相应的财务和业务管理制度（3分）；财务和业务管理制度是否合法、合规、完整（2分）。</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p>
        </w:tc>
        <w:tc>
          <w:tcPr>
            <w:tcW w:w="570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实施单位制定了《机关福利制度、财务报销和政府采购流程》，依据《武汉市2017年开展医疗联合体建设试点工作实施方案》（武医改办[2017]5号）等文件进行管理，但未制定专项资金管理办法和补贴标准界定等政策文件。扣3分，得2分。</w:t>
            </w:r>
          </w:p>
        </w:tc>
      </w:tr>
      <w:tr>
        <w:tblPrEx>
          <w:tblCellMar>
            <w:top w:w="0" w:type="dxa"/>
            <w:left w:w="108" w:type="dxa"/>
            <w:bottom w:w="0" w:type="dxa"/>
            <w:right w:w="108" w:type="dxa"/>
          </w:tblCellMar>
        </w:tblPrEx>
        <w:trPr>
          <w:trHeight w:val="1722" w:hRule="atLeast"/>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52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632"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制度执行有效性</w:t>
            </w:r>
          </w:p>
        </w:tc>
        <w:tc>
          <w:tcPr>
            <w:tcW w:w="54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6</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项目按管理制度进行管理并严格执行项目管理程序（3分）；项目合同书、验收报告、技术鉴定等资料齐全并及时归档，发现一处不符合规定扣1分，扣完即止（3分）。</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w:t>
            </w:r>
          </w:p>
        </w:tc>
        <w:tc>
          <w:tcPr>
            <w:tcW w:w="570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依据《武汉市2017年开展医疗联合体建设试点工作实施方案》（武医改办[2017]5号）等文件进行管理，组织医联体专业技术团队下沉社区，但项目实施过程中未根据上述实施方案要求签订医联体合作协议。扣1分，得5分。</w:t>
            </w:r>
          </w:p>
        </w:tc>
      </w:tr>
      <w:tr>
        <w:tblPrEx>
          <w:tblCellMar>
            <w:top w:w="0" w:type="dxa"/>
            <w:left w:w="108" w:type="dxa"/>
            <w:bottom w:w="0" w:type="dxa"/>
            <w:right w:w="108" w:type="dxa"/>
          </w:tblCellMar>
        </w:tblPrEx>
        <w:trPr>
          <w:trHeight w:val="2140" w:hRule="atLeast"/>
        </w:trPr>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产出</w:t>
            </w:r>
          </w:p>
        </w:tc>
        <w:tc>
          <w:tcPr>
            <w:tcW w:w="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48</w:t>
            </w: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产出</w:t>
            </w:r>
          </w:p>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数量</w:t>
            </w:r>
          </w:p>
        </w:tc>
        <w:tc>
          <w:tcPr>
            <w:tcW w:w="6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18</w:t>
            </w: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社区覆盖率</w:t>
            </w:r>
          </w:p>
        </w:tc>
        <w:tc>
          <w:tcPr>
            <w:tcW w:w="54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6</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按社区覆盖率分档评价，社区覆盖率=(实际覆盖数/计划覆盖数)×100%，社区覆盖率分档标准为覆盖率达到100%计</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分、90%≤覆盖率＜100%计</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分、80%≤覆盖率＜90%计</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分、60%≤覆盖率＜80%计1分、覆盖率＜60%不得分。</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p>
        </w:tc>
        <w:tc>
          <w:tcPr>
            <w:tcW w:w="570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实施计划覆盖社区中心有黄鹤楼中心、首义路中心、杨园中心、徐家棚中心、积玉桥中心、水果湖中心、中华路中心和白沙二中心等8个社区。根据武昌区卫健局医联体专家坐诊转会诊情况统计表，大医院专家坐诊实际覆盖社区中心有黄鹤楼中心、首义路中心、杨园中心、徐家棚中心、积玉桥中心、水果湖中心、中华路中心和白沙二中心等8个社区。社区覆盖率100%。得6分。</w:t>
            </w:r>
          </w:p>
        </w:tc>
      </w:tr>
      <w:tr>
        <w:tblPrEx>
          <w:tblCellMar>
            <w:top w:w="0" w:type="dxa"/>
            <w:left w:w="108" w:type="dxa"/>
            <w:bottom w:w="0" w:type="dxa"/>
            <w:right w:w="108" w:type="dxa"/>
          </w:tblCellMar>
        </w:tblPrEx>
        <w:trPr>
          <w:trHeight w:val="1880" w:hRule="atLeast"/>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52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632"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家庭医生签约服务履约率</w:t>
            </w:r>
          </w:p>
        </w:tc>
        <w:tc>
          <w:tcPr>
            <w:tcW w:w="54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按服务履约率分档评价，服务履约率=(实际履约人数/计划履约人数)×100%，服务履约率分档标准为服务履约率达到100%计</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分、90%≤履约率＜100%计</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                                       80%≤履约率＜90%计</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                                               60%≤履约率＜80%计1分、                                                       履约率＜60%不得分。</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w:t>
            </w:r>
          </w:p>
        </w:tc>
        <w:tc>
          <w:tcPr>
            <w:tcW w:w="570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截至2019年10月，武昌区全区常住人口家庭医生签约167484人，实际履约147247人，</w:t>
            </w:r>
            <w:r>
              <w:rPr>
                <w:rFonts w:hint="eastAsia" w:ascii="仿宋" w:hAnsi="仿宋" w:eastAsia="仿宋" w:cs="仿宋"/>
                <w:sz w:val="21"/>
                <w:szCs w:val="21"/>
                <w:highlight w:val="none"/>
              </w:rPr>
              <w:t>家庭医生签约服务履约率</w:t>
            </w:r>
            <w:r>
              <w:rPr>
                <w:rFonts w:hint="eastAsia" w:ascii="仿宋" w:hAnsi="仿宋" w:eastAsia="仿宋" w:cs="仿宋"/>
                <w:sz w:val="21"/>
                <w:szCs w:val="21"/>
                <w:highlight w:val="none"/>
                <w:lang w:val="en-US" w:eastAsia="zh-CN"/>
              </w:rPr>
              <w:t>为87.92%。扣4分，得2分。</w:t>
            </w:r>
          </w:p>
        </w:tc>
      </w:tr>
      <w:tr>
        <w:tblPrEx>
          <w:tblCellMar>
            <w:top w:w="0" w:type="dxa"/>
            <w:left w:w="108" w:type="dxa"/>
            <w:bottom w:w="0" w:type="dxa"/>
            <w:right w:w="108" w:type="dxa"/>
          </w:tblCellMar>
        </w:tblPrEx>
        <w:trPr>
          <w:trHeight w:val="1880" w:hRule="atLeast"/>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52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632"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坐诊专家出诊率</w:t>
            </w:r>
          </w:p>
        </w:tc>
        <w:tc>
          <w:tcPr>
            <w:tcW w:w="54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6</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按出诊率分档评价，出诊率=(实际出诊专家人数/计划出诊专家人数)×100%，出诊率分档标准为出诊率达到100%计</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分、90%≤出诊率＜100%计</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分、80%≤出诊率＜90%计</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分、60%≤出诊率＜80%计1分、出诊率＜60%不得分。</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w:t>
            </w:r>
          </w:p>
        </w:tc>
        <w:tc>
          <w:tcPr>
            <w:tcW w:w="570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年初坐诊专家人数指标值设定为34人，根据武昌区卫健局医联体专家坐诊转会诊情况统计表截至2019年11月共计选派264名专家参与坐诊会诊。截至2019年11月出诊率为776.47%。得6分。</w:t>
            </w:r>
          </w:p>
        </w:tc>
      </w:tr>
      <w:tr>
        <w:tblPrEx>
          <w:tblCellMar>
            <w:top w:w="0" w:type="dxa"/>
            <w:left w:w="108" w:type="dxa"/>
            <w:bottom w:w="0" w:type="dxa"/>
            <w:right w:w="108" w:type="dxa"/>
          </w:tblCellMar>
        </w:tblPrEx>
        <w:trPr>
          <w:trHeight w:val="90" w:hRule="atLeast"/>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52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925" w:type="dxa"/>
            <w:vMerge w:val="restart"/>
            <w:tcBorders>
              <w:top w:val="single" w:color="auto" w:sz="4" w:space="0"/>
              <w:left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产出</w:t>
            </w:r>
          </w:p>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质量</w:t>
            </w:r>
          </w:p>
        </w:tc>
        <w:tc>
          <w:tcPr>
            <w:tcW w:w="632" w:type="dxa"/>
            <w:vMerge w:val="restart"/>
            <w:tcBorders>
              <w:top w:val="single" w:color="auto" w:sz="4" w:space="0"/>
              <w:left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14</w:t>
            </w: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上转下转病人数同比增长完成率</w:t>
            </w:r>
          </w:p>
        </w:tc>
        <w:tc>
          <w:tcPr>
            <w:tcW w:w="54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6</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按同比增长完成率分档评价，同比增长完成率=(实际上转下转病人数同比增长率/计划上转下转病人数同比增长率)×100%，同比增长完成率分档标准为完成率达到100%计</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分、90%≤完成率＜100%计</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80%≤完成率＜90%计</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60%≤完成率＜80%计1分、完成率＜60%不得分。</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6</w:t>
            </w:r>
          </w:p>
        </w:tc>
        <w:tc>
          <w:tcPr>
            <w:tcW w:w="570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项目计划上转下转病人数同比增长率达到10%以上，该项目2019年度医联体内上转下转病人10889人次，同比增长36.30%，上转下转病人数同比增长完成率为363%。得6分。</w:t>
            </w:r>
          </w:p>
        </w:tc>
      </w:tr>
      <w:tr>
        <w:tblPrEx>
          <w:tblCellMar>
            <w:top w:w="0" w:type="dxa"/>
            <w:left w:w="108" w:type="dxa"/>
            <w:bottom w:w="0" w:type="dxa"/>
            <w:right w:w="108" w:type="dxa"/>
          </w:tblCellMar>
        </w:tblPrEx>
        <w:trPr>
          <w:trHeight w:val="90" w:hRule="atLeast"/>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52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925" w:type="dxa"/>
            <w:vMerge w:val="continue"/>
            <w:tcBorders>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p>
        </w:tc>
        <w:tc>
          <w:tcPr>
            <w:tcW w:w="632" w:type="dxa"/>
            <w:vMerge w:val="continue"/>
            <w:tcBorders>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专家坐诊补贴标准</w:t>
            </w:r>
            <w:r>
              <w:rPr>
                <w:rFonts w:hint="eastAsia" w:ascii="仿宋" w:hAnsi="仿宋" w:eastAsia="仿宋" w:cs="仿宋"/>
                <w:sz w:val="21"/>
                <w:szCs w:val="21"/>
                <w:highlight w:val="none"/>
                <w:lang w:val="en-US" w:eastAsia="zh-CN"/>
              </w:rPr>
              <w:t>执行</w:t>
            </w:r>
            <w:r>
              <w:rPr>
                <w:rFonts w:hint="eastAsia" w:ascii="仿宋" w:hAnsi="仿宋" w:eastAsia="仿宋" w:cs="仿宋"/>
                <w:sz w:val="21"/>
                <w:szCs w:val="21"/>
                <w:highlight w:val="none"/>
              </w:rPr>
              <w:t>率</w:t>
            </w:r>
          </w:p>
        </w:tc>
        <w:tc>
          <w:tcPr>
            <w:tcW w:w="54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8</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按照规定补贴标准发放，得8分。否则不得分。</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p>
        </w:tc>
        <w:tc>
          <w:tcPr>
            <w:tcW w:w="570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年初绩效目标表中设定按照职称及医院级别补贴标准分为300元/人/次、500元/人/次，根据财务支付资料显示，项目补贴发放标准为坐诊会诊300元/人/次、500元/人/次、驻点半年30000元/人/半年、排班网络接诊20000元/人/年，补贴按照职称及医院级别发放标准未明确界定，未严格</w:t>
            </w:r>
            <w:r>
              <w:rPr>
                <w:rFonts w:hint="default" w:ascii="仿宋" w:hAnsi="仿宋" w:eastAsia="仿宋" w:cs="仿宋"/>
                <w:sz w:val="21"/>
                <w:szCs w:val="21"/>
                <w:highlight w:val="none"/>
                <w:lang w:val="en-US" w:eastAsia="zh-CN"/>
              </w:rPr>
              <w:t>按照补贴标准发放</w:t>
            </w:r>
            <w:r>
              <w:rPr>
                <w:rFonts w:hint="eastAsia" w:ascii="仿宋" w:hAnsi="仿宋" w:eastAsia="仿宋" w:cs="仿宋"/>
                <w:sz w:val="21"/>
                <w:szCs w:val="21"/>
                <w:highlight w:val="none"/>
                <w:lang w:val="en-US" w:eastAsia="zh-CN"/>
              </w:rPr>
              <w:t>，部分职称如护士长、护师等发放补贴标准与主任医师、正专家等一样。扣6分，得2分。</w:t>
            </w:r>
          </w:p>
        </w:tc>
      </w:tr>
      <w:tr>
        <w:tblPrEx>
          <w:tblCellMar>
            <w:top w:w="0" w:type="dxa"/>
            <w:left w:w="108" w:type="dxa"/>
            <w:bottom w:w="0" w:type="dxa"/>
            <w:right w:w="108" w:type="dxa"/>
          </w:tblCellMar>
        </w:tblPrEx>
        <w:trPr>
          <w:trHeight w:val="1239" w:hRule="atLeast"/>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52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925" w:type="dxa"/>
            <w:tcBorders>
              <w:top w:val="single" w:color="auto" w:sz="4" w:space="0"/>
              <w:left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产出</w:t>
            </w:r>
          </w:p>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时效</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8</w:t>
            </w: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专家坐诊补贴发放及时性</w:t>
            </w:r>
          </w:p>
        </w:tc>
        <w:tc>
          <w:tcPr>
            <w:tcW w:w="54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8</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补贴发放足额、及时，得8分。否则不得分。</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8</w:t>
            </w:r>
          </w:p>
        </w:tc>
        <w:tc>
          <w:tcPr>
            <w:tcW w:w="570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2019年度项目预算资金226.00万元，2019年11月26日拨付219.77万元至各大坐诊医院，12月20日预拨6.23万元至徐家棚社区卫生服务中心。资金补贴均在项目年度内完成拨付。得8分。</w:t>
            </w:r>
          </w:p>
        </w:tc>
      </w:tr>
      <w:tr>
        <w:tblPrEx>
          <w:tblCellMar>
            <w:top w:w="0" w:type="dxa"/>
            <w:left w:w="108" w:type="dxa"/>
            <w:bottom w:w="0" w:type="dxa"/>
            <w:right w:w="108" w:type="dxa"/>
          </w:tblCellMar>
        </w:tblPrEx>
        <w:trPr>
          <w:trHeight w:val="3986" w:hRule="atLeast"/>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52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成本指标</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8</w:t>
            </w: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成本控制率</w:t>
            </w:r>
          </w:p>
        </w:tc>
        <w:tc>
          <w:tcPr>
            <w:tcW w:w="54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8</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hint="default" w:ascii="仿宋" w:hAnsi="仿宋" w:eastAsia="仿宋_GB2312" w:cs="仿宋"/>
                <w:sz w:val="21"/>
                <w:szCs w:val="21"/>
                <w:highlight w:val="none"/>
                <w:lang w:val="en-US" w:eastAsia="zh-CN"/>
              </w:rPr>
            </w:pPr>
            <w:r>
              <w:rPr>
                <w:rFonts w:hint="default" w:ascii="仿宋" w:hAnsi="仿宋" w:eastAsia="仿宋_GB2312" w:cs="仿宋"/>
                <w:sz w:val="21"/>
                <w:szCs w:val="21"/>
                <w:highlight w:val="none"/>
                <w:lang w:val="en-US" w:eastAsia="zh-CN"/>
              </w:rPr>
              <w:t>按产出数量和产出质量完成情况，结合成本控制率分档评价，产出数量和产出质量未完成一项扣</w:t>
            </w:r>
            <w:r>
              <w:rPr>
                <w:rFonts w:hint="eastAsia" w:ascii="仿宋" w:hAnsi="仿宋" w:cs="仿宋"/>
                <w:sz w:val="21"/>
                <w:szCs w:val="21"/>
                <w:highlight w:val="none"/>
                <w:lang w:val="en-US" w:eastAsia="zh-CN"/>
              </w:rPr>
              <w:t>1</w:t>
            </w:r>
            <w:r>
              <w:rPr>
                <w:rFonts w:hint="default" w:ascii="仿宋" w:hAnsi="仿宋" w:eastAsia="仿宋_GB2312" w:cs="仿宋"/>
                <w:sz w:val="21"/>
                <w:szCs w:val="21"/>
                <w:highlight w:val="none"/>
                <w:lang w:val="en-US" w:eastAsia="zh-CN"/>
              </w:rPr>
              <w:t>分，扣完为止；成本控制率=实际成本/计划成本×100%，成本控制率分档标准为：成本控制率＞100%，不得分；95%≤成本控制率≤100%，得上述扣完后分值的80%；90%≤成本控制率＜95%，得上述扣完后分值的90%；成本控制率＜90%，</w:t>
            </w:r>
            <w:r>
              <w:rPr>
                <w:rFonts w:hint="eastAsia" w:ascii="仿宋" w:hAnsi="仿宋" w:cs="仿宋"/>
                <w:sz w:val="21"/>
                <w:szCs w:val="21"/>
                <w:highlight w:val="none"/>
                <w:lang w:val="en-US" w:eastAsia="zh-CN"/>
              </w:rPr>
              <w:t>得</w:t>
            </w:r>
            <w:r>
              <w:rPr>
                <w:rFonts w:hint="default" w:ascii="仿宋" w:hAnsi="仿宋" w:eastAsia="仿宋_GB2312" w:cs="仿宋"/>
                <w:sz w:val="21"/>
                <w:szCs w:val="21"/>
                <w:highlight w:val="none"/>
                <w:lang w:val="en-US" w:eastAsia="zh-CN"/>
              </w:rPr>
              <w:t>上述扣完后分值的100%。</w:t>
            </w:r>
          </w:p>
        </w:tc>
        <w:tc>
          <w:tcPr>
            <w:tcW w:w="698"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4.8</w:t>
            </w:r>
          </w:p>
        </w:tc>
        <w:tc>
          <w:tcPr>
            <w:tcW w:w="570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项目产出中</w:t>
            </w:r>
            <w:r>
              <w:rPr>
                <w:rFonts w:hint="eastAsia" w:ascii="仿宋" w:hAnsi="仿宋" w:eastAsia="仿宋" w:cs="仿宋"/>
                <w:sz w:val="21"/>
                <w:szCs w:val="21"/>
                <w:highlight w:val="none"/>
              </w:rPr>
              <w:t>家庭医生签约服务履约率</w:t>
            </w:r>
            <w:r>
              <w:rPr>
                <w:rFonts w:hint="eastAsia" w:ascii="仿宋" w:hAnsi="仿宋" w:eastAsia="仿宋" w:cs="仿宋"/>
                <w:sz w:val="21"/>
                <w:szCs w:val="21"/>
                <w:highlight w:val="none"/>
                <w:lang w:val="en-US" w:eastAsia="zh-CN"/>
              </w:rPr>
              <w:t>、专家坐诊补贴标准执行率等两项指标未完成，该项目年初预算金额为226.00万元，2019年度项目实际支出成本为226.00万元，成本控制率为100.00%。扣3.2分，得4.8分。</w:t>
            </w:r>
          </w:p>
        </w:tc>
      </w:tr>
      <w:tr>
        <w:tblPrEx>
          <w:tblCellMar>
            <w:top w:w="0" w:type="dxa"/>
            <w:left w:w="108" w:type="dxa"/>
            <w:bottom w:w="0" w:type="dxa"/>
            <w:right w:w="108" w:type="dxa"/>
          </w:tblCellMar>
        </w:tblPrEx>
        <w:trPr>
          <w:trHeight w:val="1020" w:hRule="atLeast"/>
        </w:trPr>
        <w:tc>
          <w:tcPr>
            <w:tcW w:w="8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效益</w:t>
            </w:r>
          </w:p>
        </w:tc>
        <w:tc>
          <w:tcPr>
            <w:tcW w:w="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14</w:t>
            </w: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项目</w:t>
            </w:r>
          </w:p>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效益</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6</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社会效益</w:t>
            </w: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6</w:t>
            </w:r>
          </w:p>
        </w:tc>
        <w:tc>
          <w:tcPr>
            <w:tcW w:w="31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项目实施，提升基层医疗服务能力，提高人民生活幸福指数，对当地社会产生有利影响，计6分。</w:t>
            </w:r>
          </w:p>
        </w:tc>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w:t>
            </w:r>
          </w:p>
        </w:tc>
        <w:tc>
          <w:tcPr>
            <w:tcW w:w="570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该项目依据《国务院办公厅关于推进医疗联合体建设和发展的指导意见》（国办发[2017]32号）、《国家卫生计生委关于开展医疗联合体建设试点工作的指导意见》（国卫医发[2016]75号）的精神和要求，结合《武汉市2017年开展医疗联合体建设试点工作实施方案》（武医改办[2017]5号）的内容进行立项，根据社区中心实际情况，挑选专业技术团队下沉社区，发挥各类优质资源的最大使用效率，引导群众改变就医观念和习惯，提升了基层医疗服务能力。得6分。</w:t>
            </w:r>
          </w:p>
        </w:tc>
      </w:tr>
      <w:tr>
        <w:tblPrEx>
          <w:tblCellMar>
            <w:top w:w="0" w:type="dxa"/>
            <w:left w:w="108" w:type="dxa"/>
            <w:bottom w:w="0" w:type="dxa"/>
            <w:right w:w="108" w:type="dxa"/>
          </w:tblCellMar>
        </w:tblPrEx>
        <w:trPr>
          <w:trHeight w:val="1710" w:hRule="atLeast"/>
        </w:trPr>
        <w:tc>
          <w:tcPr>
            <w:tcW w:w="89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521" w:type="dxa"/>
            <w:vMerge w:val="continue"/>
            <w:tcBorders>
              <w:top w:val="single" w:color="auto" w:sz="4" w:space="0"/>
              <w:left w:val="single" w:color="auto" w:sz="4" w:space="0"/>
              <w:bottom w:val="single" w:color="auto" w:sz="4" w:space="0"/>
              <w:right w:val="single" w:color="auto" w:sz="4" w:space="0"/>
            </w:tcBorders>
            <w:vAlign w:val="center"/>
          </w:tcPr>
          <w:p>
            <w:pPr>
              <w:widowControl/>
              <w:shd w:val="clear"/>
              <w:spacing w:line="240" w:lineRule="auto"/>
              <w:ind w:firstLine="0" w:firstLineChars="0"/>
              <w:jc w:val="left"/>
              <w:rPr>
                <w:rFonts w:ascii="仿宋" w:hAnsi="仿宋" w:eastAsia="仿宋" w:cs="仿宋"/>
                <w:sz w:val="21"/>
                <w:szCs w:val="21"/>
                <w:highlight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p>
        </w:tc>
        <w:tc>
          <w:tcPr>
            <w:tcW w:w="632"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 xml:space="preserve">8 </w:t>
            </w:r>
          </w:p>
        </w:tc>
        <w:tc>
          <w:tcPr>
            <w:tcW w:w="1091"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满意度</w:t>
            </w:r>
          </w:p>
        </w:tc>
        <w:tc>
          <w:tcPr>
            <w:tcW w:w="546"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sz w:val="21"/>
                <w:szCs w:val="21"/>
                <w:highlight w:val="none"/>
              </w:rPr>
            </w:pPr>
            <w:r>
              <w:rPr>
                <w:rFonts w:hint="eastAsia" w:ascii="仿宋" w:hAnsi="仿宋" w:eastAsia="仿宋" w:cs="仿宋"/>
                <w:sz w:val="21"/>
                <w:szCs w:val="21"/>
                <w:highlight w:val="none"/>
              </w:rPr>
              <w:t>8</w:t>
            </w:r>
          </w:p>
        </w:tc>
        <w:tc>
          <w:tcPr>
            <w:tcW w:w="3164" w:type="dxa"/>
            <w:tcBorders>
              <w:top w:val="single" w:color="auto" w:sz="4" w:space="0"/>
              <w:left w:val="nil"/>
              <w:bottom w:val="single" w:color="auto" w:sz="4" w:space="0"/>
              <w:right w:val="single" w:color="auto" w:sz="4" w:space="0"/>
            </w:tcBorders>
            <w:shd w:val="clear" w:color="auto" w:fill="auto"/>
            <w:vAlign w:val="center"/>
          </w:tcPr>
          <w:p>
            <w:pPr>
              <w:widowControl/>
              <w:shd w:val="clear"/>
              <w:spacing w:line="240" w:lineRule="auto"/>
              <w:ind w:firstLine="0" w:firstLineChars="0"/>
              <w:jc w:val="left"/>
              <w:rPr>
                <w:rFonts w:ascii="仿宋" w:hAnsi="仿宋" w:eastAsia="仿宋" w:cs="仿宋"/>
                <w:sz w:val="21"/>
                <w:szCs w:val="21"/>
                <w:highlight w:val="none"/>
              </w:rPr>
            </w:pPr>
            <w:r>
              <w:rPr>
                <w:rFonts w:hint="eastAsia" w:ascii="仿宋" w:hAnsi="仿宋" w:eastAsia="仿宋" w:cs="仿宋"/>
                <w:sz w:val="21"/>
                <w:szCs w:val="21"/>
                <w:highlight w:val="none"/>
              </w:rPr>
              <w:t xml:space="preserve">发放问卷调查表，按满意度评价，满意度分档标准为：                    </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 xml:space="preserve">满意度≥95%计8分，                                          80%≤满意度＜95%计6分，           </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60%≤满意度＜80%计4分,                                      满意度＜60%不得分。</w:t>
            </w:r>
          </w:p>
        </w:tc>
        <w:tc>
          <w:tcPr>
            <w:tcW w:w="698" w:type="dxa"/>
            <w:tcBorders>
              <w:top w:val="single" w:color="auto" w:sz="4" w:space="0"/>
              <w:left w:val="nil"/>
              <w:bottom w:val="single" w:color="auto" w:sz="4" w:space="0"/>
              <w:right w:val="single" w:color="auto" w:sz="4" w:space="0"/>
            </w:tcBorders>
            <w:shd w:val="clear" w:color="auto" w:fill="auto"/>
            <w:noWrap/>
            <w:vAlign w:val="center"/>
          </w:tcPr>
          <w:p>
            <w:pPr>
              <w:widowControl/>
              <w:shd w:val="clear"/>
              <w:spacing w:line="24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w:t>
            </w:r>
          </w:p>
        </w:tc>
        <w:tc>
          <w:tcPr>
            <w:tcW w:w="5706" w:type="dxa"/>
            <w:tcBorders>
              <w:top w:val="single" w:color="auto" w:sz="4" w:space="0"/>
              <w:left w:val="nil"/>
              <w:bottom w:val="single" w:color="auto" w:sz="4" w:space="0"/>
              <w:right w:val="single" w:color="auto" w:sz="4" w:space="0"/>
            </w:tcBorders>
            <w:shd w:val="clear" w:color="000000" w:fill="FFFFFF"/>
            <w:vAlign w:val="center"/>
          </w:tcPr>
          <w:p>
            <w:pPr>
              <w:widowControl/>
              <w:shd w:val="clear"/>
              <w:spacing w:line="240" w:lineRule="auto"/>
              <w:ind w:firstLine="0" w:firstLine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共计发放问卷调查表50份，回收50份，问卷收回率为100.00%，其中:对于大医院专家坐诊社区满意情况调查中38份居民问卷表示“非常满意”，8份居民问卷表示“满意”，4份居民问卷表示“比较满意”，满意度为92.00%。扣2分，得6分。</w:t>
            </w:r>
          </w:p>
        </w:tc>
      </w:tr>
      <w:tr>
        <w:tblPrEx>
          <w:tblCellMar>
            <w:top w:w="0" w:type="dxa"/>
            <w:left w:w="108" w:type="dxa"/>
            <w:bottom w:w="0" w:type="dxa"/>
            <w:right w:w="108" w:type="dxa"/>
          </w:tblCellMar>
        </w:tblPrEx>
        <w:trPr>
          <w:trHeight w:val="547" w:hRule="atLeast"/>
        </w:trPr>
        <w:tc>
          <w:tcPr>
            <w:tcW w:w="23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合计</w:t>
            </w:r>
          </w:p>
        </w:tc>
        <w:tc>
          <w:tcPr>
            <w:tcW w:w="6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100</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b/>
                <w:bCs/>
                <w:sz w:val="21"/>
                <w:szCs w:val="21"/>
                <w:highlight w:val="none"/>
              </w:rPr>
            </w:pPr>
          </w:p>
        </w:tc>
        <w:tc>
          <w:tcPr>
            <w:tcW w:w="5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100</w:t>
            </w:r>
          </w:p>
        </w:tc>
        <w:tc>
          <w:tcPr>
            <w:tcW w:w="31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b/>
                <w:bCs/>
                <w:sz w:val="21"/>
                <w:szCs w:val="21"/>
                <w:highlight w:val="none"/>
              </w:rPr>
            </w:pPr>
          </w:p>
        </w:tc>
        <w:tc>
          <w:tcPr>
            <w:tcW w:w="6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ind w:left="0" w:leftChars="0" w:firstLine="0" w:firstLineChars="0"/>
              <w:jc w:val="center"/>
              <w:textAlignment w:val="center"/>
              <w:rPr>
                <w:rFonts w:hint="default" w:ascii="仿宋" w:hAnsi="仿宋" w:eastAsia="仿宋" w:cs="仿宋"/>
                <w:b/>
                <w:bCs/>
                <w:sz w:val="21"/>
                <w:szCs w:val="21"/>
                <w:highlight w:val="none"/>
                <w:lang w:val="en-US"/>
              </w:rPr>
            </w:pPr>
            <w:r>
              <w:rPr>
                <w:rFonts w:hint="eastAsia" w:ascii="仿宋" w:hAnsi="仿宋" w:eastAsia="仿宋" w:cs="仿宋"/>
                <w:b/>
                <w:i w:val="0"/>
                <w:color w:val="000000"/>
                <w:kern w:val="0"/>
                <w:sz w:val="21"/>
                <w:szCs w:val="21"/>
                <w:highlight w:val="none"/>
                <w:u w:val="none"/>
                <w:lang w:val="en-US" w:eastAsia="zh-CN" w:bidi="ar"/>
              </w:rPr>
              <w:t>75.8</w:t>
            </w:r>
          </w:p>
        </w:tc>
        <w:tc>
          <w:tcPr>
            <w:tcW w:w="57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spacing w:line="240" w:lineRule="auto"/>
              <w:ind w:firstLine="0" w:firstLineChars="0"/>
              <w:jc w:val="center"/>
              <w:rPr>
                <w:rFonts w:ascii="仿宋" w:hAnsi="仿宋" w:eastAsia="仿宋" w:cs="仿宋"/>
                <w:b/>
                <w:bCs/>
                <w:sz w:val="21"/>
                <w:szCs w:val="21"/>
                <w:highlight w:val="none"/>
              </w:rPr>
            </w:pPr>
          </w:p>
        </w:tc>
      </w:tr>
    </w:tbl>
    <w:p>
      <w:pPr>
        <w:shd w:val="clear"/>
        <w:ind w:firstLine="480"/>
        <w:rPr>
          <w:rFonts w:ascii="仿宋" w:hAnsi="仿宋" w:eastAsia="仿宋" w:cs="仿宋"/>
          <w:highlight w:val="none"/>
        </w:rPr>
        <w:sectPr>
          <w:pgSz w:w="16838" w:h="11906" w:orient="landscape"/>
          <w:pgMar w:top="1797" w:right="1440" w:bottom="1797" w:left="1440" w:header="851" w:footer="992" w:gutter="0"/>
          <w:cols w:space="425" w:num="1"/>
          <w:docGrid w:type="lines" w:linePitch="326" w:charSpace="0"/>
        </w:sectPr>
      </w:pPr>
    </w:p>
    <w:p>
      <w:pPr>
        <w:pStyle w:val="2"/>
        <w:shd w:val="clear"/>
        <w:spacing w:before="326" w:after="163" w:line="320" w:lineRule="exact"/>
        <w:ind w:firstLine="0" w:firstLineChars="0"/>
        <w:jc w:val="both"/>
        <w:rPr>
          <w:rFonts w:ascii="仿宋" w:hAnsi="仿宋" w:eastAsia="仿宋" w:cs="仿宋"/>
          <w:b/>
          <w:bCs w:val="0"/>
          <w:color w:val="auto"/>
          <w:sz w:val="28"/>
          <w:szCs w:val="28"/>
          <w:highlight w:val="none"/>
        </w:rPr>
      </w:pPr>
      <w:bookmarkStart w:id="165" w:name="_Toc10967"/>
      <w:r>
        <w:rPr>
          <w:rFonts w:hint="eastAsia" w:ascii="仿宋" w:hAnsi="仿宋" w:eastAsia="仿宋" w:cs="仿宋"/>
          <w:b/>
          <w:bCs w:val="0"/>
          <w:color w:val="auto"/>
          <w:sz w:val="28"/>
          <w:szCs w:val="28"/>
          <w:highlight w:val="none"/>
        </w:rPr>
        <w:t>四、绩效评价指标分析</w:t>
      </w:r>
      <w:bookmarkEnd w:id="165"/>
    </w:p>
    <w:p>
      <w:pPr>
        <w:pStyle w:val="3"/>
        <w:numPr>
          <w:ilvl w:val="1"/>
          <w:numId w:val="0"/>
        </w:numPr>
        <w:shd w:val="clear"/>
        <w:tabs>
          <w:tab w:val="clear" w:pos="420"/>
        </w:tabs>
        <w:spacing w:beforeLines="50" w:afterLines="50" w:line="320" w:lineRule="exact"/>
        <w:rPr>
          <w:rFonts w:ascii="仿宋" w:hAnsi="仿宋" w:eastAsia="仿宋" w:cs="仿宋"/>
          <w:b/>
          <w:bCs/>
          <w:color w:val="000000" w:themeColor="text1"/>
          <w:sz w:val="24"/>
          <w:szCs w:val="24"/>
          <w:highlight w:val="none"/>
        </w:rPr>
      </w:pPr>
      <w:bookmarkStart w:id="166" w:name="_Toc6611"/>
      <w:bookmarkStart w:id="167" w:name="_Toc2992"/>
      <w:bookmarkStart w:id="168" w:name="_Toc478396458"/>
      <w:bookmarkStart w:id="169" w:name="_Toc387957822"/>
      <w:bookmarkStart w:id="170" w:name="_Toc361302034"/>
      <w:bookmarkStart w:id="171" w:name="_Toc406666373"/>
      <w:bookmarkStart w:id="172" w:name="_Toc361304697"/>
      <w:bookmarkStart w:id="173" w:name="_Toc406668047"/>
      <w:r>
        <w:rPr>
          <w:rFonts w:hint="eastAsia" w:ascii="仿宋" w:hAnsi="仿宋" w:eastAsia="仿宋" w:cs="仿宋"/>
          <w:b/>
          <w:bCs/>
          <w:color w:val="000000" w:themeColor="text1"/>
          <w:sz w:val="24"/>
          <w:szCs w:val="24"/>
          <w:highlight w:val="none"/>
        </w:rPr>
        <w:t>（一）项目</w:t>
      </w:r>
      <w:bookmarkStart w:id="174" w:name="_Toc394181010"/>
      <w:r>
        <w:rPr>
          <w:rFonts w:hint="eastAsia" w:ascii="仿宋" w:hAnsi="仿宋" w:eastAsia="仿宋" w:cs="仿宋"/>
          <w:b/>
          <w:bCs/>
          <w:color w:val="000000" w:themeColor="text1"/>
          <w:sz w:val="24"/>
          <w:szCs w:val="24"/>
          <w:highlight w:val="none"/>
        </w:rPr>
        <w:t>决策（15分）</w:t>
      </w:r>
      <w:bookmarkEnd w:id="166"/>
      <w:bookmarkEnd w:id="167"/>
      <w:bookmarkEnd w:id="168"/>
      <w:bookmarkEnd w:id="174"/>
    </w:p>
    <w:p>
      <w:pPr>
        <w:shd w:val="clear"/>
        <w:ind w:firstLine="480"/>
        <w:rPr>
          <w:rFonts w:ascii="仿宋" w:hAnsi="仿宋" w:eastAsia="仿宋" w:cs="仿宋"/>
          <w:highlight w:val="none"/>
        </w:rPr>
      </w:pPr>
      <w:bookmarkStart w:id="175" w:name="_Toc394181009"/>
      <w:bookmarkStart w:id="176" w:name="_Toc394490596"/>
      <w:r>
        <w:rPr>
          <w:rFonts w:hint="eastAsia" w:ascii="仿宋" w:hAnsi="仿宋" w:eastAsia="仿宋" w:cs="仿宋"/>
          <w:highlight w:val="none"/>
        </w:rPr>
        <w:t>根据评价原则，项目投入评价得分为</w:t>
      </w:r>
      <w:r>
        <w:rPr>
          <w:rFonts w:hint="eastAsia" w:ascii="仿宋" w:hAnsi="仿宋" w:eastAsia="仿宋" w:cs="仿宋"/>
          <w:highlight w:val="none"/>
          <w:lang w:val="en-US" w:eastAsia="zh-CN"/>
        </w:rPr>
        <w:t>10</w:t>
      </w:r>
      <w:r>
        <w:rPr>
          <w:rFonts w:hint="eastAsia" w:ascii="仿宋" w:hAnsi="仿宋" w:eastAsia="仿宋" w:cs="仿宋"/>
          <w:highlight w:val="none"/>
        </w:rPr>
        <w:t>分，评价结果为</w:t>
      </w:r>
      <w:r>
        <w:rPr>
          <w:rFonts w:hint="eastAsia" w:ascii="仿宋" w:hAnsi="仿宋" w:eastAsia="仿宋" w:cs="仿宋"/>
          <w:highlight w:val="none"/>
          <w:lang w:val="en-US" w:eastAsia="zh-CN"/>
        </w:rPr>
        <w:t>中</w:t>
      </w:r>
      <w:r>
        <w:rPr>
          <w:rFonts w:hint="eastAsia" w:ascii="仿宋" w:hAnsi="仿宋" w:eastAsia="仿宋" w:cs="仿宋"/>
          <w:highlight w:val="none"/>
        </w:rPr>
        <w:t>。</w:t>
      </w:r>
      <w:bookmarkEnd w:id="175"/>
      <w:bookmarkEnd w:id="176"/>
      <w:bookmarkStart w:id="177" w:name="_Toc394490597"/>
    </w:p>
    <w:bookmarkEnd w:id="177"/>
    <w:p>
      <w:pPr>
        <w:shd w:val="clear"/>
        <w:ind w:firstLine="482"/>
        <w:rPr>
          <w:rFonts w:ascii="仿宋" w:hAnsi="仿宋" w:eastAsia="仿宋" w:cs="仿宋"/>
          <w:b/>
          <w:bCs/>
          <w:highlight w:val="none"/>
        </w:rPr>
      </w:pPr>
      <w:r>
        <w:rPr>
          <w:rFonts w:hint="eastAsia" w:ascii="仿宋" w:hAnsi="仿宋" w:eastAsia="仿宋" w:cs="仿宋"/>
          <w:b/>
          <w:bCs/>
          <w:highlight w:val="none"/>
        </w:rPr>
        <w:t>1.项目立项（4分）</w:t>
      </w:r>
    </w:p>
    <w:p>
      <w:pPr>
        <w:shd w:val="clear"/>
        <w:ind w:firstLine="480"/>
        <w:rPr>
          <w:rFonts w:ascii="仿宋" w:hAnsi="仿宋" w:eastAsia="仿宋" w:cs="仿宋"/>
          <w:highlight w:val="none"/>
        </w:rPr>
      </w:pPr>
      <w:r>
        <w:rPr>
          <w:rFonts w:hint="eastAsia" w:ascii="仿宋" w:hAnsi="仿宋" w:eastAsia="仿宋" w:cs="仿宋"/>
          <w:highlight w:val="none"/>
        </w:rPr>
        <w:t>（1）立项依据充分性：满分2分，得</w:t>
      </w:r>
      <w:r>
        <w:rPr>
          <w:rFonts w:hint="eastAsia" w:ascii="仿宋" w:hAnsi="仿宋" w:eastAsia="仿宋" w:cs="仿宋"/>
          <w:highlight w:val="none"/>
          <w:lang w:val="en-US" w:eastAsia="zh-CN"/>
        </w:rPr>
        <w:t>2</w:t>
      </w:r>
      <w:r>
        <w:rPr>
          <w:rFonts w:hint="eastAsia" w:ascii="仿宋" w:hAnsi="仿宋" w:eastAsia="仿宋" w:cs="仿宋"/>
          <w:highlight w:val="none"/>
        </w:rPr>
        <w:t>分。</w:t>
      </w:r>
    </w:p>
    <w:p>
      <w:pPr>
        <w:shd w:val="clear"/>
        <w:ind w:firstLine="480"/>
        <w:rPr>
          <w:rFonts w:ascii="仿宋" w:hAnsi="仿宋" w:eastAsia="仿宋" w:cs="仿宋"/>
          <w:highlight w:val="none"/>
        </w:rPr>
      </w:pPr>
      <w:r>
        <w:rPr>
          <w:rFonts w:hint="eastAsia" w:ascii="仿宋" w:hAnsi="仿宋" w:eastAsia="仿宋" w:cs="仿宋"/>
          <w:highlight w:val="none"/>
        </w:rPr>
        <w:t>该项目依据《国务院办公厅关于推进医疗联合体建设和发展的指导意见》（国办发[2017]32号）、《国家卫生计生委关于开展医疗联合体建设试点工作的指导意见》（国卫医发[2016]75号）的精神和要求，结合《武汉市2017年开展医疗联合体建设试点工作实施方案》（武医改办[2017]5号）的内容进行立项，符合经济社会发展规划和部门年度工作计划。项目中长期实施规划依据《武汉市2017年开展医疗联合体建设试点工作实施方案》（武医改办[2017]5号）延续执行。得2分。</w:t>
      </w:r>
    </w:p>
    <w:p>
      <w:pPr>
        <w:shd w:val="clear"/>
        <w:ind w:firstLine="480"/>
        <w:rPr>
          <w:rFonts w:ascii="仿宋" w:hAnsi="仿宋" w:eastAsia="仿宋" w:cs="仿宋"/>
          <w:highlight w:val="none"/>
        </w:rPr>
      </w:pPr>
      <w:r>
        <w:rPr>
          <w:rFonts w:hint="eastAsia" w:ascii="仿宋" w:hAnsi="仿宋" w:eastAsia="仿宋" w:cs="仿宋"/>
          <w:highlight w:val="none"/>
        </w:rPr>
        <w:t>（2）立项程序规范性：满分2分，得2分。</w:t>
      </w:r>
    </w:p>
    <w:p>
      <w:pPr>
        <w:shd w:val="clear"/>
        <w:ind w:firstLine="480"/>
        <w:rPr>
          <w:rFonts w:ascii="仿宋" w:hAnsi="仿宋" w:eastAsia="仿宋" w:cs="仿宋"/>
          <w:highlight w:val="none"/>
        </w:rPr>
      </w:pPr>
      <w:r>
        <w:rPr>
          <w:rFonts w:hint="eastAsia" w:ascii="仿宋" w:hAnsi="仿宋" w:eastAsia="仿宋" w:cs="仿宋"/>
          <w:highlight w:val="none"/>
        </w:rPr>
        <w:t>该项目依据《国务院办公厅关于推进医疗联合体建设和发展的指导意见》（国办发[2017]32号）、《国家卫生计生委关于开展医疗联合体建设试点工作的指导意见》（国卫医发[2016]75号）的精神和要求，结合《武汉市2017年开展医疗联合体建设试点工作实施方案》（武医改办[2017]5号）的内容进行立项。由武昌区财政局对项目预算及绩效目标进行审批，并下达预算审核批复（武昌财预[2019]47号），该项目年初预算金额226.00万元。得2分。</w:t>
      </w:r>
    </w:p>
    <w:p>
      <w:pPr>
        <w:shd w:val="clear"/>
        <w:ind w:firstLine="482"/>
        <w:rPr>
          <w:rFonts w:ascii="仿宋" w:hAnsi="仿宋" w:eastAsia="仿宋" w:cs="仿宋"/>
          <w:b/>
          <w:bCs/>
          <w:highlight w:val="none"/>
        </w:rPr>
      </w:pPr>
      <w:r>
        <w:rPr>
          <w:rFonts w:hint="eastAsia" w:ascii="仿宋" w:hAnsi="仿宋" w:eastAsia="仿宋" w:cs="仿宋"/>
          <w:b/>
          <w:bCs/>
          <w:highlight w:val="none"/>
        </w:rPr>
        <w:t>2.绩效目标（6分）</w:t>
      </w:r>
    </w:p>
    <w:p>
      <w:pPr>
        <w:shd w:val="clear"/>
        <w:ind w:firstLine="480"/>
        <w:rPr>
          <w:rFonts w:ascii="仿宋" w:hAnsi="仿宋" w:eastAsia="仿宋" w:cs="仿宋"/>
          <w:highlight w:val="none"/>
        </w:rPr>
      </w:pPr>
      <w:r>
        <w:rPr>
          <w:rFonts w:hint="eastAsia" w:ascii="仿宋" w:hAnsi="仿宋" w:eastAsia="仿宋" w:cs="仿宋"/>
          <w:highlight w:val="none"/>
        </w:rPr>
        <w:t>（1）绩效目标合理性：满分3分，得2分。</w:t>
      </w:r>
    </w:p>
    <w:p>
      <w:pPr>
        <w:shd w:val="clear"/>
        <w:ind w:firstLine="480"/>
        <w:rPr>
          <w:rFonts w:ascii="仿宋" w:hAnsi="仿宋" w:eastAsia="仿宋" w:cs="仿宋"/>
          <w:highlight w:val="none"/>
        </w:rPr>
      </w:pPr>
      <w:r>
        <w:rPr>
          <w:rFonts w:hint="eastAsia" w:ascii="仿宋" w:hAnsi="仿宋" w:eastAsia="仿宋" w:cs="仿宋"/>
          <w:highlight w:val="none"/>
        </w:rPr>
        <w:t>项目年初已设定绩效目标，产出指标主要为专家坐诊人数及坐诊社区覆盖面，与实际工作内容相关；项目绩效目标与预算资金相匹配。但项目预期产出与实际产出差距较大，如大医院专家坐诊人数，绩效指标值设定为34人，实际专家坐诊人数截至2019年11月为264名。扣1分，得2分。</w:t>
      </w:r>
    </w:p>
    <w:p>
      <w:pPr>
        <w:shd w:val="clear"/>
        <w:ind w:firstLine="480"/>
        <w:rPr>
          <w:rFonts w:ascii="仿宋" w:hAnsi="仿宋" w:eastAsia="仿宋" w:cs="仿宋"/>
          <w:highlight w:val="none"/>
        </w:rPr>
      </w:pPr>
      <w:r>
        <w:rPr>
          <w:rFonts w:hint="eastAsia" w:ascii="仿宋" w:hAnsi="仿宋" w:eastAsia="仿宋" w:cs="仿宋"/>
          <w:highlight w:val="none"/>
        </w:rPr>
        <w:t>（2）绩效指标明确性：满分3分，得</w:t>
      </w:r>
      <w:r>
        <w:rPr>
          <w:rFonts w:hint="eastAsia" w:ascii="仿宋" w:hAnsi="仿宋" w:eastAsia="仿宋" w:cs="仿宋"/>
          <w:highlight w:val="none"/>
          <w:lang w:val="en-US" w:eastAsia="zh-CN"/>
        </w:rPr>
        <w:t>3</w:t>
      </w:r>
      <w:r>
        <w:rPr>
          <w:rFonts w:hint="eastAsia" w:ascii="仿宋" w:hAnsi="仿宋" w:eastAsia="仿宋" w:cs="仿宋"/>
          <w:highlight w:val="none"/>
        </w:rPr>
        <w:t>分。</w:t>
      </w:r>
      <w:bookmarkEnd w:id="169"/>
      <w:bookmarkEnd w:id="170"/>
      <w:bookmarkEnd w:id="171"/>
      <w:bookmarkEnd w:id="172"/>
      <w:bookmarkEnd w:id="173"/>
      <w:bookmarkStart w:id="178" w:name="_Toc11787"/>
      <w:bookmarkStart w:id="179" w:name="_Toc478396459"/>
      <w:bookmarkStart w:id="180" w:name="_Toc361302036"/>
      <w:bookmarkStart w:id="181" w:name="_Toc387957823"/>
      <w:bookmarkStart w:id="182" w:name="_Toc406666374"/>
      <w:bookmarkStart w:id="183" w:name="_Toc361304699"/>
      <w:bookmarkStart w:id="184" w:name="_Toc406668048"/>
    </w:p>
    <w:p>
      <w:pPr>
        <w:shd w:val="clear"/>
        <w:ind w:firstLine="480"/>
        <w:rPr>
          <w:rFonts w:ascii="仿宋" w:hAnsi="仿宋" w:eastAsia="仿宋" w:cs="仿宋"/>
          <w:highlight w:val="none"/>
        </w:rPr>
      </w:pPr>
      <w:r>
        <w:rPr>
          <w:rFonts w:hint="eastAsia" w:ascii="仿宋" w:hAnsi="仿宋" w:eastAsia="仿宋" w:cs="仿宋"/>
          <w:highlight w:val="none"/>
        </w:rPr>
        <w:t>项目绩效目标细化、量化，分解的各项指标清晰可衡量，设定年度绩效指标与2019年度工作任务相匹配。得3分。</w:t>
      </w:r>
    </w:p>
    <w:p>
      <w:pPr>
        <w:shd w:val="clear"/>
        <w:ind w:firstLine="482"/>
        <w:rPr>
          <w:rFonts w:ascii="仿宋" w:hAnsi="仿宋" w:eastAsia="仿宋" w:cs="仿宋"/>
          <w:b/>
          <w:bCs/>
          <w:highlight w:val="none"/>
        </w:rPr>
      </w:pPr>
      <w:r>
        <w:rPr>
          <w:rFonts w:hint="eastAsia" w:ascii="仿宋" w:hAnsi="仿宋" w:eastAsia="仿宋" w:cs="仿宋"/>
          <w:b/>
          <w:bCs/>
          <w:highlight w:val="none"/>
        </w:rPr>
        <w:t>3.资金投入（5分）</w:t>
      </w:r>
    </w:p>
    <w:p>
      <w:pPr>
        <w:shd w:val="clear"/>
        <w:ind w:firstLine="480" w:firstLineChars="0"/>
        <w:rPr>
          <w:rFonts w:ascii="仿宋" w:hAnsi="仿宋" w:eastAsia="仿宋" w:cs="仿宋"/>
          <w:highlight w:val="none"/>
        </w:rPr>
      </w:pPr>
      <w:r>
        <w:rPr>
          <w:rFonts w:hint="eastAsia" w:ascii="仿宋" w:hAnsi="仿宋" w:eastAsia="仿宋" w:cs="仿宋"/>
          <w:highlight w:val="none"/>
        </w:rPr>
        <w:t>（1）预算编制科学性：满分2分，得1分。</w:t>
      </w:r>
    </w:p>
    <w:p>
      <w:pPr>
        <w:shd w:val="clear"/>
        <w:ind w:firstLine="480" w:firstLineChars="0"/>
        <w:rPr>
          <w:rFonts w:ascii="仿宋" w:hAnsi="仿宋" w:eastAsia="仿宋" w:cs="仿宋"/>
          <w:highlight w:val="none"/>
        </w:rPr>
      </w:pPr>
      <w:r>
        <w:rPr>
          <w:rFonts w:hint="eastAsia" w:ascii="仿宋" w:hAnsi="仿宋" w:eastAsia="仿宋" w:cs="仿宋"/>
          <w:highlight w:val="none"/>
        </w:rPr>
        <w:t>项目根据市卫计委“医联体”的工作要求，辖区各三级综合大医院按照武昌区综合医改工作需求进行预算测算，项目预算已经武昌区财政局审核批复。但该项目未编制项目预算支出明细和测算依据。扣1分，得1分。</w:t>
      </w:r>
    </w:p>
    <w:p>
      <w:pPr>
        <w:shd w:val="clear"/>
        <w:spacing w:line="240" w:lineRule="auto"/>
        <w:ind w:firstLine="480"/>
        <w:rPr>
          <w:rFonts w:ascii="仿宋" w:hAnsi="仿宋" w:eastAsia="仿宋" w:cs="仿宋"/>
          <w:highlight w:val="none"/>
        </w:rPr>
      </w:pPr>
      <w:r>
        <w:rPr>
          <w:rFonts w:hint="eastAsia" w:ascii="仿宋" w:hAnsi="仿宋" w:eastAsia="仿宋" w:cs="仿宋"/>
          <w:highlight w:val="none"/>
        </w:rPr>
        <w:t>（2）资金分配合理性：满分3分，得0分。</w:t>
      </w:r>
    </w:p>
    <w:p>
      <w:pPr>
        <w:shd w:val="clear"/>
        <w:ind w:firstLine="480"/>
        <w:rPr>
          <w:rFonts w:ascii="仿宋" w:hAnsi="仿宋" w:eastAsia="仿宋" w:cs="仿宋"/>
          <w:highlight w:val="none"/>
        </w:rPr>
      </w:pPr>
      <w:r>
        <w:rPr>
          <w:rFonts w:hint="eastAsia" w:ascii="仿宋" w:hAnsi="仿宋" w:eastAsia="仿宋" w:cs="仿宋"/>
          <w:highlight w:val="none"/>
        </w:rPr>
        <w:t>该项目资金分配制定了相应的标准：按照职称及医院级别，分别为300元/人/次和500元/人/次，但资金分配标准不全面不完善，项目补贴实际发放标准为坐诊会诊300元/人/次、500元/人/次、驻点半年30000元/人/半年、排班网络接诊20000元/人/年，未制定相关资金管理办法。扣3分，得0分。</w:t>
      </w:r>
    </w:p>
    <w:p>
      <w:pPr>
        <w:pStyle w:val="3"/>
        <w:numPr>
          <w:ilvl w:val="1"/>
          <w:numId w:val="0"/>
        </w:numPr>
        <w:shd w:val="clear"/>
        <w:tabs>
          <w:tab w:val="clear" w:pos="420"/>
        </w:tabs>
        <w:spacing w:beforeLines="50" w:afterLines="50" w:line="320" w:lineRule="exact"/>
        <w:rPr>
          <w:rFonts w:ascii="仿宋" w:hAnsi="仿宋" w:eastAsia="仿宋" w:cs="仿宋"/>
          <w:b/>
          <w:bCs/>
          <w:color w:val="000000" w:themeColor="text1"/>
          <w:sz w:val="24"/>
          <w:szCs w:val="24"/>
          <w:highlight w:val="none"/>
        </w:rPr>
      </w:pPr>
      <w:bookmarkStart w:id="185" w:name="_Toc32470"/>
      <w:r>
        <w:rPr>
          <w:rFonts w:hint="eastAsia" w:ascii="仿宋" w:hAnsi="仿宋" w:eastAsia="仿宋" w:cs="仿宋"/>
          <w:b/>
          <w:bCs/>
          <w:color w:val="000000" w:themeColor="text1"/>
          <w:sz w:val="24"/>
          <w:szCs w:val="24"/>
          <w:highlight w:val="none"/>
        </w:rPr>
        <w:t>（二）项目过程（23分）</w:t>
      </w:r>
      <w:bookmarkEnd w:id="178"/>
      <w:bookmarkEnd w:id="179"/>
      <w:bookmarkEnd w:id="185"/>
    </w:p>
    <w:p>
      <w:pPr>
        <w:shd w:val="clear"/>
        <w:ind w:firstLine="480"/>
        <w:rPr>
          <w:rFonts w:ascii="仿宋" w:hAnsi="仿宋" w:eastAsia="仿宋" w:cs="仿宋"/>
          <w:highlight w:val="none"/>
        </w:rPr>
      </w:pPr>
      <w:bookmarkStart w:id="186" w:name="_Toc394181012"/>
      <w:bookmarkStart w:id="187" w:name="_Toc394490599"/>
      <w:r>
        <w:rPr>
          <w:rFonts w:hint="eastAsia" w:ascii="仿宋" w:hAnsi="仿宋" w:eastAsia="仿宋" w:cs="仿宋"/>
          <w:highlight w:val="none"/>
        </w:rPr>
        <w:t>根据评价原则，项目过程评价得分为1</w:t>
      </w:r>
      <w:r>
        <w:rPr>
          <w:rFonts w:hint="eastAsia" w:ascii="仿宋" w:hAnsi="仿宋" w:eastAsia="仿宋" w:cs="仿宋"/>
          <w:highlight w:val="none"/>
          <w:lang w:val="en-US" w:eastAsia="zh-CN"/>
        </w:rPr>
        <w:t>9</w:t>
      </w:r>
      <w:r>
        <w:rPr>
          <w:rFonts w:hint="eastAsia" w:ascii="仿宋" w:hAnsi="仿宋" w:eastAsia="仿宋" w:cs="仿宋"/>
          <w:highlight w:val="none"/>
        </w:rPr>
        <w:t>分，评价结果为</w:t>
      </w:r>
      <w:r>
        <w:rPr>
          <w:rFonts w:hint="eastAsia" w:ascii="仿宋" w:hAnsi="仿宋" w:eastAsia="仿宋" w:cs="仿宋"/>
          <w:highlight w:val="none"/>
          <w:lang w:val="en-US" w:eastAsia="zh-CN"/>
        </w:rPr>
        <w:t>良</w:t>
      </w:r>
      <w:r>
        <w:rPr>
          <w:rFonts w:hint="eastAsia" w:ascii="仿宋" w:hAnsi="仿宋" w:eastAsia="仿宋" w:cs="仿宋"/>
          <w:highlight w:val="none"/>
        </w:rPr>
        <w:t>。</w:t>
      </w:r>
      <w:bookmarkEnd w:id="186"/>
      <w:bookmarkEnd w:id="187"/>
    </w:p>
    <w:p>
      <w:pPr>
        <w:shd w:val="clear"/>
        <w:ind w:firstLine="482"/>
        <w:rPr>
          <w:rFonts w:ascii="仿宋" w:hAnsi="仿宋" w:eastAsia="仿宋" w:cs="仿宋"/>
          <w:b/>
          <w:bCs/>
          <w:highlight w:val="none"/>
        </w:rPr>
      </w:pPr>
      <w:r>
        <w:rPr>
          <w:rFonts w:hint="eastAsia" w:ascii="仿宋" w:hAnsi="仿宋" w:eastAsia="仿宋" w:cs="仿宋"/>
          <w:b/>
          <w:bCs/>
          <w:highlight w:val="none"/>
        </w:rPr>
        <w:t>1.资金管理（12分）</w:t>
      </w:r>
    </w:p>
    <w:p>
      <w:pPr>
        <w:shd w:val="clear"/>
        <w:ind w:firstLine="480"/>
        <w:rPr>
          <w:rFonts w:ascii="仿宋" w:hAnsi="仿宋" w:eastAsia="仿宋" w:cs="仿宋"/>
          <w:highlight w:val="none"/>
        </w:rPr>
      </w:pPr>
      <w:r>
        <w:rPr>
          <w:rFonts w:hint="eastAsia" w:ascii="仿宋" w:hAnsi="仿宋" w:eastAsia="仿宋" w:cs="仿宋"/>
          <w:highlight w:val="none"/>
        </w:rPr>
        <w:t>（1）资金到位率：满分4分，得4分。</w:t>
      </w:r>
    </w:p>
    <w:p>
      <w:pPr>
        <w:shd w:val="clear"/>
        <w:ind w:firstLine="480"/>
        <w:rPr>
          <w:rFonts w:ascii="仿宋" w:hAnsi="仿宋" w:eastAsia="仿宋" w:cs="仿宋"/>
          <w:highlight w:val="none"/>
        </w:rPr>
      </w:pPr>
      <w:r>
        <w:rPr>
          <w:rFonts w:hint="eastAsia" w:ascii="仿宋" w:hAnsi="仿宋" w:eastAsia="仿宋" w:cs="仿宋"/>
          <w:highlight w:val="none"/>
        </w:rPr>
        <w:t>项目年度预算资金226.00万元，实际到位资金226.00万元，资金到位率为100.00%。得4分。</w:t>
      </w:r>
    </w:p>
    <w:p>
      <w:pPr>
        <w:shd w:val="clear"/>
        <w:ind w:firstLine="480"/>
        <w:rPr>
          <w:rFonts w:ascii="仿宋" w:hAnsi="仿宋" w:eastAsia="仿宋" w:cs="仿宋"/>
          <w:highlight w:val="none"/>
        </w:rPr>
      </w:pPr>
      <w:r>
        <w:rPr>
          <w:rFonts w:hint="eastAsia" w:ascii="仿宋" w:hAnsi="仿宋" w:eastAsia="仿宋" w:cs="仿宋"/>
          <w:highlight w:val="none"/>
        </w:rPr>
        <w:t>（2）预算执行率：满分4分，得4分。</w:t>
      </w:r>
    </w:p>
    <w:p>
      <w:pPr>
        <w:shd w:val="clear"/>
        <w:ind w:firstLine="480"/>
        <w:rPr>
          <w:rFonts w:ascii="仿宋" w:hAnsi="仿宋" w:eastAsia="仿宋" w:cs="仿宋"/>
          <w:highlight w:val="none"/>
        </w:rPr>
      </w:pPr>
      <w:r>
        <w:rPr>
          <w:rFonts w:hint="eastAsia" w:ascii="仿宋" w:hAnsi="仿宋" w:eastAsia="仿宋" w:cs="仿宋"/>
          <w:highlight w:val="none"/>
        </w:rPr>
        <w:t>项目实际到位资金226.00万元，实际支出资金226.00万元，预算执行率为100.00%。得4分。</w:t>
      </w:r>
    </w:p>
    <w:p>
      <w:pPr>
        <w:shd w:val="clear"/>
        <w:ind w:firstLine="480"/>
        <w:rPr>
          <w:rFonts w:ascii="仿宋" w:hAnsi="仿宋" w:eastAsia="仿宋" w:cs="仿宋"/>
          <w:highlight w:val="none"/>
        </w:rPr>
      </w:pPr>
      <w:r>
        <w:rPr>
          <w:rFonts w:hint="eastAsia" w:ascii="仿宋" w:hAnsi="仿宋" w:eastAsia="仿宋" w:cs="仿宋"/>
          <w:highlight w:val="none"/>
        </w:rPr>
        <w:t>（3）资金使用合规性：满分4分，得</w:t>
      </w:r>
      <w:r>
        <w:rPr>
          <w:rFonts w:hint="eastAsia" w:ascii="仿宋" w:hAnsi="仿宋" w:eastAsia="仿宋" w:cs="仿宋"/>
          <w:highlight w:val="none"/>
          <w:lang w:val="en-US" w:eastAsia="zh-CN"/>
        </w:rPr>
        <w:t>4</w:t>
      </w:r>
      <w:r>
        <w:rPr>
          <w:rFonts w:hint="eastAsia" w:ascii="仿宋" w:hAnsi="仿宋" w:eastAsia="仿宋" w:cs="仿宋"/>
          <w:highlight w:val="none"/>
        </w:rPr>
        <w:t>分。</w:t>
      </w:r>
    </w:p>
    <w:p>
      <w:pPr>
        <w:shd w:val="clear"/>
        <w:ind w:firstLine="480"/>
        <w:rPr>
          <w:rFonts w:ascii="仿宋" w:hAnsi="仿宋" w:eastAsia="仿宋" w:cs="仿宋"/>
          <w:highlight w:val="none"/>
        </w:rPr>
      </w:pPr>
      <w:r>
        <w:rPr>
          <w:rFonts w:hint="eastAsia" w:ascii="仿宋" w:hAnsi="仿宋" w:eastAsia="仿宋" w:cs="仿宋"/>
          <w:highlight w:val="none"/>
        </w:rPr>
        <w:t>项目支出不存在虚列支出情况；不存在支出手续不合规情况；不存在截留、挤占、挪用情况，不存在超标准开支情况。得4分。</w:t>
      </w:r>
    </w:p>
    <w:p>
      <w:pPr>
        <w:shd w:val="clear"/>
        <w:ind w:firstLine="482"/>
        <w:rPr>
          <w:rFonts w:ascii="仿宋" w:hAnsi="仿宋" w:eastAsia="仿宋" w:cs="仿宋"/>
          <w:highlight w:val="none"/>
        </w:rPr>
      </w:pPr>
      <w:r>
        <w:rPr>
          <w:rFonts w:hint="eastAsia" w:ascii="仿宋" w:hAnsi="仿宋" w:eastAsia="仿宋" w:cs="仿宋"/>
          <w:b/>
          <w:bCs/>
          <w:highlight w:val="none"/>
        </w:rPr>
        <w:t>2.组织实施（11分）</w:t>
      </w:r>
    </w:p>
    <w:p>
      <w:pPr>
        <w:shd w:val="clear"/>
        <w:ind w:firstLine="480"/>
        <w:rPr>
          <w:rFonts w:ascii="仿宋" w:hAnsi="仿宋" w:eastAsia="仿宋" w:cs="仿宋"/>
          <w:highlight w:val="none"/>
        </w:rPr>
      </w:pPr>
      <w:r>
        <w:rPr>
          <w:rFonts w:hint="eastAsia" w:ascii="仿宋" w:hAnsi="仿宋" w:eastAsia="仿宋" w:cs="仿宋"/>
          <w:highlight w:val="none"/>
        </w:rPr>
        <w:t>（1）管理制度健全性：满分5分，得2分。</w:t>
      </w:r>
    </w:p>
    <w:p>
      <w:pPr>
        <w:shd w:val="clear"/>
        <w:ind w:firstLine="480"/>
        <w:rPr>
          <w:rFonts w:ascii="仿宋" w:hAnsi="仿宋" w:eastAsia="仿宋" w:cs="仿宋"/>
          <w:highlight w:val="none"/>
        </w:rPr>
      </w:pPr>
      <w:r>
        <w:rPr>
          <w:rFonts w:hint="eastAsia" w:ascii="仿宋" w:hAnsi="仿宋" w:eastAsia="仿宋" w:cs="仿宋"/>
          <w:highlight w:val="none"/>
        </w:rPr>
        <w:t>项目实施单位制定了《机关福利制度、财务报销和政府采购流程》，依据《武汉市2017年开展医疗联合体建设试点工作实施方案》（武医改办[2017]5号）等文件进行管理，但未制定专项资金管理办法和补贴标准界定等政策文件。扣3分，得2分。</w:t>
      </w:r>
    </w:p>
    <w:p>
      <w:pPr>
        <w:shd w:val="clear"/>
        <w:ind w:firstLine="480"/>
        <w:rPr>
          <w:rFonts w:ascii="仿宋" w:hAnsi="仿宋" w:eastAsia="仿宋" w:cs="仿宋"/>
          <w:highlight w:val="none"/>
        </w:rPr>
      </w:pPr>
      <w:r>
        <w:rPr>
          <w:rFonts w:hint="eastAsia" w:ascii="仿宋" w:hAnsi="仿宋" w:eastAsia="仿宋" w:cs="仿宋"/>
          <w:highlight w:val="none"/>
        </w:rPr>
        <w:t>（2）制度执行有效性：满分6分，得分</w:t>
      </w:r>
      <w:r>
        <w:rPr>
          <w:rFonts w:hint="eastAsia" w:ascii="仿宋" w:hAnsi="仿宋" w:eastAsia="仿宋" w:cs="仿宋"/>
          <w:highlight w:val="none"/>
          <w:lang w:val="en-US" w:eastAsia="zh-CN"/>
        </w:rPr>
        <w:t>5</w:t>
      </w:r>
      <w:r>
        <w:rPr>
          <w:rFonts w:hint="eastAsia" w:ascii="仿宋" w:hAnsi="仿宋" w:eastAsia="仿宋" w:cs="仿宋"/>
          <w:highlight w:val="none"/>
        </w:rPr>
        <w:t>分。</w:t>
      </w:r>
    </w:p>
    <w:p>
      <w:pPr>
        <w:shd w:val="clear"/>
        <w:ind w:firstLine="480"/>
        <w:rPr>
          <w:rFonts w:ascii="仿宋" w:hAnsi="仿宋" w:eastAsia="仿宋" w:cs="仿宋"/>
          <w:highlight w:val="none"/>
        </w:rPr>
      </w:pPr>
      <w:r>
        <w:rPr>
          <w:rFonts w:hint="eastAsia" w:ascii="仿宋" w:hAnsi="仿宋" w:eastAsia="仿宋" w:cs="仿宋"/>
          <w:highlight w:val="none"/>
        </w:rPr>
        <w:t>项目依据《武汉市2017年开展医疗联合体建设试点工作实施方案》（武医改办[2017]5号）等文件进行管理，组织医联体专业技术团队下沉社区，但项目实施过程中未根据上述实施方案要求签订医联体合作协议。扣1分，得5分。</w:t>
      </w:r>
    </w:p>
    <w:bookmarkEnd w:id="180"/>
    <w:bookmarkEnd w:id="181"/>
    <w:bookmarkEnd w:id="182"/>
    <w:bookmarkEnd w:id="183"/>
    <w:bookmarkEnd w:id="184"/>
    <w:p>
      <w:pPr>
        <w:pStyle w:val="3"/>
        <w:numPr>
          <w:ilvl w:val="1"/>
          <w:numId w:val="0"/>
        </w:numPr>
        <w:shd w:val="clear"/>
        <w:tabs>
          <w:tab w:val="clear" w:pos="420"/>
        </w:tabs>
        <w:spacing w:beforeLines="50" w:afterLines="50" w:line="320" w:lineRule="exact"/>
        <w:rPr>
          <w:rFonts w:ascii="仿宋" w:hAnsi="仿宋" w:eastAsia="仿宋" w:cs="仿宋"/>
          <w:b/>
          <w:bCs/>
          <w:color w:val="000000" w:themeColor="text1"/>
          <w:sz w:val="24"/>
          <w:szCs w:val="24"/>
          <w:highlight w:val="none"/>
        </w:rPr>
      </w:pPr>
      <w:bookmarkStart w:id="188" w:name="_Toc29393"/>
      <w:bookmarkStart w:id="189" w:name="_Toc5732"/>
      <w:bookmarkStart w:id="190" w:name="_Toc478396460"/>
      <w:bookmarkStart w:id="191" w:name="_Toc406668049"/>
      <w:bookmarkStart w:id="192" w:name="_Toc406666375"/>
      <w:bookmarkStart w:id="193" w:name="_Toc387957824"/>
      <w:r>
        <w:rPr>
          <w:rFonts w:hint="eastAsia" w:ascii="仿宋" w:hAnsi="仿宋" w:eastAsia="仿宋" w:cs="仿宋"/>
          <w:b/>
          <w:bCs/>
          <w:color w:val="000000" w:themeColor="text1"/>
          <w:sz w:val="24"/>
          <w:szCs w:val="24"/>
          <w:highlight w:val="none"/>
        </w:rPr>
        <w:t>（三）项目产出（48分）</w:t>
      </w:r>
      <w:bookmarkEnd w:id="188"/>
      <w:bookmarkEnd w:id="189"/>
      <w:bookmarkEnd w:id="190"/>
    </w:p>
    <w:p>
      <w:pPr>
        <w:shd w:val="clear"/>
        <w:ind w:firstLine="480"/>
        <w:rPr>
          <w:rFonts w:ascii="仿宋" w:hAnsi="仿宋" w:eastAsia="仿宋" w:cs="仿宋"/>
          <w:highlight w:val="none"/>
        </w:rPr>
      </w:pPr>
      <w:bookmarkStart w:id="194" w:name="_Toc394181015"/>
      <w:bookmarkStart w:id="195" w:name="_Toc394490602"/>
      <w:r>
        <w:rPr>
          <w:rFonts w:hint="eastAsia" w:ascii="仿宋" w:hAnsi="仿宋" w:eastAsia="仿宋" w:cs="仿宋"/>
          <w:highlight w:val="none"/>
        </w:rPr>
        <w:t>根据评价原则，项目产出评价得分为3</w:t>
      </w:r>
      <w:r>
        <w:rPr>
          <w:rFonts w:hint="eastAsia" w:ascii="仿宋" w:hAnsi="仿宋" w:eastAsia="仿宋" w:cs="仿宋"/>
          <w:highlight w:val="none"/>
          <w:lang w:val="en-US" w:eastAsia="zh-CN"/>
        </w:rPr>
        <w:t>4.8</w:t>
      </w:r>
      <w:r>
        <w:rPr>
          <w:rFonts w:hint="eastAsia" w:ascii="仿宋" w:hAnsi="仿宋" w:eastAsia="仿宋" w:cs="仿宋"/>
          <w:highlight w:val="none"/>
        </w:rPr>
        <w:t>分，评价结果为中。</w:t>
      </w:r>
      <w:bookmarkEnd w:id="194"/>
      <w:bookmarkEnd w:id="195"/>
    </w:p>
    <w:bookmarkEnd w:id="191"/>
    <w:bookmarkEnd w:id="192"/>
    <w:bookmarkEnd w:id="193"/>
    <w:p>
      <w:pPr>
        <w:shd w:val="clear"/>
        <w:ind w:firstLine="482"/>
        <w:rPr>
          <w:rFonts w:ascii="仿宋" w:hAnsi="仿宋" w:eastAsia="仿宋" w:cs="仿宋"/>
          <w:highlight w:val="none"/>
        </w:rPr>
      </w:pPr>
      <w:r>
        <w:rPr>
          <w:rFonts w:hint="eastAsia" w:ascii="仿宋" w:hAnsi="仿宋" w:eastAsia="仿宋" w:cs="仿宋"/>
          <w:b/>
          <w:bCs/>
          <w:highlight w:val="none"/>
        </w:rPr>
        <w:t>1.产出数量（</w:t>
      </w:r>
      <w:r>
        <w:rPr>
          <w:rFonts w:hint="eastAsia" w:ascii="仿宋" w:hAnsi="仿宋" w:eastAsia="仿宋" w:cs="仿宋"/>
          <w:b/>
          <w:bCs/>
          <w:highlight w:val="none"/>
          <w:lang w:val="en-US" w:eastAsia="zh-CN"/>
        </w:rPr>
        <w:t>18</w:t>
      </w:r>
      <w:r>
        <w:rPr>
          <w:rFonts w:hint="eastAsia" w:ascii="仿宋" w:hAnsi="仿宋" w:eastAsia="仿宋" w:cs="仿宋"/>
          <w:b/>
          <w:bCs/>
          <w:highlight w:val="none"/>
        </w:rPr>
        <w:t>分）</w:t>
      </w:r>
    </w:p>
    <w:p>
      <w:pPr>
        <w:shd w:val="clear"/>
        <w:ind w:firstLine="48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1</w:t>
      </w:r>
      <w:r>
        <w:rPr>
          <w:rFonts w:hint="eastAsia" w:ascii="仿宋" w:hAnsi="仿宋" w:eastAsia="仿宋" w:cs="仿宋"/>
          <w:highlight w:val="none"/>
          <w:lang w:eastAsia="zh-CN"/>
        </w:rPr>
        <w:t>）</w:t>
      </w:r>
      <w:r>
        <w:rPr>
          <w:rFonts w:hint="eastAsia" w:ascii="仿宋" w:hAnsi="仿宋" w:eastAsia="仿宋" w:cs="仿宋"/>
          <w:highlight w:val="none"/>
        </w:rPr>
        <w:t>社区覆盖率：满分</w:t>
      </w:r>
      <w:r>
        <w:rPr>
          <w:rFonts w:hint="eastAsia" w:ascii="仿宋" w:hAnsi="仿宋" w:eastAsia="仿宋" w:cs="仿宋"/>
          <w:highlight w:val="none"/>
          <w:lang w:val="en-US" w:eastAsia="zh-CN"/>
        </w:rPr>
        <w:t>6</w:t>
      </w:r>
      <w:r>
        <w:rPr>
          <w:rFonts w:hint="eastAsia" w:ascii="仿宋" w:hAnsi="仿宋" w:eastAsia="仿宋" w:cs="仿宋"/>
          <w:highlight w:val="none"/>
        </w:rPr>
        <w:t>分，得</w:t>
      </w:r>
      <w:r>
        <w:rPr>
          <w:rFonts w:hint="eastAsia" w:ascii="仿宋" w:hAnsi="仿宋" w:eastAsia="仿宋" w:cs="仿宋"/>
          <w:highlight w:val="none"/>
          <w:lang w:val="en-US" w:eastAsia="zh-CN"/>
        </w:rPr>
        <w:t>6</w:t>
      </w:r>
      <w:r>
        <w:rPr>
          <w:rFonts w:hint="eastAsia" w:ascii="仿宋" w:hAnsi="仿宋" w:eastAsia="仿宋" w:cs="仿宋"/>
          <w:highlight w:val="none"/>
        </w:rPr>
        <w:t>分。</w:t>
      </w:r>
    </w:p>
    <w:p>
      <w:pPr>
        <w:shd w:val="clear"/>
        <w:ind w:firstLine="480"/>
        <w:rPr>
          <w:rFonts w:hint="eastAsia" w:ascii="仿宋" w:hAnsi="仿宋" w:eastAsia="仿宋" w:cs="仿宋"/>
          <w:highlight w:val="none"/>
        </w:rPr>
      </w:pPr>
      <w:r>
        <w:rPr>
          <w:rFonts w:hint="eastAsia" w:ascii="仿宋" w:hAnsi="仿宋" w:eastAsia="仿宋" w:cs="仿宋"/>
          <w:highlight w:val="none"/>
        </w:rPr>
        <w:t>项目实施计划覆盖社区中心有黄鹤楼中心、首义路中心、杨园中心、徐家棚中心、积玉桥中心、水果湖中心、中华路中心和白沙二中心等8个社区。根据武昌区卫健局医联体专家坐诊转会诊情况统计表，大医院专家坐诊实际覆盖社区中心有黄鹤楼中心、首义路中心、杨园中心、徐家棚中心、积玉桥中心、水果湖中心、中华路中心和白沙二中心等8个社区。社区覆盖率100%。得</w:t>
      </w:r>
      <w:r>
        <w:rPr>
          <w:rFonts w:hint="eastAsia" w:ascii="仿宋" w:hAnsi="仿宋" w:eastAsia="仿宋" w:cs="仿宋"/>
          <w:highlight w:val="none"/>
          <w:lang w:val="en-US" w:eastAsia="zh-CN"/>
        </w:rPr>
        <w:t>6</w:t>
      </w:r>
      <w:r>
        <w:rPr>
          <w:rFonts w:hint="eastAsia" w:ascii="仿宋" w:hAnsi="仿宋" w:eastAsia="仿宋" w:cs="仿宋"/>
          <w:highlight w:val="none"/>
        </w:rPr>
        <w:t>分。</w:t>
      </w:r>
    </w:p>
    <w:p>
      <w:pPr>
        <w:shd w:val="clear"/>
        <w:ind w:firstLine="480"/>
        <w:rPr>
          <w:rFonts w:hint="default" w:ascii="仿宋" w:hAnsi="仿宋" w:eastAsia="仿宋" w:cs="仿宋"/>
          <w:highlight w:val="none"/>
          <w:lang w:val="en-US"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2</w:t>
      </w:r>
      <w:r>
        <w:rPr>
          <w:rFonts w:hint="eastAsia" w:ascii="仿宋" w:hAnsi="仿宋" w:eastAsia="仿宋" w:cs="仿宋"/>
          <w:highlight w:val="none"/>
          <w:lang w:eastAsia="zh-CN"/>
        </w:rPr>
        <w:t>）家庭医生签约服务履约率：</w:t>
      </w:r>
      <w:r>
        <w:rPr>
          <w:rFonts w:hint="eastAsia" w:ascii="仿宋" w:hAnsi="仿宋" w:eastAsia="仿宋" w:cs="仿宋"/>
          <w:highlight w:val="none"/>
          <w:lang w:val="en-US" w:eastAsia="zh-CN"/>
        </w:rPr>
        <w:t>满分6分，得2分。</w:t>
      </w:r>
    </w:p>
    <w:p>
      <w:pPr>
        <w:shd w:val="clear"/>
        <w:ind w:firstLine="480"/>
        <w:rPr>
          <w:rFonts w:hint="default" w:ascii="仿宋" w:hAnsi="仿宋" w:eastAsia="仿宋" w:cs="仿宋"/>
          <w:highlight w:val="none"/>
          <w:lang w:val="en-US" w:eastAsia="zh-CN"/>
        </w:rPr>
      </w:pPr>
      <w:r>
        <w:rPr>
          <w:rFonts w:hint="eastAsia" w:ascii="仿宋" w:hAnsi="仿宋" w:eastAsia="仿宋" w:cs="仿宋"/>
          <w:highlight w:val="none"/>
          <w:lang w:eastAsia="zh-CN"/>
        </w:rPr>
        <w:t>截至2019年10月，武昌区全区常住人口家庭医生签约167484人，实际履约147247人，家庭医生签约服务履约率为87.92%。</w:t>
      </w:r>
      <w:r>
        <w:rPr>
          <w:rFonts w:hint="eastAsia" w:ascii="仿宋" w:hAnsi="仿宋" w:eastAsia="仿宋" w:cs="仿宋"/>
          <w:highlight w:val="none"/>
          <w:lang w:val="en-US" w:eastAsia="zh-CN"/>
        </w:rPr>
        <w:t>扣4分，得2分。</w:t>
      </w:r>
    </w:p>
    <w:p>
      <w:pPr>
        <w:shd w:val="clear"/>
        <w:ind w:firstLine="48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3）</w:t>
      </w:r>
      <w:r>
        <w:rPr>
          <w:rFonts w:hint="eastAsia" w:ascii="仿宋" w:hAnsi="仿宋" w:eastAsia="仿宋" w:cs="仿宋"/>
          <w:highlight w:val="none"/>
          <w:lang w:eastAsia="zh-CN"/>
        </w:rPr>
        <w:t>坐诊专家出诊率：满分</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分，得</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分。</w:t>
      </w:r>
    </w:p>
    <w:p>
      <w:pPr>
        <w:shd w:val="clear"/>
        <w:ind w:firstLine="480"/>
        <w:rPr>
          <w:rFonts w:hint="eastAsia" w:ascii="仿宋" w:hAnsi="仿宋" w:eastAsia="仿宋" w:cs="仿宋"/>
          <w:highlight w:val="none"/>
          <w:lang w:eastAsia="zh-CN"/>
        </w:rPr>
      </w:pPr>
      <w:r>
        <w:rPr>
          <w:rFonts w:hint="eastAsia" w:ascii="仿宋" w:hAnsi="仿宋" w:eastAsia="仿宋" w:cs="仿宋"/>
          <w:highlight w:val="none"/>
          <w:lang w:eastAsia="zh-CN"/>
        </w:rPr>
        <w:t>年初坐诊专家人数指标值设定为34人，未提供专家坐诊出勤表等相关项目资料，无法确定本年度实际出诊专家人数。但根据财务支付资料显示截至2019年11月共计选派264名专家参与坐诊会诊。截至2019年11月出诊率为776.47%。得</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分。</w:t>
      </w:r>
    </w:p>
    <w:p>
      <w:pPr>
        <w:shd w:val="clear"/>
        <w:ind w:firstLine="482"/>
        <w:rPr>
          <w:rFonts w:ascii="仿宋" w:hAnsi="仿宋" w:eastAsia="仿宋" w:cs="仿宋"/>
          <w:b/>
          <w:bCs/>
          <w:highlight w:val="none"/>
        </w:rPr>
      </w:pPr>
      <w:r>
        <w:rPr>
          <w:rFonts w:hint="eastAsia" w:ascii="仿宋" w:hAnsi="仿宋" w:eastAsia="仿宋" w:cs="仿宋"/>
          <w:b/>
          <w:bCs/>
          <w:highlight w:val="none"/>
        </w:rPr>
        <w:t>2.产出质量（</w:t>
      </w:r>
      <w:r>
        <w:rPr>
          <w:rFonts w:hint="eastAsia" w:ascii="仿宋" w:hAnsi="仿宋" w:eastAsia="仿宋" w:cs="仿宋"/>
          <w:b/>
          <w:bCs/>
          <w:highlight w:val="none"/>
          <w:lang w:val="en-US" w:eastAsia="zh-CN"/>
        </w:rPr>
        <w:t>14</w:t>
      </w:r>
      <w:r>
        <w:rPr>
          <w:rFonts w:hint="eastAsia" w:ascii="仿宋" w:hAnsi="仿宋" w:eastAsia="仿宋" w:cs="仿宋"/>
          <w:b/>
          <w:bCs/>
          <w:highlight w:val="none"/>
        </w:rPr>
        <w:t>分）</w:t>
      </w:r>
    </w:p>
    <w:p>
      <w:pPr>
        <w:shd w:val="clear"/>
        <w:ind w:firstLine="480"/>
        <w:rPr>
          <w:rFonts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1）</w:t>
      </w:r>
      <w:r>
        <w:rPr>
          <w:rFonts w:hint="eastAsia" w:ascii="仿宋" w:hAnsi="仿宋" w:eastAsia="仿宋" w:cs="仿宋"/>
          <w:highlight w:val="none"/>
        </w:rPr>
        <w:t>专家坐诊补贴标准</w:t>
      </w:r>
      <w:r>
        <w:rPr>
          <w:rFonts w:hint="eastAsia" w:ascii="仿宋" w:hAnsi="仿宋" w:eastAsia="仿宋" w:cs="仿宋"/>
          <w:highlight w:val="none"/>
          <w:lang w:val="en-US" w:eastAsia="zh-CN"/>
        </w:rPr>
        <w:t>执行</w:t>
      </w:r>
      <w:r>
        <w:rPr>
          <w:rFonts w:hint="eastAsia" w:ascii="仿宋" w:hAnsi="仿宋" w:eastAsia="仿宋" w:cs="仿宋"/>
          <w:highlight w:val="none"/>
        </w:rPr>
        <w:t>率：满分8分，得</w:t>
      </w:r>
      <w:r>
        <w:rPr>
          <w:rFonts w:hint="eastAsia" w:ascii="仿宋" w:hAnsi="仿宋" w:eastAsia="仿宋" w:cs="仿宋"/>
          <w:highlight w:val="none"/>
          <w:lang w:val="en-US" w:eastAsia="zh-CN"/>
        </w:rPr>
        <w:t>2</w:t>
      </w:r>
      <w:r>
        <w:rPr>
          <w:rFonts w:hint="eastAsia" w:ascii="仿宋" w:hAnsi="仿宋" w:eastAsia="仿宋" w:cs="仿宋"/>
          <w:highlight w:val="none"/>
        </w:rPr>
        <w:t>分。</w:t>
      </w:r>
    </w:p>
    <w:p>
      <w:pPr>
        <w:shd w:val="clear"/>
        <w:ind w:firstLine="480"/>
        <w:rPr>
          <w:rFonts w:hint="eastAsia" w:ascii="仿宋" w:hAnsi="仿宋" w:eastAsia="仿宋" w:cs="仿宋"/>
          <w:highlight w:val="none"/>
        </w:rPr>
      </w:pPr>
      <w:r>
        <w:rPr>
          <w:rFonts w:hint="eastAsia" w:ascii="仿宋" w:hAnsi="仿宋" w:eastAsia="仿宋" w:cs="仿宋"/>
          <w:highlight w:val="none"/>
        </w:rPr>
        <w:t>年初绩效目标表中设定按照职称及医院级别补贴标准分为300元/人/次、500元/人/次，根据财务支付资料显示，项目补贴发放标准为坐诊会诊300元/人/次、500元/人/次、驻点半年30000元/人/半年、排班网络接诊20000元/人/年，补贴按照职称及医院级别发放标准未明确界定</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未严格</w:t>
      </w:r>
      <w:r>
        <w:rPr>
          <w:rFonts w:hint="default" w:ascii="仿宋" w:hAnsi="仿宋" w:eastAsia="仿宋" w:cs="仿宋"/>
          <w:sz w:val="24"/>
          <w:szCs w:val="24"/>
          <w:highlight w:val="none"/>
          <w:lang w:val="en-US" w:eastAsia="zh-CN"/>
        </w:rPr>
        <w:t>按照补贴标准发放</w:t>
      </w:r>
      <w:r>
        <w:rPr>
          <w:rFonts w:hint="eastAsia" w:ascii="仿宋" w:hAnsi="仿宋" w:eastAsia="仿宋" w:cs="仿宋"/>
          <w:sz w:val="24"/>
          <w:szCs w:val="24"/>
          <w:highlight w:val="none"/>
          <w:lang w:val="en-US" w:eastAsia="zh-CN"/>
        </w:rPr>
        <w:t>，</w:t>
      </w:r>
      <w:r>
        <w:rPr>
          <w:rFonts w:hint="eastAsia" w:ascii="仿宋" w:hAnsi="仿宋" w:eastAsia="仿宋" w:cs="仿宋"/>
          <w:highlight w:val="none"/>
        </w:rPr>
        <w:t>部分职称如护士长、护师等发放补贴标准与主任医师、正专家等一样。扣6分，得2分。</w:t>
      </w:r>
    </w:p>
    <w:p>
      <w:pPr>
        <w:shd w:val="clear"/>
        <w:ind w:firstLine="480"/>
        <w:rPr>
          <w:rFonts w:hint="default" w:ascii="仿宋" w:hAnsi="仿宋" w:eastAsia="仿宋" w:cs="仿宋"/>
          <w:highlight w:val="none"/>
          <w:lang w:val="en-US"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2）上转下转病人数同比增长完成率：满分6分，得6分。</w:t>
      </w:r>
    </w:p>
    <w:p>
      <w:pPr>
        <w:shd w:val="clear"/>
        <w:ind w:firstLine="480"/>
        <w:rPr>
          <w:rFonts w:hint="default" w:ascii="仿宋" w:hAnsi="仿宋" w:eastAsia="仿宋" w:cs="仿宋"/>
          <w:highlight w:val="none"/>
          <w:lang w:val="en-US" w:eastAsia="zh-CN"/>
        </w:rPr>
      </w:pPr>
      <w:r>
        <w:rPr>
          <w:rFonts w:hint="eastAsia" w:ascii="仿宋" w:hAnsi="仿宋" w:eastAsia="仿宋" w:cs="仿宋"/>
          <w:highlight w:val="none"/>
          <w:lang w:eastAsia="zh-CN"/>
        </w:rPr>
        <w:t>项目计划上转下转病人数同比增长率达到10%以上，该项目2019年度医联体内上转下转病人</w:t>
      </w:r>
      <w:r>
        <w:rPr>
          <w:rFonts w:hint="eastAsia" w:ascii="仿宋" w:hAnsi="仿宋" w:eastAsia="仿宋" w:cs="仿宋"/>
          <w:highlight w:val="none"/>
          <w:lang w:val="en-US" w:eastAsia="zh-CN"/>
        </w:rPr>
        <w:t>共计</w:t>
      </w:r>
      <w:r>
        <w:rPr>
          <w:rFonts w:hint="eastAsia" w:ascii="仿宋" w:hAnsi="仿宋" w:eastAsia="仿宋" w:cs="仿宋"/>
          <w:highlight w:val="none"/>
          <w:lang w:eastAsia="zh-CN"/>
        </w:rPr>
        <w:t>10889人次，同比增长36.30%，</w:t>
      </w:r>
      <w:r>
        <w:rPr>
          <w:rFonts w:hint="eastAsia" w:ascii="仿宋" w:hAnsi="仿宋" w:eastAsia="仿宋" w:cs="仿宋"/>
          <w:highlight w:val="none"/>
          <w:lang w:val="en-US" w:eastAsia="zh-CN"/>
        </w:rPr>
        <w:t>上转下转病人数同比增长完成率</w:t>
      </w:r>
      <w:r>
        <w:rPr>
          <w:rFonts w:hint="eastAsia" w:ascii="仿宋" w:hAnsi="仿宋" w:eastAsia="仿宋" w:cs="仿宋"/>
          <w:highlight w:val="none"/>
          <w:lang w:eastAsia="zh-CN"/>
        </w:rPr>
        <w:t>为363%。</w:t>
      </w:r>
      <w:r>
        <w:rPr>
          <w:rFonts w:hint="eastAsia" w:ascii="仿宋" w:hAnsi="仿宋" w:eastAsia="仿宋" w:cs="仿宋"/>
          <w:highlight w:val="none"/>
          <w:lang w:val="en-US" w:eastAsia="zh-CN"/>
        </w:rPr>
        <w:t>得6分。</w:t>
      </w:r>
    </w:p>
    <w:p>
      <w:pPr>
        <w:shd w:val="clear"/>
        <w:ind w:firstLine="482"/>
        <w:rPr>
          <w:rFonts w:ascii="仿宋" w:hAnsi="仿宋" w:eastAsia="仿宋" w:cs="仿宋"/>
          <w:highlight w:val="none"/>
        </w:rPr>
      </w:pPr>
      <w:r>
        <w:rPr>
          <w:rFonts w:hint="eastAsia" w:ascii="仿宋" w:hAnsi="仿宋" w:eastAsia="仿宋" w:cs="仿宋"/>
          <w:b/>
          <w:bCs/>
          <w:highlight w:val="none"/>
        </w:rPr>
        <w:t>3.产出时效（8）</w:t>
      </w:r>
    </w:p>
    <w:p>
      <w:pPr>
        <w:shd w:val="clear"/>
        <w:ind w:firstLine="480"/>
        <w:rPr>
          <w:rFonts w:ascii="仿宋" w:hAnsi="仿宋" w:eastAsia="仿宋" w:cs="仿宋"/>
          <w:highlight w:val="none"/>
        </w:rPr>
      </w:pPr>
      <w:r>
        <w:rPr>
          <w:rFonts w:hint="eastAsia" w:ascii="仿宋" w:hAnsi="仿宋" w:eastAsia="仿宋" w:cs="仿宋"/>
          <w:highlight w:val="none"/>
        </w:rPr>
        <w:t>专家坐诊补贴发放及时性：满分8分，得8分。</w:t>
      </w:r>
    </w:p>
    <w:p>
      <w:pPr>
        <w:shd w:val="clear"/>
        <w:ind w:firstLine="480"/>
        <w:rPr>
          <w:rFonts w:ascii="仿宋" w:hAnsi="仿宋" w:eastAsia="仿宋" w:cs="仿宋"/>
          <w:highlight w:val="none"/>
        </w:rPr>
      </w:pPr>
      <w:r>
        <w:rPr>
          <w:rFonts w:hint="eastAsia" w:ascii="仿宋" w:hAnsi="仿宋" w:eastAsia="仿宋" w:cs="仿宋"/>
          <w:highlight w:val="none"/>
        </w:rPr>
        <w:t>2019年度项目预算资金226.00万元，2019年11月26日拨付219.77万元至各大坐诊医院，12月20日预拨6.23万元至徐家棚社区卫生服务中心。资金补贴均在项目年度内完成拨付。得8分。</w:t>
      </w:r>
    </w:p>
    <w:p>
      <w:pPr>
        <w:shd w:val="clear"/>
        <w:ind w:firstLine="482"/>
        <w:rPr>
          <w:rFonts w:ascii="仿宋" w:hAnsi="仿宋" w:eastAsia="仿宋" w:cs="仿宋"/>
          <w:b/>
          <w:bCs/>
          <w:highlight w:val="none"/>
        </w:rPr>
      </w:pPr>
      <w:r>
        <w:rPr>
          <w:rFonts w:hint="eastAsia" w:ascii="仿宋" w:hAnsi="仿宋" w:eastAsia="仿宋" w:cs="仿宋"/>
          <w:b/>
          <w:bCs/>
          <w:highlight w:val="none"/>
        </w:rPr>
        <w:t>4.产出成本（</w:t>
      </w:r>
      <w:r>
        <w:rPr>
          <w:rFonts w:hint="eastAsia" w:ascii="仿宋" w:hAnsi="仿宋" w:eastAsia="仿宋" w:cs="仿宋"/>
          <w:b/>
          <w:bCs/>
          <w:highlight w:val="none"/>
          <w:lang w:val="en-US" w:eastAsia="zh-CN"/>
        </w:rPr>
        <w:t>8</w:t>
      </w:r>
      <w:r>
        <w:rPr>
          <w:rFonts w:hint="eastAsia" w:ascii="仿宋" w:hAnsi="仿宋" w:eastAsia="仿宋" w:cs="仿宋"/>
          <w:b/>
          <w:bCs/>
          <w:highlight w:val="none"/>
        </w:rPr>
        <w:t>分）</w:t>
      </w:r>
    </w:p>
    <w:p>
      <w:pPr>
        <w:shd w:val="clear"/>
        <w:ind w:firstLine="480"/>
        <w:rPr>
          <w:rFonts w:ascii="仿宋" w:hAnsi="仿宋" w:eastAsia="仿宋" w:cs="仿宋"/>
          <w:highlight w:val="none"/>
        </w:rPr>
      </w:pPr>
      <w:r>
        <w:rPr>
          <w:rFonts w:hint="eastAsia" w:ascii="仿宋" w:hAnsi="仿宋" w:eastAsia="仿宋" w:cs="仿宋"/>
          <w:highlight w:val="none"/>
        </w:rPr>
        <w:t>成本控制率：满分8分，得</w:t>
      </w:r>
      <w:r>
        <w:rPr>
          <w:rFonts w:hint="eastAsia" w:ascii="仿宋" w:hAnsi="仿宋" w:eastAsia="仿宋" w:cs="仿宋"/>
          <w:highlight w:val="none"/>
          <w:lang w:val="en-US" w:eastAsia="zh-CN"/>
        </w:rPr>
        <w:t>4.8</w:t>
      </w:r>
      <w:r>
        <w:rPr>
          <w:rFonts w:hint="eastAsia" w:ascii="仿宋" w:hAnsi="仿宋" w:eastAsia="仿宋" w:cs="仿宋"/>
          <w:highlight w:val="none"/>
        </w:rPr>
        <w:t>分。</w:t>
      </w:r>
    </w:p>
    <w:p>
      <w:pPr>
        <w:shd w:val="clear"/>
        <w:ind w:firstLine="480"/>
        <w:rPr>
          <w:rFonts w:hint="eastAsia" w:ascii="仿宋" w:hAnsi="仿宋" w:eastAsia="仿宋" w:cs="仿宋"/>
          <w:highlight w:val="none"/>
        </w:rPr>
      </w:pPr>
      <w:r>
        <w:rPr>
          <w:rFonts w:hint="eastAsia" w:ascii="仿宋" w:hAnsi="仿宋" w:eastAsia="仿宋" w:cs="仿宋"/>
          <w:highlight w:val="none"/>
        </w:rPr>
        <w:t>项目产出中</w:t>
      </w:r>
      <w:r>
        <w:rPr>
          <w:rFonts w:hint="eastAsia" w:ascii="仿宋" w:hAnsi="仿宋" w:eastAsia="仿宋" w:cs="仿宋"/>
          <w:highlight w:val="none"/>
          <w:lang w:eastAsia="zh-CN"/>
        </w:rPr>
        <w:t>家庭医生签约服务履约率</w:t>
      </w:r>
      <w:r>
        <w:rPr>
          <w:rFonts w:hint="eastAsia" w:ascii="仿宋" w:hAnsi="仿宋" w:eastAsia="仿宋" w:cs="仿宋"/>
          <w:highlight w:val="none"/>
        </w:rPr>
        <w:t>、专家坐诊补贴标准执行率等两项指标未完成，该项目年初预算金额为226.00万元，2019年度项目实际支出成本为226.00万元，成本控制率为100.00%。扣</w:t>
      </w:r>
      <w:r>
        <w:rPr>
          <w:rFonts w:hint="eastAsia" w:ascii="仿宋" w:hAnsi="仿宋" w:eastAsia="仿宋" w:cs="仿宋"/>
          <w:highlight w:val="none"/>
          <w:lang w:val="en-US" w:eastAsia="zh-CN"/>
        </w:rPr>
        <w:t>3.2</w:t>
      </w:r>
      <w:r>
        <w:rPr>
          <w:rFonts w:hint="eastAsia" w:ascii="仿宋" w:hAnsi="仿宋" w:eastAsia="仿宋" w:cs="仿宋"/>
          <w:highlight w:val="none"/>
        </w:rPr>
        <w:t>分，得4</w:t>
      </w:r>
      <w:r>
        <w:rPr>
          <w:rFonts w:hint="eastAsia" w:ascii="仿宋" w:hAnsi="仿宋" w:eastAsia="仿宋" w:cs="仿宋"/>
          <w:highlight w:val="none"/>
          <w:lang w:val="en-US" w:eastAsia="zh-CN"/>
        </w:rPr>
        <w:t>.8</w:t>
      </w:r>
      <w:r>
        <w:rPr>
          <w:rFonts w:hint="eastAsia" w:ascii="仿宋" w:hAnsi="仿宋" w:eastAsia="仿宋" w:cs="仿宋"/>
          <w:highlight w:val="none"/>
        </w:rPr>
        <w:t>分。</w:t>
      </w:r>
    </w:p>
    <w:p>
      <w:pPr>
        <w:pStyle w:val="3"/>
        <w:numPr>
          <w:ilvl w:val="1"/>
          <w:numId w:val="0"/>
        </w:numPr>
        <w:shd w:val="clear"/>
        <w:tabs>
          <w:tab w:val="clear" w:pos="420"/>
        </w:tabs>
        <w:spacing w:beforeLines="50" w:afterLines="50" w:line="320" w:lineRule="exact"/>
        <w:rPr>
          <w:rFonts w:ascii="仿宋" w:hAnsi="仿宋" w:eastAsia="仿宋" w:cs="仿宋"/>
          <w:b/>
          <w:bCs/>
          <w:color w:val="000000" w:themeColor="text1"/>
          <w:sz w:val="24"/>
          <w:szCs w:val="24"/>
          <w:highlight w:val="none"/>
        </w:rPr>
      </w:pPr>
      <w:bookmarkStart w:id="196" w:name="_Toc17158"/>
      <w:r>
        <w:rPr>
          <w:rFonts w:hint="eastAsia" w:ascii="仿宋" w:hAnsi="仿宋" w:eastAsia="仿宋" w:cs="仿宋"/>
          <w:b/>
          <w:bCs/>
          <w:color w:val="000000" w:themeColor="text1"/>
          <w:sz w:val="24"/>
          <w:szCs w:val="24"/>
          <w:highlight w:val="none"/>
        </w:rPr>
        <w:t>（四）项目效益（14分）</w:t>
      </w:r>
      <w:bookmarkEnd w:id="196"/>
    </w:p>
    <w:p>
      <w:pPr>
        <w:shd w:val="clear"/>
        <w:ind w:firstLine="480"/>
        <w:rPr>
          <w:rFonts w:ascii="仿宋" w:hAnsi="仿宋" w:eastAsia="仿宋" w:cs="仿宋"/>
          <w:highlight w:val="none"/>
        </w:rPr>
      </w:pPr>
      <w:r>
        <w:rPr>
          <w:rFonts w:hint="eastAsia" w:ascii="仿宋" w:hAnsi="仿宋" w:eastAsia="仿宋" w:cs="仿宋"/>
          <w:highlight w:val="none"/>
        </w:rPr>
        <w:t>根据评价原则，项目效果评价得分为12分，评价结果为良。</w:t>
      </w:r>
    </w:p>
    <w:p>
      <w:pPr>
        <w:shd w:val="clear"/>
        <w:ind w:firstLine="482"/>
        <w:rPr>
          <w:rFonts w:ascii="仿宋" w:hAnsi="仿宋" w:eastAsia="仿宋" w:cs="仿宋"/>
          <w:b/>
          <w:bCs/>
          <w:highlight w:val="none"/>
        </w:rPr>
      </w:pPr>
      <w:r>
        <w:rPr>
          <w:rFonts w:hint="eastAsia" w:ascii="仿宋" w:hAnsi="仿宋" w:eastAsia="仿宋" w:cs="仿宋"/>
          <w:b/>
          <w:bCs/>
          <w:highlight w:val="none"/>
        </w:rPr>
        <w:t>1.社会效益（6分）</w:t>
      </w:r>
    </w:p>
    <w:p>
      <w:pPr>
        <w:shd w:val="clear"/>
        <w:ind w:firstLine="480"/>
        <w:rPr>
          <w:rFonts w:ascii="仿宋" w:hAnsi="仿宋" w:eastAsia="仿宋" w:cs="仿宋"/>
          <w:highlight w:val="none"/>
        </w:rPr>
      </w:pPr>
      <w:r>
        <w:rPr>
          <w:rFonts w:hint="eastAsia" w:ascii="仿宋" w:hAnsi="仿宋" w:eastAsia="仿宋" w:cs="仿宋"/>
          <w:highlight w:val="none"/>
        </w:rPr>
        <w:t>该项目依据《国务院办公厅关于推进医疗联合体建设和发展的指导意见》（国办发[2017]32号）、《国家卫生计生委关于开展医疗联合体建设试点工作的指导意见》（国卫医发[2016]75号）的精神和要求，结合《武汉市2017年开展医疗联合体建设试点工作实施方案》（武医改办[2017]5号）的内容进行立项，根据社区中心实际情况，挑选专业技术团队下沉社区，发挥各类优质资源的最大使用效率，引导群众改变就医观念和习惯，提升了基层医疗服务能力。得6分。</w:t>
      </w:r>
    </w:p>
    <w:p>
      <w:pPr>
        <w:shd w:val="clear"/>
        <w:ind w:firstLine="482"/>
        <w:rPr>
          <w:rFonts w:ascii="仿宋" w:hAnsi="仿宋" w:eastAsia="仿宋" w:cs="仿宋"/>
          <w:highlight w:val="none"/>
        </w:rPr>
      </w:pPr>
      <w:r>
        <w:rPr>
          <w:rFonts w:hint="eastAsia" w:ascii="仿宋" w:hAnsi="仿宋" w:eastAsia="仿宋" w:cs="仿宋"/>
          <w:b/>
          <w:bCs/>
          <w:highlight w:val="none"/>
        </w:rPr>
        <w:t>2.满意度（8分）</w:t>
      </w:r>
    </w:p>
    <w:p>
      <w:pPr>
        <w:keepLines w:val="0"/>
        <w:pageBreakBefore w:val="0"/>
        <w:widowControl w:val="0"/>
        <w:shd w:val="clear"/>
        <w:kinsoku/>
        <w:wordWrap/>
        <w:overflowPunct/>
        <w:topLinePunct w:val="0"/>
        <w:autoSpaceDE/>
        <w:autoSpaceDN/>
        <w:bidi w:val="0"/>
        <w:adjustRightInd/>
        <w:spacing w:line="360" w:lineRule="auto"/>
        <w:ind w:firstLine="480"/>
        <w:textAlignment w:val="auto"/>
        <w:rPr>
          <w:rFonts w:ascii="仿宋" w:hAnsi="仿宋" w:eastAsia="仿宋" w:cs="仿宋"/>
          <w:highlight w:val="none"/>
        </w:rPr>
      </w:pPr>
      <w:r>
        <w:rPr>
          <w:rFonts w:hint="eastAsia" w:ascii="仿宋" w:hAnsi="仿宋" w:eastAsia="仿宋" w:cs="仿宋"/>
          <w:highlight w:val="none"/>
        </w:rPr>
        <w:t>共计发放问卷调查表50份，回收50份，问卷收回率为100.00%，其中:对于大医院专家坐诊社区满意情况调查中38份居民问卷表示“非常满意”，8份居民问卷表示“满意”，4份居民问卷表示“比较满意”，满意度为92.00%。扣2分，得6分。</w:t>
      </w:r>
    </w:p>
    <w:p>
      <w:pPr>
        <w:pStyle w:val="2"/>
        <w:keepLines w:val="0"/>
        <w:pageBreakBefore w:val="0"/>
        <w:widowControl w:val="0"/>
        <w:shd w:val="clear"/>
        <w:kinsoku/>
        <w:wordWrap/>
        <w:overflowPunct/>
        <w:topLinePunct w:val="0"/>
        <w:autoSpaceDE/>
        <w:autoSpaceDN/>
        <w:bidi w:val="0"/>
        <w:adjustRightInd/>
        <w:spacing w:before="326" w:after="163" w:line="360" w:lineRule="auto"/>
        <w:ind w:firstLine="0" w:firstLineChars="0"/>
        <w:jc w:val="both"/>
        <w:textAlignment w:val="auto"/>
        <w:rPr>
          <w:rFonts w:ascii="仿宋" w:hAnsi="仿宋" w:eastAsia="仿宋" w:cs="仿宋"/>
          <w:b/>
          <w:bCs w:val="0"/>
          <w:color w:val="auto"/>
          <w:sz w:val="28"/>
          <w:szCs w:val="28"/>
          <w:highlight w:val="none"/>
        </w:rPr>
      </w:pPr>
      <w:bookmarkStart w:id="197" w:name="_Toc20071"/>
      <w:r>
        <w:rPr>
          <w:rFonts w:hint="eastAsia" w:ascii="仿宋" w:hAnsi="仿宋" w:eastAsia="仿宋" w:cs="仿宋"/>
          <w:b/>
          <w:bCs w:val="0"/>
          <w:color w:val="auto"/>
          <w:sz w:val="28"/>
          <w:szCs w:val="28"/>
          <w:highlight w:val="none"/>
        </w:rPr>
        <w:t>五、主要经验及做法、存在的问题及原因分析</w:t>
      </w:r>
      <w:bookmarkEnd w:id="197"/>
    </w:p>
    <w:p>
      <w:pPr>
        <w:pStyle w:val="3"/>
        <w:numPr>
          <w:ilvl w:val="1"/>
          <w:numId w:val="0"/>
        </w:numPr>
        <w:shd w:val="clear"/>
        <w:tabs>
          <w:tab w:val="clear" w:pos="420"/>
        </w:tabs>
        <w:spacing w:beforeLines="50" w:afterLines="50" w:line="360" w:lineRule="exact"/>
        <w:rPr>
          <w:rFonts w:ascii="仿宋" w:hAnsi="仿宋" w:eastAsia="仿宋" w:cs="仿宋"/>
          <w:b/>
          <w:bCs/>
          <w:color w:val="000000" w:themeColor="text1"/>
          <w:sz w:val="24"/>
          <w:szCs w:val="24"/>
          <w:highlight w:val="none"/>
        </w:rPr>
      </w:pPr>
      <w:bookmarkStart w:id="198" w:name="_Toc4404"/>
      <w:bookmarkStart w:id="199" w:name="_Toc30454"/>
      <w:r>
        <w:rPr>
          <w:rFonts w:hint="eastAsia" w:ascii="仿宋" w:hAnsi="仿宋" w:eastAsia="仿宋" w:cs="仿宋"/>
          <w:b/>
          <w:bCs/>
          <w:color w:val="000000" w:themeColor="text1"/>
          <w:sz w:val="24"/>
          <w:szCs w:val="24"/>
          <w:highlight w:val="none"/>
        </w:rPr>
        <w:t>（一）主要经验及做法</w:t>
      </w:r>
      <w:bookmarkEnd w:id="198"/>
      <w:bookmarkEnd w:id="199"/>
    </w:p>
    <w:p>
      <w:pPr>
        <w:shd w:val="clear"/>
        <w:ind w:firstLine="480"/>
        <w:rPr>
          <w:rFonts w:ascii="仿宋" w:hAnsi="仿宋" w:eastAsia="仿宋" w:cs="仿宋"/>
          <w:highlight w:val="none"/>
        </w:rPr>
      </w:pPr>
      <w:r>
        <w:rPr>
          <w:rFonts w:hint="eastAsia" w:ascii="仿宋" w:hAnsi="仿宋" w:eastAsia="仿宋" w:cs="仿宋"/>
          <w:highlight w:val="none"/>
        </w:rPr>
        <w:t>为全面推进医疗联合体建设，实现医疗机构间优势互补和分工协作，促进优质医疗资源下沉，提升基层医疗服务能力，推动构建分级诊疗制度，根据《国务院办公厅关于推进医疗联合体建设和发展的指导意见》(国办发[2017] 32号)、《国家卫 生计生委关于开展医疗联合体建设试点工作的指导意见》(国卫医发[2016]75号)的精神和要求，2017年起在武汉全市启动医疗联合体(以下简称 “医联体”)建设试点工作。武昌区卫健局与牵头医院根据社区卫生服务中心实际情况，挑选医院各科室专家组成专业技术团队进驻社区卫生服务中心，为社区患者提供治疗、康复和护理服务。发挥牵头医院信息化优势，建立医联体内医学摄像、检查检验等中心，优质高效的开展远程医疗服务。加强对分级诊疗和医联体建设的宣传，引导群众改变就医观念和习惯，提升基础医疗服务能力。</w:t>
      </w:r>
    </w:p>
    <w:p>
      <w:pPr>
        <w:pStyle w:val="3"/>
        <w:numPr>
          <w:ilvl w:val="1"/>
          <w:numId w:val="0"/>
        </w:numPr>
        <w:shd w:val="clear"/>
        <w:tabs>
          <w:tab w:val="clear" w:pos="420"/>
        </w:tabs>
        <w:spacing w:beforeLines="50" w:afterLines="50" w:line="240" w:lineRule="exact"/>
        <w:rPr>
          <w:rFonts w:ascii="仿宋" w:hAnsi="仿宋" w:eastAsia="仿宋" w:cs="仿宋"/>
          <w:highlight w:val="none"/>
        </w:rPr>
      </w:pPr>
      <w:bookmarkStart w:id="200" w:name="_Toc8486"/>
      <w:r>
        <w:rPr>
          <w:rFonts w:hint="eastAsia" w:ascii="仿宋" w:hAnsi="仿宋" w:eastAsia="仿宋" w:cs="仿宋"/>
          <w:b/>
          <w:bCs/>
          <w:color w:val="000000" w:themeColor="text1"/>
          <w:sz w:val="24"/>
          <w:szCs w:val="24"/>
          <w:highlight w:val="none"/>
        </w:rPr>
        <w:t>（二）存在的问题及原因分析</w:t>
      </w:r>
      <w:bookmarkEnd w:id="200"/>
    </w:p>
    <w:p>
      <w:pPr>
        <w:shd w:val="clear"/>
        <w:ind w:firstLine="480"/>
        <w:rPr>
          <w:rFonts w:hint="eastAsia" w:ascii="仿宋" w:hAnsi="仿宋" w:eastAsia="仿宋" w:cs="仿宋"/>
          <w:highlight w:val="none"/>
        </w:rPr>
      </w:pPr>
      <w:bookmarkStart w:id="201" w:name="_Toc13860"/>
      <w:r>
        <w:rPr>
          <w:rFonts w:hint="eastAsia" w:ascii="仿宋" w:hAnsi="仿宋" w:eastAsia="仿宋" w:cs="仿宋"/>
          <w:highlight w:val="none"/>
        </w:rPr>
        <w:t>1.绩效评价项目决策和过程方面</w:t>
      </w:r>
    </w:p>
    <w:p>
      <w:pPr>
        <w:shd w:val="clear"/>
        <w:ind w:firstLine="480"/>
        <w:rPr>
          <w:rFonts w:hint="eastAsia" w:ascii="仿宋" w:hAnsi="仿宋" w:eastAsia="仿宋" w:cs="仿宋"/>
          <w:highlight w:val="none"/>
        </w:rPr>
      </w:pPr>
      <w:r>
        <w:rPr>
          <w:rFonts w:hint="eastAsia" w:ascii="仿宋" w:hAnsi="仿宋" w:eastAsia="仿宋" w:cs="仿宋"/>
          <w:highlight w:val="none"/>
        </w:rPr>
        <w:t>（1）绩效目标设定不合理。2019年项目申报表中大医院专家坐诊人数设定指标值为34人，而截至2019年11月专家坐诊人数为264人，项目实际执行情况与年初设定绩效目标存在很大差异。</w:t>
      </w:r>
    </w:p>
    <w:p>
      <w:pPr>
        <w:shd w:val="clear"/>
        <w:ind w:firstLine="480"/>
        <w:rPr>
          <w:rFonts w:hint="eastAsia" w:ascii="仿宋" w:hAnsi="仿宋" w:eastAsia="仿宋" w:cs="仿宋"/>
          <w:highlight w:val="none"/>
        </w:rPr>
      </w:pPr>
      <w:r>
        <w:rPr>
          <w:rFonts w:hint="eastAsia" w:ascii="仿宋" w:hAnsi="仿宋" w:eastAsia="仿宋" w:cs="仿宋"/>
          <w:highlight w:val="none"/>
        </w:rPr>
        <w:t>（2）根据《2019年大医院专家坐诊项目申报表》，专家坐诊补贴标准按职称及医院级别分为300元/人/次和500元/人/次，但项目实施单位未制定专家坐诊补贴标准相关政策文件，也未编制项目预算支出明细和测算依据。</w:t>
      </w:r>
    </w:p>
    <w:p>
      <w:pPr>
        <w:shd w:val="clear"/>
        <w:ind w:firstLine="480"/>
        <w:rPr>
          <w:rFonts w:hint="eastAsia" w:ascii="仿宋" w:hAnsi="仿宋" w:eastAsia="仿宋" w:cs="仿宋"/>
          <w:highlight w:val="none"/>
        </w:rPr>
      </w:pPr>
      <w:r>
        <w:rPr>
          <w:rFonts w:hint="eastAsia" w:ascii="仿宋" w:hAnsi="仿宋" w:eastAsia="仿宋" w:cs="仿宋"/>
          <w:highlight w:val="none"/>
        </w:rPr>
        <w:t>（3）该项目未严格按照《武汉市2017年开展医疗联合体建设试点工作实施方案》（武医改办[2017]5号）执行，未签订医联体合作协议，文件中“（一）健全组织管理制度。……各医联体根据章程，拟定医联体合同协议，明确各方责任。”</w:t>
      </w:r>
    </w:p>
    <w:p>
      <w:pPr>
        <w:shd w:val="clear"/>
        <w:ind w:firstLine="480"/>
        <w:rPr>
          <w:rFonts w:hint="eastAsia" w:ascii="仿宋" w:hAnsi="仿宋" w:eastAsia="仿宋" w:cs="仿宋"/>
          <w:highlight w:val="none"/>
        </w:rPr>
      </w:pPr>
      <w:r>
        <w:rPr>
          <w:rFonts w:hint="eastAsia" w:ascii="仿宋" w:hAnsi="仿宋" w:eastAsia="仿宋" w:cs="仿宋"/>
          <w:highlight w:val="none"/>
        </w:rPr>
        <w:t>2.绩效评价项目产出方面</w:t>
      </w:r>
    </w:p>
    <w:p>
      <w:pPr>
        <w:shd w:val="clear"/>
        <w:ind w:firstLine="480"/>
        <w:rPr>
          <w:rFonts w:hint="eastAsia" w:ascii="仿宋" w:hAnsi="仿宋" w:eastAsia="仿宋" w:cs="仿宋"/>
          <w:highlight w:val="none"/>
          <w:lang w:val="en-US" w:eastAsia="zh-CN"/>
        </w:rPr>
      </w:pPr>
      <w:r>
        <w:rPr>
          <w:rFonts w:hint="eastAsia" w:ascii="仿宋" w:hAnsi="仿宋" w:eastAsia="仿宋" w:cs="仿宋"/>
          <w:highlight w:val="none"/>
        </w:rPr>
        <w:t>项目产出中专家坐诊补贴标准达标率、专家坐诊补贴标准执行率等两项指标未完成。根据《2019年大医院专家坐诊项目申报表》，专家坐诊补贴标准按职称及医院级别分为300元/人/次和500元/人/次。根据财务支付资料显示，项目补贴发放标准为坐诊会诊300元/人/次、500元/人/次、驻点半年30000元/人/半年、排班网络接诊20000元/人/年，补贴按照职称及医院级别发放标准未明确界定，部分职称如护士长、护师等发放补贴标准与主任医师、正专家等一样。</w:t>
      </w:r>
    </w:p>
    <w:p>
      <w:pPr>
        <w:shd w:val="clear"/>
        <w:ind w:left="0" w:leftChars="0" w:firstLine="0" w:firstLineChars="0"/>
        <w:jc w:val="left"/>
        <w:rPr>
          <w:rFonts w:hint="eastAsia" w:ascii="仿宋" w:hAnsi="仿宋" w:eastAsia="仿宋" w:cs="仿宋"/>
          <w:highlight w:val="none"/>
        </w:rPr>
      </w:pPr>
      <w:bookmarkStart w:id="202" w:name="_Toc27434"/>
      <w:r>
        <w:rPr>
          <w:rFonts w:hint="eastAsia" w:ascii="仿宋" w:hAnsi="仿宋" w:eastAsia="仿宋" w:cs="仿宋"/>
          <w:b/>
          <w:bCs/>
          <w:sz w:val="28"/>
          <w:szCs w:val="28"/>
          <w:highlight w:val="none"/>
        </w:rPr>
        <w:t>六、管理建议</w:t>
      </w:r>
      <w:bookmarkEnd w:id="201"/>
      <w:bookmarkEnd w:id="202"/>
    </w:p>
    <w:p>
      <w:pPr>
        <w:shd w:val="clear"/>
        <w:ind w:firstLine="480"/>
        <w:rPr>
          <w:rFonts w:ascii="仿宋" w:hAnsi="仿宋" w:eastAsia="仿宋" w:cs="仿宋"/>
          <w:highlight w:val="none"/>
        </w:rPr>
      </w:pPr>
      <w:bookmarkStart w:id="203" w:name="_Toc14038"/>
      <w:r>
        <w:rPr>
          <w:rFonts w:hint="eastAsia" w:ascii="仿宋" w:hAnsi="仿宋" w:eastAsia="仿宋" w:cs="仿宋"/>
          <w:highlight w:val="none"/>
        </w:rPr>
        <w:t>1.应依据《财政支出绩效评价管理办法》（财预[2020]10号），并充分结合项目资金实际使用情况，合理申报当年项目预算和绩效目标，绩效目标应分解可细化、可量化，能够清晰衡量，最大限度的发挥财政资金的使用效益，以便于项目绩效评价工作的开展。</w:t>
      </w:r>
    </w:p>
    <w:p>
      <w:pPr>
        <w:pageBreakBefore w:val="0"/>
        <w:widowControl w:val="0"/>
        <w:shd w:val="clear"/>
        <w:kinsoku/>
        <w:wordWrap/>
        <w:overflowPunct/>
        <w:topLinePunct w:val="0"/>
        <w:autoSpaceDE/>
        <w:autoSpaceDN/>
        <w:bidi w:val="0"/>
        <w:adjustRightInd/>
        <w:spacing w:line="360" w:lineRule="auto"/>
        <w:ind w:firstLine="480"/>
        <w:textAlignment w:val="auto"/>
        <w:rPr>
          <w:rFonts w:ascii="仿宋" w:hAnsi="仿宋" w:eastAsia="仿宋" w:cs="仿宋"/>
          <w:highlight w:val="none"/>
        </w:rPr>
      </w:pPr>
      <w:r>
        <w:rPr>
          <w:rFonts w:hint="eastAsia" w:ascii="仿宋" w:hAnsi="仿宋" w:eastAsia="仿宋" w:cs="仿宋"/>
          <w:highlight w:val="none"/>
        </w:rPr>
        <w:t>2.完善项目财务制度等管理制度建设，加强项目财务管理工作，制定项目专项财务及资金管理办法，明确财务管理、资金分配办法，制定大医院专家坐诊补贴标准政策文件。</w:t>
      </w:r>
    </w:p>
    <w:p>
      <w:pPr>
        <w:pStyle w:val="2"/>
        <w:pageBreakBefore w:val="0"/>
        <w:widowControl w:val="0"/>
        <w:shd w:val="clear"/>
        <w:kinsoku/>
        <w:wordWrap/>
        <w:overflowPunct/>
        <w:topLinePunct w:val="0"/>
        <w:autoSpaceDE/>
        <w:autoSpaceDN/>
        <w:bidi w:val="0"/>
        <w:adjustRightInd/>
        <w:spacing w:beforeLines="50" w:after="163" w:line="360" w:lineRule="auto"/>
        <w:ind w:firstLine="0" w:firstLineChars="0"/>
        <w:jc w:val="left"/>
        <w:textAlignment w:val="auto"/>
        <w:rPr>
          <w:rFonts w:ascii="仿宋" w:hAnsi="仿宋" w:eastAsia="仿宋" w:cs="仿宋"/>
          <w:highlight w:val="none"/>
        </w:rPr>
      </w:pPr>
      <w:bookmarkStart w:id="204" w:name="_Toc22232"/>
      <w:r>
        <w:rPr>
          <w:rFonts w:hint="eastAsia" w:ascii="仿宋" w:hAnsi="仿宋" w:eastAsia="仿宋" w:cs="仿宋"/>
          <w:b/>
          <w:bCs w:val="0"/>
          <w:color w:val="000000" w:themeColor="text1"/>
          <w:sz w:val="28"/>
          <w:szCs w:val="28"/>
          <w:highlight w:val="none"/>
        </w:rPr>
        <w:t>七、其他需说明的问题</w:t>
      </w:r>
      <w:bookmarkEnd w:id="203"/>
      <w:bookmarkEnd w:id="204"/>
    </w:p>
    <w:p>
      <w:pPr>
        <w:pStyle w:val="3"/>
        <w:pageBreakBefore w:val="0"/>
        <w:widowControl w:val="0"/>
        <w:numPr>
          <w:ilvl w:val="1"/>
          <w:numId w:val="0"/>
        </w:numPr>
        <w:shd w:val="clear"/>
        <w:tabs>
          <w:tab w:val="clear" w:pos="420"/>
        </w:tabs>
        <w:kinsoku/>
        <w:wordWrap/>
        <w:overflowPunct/>
        <w:topLinePunct w:val="0"/>
        <w:autoSpaceDE/>
        <w:autoSpaceDN/>
        <w:bidi w:val="0"/>
        <w:adjustRightInd/>
        <w:spacing w:beforeLines="50" w:afterLines="50" w:line="360" w:lineRule="auto"/>
        <w:textAlignment w:val="auto"/>
        <w:rPr>
          <w:rFonts w:ascii="仿宋" w:hAnsi="仿宋" w:eastAsia="仿宋" w:cs="仿宋"/>
          <w:b/>
          <w:bCs/>
          <w:color w:val="000000" w:themeColor="text1"/>
          <w:sz w:val="24"/>
          <w:szCs w:val="24"/>
          <w:highlight w:val="none"/>
        </w:rPr>
      </w:pPr>
      <w:bookmarkStart w:id="205" w:name="_Toc16716"/>
      <w:bookmarkStart w:id="206" w:name="_Toc406668059"/>
      <w:bookmarkStart w:id="207" w:name="_Toc2880"/>
      <w:bookmarkStart w:id="208" w:name="_Toc10428"/>
      <w:bookmarkStart w:id="209" w:name="_Toc494137802"/>
      <w:bookmarkStart w:id="210" w:name="_Toc394181034"/>
      <w:bookmarkStart w:id="211" w:name="_Toc394490621"/>
      <w:bookmarkStart w:id="212" w:name="_Toc445236181"/>
      <w:bookmarkStart w:id="213" w:name="_Toc406666385"/>
      <w:r>
        <w:rPr>
          <w:rFonts w:hint="eastAsia" w:ascii="仿宋" w:hAnsi="仿宋" w:eastAsia="仿宋" w:cs="仿宋"/>
          <w:b/>
          <w:bCs/>
          <w:color w:val="000000" w:themeColor="text1"/>
          <w:sz w:val="24"/>
          <w:szCs w:val="24"/>
          <w:highlight w:val="none"/>
        </w:rPr>
        <w:t>（一）关于评价责任的说明</w:t>
      </w:r>
      <w:bookmarkEnd w:id="205"/>
      <w:bookmarkEnd w:id="206"/>
      <w:bookmarkEnd w:id="207"/>
      <w:bookmarkEnd w:id="208"/>
      <w:bookmarkEnd w:id="209"/>
      <w:bookmarkEnd w:id="210"/>
      <w:bookmarkEnd w:id="211"/>
      <w:bookmarkEnd w:id="212"/>
      <w:bookmarkEnd w:id="213"/>
    </w:p>
    <w:p>
      <w:pPr>
        <w:keepNext w:val="0"/>
        <w:keepLines w:val="0"/>
        <w:pageBreakBefore w:val="0"/>
        <w:widowControl w:val="0"/>
        <w:shd w:val="clear"/>
        <w:kinsoku/>
        <w:wordWrap/>
        <w:overflowPunct/>
        <w:topLinePunct w:val="0"/>
        <w:autoSpaceDE/>
        <w:autoSpaceDN/>
        <w:bidi w:val="0"/>
        <w:adjustRightInd/>
        <w:snapToGrid/>
        <w:spacing w:line="360" w:lineRule="auto"/>
        <w:ind w:firstLine="480"/>
        <w:textAlignment w:val="auto"/>
        <w:rPr>
          <w:rFonts w:ascii="仿宋" w:hAnsi="仿宋" w:eastAsia="仿宋" w:cs="仿宋"/>
          <w:highlight w:val="none"/>
        </w:rPr>
      </w:pPr>
      <w:r>
        <w:rPr>
          <w:rFonts w:hint="eastAsia" w:ascii="仿宋" w:hAnsi="仿宋" w:eastAsia="仿宋" w:cs="仿宋"/>
          <w:highlight w:val="none"/>
        </w:rPr>
        <w:t>本评价结果依据评价客体提供的各项基础资料，运用规定的评价方法，评价工作组保证本次评价工作全过程的公正和公平，各项评价基础资料的真实性与完整性由评价客体负责，未经评价组织机构同意，任何单位和个人不得将本评价结果对外公布。</w:t>
      </w:r>
    </w:p>
    <w:p>
      <w:pPr>
        <w:pStyle w:val="3"/>
        <w:numPr>
          <w:ilvl w:val="1"/>
          <w:numId w:val="0"/>
        </w:numPr>
        <w:shd w:val="clear"/>
        <w:tabs>
          <w:tab w:val="clear" w:pos="420"/>
        </w:tabs>
        <w:spacing w:beforeLines="50" w:afterLines="50" w:line="160" w:lineRule="exact"/>
        <w:rPr>
          <w:rFonts w:ascii="仿宋" w:hAnsi="仿宋" w:eastAsia="仿宋" w:cs="仿宋"/>
          <w:b/>
          <w:bCs/>
          <w:color w:val="000000" w:themeColor="text1"/>
          <w:sz w:val="24"/>
          <w:szCs w:val="24"/>
          <w:highlight w:val="none"/>
        </w:rPr>
      </w:pPr>
      <w:bookmarkStart w:id="214" w:name="_Toc406668060"/>
      <w:bookmarkStart w:id="215" w:name="_Toc387957835"/>
      <w:bookmarkStart w:id="216" w:name="_Toc494137803"/>
      <w:bookmarkStart w:id="217" w:name="_Toc690"/>
      <w:bookmarkStart w:id="218" w:name="_Toc406666386"/>
      <w:bookmarkStart w:id="219" w:name="_Toc445236182"/>
      <w:bookmarkStart w:id="220" w:name="_Toc394181035"/>
      <w:bookmarkStart w:id="221" w:name="_Toc394490622"/>
      <w:bookmarkStart w:id="222" w:name="_Toc8463"/>
      <w:bookmarkStart w:id="223" w:name="_Toc9557"/>
      <w:r>
        <w:rPr>
          <w:rFonts w:hint="eastAsia" w:ascii="仿宋" w:hAnsi="仿宋" w:eastAsia="仿宋" w:cs="仿宋"/>
          <w:b/>
          <w:bCs/>
          <w:color w:val="000000" w:themeColor="text1"/>
          <w:sz w:val="24"/>
          <w:szCs w:val="24"/>
          <w:highlight w:val="none"/>
        </w:rPr>
        <w:t>（二）关于本项目评价中存在的局限性的说明</w:t>
      </w:r>
      <w:bookmarkEnd w:id="214"/>
      <w:bookmarkEnd w:id="215"/>
      <w:bookmarkEnd w:id="216"/>
      <w:bookmarkEnd w:id="217"/>
      <w:bookmarkEnd w:id="218"/>
      <w:bookmarkEnd w:id="219"/>
      <w:bookmarkEnd w:id="220"/>
      <w:bookmarkEnd w:id="221"/>
      <w:bookmarkEnd w:id="222"/>
      <w:bookmarkEnd w:id="223"/>
    </w:p>
    <w:p>
      <w:pPr>
        <w:keepNext w:val="0"/>
        <w:keepLines w:val="0"/>
        <w:pageBreakBefore w:val="0"/>
        <w:widowControl w:val="0"/>
        <w:shd w:val="clear"/>
        <w:kinsoku/>
        <w:wordWrap/>
        <w:overflowPunct/>
        <w:topLinePunct w:val="0"/>
        <w:autoSpaceDE/>
        <w:autoSpaceDN/>
        <w:bidi w:val="0"/>
        <w:adjustRightInd/>
        <w:snapToGrid/>
        <w:spacing w:line="420" w:lineRule="exact"/>
        <w:ind w:firstLine="480"/>
        <w:textAlignment w:val="auto"/>
        <w:rPr>
          <w:rFonts w:hint="eastAsia" w:ascii="仿宋" w:hAnsi="仿宋" w:eastAsia="仿宋" w:cs="仿宋"/>
          <w:highlight w:val="none"/>
        </w:rPr>
      </w:pPr>
      <w:r>
        <w:rPr>
          <w:rFonts w:hint="eastAsia" w:ascii="仿宋" w:hAnsi="仿宋" w:eastAsia="仿宋" w:cs="仿宋"/>
          <w:highlight w:val="none"/>
        </w:rPr>
        <w:t>1.评价结论评价结论是武汉方瑞会计师事务所（普通合伙）出具的，受具体参加本次项目的评价人员的水平和能力的限制。鉴于这种评价工作存在资料的有限性和调查、分析、判断的局限性，评价结论无法考虑影响资金使用的所有因素，评价结论存在一定的局限性。</w:t>
      </w:r>
    </w:p>
    <w:p>
      <w:pPr>
        <w:keepNext w:val="0"/>
        <w:keepLines w:val="0"/>
        <w:pageBreakBefore w:val="0"/>
        <w:widowControl w:val="0"/>
        <w:shd w:val="clear"/>
        <w:kinsoku/>
        <w:wordWrap/>
        <w:overflowPunct/>
        <w:topLinePunct w:val="0"/>
        <w:autoSpaceDE/>
        <w:autoSpaceDN/>
        <w:bidi w:val="0"/>
        <w:adjustRightInd/>
        <w:snapToGrid/>
        <w:spacing w:line="420" w:lineRule="exact"/>
        <w:ind w:firstLine="480"/>
        <w:textAlignment w:val="auto"/>
        <w:rPr>
          <w:rFonts w:hint="eastAsia" w:ascii="仿宋" w:hAnsi="仿宋" w:eastAsia="仿宋" w:cs="仿宋"/>
          <w:highlight w:val="none"/>
        </w:rPr>
      </w:pPr>
      <w:r>
        <w:rPr>
          <w:rFonts w:hint="eastAsia" w:ascii="仿宋" w:hAnsi="仿宋" w:eastAsia="仿宋" w:cs="仿宋"/>
          <w:highlight w:val="none"/>
        </w:rPr>
        <w:t>2.本项目是经常性的资金使用项目，而且专业性较强。受具体参加本次项目的评价人员的专业能力的影响，对专业指标设定的全面性可能存在一定的局限性。</w:t>
      </w:r>
    </w:p>
    <w:p>
      <w:pPr>
        <w:rPr>
          <w:rFonts w:hint="eastAsia" w:ascii="仿宋" w:hAnsi="仿宋" w:eastAsia="仿宋" w:cs="仿宋"/>
          <w:highlight w:val="none"/>
        </w:rPr>
      </w:pPr>
      <w:r>
        <w:rPr>
          <w:rFonts w:hint="eastAsia" w:ascii="仿宋" w:hAnsi="仿宋" w:eastAsia="仿宋" w:cs="仿宋"/>
          <w:highlight w:val="none"/>
        </w:rPr>
        <w:br w:type="page"/>
      </w:r>
    </w:p>
    <w:p>
      <w:pPr>
        <w:keepNext w:val="0"/>
        <w:keepLines w:val="0"/>
        <w:pageBreakBefore w:val="0"/>
        <w:widowControl w:val="0"/>
        <w:shd w:val="clear"/>
        <w:kinsoku/>
        <w:wordWrap/>
        <w:overflowPunct/>
        <w:topLinePunct w:val="0"/>
        <w:autoSpaceDE/>
        <w:autoSpaceDN/>
        <w:bidi w:val="0"/>
        <w:adjustRightInd/>
        <w:snapToGrid/>
        <w:spacing w:line="420" w:lineRule="exact"/>
        <w:ind w:firstLine="480"/>
        <w:textAlignment w:val="auto"/>
        <w:rPr>
          <w:rFonts w:hint="eastAsia" w:ascii="仿宋" w:hAnsi="仿宋" w:eastAsia="仿宋" w:cs="仿宋"/>
          <w:highlight w:val="none"/>
        </w:rPr>
      </w:pPr>
    </w:p>
    <w:p>
      <w:pPr>
        <w:shd w:val="clear"/>
        <w:spacing w:line="400" w:lineRule="exact"/>
        <w:ind w:firstLine="0" w:firstLineChars="0"/>
        <w:rPr>
          <w:rFonts w:ascii="仿宋" w:hAnsi="仿宋" w:eastAsia="仿宋" w:cs="仿宋"/>
          <w:b/>
          <w:bCs/>
          <w:highlight w:val="none"/>
        </w:rPr>
      </w:pPr>
      <w:r>
        <w:rPr>
          <w:rFonts w:hint="eastAsia" w:ascii="仿宋" w:hAnsi="仿宋" w:eastAsia="仿宋" w:cs="仿宋"/>
          <w:b/>
          <w:bCs/>
          <w:highlight w:val="none"/>
        </w:rPr>
        <w:t>附件:</w:t>
      </w:r>
    </w:p>
    <w:p>
      <w:pPr>
        <w:shd w:val="clear"/>
        <w:ind w:firstLine="480"/>
        <w:rPr>
          <w:rFonts w:hint="eastAsia" w:ascii="仿宋" w:hAnsi="仿宋" w:eastAsia="仿宋" w:cs="仿宋"/>
          <w:highlight w:val="none"/>
        </w:rPr>
      </w:pPr>
      <w:r>
        <w:rPr>
          <w:rFonts w:hint="eastAsia" w:ascii="仿宋" w:hAnsi="仿宋" w:eastAsia="仿宋" w:cs="仿宋"/>
          <w:highlight w:val="none"/>
        </w:rPr>
        <w:t>1.绩效目标完成情况对比表</w:t>
      </w:r>
    </w:p>
    <w:p>
      <w:pPr>
        <w:shd w:val="clear"/>
        <w:ind w:firstLine="480"/>
        <w:rPr>
          <w:rFonts w:hint="eastAsia" w:ascii="仿宋" w:hAnsi="仿宋" w:eastAsia="仿宋" w:cs="仿宋"/>
          <w:highlight w:val="none"/>
        </w:rPr>
      </w:pPr>
      <w:r>
        <w:rPr>
          <w:rFonts w:hint="eastAsia" w:ascii="仿宋" w:hAnsi="仿宋" w:eastAsia="仿宋" w:cs="仿宋"/>
          <w:highlight w:val="none"/>
        </w:rPr>
        <w:t>2.绩效评价基础数据表</w:t>
      </w:r>
    </w:p>
    <w:p>
      <w:pPr>
        <w:shd w:val="clear"/>
        <w:ind w:firstLine="480"/>
        <w:rPr>
          <w:rFonts w:hint="eastAsia" w:ascii="仿宋" w:hAnsi="仿宋" w:eastAsia="仿宋" w:cs="仿宋"/>
          <w:highlight w:val="none"/>
        </w:rPr>
      </w:pPr>
      <w:r>
        <w:rPr>
          <w:rFonts w:hint="eastAsia" w:ascii="仿宋" w:hAnsi="仿宋" w:eastAsia="仿宋" w:cs="仿宋"/>
          <w:highlight w:val="none"/>
        </w:rPr>
        <w:t>3.访谈大纲</w:t>
      </w:r>
    </w:p>
    <w:p>
      <w:pPr>
        <w:shd w:val="clear"/>
        <w:ind w:firstLine="480"/>
        <w:rPr>
          <w:rFonts w:hint="eastAsia" w:ascii="仿宋" w:hAnsi="仿宋" w:eastAsia="仿宋" w:cs="仿宋"/>
          <w:highlight w:val="none"/>
        </w:rPr>
      </w:pPr>
      <w:r>
        <w:rPr>
          <w:rFonts w:hint="eastAsia" w:ascii="仿宋" w:hAnsi="仿宋" w:eastAsia="仿宋" w:cs="仿宋"/>
          <w:highlight w:val="none"/>
        </w:rPr>
        <w:t>4.项目访谈记录</w:t>
      </w:r>
    </w:p>
    <w:p>
      <w:pPr>
        <w:shd w:val="clear"/>
        <w:ind w:firstLine="480"/>
        <w:rPr>
          <w:rFonts w:hint="eastAsia" w:ascii="仿宋" w:hAnsi="仿宋" w:eastAsia="仿宋" w:cs="仿宋"/>
          <w:highlight w:val="none"/>
        </w:rPr>
      </w:pPr>
      <w:r>
        <w:rPr>
          <w:rFonts w:hint="eastAsia" w:ascii="仿宋" w:hAnsi="仿宋" w:eastAsia="仿宋" w:cs="仿宋"/>
          <w:highlight w:val="none"/>
        </w:rPr>
        <w:t>5.项目调查问卷</w:t>
      </w:r>
    </w:p>
    <w:p>
      <w:pPr>
        <w:shd w:val="clear"/>
        <w:ind w:firstLine="480"/>
        <w:rPr>
          <w:rFonts w:hint="eastAsia" w:ascii="仿宋" w:hAnsi="仿宋" w:eastAsia="仿宋" w:cs="仿宋"/>
          <w:highlight w:val="none"/>
        </w:rPr>
      </w:pPr>
      <w:r>
        <w:rPr>
          <w:rFonts w:hint="eastAsia" w:ascii="仿宋" w:hAnsi="仿宋" w:eastAsia="仿宋" w:cs="仿宋"/>
          <w:highlight w:val="none"/>
        </w:rPr>
        <w:t>6.项目绩效评价调查问卷分析</w:t>
      </w:r>
    </w:p>
    <w:p>
      <w:pPr>
        <w:shd w:val="clear"/>
        <w:ind w:firstLine="480"/>
        <w:rPr>
          <w:rFonts w:hint="eastAsia" w:ascii="仿宋" w:hAnsi="仿宋" w:eastAsia="仿宋" w:cs="仿宋"/>
          <w:highlight w:val="none"/>
        </w:rPr>
      </w:pPr>
      <w:r>
        <w:rPr>
          <w:rFonts w:hint="eastAsia" w:ascii="仿宋" w:hAnsi="仿宋" w:eastAsia="仿宋" w:cs="仿宋"/>
          <w:highlight w:val="none"/>
        </w:rPr>
        <w:t>7.项目绩效评价实施方案</w:t>
      </w:r>
    </w:p>
    <w:p>
      <w:pPr>
        <w:shd w:val="clear"/>
        <w:ind w:firstLine="480"/>
        <w:rPr>
          <w:rFonts w:hint="eastAsia" w:ascii="仿宋" w:hAnsi="仿宋" w:eastAsia="仿宋" w:cs="仿宋"/>
          <w:highlight w:val="none"/>
        </w:rPr>
      </w:pPr>
      <w:r>
        <w:rPr>
          <w:rFonts w:hint="eastAsia" w:ascii="仿宋" w:hAnsi="仿宋" w:eastAsia="仿宋" w:cs="仿宋"/>
          <w:highlight w:val="none"/>
        </w:rPr>
        <w:t>8.评价机构营业执照、资质证书（复印件）</w:t>
      </w:r>
    </w:p>
    <w:p>
      <w:pPr>
        <w:shd w:val="clear"/>
        <w:spacing w:line="400" w:lineRule="exact"/>
        <w:ind w:firstLine="480"/>
        <w:rPr>
          <w:rFonts w:hint="eastAsia" w:ascii="仿宋" w:hAnsi="仿宋" w:eastAsia="仿宋" w:cs="仿宋"/>
          <w:highlight w:val="none"/>
        </w:rPr>
      </w:pPr>
    </w:p>
    <w:p>
      <w:pPr>
        <w:shd w:val="clear"/>
        <w:snapToGrid w:val="0"/>
        <w:spacing w:line="400" w:lineRule="exact"/>
        <w:ind w:firstLine="723" w:firstLineChars="300"/>
        <w:rPr>
          <w:rFonts w:ascii="仿宋" w:hAnsi="仿宋" w:eastAsia="仿宋" w:cs="仿宋"/>
          <w:b/>
          <w:highlight w:val="none"/>
        </w:rPr>
      </w:pPr>
      <w:r>
        <w:rPr>
          <w:rFonts w:hint="eastAsia" w:ascii="仿宋" w:hAnsi="仿宋" w:eastAsia="仿宋" w:cs="仿宋"/>
          <w:b/>
          <w:highlight w:val="none"/>
        </w:rPr>
        <w:t>武汉方瑞会计师事务所 （普通合伙）    中国注册会计师：</w:t>
      </w:r>
    </w:p>
    <w:p>
      <w:pPr>
        <w:shd w:val="clear"/>
        <w:snapToGrid w:val="0"/>
        <w:spacing w:line="400" w:lineRule="exact"/>
        <w:ind w:firstLine="482"/>
        <w:rPr>
          <w:rFonts w:ascii="仿宋" w:hAnsi="仿宋" w:eastAsia="仿宋" w:cs="仿宋"/>
          <w:b/>
          <w:highlight w:val="none"/>
        </w:rPr>
      </w:pPr>
      <w:r>
        <w:rPr>
          <w:rFonts w:hint="eastAsia" w:ascii="仿宋" w:hAnsi="仿宋" w:eastAsia="仿宋" w:cs="仿宋"/>
          <w:b/>
          <w:highlight w:val="none"/>
        </w:rPr>
        <w:t xml:space="preserve">武汉市洪山区珞狮南路星光时代1608室   </w:t>
      </w:r>
    </w:p>
    <w:p>
      <w:pPr>
        <w:shd w:val="clear"/>
        <w:snapToGrid w:val="0"/>
        <w:spacing w:line="400" w:lineRule="exact"/>
        <w:ind w:firstLine="482"/>
        <w:rPr>
          <w:rFonts w:ascii="仿宋" w:hAnsi="仿宋" w:eastAsia="仿宋" w:cs="仿宋"/>
          <w:highlight w:val="none"/>
        </w:rPr>
      </w:pPr>
      <w:r>
        <w:rPr>
          <w:rFonts w:hint="eastAsia" w:ascii="仿宋" w:hAnsi="仿宋" w:eastAsia="仿宋" w:cs="仿宋"/>
          <w:b/>
          <w:highlight w:val="none"/>
        </w:rPr>
        <w:t xml:space="preserve">        电话：027-87270880             中国注册会计师： </w:t>
      </w:r>
    </w:p>
    <w:p>
      <w:pPr>
        <w:shd w:val="clear"/>
        <w:spacing w:line="400" w:lineRule="exact"/>
        <w:ind w:firstLine="482"/>
        <w:jc w:val="right"/>
        <w:rPr>
          <w:rFonts w:ascii="仿宋" w:hAnsi="仿宋" w:eastAsia="仿宋" w:cs="仿宋"/>
          <w:b/>
          <w:bCs/>
          <w:color w:val="000000"/>
          <w:highlight w:val="none"/>
        </w:rPr>
      </w:pPr>
    </w:p>
    <w:p>
      <w:pPr>
        <w:shd w:val="clear"/>
        <w:spacing w:line="400" w:lineRule="exact"/>
        <w:ind w:firstLine="482"/>
        <w:jc w:val="right"/>
        <w:rPr>
          <w:rFonts w:ascii="仿宋" w:hAnsi="仿宋" w:eastAsia="仿宋" w:cs="仿宋"/>
          <w:b/>
          <w:sz w:val="32"/>
          <w:szCs w:val="32"/>
          <w:highlight w:val="none"/>
        </w:rPr>
      </w:pPr>
      <w:r>
        <w:rPr>
          <w:rFonts w:hint="eastAsia" w:ascii="仿宋" w:hAnsi="仿宋" w:eastAsia="仿宋" w:cs="仿宋"/>
          <w:b/>
          <w:bCs/>
          <w:color w:val="000000"/>
          <w:highlight w:val="none"/>
        </w:rPr>
        <w:t xml:space="preserve">   报告日期：2020年9月</w:t>
      </w:r>
      <w:r>
        <w:rPr>
          <w:rFonts w:hint="eastAsia" w:ascii="仿宋" w:hAnsi="仿宋" w:eastAsia="仿宋" w:cs="仿宋"/>
          <w:b/>
          <w:bCs/>
          <w:color w:val="000000"/>
          <w:highlight w:val="none"/>
          <w:lang w:val="en-US" w:eastAsia="zh-CN"/>
        </w:rPr>
        <w:t>16</w:t>
      </w:r>
      <w:r>
        <w:rPr>
          <w:rFonts w:hint="eastAsia" w:ascii="仿宋" w:hAnsi="仿宋" w:eastAsia="仿宋" w:cs="仿宋"/>
          <w:b/>
          <w:bCs/>
          <w:color w:val="000000"/>
          <w:highlight w:val="none"/>
        </w:rPr>
        <w:t>日</w:t>
      </w:r>
    </w:p>
    <w:sectPr>
      <w:pgSz w:w="11906" w:h="16838"/>
      <w:pgMar w:top="1440" w:right="1797" w:bottom="1440" w:left="1797"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A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333"/>
        <w:tab w:val="clear" w:pos="8306"/>
      </w:tabs>
      <w:ind w:firstLine="0" w:firstLineChars="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333"/>
        <w:tab w:val="clear" w:pos="8306"/>
      </w:tabs>
      <w:ind w:firstLine="0" w:firstLineChars="0"/>
    </w:pPr>
    <w:r>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path/>
          <v:fill on="f" focussize="0,0"/>
          <v:stroke on="f" weight="0.5pt" joinstyle="miter"/>
          <v:imagedata o:title=""/>
          <o:lock v:ext="edit"/>
          <v:textbox inset="0mm,0mm,0mm,0mm" style="mso-fit-shape-to-text:t;">
            <w:txbxContent>
              <w:p>
                <w:pPr>
                  <w:pStyle w:val="11"/>
                  <w:ind w:firstLine="0" w:firstLineChars="0"/>
                </w:pPr>
                <w:r>
                  <w:fldChar w:fldCharType="begin"/>
                </w:r>
                <w:r>
                  <w:instrText xml:space="preserve"> PAGE  \* MERGEFORMAT </w:instrText>
                </w:r>
                <w:r>
                  <w:fldChar w:fldCharType="separate"/>
                </w:r>
                <w:r>
                  <w:t>31</w:t>
                </w:r>
                <w: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0" w:firstLineChars="0"/>
    </w:pPr>
    <w:r>
      <w:rPr>
        <w:rFonts w:hint="eastAsia"/>
      </w:rPr>
      <w:t>武汉市武昌区卫生健康局2019年度大医院专家坐诊项目绩效评价报告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830C8"/>
    <w:multiLevelType w:val="multilevel"/>
    <w:tmpl w:val="5CC830C8"/>
    <w:lvl w:ilvl="0" w:tentative="0">
      <w:start w:val="6"/>
      <w:numFmt w:val="decimal"/>
      <w:lvlText w:val="%1"/>
      <w:lvlJc w:val="left"/>
      <w:pPr>
        <w:tabs>
          <w:tab w:val="left" w:pos="432"/>
        </w:tabs>
        <w:ind w:left="432" w:hanging="432"/>
      </w:pPr>
      <w:rPr>
        <w:rFonts w:hint="eastAsia"/>
      </w:rPr>
    </w:lvl>
    <w:lvl w:ilvl="1" w:tentative="0">
      <w:start w:val="1"/>
      <w:numFmt w:val="decimal"/>
      <w:pStyle w:val="3"/>
      <w:lvlText w:val="%2"/>
      <w:lvlJc w:val="left"/>
      <w:pPr>
        <w:tabs>
          <w:tab w:val="left" w:pos="420"/>
        </w:tabs>
        <w:ind w:left="420" w:hanging="420"/>
      </w:pPr>
      <w:rPr>
        <w:rFonts w:hint="eastAsia"/>
      </w:rPr>
    </w:lvl>
    <w:lvl w:ilvl="2" w:tentative="0">
      <w:start w:val="1"/>
      <w:numFmt w:val="decimal"/>
      <w:lvlText w:val="6.5.%3"/>
      <w:lvlJc w:val="left"/>
      <w:pPr>
        <w:tabs>
          <w:tab w:val="left" w:pos="1080"/>
        </w:tabs>
        <w:ind w:left="720" w:hanging="720"/>
      </w:pPr>
      <w:rPr>
        <w:rFonts w:hint="eastAsia"/>
      </w:rPr>
    </w:lvl>
    <w:lvl w:ilvl="3" w:tentative="0">
      <w:start w:val="1"/>
      <w:numFmt w:val="decimal"/>
      <w:lvlText w:val="2.%2.%3.%4"/>
      <w:lvlJc w:val="left"/>
      <w:pPr>
        <w:tabs>
          <w:tab w:val="left" w:pos="864"/>
        </w:tabs>
        <w:ind w:left="864" w:hanging="864"/>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516A2"/>
    <w:rsid w:val="000031D9"/>
    <w:rsid w:val="000218A9"/>
    <w:rsid w:val="00021BDC"/>
    <w:rsid w:val="00022916"/>
    <w:rsid w:val="00022DFF"/>
    <w:rsid w:val="00025843"/>
    <w:rsid w:val="00027324"/>
    <w:rsid w:val="0003113D"/>
    <w:rsid w:val="00032B30"/>
    <w:rsid w:val="0003427C"/>
    <w:rsid w:val="0003724D"/>
    <w:rsid w:val="00045D5E"/>
    <w:rsid w:val="0005359E"/>
    <w:rsid w:val="000544C4"/>
    <w:rsid w:val="00054F77"/>
    <w:rsid w:val="000618FE"/>
    <w:rsid w:val="00061C6A"/>
    <w:rsid w:val="00062932"/>
    <w:rsid w:val="000647EA"/>
    <w:rsid w:val="00071319"/>
    <w:rsid w:val="00071986"/>
    <w:rsid w:val="00071AA6"/>
    <w:rsid w:val="00073006"/>
    <w:rsid w:val="00082F4B"/>
    <w:rsid w:val="00083100"/>
    <w:rsid w:val="0008656E"/>
    <w:rsid w:val="000A28A3"/>
    <w:rsid w:val="000B264F"/>
    <w:rsid w:val="000B3558"/>
    <w:rsid w:val="000B6258"/>
    <w:rsid w:val="000F238C"/>
    <w:rsid w:val="000F390E"/>
    <w:rsid w:val="000F529C"/>
    <w:rsid w:val="001008DD"/>
    <w:rsid w:val="001038FA"/>
    <w:rsid w:val="0011197B"/>
    <w:rsid w:val="00112CB4"/>
    <w:rsid w:val="00122114"/>
    <w:rsid w:val="001247E7"/>
    <w:rsid w:val="0012601F"/>
    <w:rsid w:val="0013039D"/>
    <w:rsid w:val="001310B0"/>
    <w:rsid w:val="00137C6A"/>
    <w:rsid w:val="001420E0"/>
    <w:rsid w:val="0015744B"/>
    <w:rsid w:val="00164D38"/>
    <w:rsid w:val="00164F68"/>
    <w:rsid w:val="00166E6D"/>
    <w:rsid w:val="0017271C"/>
    <w:rsid w:val="00172BB5"/>
    <w:rsid w:val="00173133"/>
    <w:rsid w:val="0018063D"/>
    <w:rsid w:val="00183D24"/>
    <w:rsid w:val="001848CB"/>
    <w:rsid w:val="00185128"/>
    <w:rsid w:val="001878E7"/>
    <w:rsid w:val="001B6A44"/>
    <w:rsid w:val="001B7828"/>
    <w:rsid w:val="001C1885"/>
    <w:rsid w:val="001C3C61"/>
    <w:rsid w:val="001C5F44"/>
    <w:rsid w:val="001D433C"/>
    <w:rsid w:val="001F2DB8"/>
    <w:rsid w:val="001F7F1E"/>
    <w:rsid w:val="00200075"/>
    <w:rsid w:val="0021133A"/>
    <w:rsid w:val="00211E43"/>
    <w:rsid w:val="00232D1F"/>
    <w:rsid w:val="002364E4"/>
    <w:rsid w:val="00236A11"/>
    <w:rsid w:val="00250A0F"/>
    <w:rsid w:val="00254387"/>
    <w:rsid w:val="00254530"/>
    <w:rsid w:val="0026780A"/>
    <w:rsid w:val="002724E0"/>
    <w:rsid w:val="00272F7E"/>
    <w:rsid w:val="002800E2"/>
    <w:rsid w:val="0028261E"/>
    <w:rsid w:val="00283780"/>
    <w:rsid w:val="00286D03"/>
    <w:rsid w:val="00291B16"/>
    <w:rsid w:val="0029760C"/>
    <w:rsid w:val="002A1E21"/>
    <w:rsid w:val="002A7126"/>
    <w:rsid w:val="002B5DB1"/>
    <w:rsid w:val="002C3F35"/>
    <w:rsid w:val="002C6B13"/>
    <w:rsid w:val="002D1748"/>
    <w:rsid w:val="002D1A24"/>
    <w:rsid w:val="002D1F9C"/>
    <w:rsid w:val="002F6670"/>
    <w:rsid w:val="00311172"/>
    <w:rsid w:val="00317D52"/>
    <w:rsid w:val="00321905"/>
    <w:rsid w:val="003228D1"/>
    <w:rsid w:val="00330799"/>
    <w:rsid w:val="003330A5"/>
    <w:rsid w:val="003574A1"/>
    <w:rsid w:val="003666F3"/>
    <w:rsid w:val="0037545D"/>
    <w:rsid w:val="0037710E"/>
    <w:rsid w:val="003810CE"/>
    <w:rsid w:val="00382B7D"/>
    <w:rsid w:val="00384158"/>
    <w:rsid w:val="003852FE"/>
    <w:rsid w:val="0039162F"/>
    <w:rsid w:val="003944E4"/>
    <w:rsid w:val="003A3F75"/>
    <w:rsid w:val="003B0CB0"/>
    <w:rsid w:val="003B4C3B"/>
    <w:rsid w:val="003B4F92"/>
    <w:rsid w:val="003B65DC"/>
    <w:rsid w:val="003B774A"/>
    <w:rsid w:val="003C4FA9"/>
    <w:rsid w:val="003D2D7E"/>
    <w:rsid w:val="003D78B5"/>
    <w:rsid w:val="003E5F1D"/>
    <w:rsid w:val="003F08E9"/>
    <w:rsid w:val="003F1F27"/>
    <w:rsid w:val="003F5A4A"/>
    <w:rsid w:val="00411DD8"/>
    <w:rsid w:val="00423B84"/>
    <w:rsid w:val="00432FC7"/>
    <w:rsid w:val="00435AFE"/>
    <w:rsid w:val="00442B19"/>
    <w:rsid w:val="00444FF0"/>
    <w:rsid w:val="004472AC"/>
    <w:rsid w:val="00447B17"/>
    <w:rsid w:val="00452E75"/>
    <w:rsid w:val="00454A5F"/>
    <w:rsid w:val="0046138F"/>
    <w:rsid w:val="004659DA"/>
    <w:rsid w:val="00466C77"/>
    <w:rsid w:val="00467926"/>
    <w:rsid w:val="0047209B"/>
    <w:rsid w:val="004725D5"/>
    <w:rsid w:val="004745B4"/>
    <w:rsid w:val="00475C71"/>
    <w:rsid w:val="00482097"/>
    <w:rsid w:val="00490637"/>
    <w:rsid w:val="00493D61"/>
    <w:rsid w:val="004A2311"/>
    <w:rsid w:val="004B69E5"/>
    <w:rsid w:val="004C474E"/>
    <w:rsid w:val="004D3D35"/>
    <w:rsid w:val="004E459A"/>
    <w:rsid w:val="004E5274"/>
    <w:rsid w:val="004E7AF7"/>
    <w:rsid w:val="004F106F"/>
    <w:rsid w:val="004F3589"/>
    <w:rsid w:val="00501DC0"/>
    <w:rsid w:val="00504BDB"/>
    <w:rsid w:val="00522116"/>
    <w:rsid w:val="00525522"/>
    <w:rsid w:val="00525C66"/>
    <w:rsid w:val="00541DF2"/>
    <w:rsid w:val="005465D6"/>
    <w:rsid w:val="005525DB"/>
    <w:rsid w:val="00560D3A"/>
    <w:rsid w:val="00565F6D"/>
    <w:rsid w:val="005764D6"/>
    <w:rsid w:val="00587960"/>
    <w:rsid w:val="005958E1"/>
    <w:rsid w:val="00595E80"/>
    <w:rsid w:val="005A0E8A"/>
    <w:rsid w:val="005A7F9D"/>
    <w:rsid w:val="005B25A1"/>
    <w:rsid w:val="005B58B8"/>
    <w:rsid w:val="005B77D3"/>
    <w:rsid w:val="005C0072"/>
    <w:rsid w:val="005C2C10"/>
    <w:rsid w:val="005C3E8F"/>
    <w:rsid w:val="005D2F2C"/>
    <w:rsid w:val="005D369B"/>
    <w:rsid w:val="005D65FC"/>
    <w:rsid w:val="005E0A96"/>
    <w:rsid w:val="005F0E42"/>
    <w:rsid w:val="00601E67"/>
    <w:rsid w:val="00607D0B"/>
    <w:rsid w:val="006145DE"/>
    <w:rsid w:val="00627192"/>
    <w:rsid w:val="006312A1"/>
    <w:rsid w:val="00632F28"/>
    <w:rsid w:val="006337C2"/>
    <w:rsid w:val="006579CA"/>
    <w:rsid w:val="006638CA"/>
    <w:rsid w:val="006848D9"/>
    <w:rsid w:val="00685DF6"/>
    <w:rsid w:val="006929D7"/>
    <w:rsid w:val="00695127"/>
    <w:rsid w:val="006A1B29"/>
    <w:rsid w:val="006A5A1A"/>
    <w:rsid w:val="006B076D"/>
    <w:rsid w:val="006B73F4"/>
    <w:rsid w:val="006C0A32"/>
    <w:rsid w:val="006C0D47"/>
    <w:rsid w:val="006D0C09"/>
    <w:rsid w:val="006D5821"/>
    <w:rsid w:val="006E6136"/>
    <w:rsid w:val="006F3F7B"/>
    <w:rsid w:val="006F40E0"/>
    <w:rsid w:val="0070060B"/>
    <w:rsid w:val="00701055"/>
    <w:rsid w:val="0070227A"/>
    <w:rsid w:val="007046D4"/>
    <w:rsid w:val="00706594"/>
    <w:rsid w:val="00712504"/>
    <w:rsid w:val="0071263F"/>
    <w:rsid w:val="00713043"/>
    <w:rsid w:val="00714F31"/>
    <w:rsid w:val="007159E3"/>
    <w:rsid w:val="00716EE7"/>
    <w:rsid w:val="00724C87"/>
    <w:rsid w:val="00733B57"/>
    <w:rsid w:val="007354EF"/>
    <w:rsid w:val="00735569"/>
    <w:rsid w:val="00753008"/>
    <w:rsid w:val="00753197"/>
    <w:rsid w:val="00756742"/>
    <w:rsid w:val="00756CDD"/>
    <w:rsid w:val="007650E5"/>
    <w:rsid w:val="0077578A"/>
    <w:rsid w:val="00776E6C"/>
    <w:rsid w:val="0078357F"/>
    <w:rsid w:val="00786102"/>
    <w:rsid w:val="00787D47"/>
    <w:rsid w:val="00792DC0"/>
    <w:rsid w:val="00794551"/>
    <w:rsid w:val="007B3196"/>
    <w:rsid w:val="007B5162"/>
    <w:rsid w:val="007C5538"/>
    <w:rsid w:val="007C6942"/>
    <w:rsid w:val="007D048D"/>
    <w:rsid w:val="007D08B5"/>
    <w:rsid w:val="007D2C2A"/>
    <w:rsid w:val="007D3DE4"/>
    <w:rsid w:val="007F458E"/>
    <w:rsid w:val="007F75B7"/>
    <w:rsid w:val="00804C6C"/>
    <w:rsid w:val="0080512C"/>
    <w:rsid w:val="008077F6"/>
    <w:rsid w:val="00807EE1"/>
    <w:rsid w:val="008211B8"/>
    <w:rsid w:val="0082548C"/>
    <w:rsid w:val="00826EDE"/>
    <w:rsid w:val="00827009"/>
    <w:rsid w:val="0083776A"/>
    <w:rsid w:val="00841349"/>
    <w:rsid w:val="008569B0"/>
    <w:rsid w:val="00857F12"/>
    <w:rsid w:val="0086054B"/>
    <w:rsid w:val="00871255"/>
    <w:rsid w:val="0087130F"/>
    <w:rsid w:val="00873EEA"/>
    <w:rsid w:val="008745C7"/>
    <w:rsid w:val="008801CC"/>
    <w:rsid w:val="008916D2"/>
    <w:rsid w:val="00895E13"/>
    <w:rsid w:val="008A04F0"/>
    <w:rsid w:val="008A1A47"/>
    <w:rsid w:val="008A2136"/>
    <w:rsid w:val="008A40B8"/>
    <w:rsid w:val="008A6E13"/>
    <w:rsid w:val="008B750C"/>
    <w:rsid w:val="008D036A"/>
    <w:rsid w:val="008D2BB6"/>
    <w:rsid w:val="008D4F34"/>
    <w:rsid w:val="008D5190"/>
    <w:rsid w:val="008D5BD2"/>
    <w:rsid w:val="008E2513"/>
    <w:rsid w:val="008E2C83"/>
    <w:rsid w:val="008E7BA9"/>
    <w:rsid w:val="008F2EB3"/>
    <w:rsid w:val="008F5304"/>
    <w:rsid w:val="009035F5"/>
    <w:rsid w:val="0090409F"/>
    <w:rsid w:val="009051A7"/>
    <w:rsid w:val="00911238"/>
    <w:rsid w:val="00934309"/>
    <w:rsid w:val="00942048"/>
    <w:rsid w:val="00944C52"/>
    <w:rsid w:val="00951624"/>
    <w:rsid w:val="00951BD0"/>
    <w:rsid w:val="0095636A"/>
    <w:rsid w:val="00956AB4"/>
    <w:rsid w:val="009638E1"/>
    <w:rsid w:val="009704EB"/>
    <w:rsid w:val="0097211B"/>
    <w:rsid w:val="009763CF"/>
    <w:rsid w:val="00980040"/>
    <w:rsid w:val="009857B6"/>
    <w:rsid w:val="00996243"/>
    <w:rsid w:val="009A778C"/>
    <w:rsid w:val="009C2068"/>
    <w:rsid w:val="009C620A"/>
    <w:rsid w:val="009D5003"/>
    <w:rsid w:val="009D5408"/>
    <w:rsid w:val="009D77F4"/>
    <w:rsid w:val="009E5EE7"/>
    <w:rsid w:val="009F5C8A"/>
    <w:rsid w:val="00A01DBC"/>
    <w:rsid w:val="00A07388"/>
    <w:rsid w:val="00A10321"/>
    <w:rsid w:val="00A10A79"/>
    <w:rsid w:val="00A14BB9"/>
    <w:rsid w:val="00A16EBE"/>
    <w:rsid w:val="00A213F8"/>
    <w:rsid w:val="00A2697A"/>
    <w:rsid w:val="00A35E6B"/>
    <w:rsid w:val="00A37ECD"/>
    <w:rsid w:val="00A410C4"/>
    <w:rsid w:val="00A44F19"/>
    <w:rsid w:val="00A45AF4"/>
    <w:rsid w:val="00A50F8F"/>
    <w:rsid w:val="00A55249"/>
    <w:rsid w:val="00A57168"/>
    <w:rsid w:val="00A64938"/>
    <w:rsid w:val="00A6531A"/>
    <w:rsid w:val="00A7004B"/>
    <w:rsid w:val="00A83507"/>
    <w:rsid w:val="00A836EA"/>
    <w:rsid w:val="00A85609"/>
    <w:rsid w:val="00A96A4A"/>
    <w:rsid w:val="00A97C15"/>
    <w:rsid w:val="00AA2231"/>
    <w:rsid w:val="00AA397C"/>
    <w:rsid w:val="00AA5ED3"/>
    <w:rsid w:val="00AB2EA8"/>
    <w:rsid w:val="00AB31CB"/>
    <w:rsid w:val="00AC2EE9"/>
    <w:rsid w:val="00AC3930"/>
    <w:rsid w:val="00AC68A1"/>
    <w:rsid w:val="00AD40FF"/>
    <w:rsid w:val="00AD4A7B"/>
    <w:rsid w:val="00AE44B0"/>
    <w:rsid w:val="00AE7B23"/>
    <w:rsid w:val="00AF044C"/>
    <w:rsid w:val="00AF4D31"/>
    <w:rsid w:val="00AF5616"/>
    <w:rsid w:val="00AF6E79"/>
    <w:rsid w:val="00B008F4"/>
    <w:rsid w:val="00B028B7"/>
    <w:rsid w:val="00B038DC"/>
    <w:rsid w:val="00B04532"/>
    <w:rsid w:val="00B066F5"/>
    <w:rsid w:val="00B07AD2"/>
    <w:rsid w:val="00B12305"/>
    <w:rsid w:val="00B156BA"/>
    <w:rsid w:val="00B20023"/>
    <w:rsid w:val="00B32DC2"/>
    <w:rsid w:val="00B3310F"/>
    <w:rsid w:val="00B42EC0"/>
    <w:rsid w:val="00B457A5"/>
    <w:rsid w:val="00B4768E"/>
    <w:rsid w:val="00B47B1D"/>
    <w:rsid w:val="00B528DB"/>
    <w:rsid w:val="00B537A9"/>
    <w:rsid w:val="00B552CD"/>
    <w:rsid w:val="00B55534"/>
    <w:rsid w:val="00B55EF9"/>
    <w:rsid w:val="00B726A7"/>
    <w:rsid w:val="00B9133C"/>
    <w:rsid w:val="00BA7819"/>
    <w:rsid w:val="00BB2D6A"/>
    <w:rsid w:val="00BB5055"/>
    <w:rsid w:val="00BB723C"/>
    <w:rsid w:val="00BC0115"/>
    <w:rsid w:val="00BC1D8A"/>
    <w:rsid w:val="00BC4CBF"/>
    <w:rsid w:val="00BD093F"/>
    <w:rsid w:val="00BD75DB"/>
    <w:rsid w:val="00BE4FDA"/>
    <w:rsid w:val="00BE6586"/>
    <w:rsid w:val="00BF608C"/>
    <w:rsid w:val="00BF6B16"/>
    <w:rsid w:val="00C1207E"/>
    <w:rsid w:val="00C171B1"/>
    <w:rsid w:val="00C2579D"/>
    <w:rsid w:val="00C364A9"/>
    <w:rsid w:val="00C37849"/>
    <w:rsid w:val="00C44167"/>
    <w:rsid w:val="00C44567"/>
    <w:rsid w:val="00C47882"/>
    <w:rsid w:val="00C5378C"/>
    <w:rsid w:val="00C62E51"/>
    <w:rsid w:val="00C82031"/>
    <w:rsid w:val="00C839D2"/>
    <w:rsid w:val="00C87BA8"/>
    <w:rsid w:val="00C91D09"/>
    <w:rsid w:val="00C93140"/>
    <w:rsid w:val="00C957AB"/>
    <w:rsid w:val="00CA54BE"/>
    <w:rsid w:val="00CB3E6F"/>
    <w:rsid w:val="00CB4329"/>
    <w:rsid w:val="00CB6FE4"/>
    <w:rsid w:val="00CC4849"/>
    <w:rsid w:val="00CC7AED"/>
    <w:rsid w:val="00CD1BCE"/>
    <w:rsid w:val="00CD7623"/>
    <w:rsid w:val="00CE0FEE"/>
    <w:rsid w:val="00CE53D8"/>
    <w:rsid w:val="00CE5AAB"/>
    <w:rsid w:val="00CE7141"/>
    <w:rsid w:val="00CF49AB"/>
    <w:rsid w:val="00D00409"/>
    <w:rsid w:val="00D042C2"/>
    <w:rsid w:val="00D07FB1"/>
    <w:rsid w:val="00D25FB4"/>
    <w:rsid w:val="00D27455"/>
    <w:rsid w:val="00D31967"/>
    <w:rsid w:val="00D32210"/>
    <w:rsid w:val="00D342CF"/>
    <w:rsid w:val="00D431CF"/>
    <w:rsid w:val="00D531BA"/>
    <w:rsid w:val="00D53255"/>
    <w:rsid w:val="00D55358"/>
    <w:rsid w:val="00D57FD3"/>
    <w:rsid w:val="00D60085"/>
    <w:rsid w:val="00D700BC"/>
    <w:rsid w:val="00D7224E"/>
    <w:rsid w:val="00D7309F"/>
    <w:rsid w:val="00D75E8F"/>
    <w:rsid w:val="00D824BC"/>
    <w:rsid w:val="00D920AB"/>
    <w:rsid w:val="00D93102"/>
    <w:rsid w:val="00D93C9E"/>
    <w:rsid w:val="00DA4711"/>
    <w:rsid w:val="00DA695C"/>
    <w:rsid w:val="00DB0043"/>
    <w:rsid w:val="00DB1BF7"/>
    <w:rsid w:val="00DB66E5"/>
    <w:rsid w:val="00DC6728"/>
    <w:rsid w:val="00DD30F9"/>
    <w:rsid w:val="00DE5E1A"/>
    <w:rsid w:val="00DF325F"/>
    <w:rsid w:val="00E0493C"/>
    <w:rsid w:val="00E05385"/>
    <w:rsid w:val="00E055C8"/>
    <w:rsid w:val="00E12C95"/>
    <w:rsid w:val="00E13061"/>
    <w:rsid w:val="00E204E9"/>
    <w:rsid w:val="00E30AC8"/>
    <w:rsid w:val="00E316D1"/>
    <w:rsid w:val="00E328F8"/>
    <w:rsid w:val="00E413F8"/>
    <w:rsid w:val="00E516A2"/>
    <w:rsid w:val="00E52563"/>
    <w:rsid w:val="00E63F58"/>
    <w:rsid w:val="00E6642A"/>
    <w:rsid w:val="00E7600C"/>
    <w:rsid w:val="00E823F7"/>
    <w:rsid w:val="00E84069"/>
    <w:rsid w:val="00E86953"/>
    <w:rsid w:val="00E9130A"/>
    <w:rsid w:val="00E91FAD"/>
    <w:rsid w:val="00E94598"/>
    <w:rsid w:val="00E97EAC"/>
    <w:rsid w:val="00EA23EA"/>
    <w:rsid w:val="00EA4CD4"/>
    <w:rsid w:val="00EB37EC"/>
    <w:rsid w:val="00EC3116"/>
    <w:rsid w:val="00ED0C70"/>
    <w:rsid w:val="00EE064F"/>
    <w:rsid w:val="00EF322B"/>
    <w:rsid w:val="00EF586B"/>
    <w:rsid w:val="00F06655"/>
    <w:rsid w:val="00F07193"/>
    <w:rsid w:val="00F117B1"/>
    <w:rsid w:val="00F147B7"/>
    <w:rsid w:val="00F22EC1"/>
    <w:rsid w:val="00F33BCA"/>
    <w:rsid w:val="00F4397A"/>
    <w:rsid w:val="00F43A29"/>
    <w:rsid w:val="00F45515"/>
    <w:rsid w:val="00F53683"/>
    <w:rsid w:val="00F61EDA"/>
    <w:rsid w:val="00F634F2"/>
    <w:rsid w:val="00F7191D"/>
    <w:rsid w:val="00F72B46"/>
    <w:rsid w:val="00F750E6"/>
    <w:rsid w:val="00FA1C38"/>
    <w:rsid w:val="00FA6139"/>
    <w:rsid w:val="00FC7671"/>
    <w:rsid w:val="00FD5FF5"/>
    <w:rsid w:val="00FE1453"/>
    <w:rsid w:val="00FE4EE5"/>
    <w:rsid w:val="00FF28D2"/>
    <w:rsid w:val="00FF4D80"/>
    <w:rsid w:val="00FF6D90"/>
    <w:rsid w:val="010413A1"/>
    <w:rsid w:val="014868CA"/>
    <w:rsid w:val="015C1AFE"/>
    <w:rsid w:val="017123E2"/>
    <w:rsid w:val="01BA0B8D"/>
    <w:rsid w:val="01C06166"/>
    <w:rsid w:val="01C15C10"/>
    <w:rsid w:val="01D425A1"/>
    <w:rsid w:val="020222E6"/>
    <w:rsid w:val="02295E48"/>
    <w:rsid w:val="02322BB1"/>
    <w:rsid w:val="023344ED"/>
    <w:rsid w:val="023B6984"/>
    <w:rsid w:val="024D4F2C"/>
    <w:rsid w:val="02675B80"/>
    <w:rsid w:val="02770B3B"/>
    <w:rsid w:val="028B2FA0"/>
    <w:rsid w:val="02914841"/>
    <w:rsid w:val="02975488"/>
    <w:rsid w:val="02C43116"/>
    <w:rsid w:val="02C46B59"/>
    <w:rsid w:val="02C60D26"/>
    <w:rsid w:val="02CE5058"/>
    <w:rsid w:val="02D87552"/>
    <w:rsid w:val="02EC5471"/>
    <w:rsid w:val="02FB6CBA"/>
    <w:rsid w:val="03154A0D"/>
    <w:rsid w:val="03162A7C"/>
    <w:rsid w:val="031E439F"/>
    <w:rsid w:val="032340CA"/>
    <w:rsid w:val="032E03FC"/>
    <w:rsid w:val="03535B5F"/>
    <w:rsid w:val="036B2E8F"/>
    <w:rsid w:val="03810066"/>
    <w:rsid w:val="03A43DA1"/>
    <w:rsid w:val="03DC264B"/>
    <w:rsid w:val="03E56966"/>
    <w:rsid w:val="03FE6491"/>
    <w:rsid w:val="0412394B"/>
    <w:rsid w:val="041A186D"/>
    <w:rsid w:val="04262056"/>
    <w:rsid w:val="04325B27"/>
    <w:rsid w:val="044A62C9"/>
    <w:rsid w:val="044E4460"/>
    <w:rsid w:val="046E47F2"/>
    <w:rsid w:val="048F139E"/>
    <w:rsid w:val="04A53194"/>
    <w:rsid w:val="04D0485A"/>
    <w:rsid w:val="04D54EAD"/>
    <w:rsid w:val="04F5140C"/>
    <w:rsid w:val="05174726"/>
    <w:rsid w:val="054D71C7"/>
    <w:rsid w:val="05513E87"/>
    <w:rsid w:val="05596DFF"/>
    <w:rsid w:val="056E0120"/>
    <w:rsid w:val="057B5C59"/>
    <w:rsid w:val="05DB0DD4"/>
    <w:rsid w:val="05E11CD5"/>
    <w:rsid w:val="06046A89"/>
    <w:rsid w:val="061546E5"/>
    <w:rsid w:val="06180664"/>
    <w:rsid w:val="06452532"/>
    <w:rsid w:val="0648539C"/>
    <w:rsid w:val="06807D8E"/>
    <w:rsid w:val="068D29DA"/>
    <w:rsid w:val="06995CA5"/>
    <w:rsid w:val="06A50C2F"/>
    <w:rsid w:val="06BB2155"/>
    <w:rsid w:val="0700149E"/>
    <w:rsid w:val="07001C47"/>
    <w:rsid w:val="070249D6"/>
    <w:rsid w:val="07105035"/>
    <w:rsid w:val="074D7500"/>
    <w:rsid w:val="075332BD"/>
    <w:rsid w:val="0785672F"/>
    <w:rsid w:val="0797170E"/>
    <w:rsid w:val="07A41E6D"/>
    <w:rsid w:val="07AE7067"/>
    <w:rsid w:val="07CF34D1"/>
    <w:rsid w:val="07FC155B"/>
    <w:rsid w:val="08012754"/>
    <w:rsid w:val="08014E19"/>
    <w:rsid w:val="080D75A8"/>
    <w:rsid w:val="081C4A9E"/>
    <w:rsid w:val="085B7DB4"/>
    <w:rsid w:val="0870517B"/>
    <w:rsid w:val="08760CEA"/>
    <w:rsid w:val="08AE1ADF"/>
    <w:rsid w:val="08EE1EAF"/>
    <w:rsid w:val="09017F2F"/>
    <w:rsid w:val="092111DC"/>
    <w:rsid w:val="093A4945"/>
    <w:rsid w:val="09853D59"/>
    <w:rsid w:val="099774C9"/>
    <w:rsid w:val="09A243CE"/>
    <w:rsid w:val="09BF36AC"/>
    <w:rsid w:val="09C272F5"/>
    <w:rsid w:val="09C610F1"/>
    <w:rsid w:val="09F42B94"/>
    <w:rsid w:val="09F90F10"/>
    <w:rsid w:val="0A01758C"/>
    <w:rsid w:val="0A057E25"/>
    <w:rsid w:val="0A0C3689"/>
    <w:rsid w:val="0A192A6D"/>
    <w:rsid w:val="0A1D19ED"/>
    <w:rsid w:val="0A2223EA"/>
    <w:rsid w:val="0A2E102F"/>
    <w:rsid w:val="0A5A7B3E"/>
    <w:rsid w:val="0A9F43B7"/>
    <w:rsid w:val="0AA02F76"/>
    <w:rsid w:val="0AA60ED6"/>
    <w:rsid w:val="0AC557BD"/>
    <w:rsid w:val="0AD07FD8"/>
    <w:rsid w:val="0AF932BF"/>
    <w:rsid w:val="0B106D0A"/>
    <w:rsid w:val="0B1A5374"/>
    <w:rsid w:val="0B3769B0"/>
    <w:rsid w:val="0B4B5E88"/>
    <w:rsid w:val="0B5222EB"/>
    <w:rsid w:val="0B734505"/>
    <w:rsid w:val="0B8774FF"/>
    <w:rsid w:val="0BA846E8"/>
    <w:rsid w:val="0BB33611"/>
    <w:rsid w:val="0BB60101"/>
    <w:rsid w:val="0BC50485"/>
    <w:rsid w:val="0BD44563"/>
    <w:rsid w:val="0C2F6270"/>
    <w:rsid w:val="0C5456FA"/>
    <w:rsid w:val="0C5A1C3B"/>
    <w:rsid w:val="0C6E37CD"/>
    <w:rsid w:val="0C8804B9"/>
    <w:rsid w:val="0C8E1B26"/>
    <w:rsid w:val="0C8F0AD0"/>
    <w:rsid w:val="0CA56093"/>
    <w:rsid w:val="0CB6568A"/>
    <w:rsid w:val="0CCA65A6"/>
    <w:rsid w:val="0CF62FCB"/>
    <w:rsid w:val="0CFF699C"/>
    <w:rsid w:val="0D48177D"/>
    <w:rsid w:val="0D4B31AB"/>
    <w:rsid w:val="0D6307A0"/>
    <w:rsid w:val="0D670437"/>
    <w:rsid w:val="0D683DAD"/>
    <w:rsid w:val="0D9660E0"/>
    <w:rsid w:val="0DA049B1"/>
    <w:rsid w:val="0DC7566F"/>
    <w:rsid w:val="0DCB55B7"/>
    <w:rsid w:val="0DDE5624"/>
    <w:rsid w:val="0DED2A7B"/>
    <w:rsid w:val="0E1C36E8"/>
    <w:rsid w:val="0E285D32"/>
    <w:rsid w:val="0E3F535A"/>
    <w:rsid w:val="0E4B2A7E"/>
    <w:rsid w:val="0E61608E"/>
    <w:rsid w:val="0E792172"/>
    <w:rsid w:val="0ECF14FD"/>
    <w:rsid w:val="0F0822AE"/>
    <w:rsid w:val="0F240CA4"/>
    <w:rsid w:val="0F2B3005"/>
    <w:rsid w:val="0F4C6C91"/>
    <w:rsid w:val="0F53338E"/>
    <w:rsid w:val="0F7212F3"/>
    <w:rsid w:val="0F7B15C0"/>
    <w:rsid w:val="0FA20C07"/>
    <w:rsid w:val="0FA94FE9"/>
    <w:rsid w:val="0FAE2FC8"/>
    <w:rsid w:val="0FC554D5"/>
    <w:rsid w:val="0FCC5EAB"/>
    <w:rsid w:val="0FE06BAD"/>
    <w:rsid w:val="0FFC3CDF"/>
    <w:rsid w:val="0FFE6AE6"/>
    <w:rsid w:val="100B39EF"/>
    <w:rsid w:val="10100EA8"/>
    <w:rsid w:val="101629B7"/>
    <w:rsid w:val="103162F0"/>
    <w:rsid w:val="105805C5"/>
    <w:rsid w:val="105908A9"/>
    <w:rsid w:val="10603E3E"/>
    <w:rsid w:val="10684FAA"/>
    <w:rsid w:val="10BF0D7F"/>
    <w:rsid w:val="10C01E31"/>
    <w:rsid w:val="10D306D3"/>
    <w:rsid w:val="11010564"/>
    <w:rsid w:val="11266A76"/>
    <w:rsid w:val="114370F8"/>
    <w:rsid w:val="11476106"/>
    <w:rsid w:val="115A1AA7"/>
    <w:rsid w:val="115E03C3"/>
    <w:rsid w:val="118A25AA"/>
    <w:rsid w:val="1191624C"/>
    <w:rsid w:val="11A9372C"/>
    <w:rsid w:val="11AA1EDD"/>
    <w:rsid w:val="11C31C18"/>
    <w:rsid w:val="11C822B9"/>
    <w:rsid w:val="11D67D42"/>
    <w:rsid w:val="11E45831"/>
    <w:rsid w:val="1204712D"/>
    <w:rsid w:val="12192D78"/>
    <w:rsid w:val="12323B41"/>
    <w:rsid w:val="12434805"/>
    <w:rsid w:val="125A3931"/>
    <w:rsid w:val="12655BCF"/>
    <w:rsid w:val="126D1CB8"/>
    <w:rsid w:val="127B1EC8"/>
    <w:rsid w:val="127F3A23"/>
    <w:rsid w:val="1280540C"/>
    <w:rsid w:val="128D1DD5"/>
    <w:rsid w:val="128E4112"/>
    <w:rsid w:val="129E5687"/>
    <w:rsid w:val="12A3606E"/>
    <w:rsid w:val="12A53DC3"/>
    <w:rsid w:val="12C163C7"/>
    <w:rsid w:val="12C872F9"/>
    <w:rsid w:val="12FA0128"/>
    <w:rsid w:val="12FB1AFB"/>
    <w:rsid w:val="12FC76F5"/>
    <w:rsid w:val="12FD7349"/>
    <w:rsid w:val="133C5312"/>
    <w:rsid w:val="133F6AA3"/>
    <w:rsid w:val="13425287"/>
    <w:rsid w:val="134D325E"/>
    <w:rsid w:val="134F174C"/>
    <w:rsid w:val="135A1C4B"/>
    <w:rsid w:val="13703C22"/>
    <w:rsid w:val="13707093"/>
    <w:rsid w:val="138758A5"/>
    <w:rsid w:val="13BD42AB"/>
    <w:rsid w:val="14197CBD"/>
    <w:rsid w:val="141C13A0"/>
    <w:rsid w:val="142430BE"/>
    <w:rsid w:val="14437499"/>
    <w:rsid w:val="145A0EEC"/>
    <w:rsid w:val="146C1FDF"/>
    <w:rsid w:val="147004EA"/>
    <w:rsid w:val="14775A21"/>
    <w:rsid w:val="14AF6BB4"/>
    <w:rsid w:val="14C2220B"/>
    <w:rsid w:val="14CF1120"/>
    <w:rsid w:val="14FC1650"/>
    <w:rsid w:val="14FE5004"/>
    <w:rsid w:val="150559E3"/>
    <w:rsid w:val="15621A32"/>
    <w:rsid w:val="157B0D39"/>
    <w:rsid w:val="15873011"/>
    <w:rsid w:val="159029C7"/>
    <w:rsid w:val="15BB058B"/>
    <w:rsid w:val="15BB250D"/>
    <w:rsid w:val="15DA7508"/>
    <w:rsid w:val="15E56C8E"/>
    <w:rsid w:val="15E84FA1"/>
    <w:rsid w:val="15F52E5F"/>
    <w:rsid w:val="16042A9E"/>
    <w:rsid w:val="1643522E"/>
    <w:rsid w:val="166162EB"/>
    <w:rsid w:val="16657A1F"/>
    <w:rsid w:val="166E1666"/>
    <w:rsid w:val="16A8492A"/>
    <w:rsid w:val="16AB3C44"/>
    <w:rsid w:val="16F96246"/>
    <w:rsid w:val="172705EE"/>
    <w:rsid w:val="17376FFF"/>
    <w:rsid w:val="17400679"/>
    <w:rsid w:val="17417C0D"/>
    <w:rsid w:val="178250A6"/>
    <w:rsid w:val="179871A7"/>
    <w:rsid w:val="179F1124"/>
    <w:rsid w:val="17C8666A"/>
    <w:rsid w:val="17D9558C"/>
    <w:rsid w:val="17F31F72"/>
    <w:rsid w:val="180426D4"/>
    <w:rsid w:val="18043665"/>
    <w:rsid w:val="182A1D6C"/>
    <w:rsid w:val="183B1BF3"/>
    <w:rsid w:val="186224E9"/>
    <w:rsid w:val="18637293"/>
    <w:rsid w:val="18893AAB"/>
    <w:rsid w:val="189A6745"/>
    <w:rsid w:val="18A4617A"/>
    <w:rsid w:val="18C758F5"/>
    <w:rsid w:val="18D512AE"/>
    <w:rsid w:val="18E138A4"/>
    <w:rsid w:val="18E53028"/>
    <w:rsid w:val="18E80ABA"/>
    <w:rsid w:val="191C0155"/>
    <w:rsid w:val="191F4C5A"/>
    <w:rsid w:val="19210779"/>
    <w:rsid w:val="192A235D"/>
    <w:rsid w:val="194D4897"/>
    <w:rsid w:val="19574BB7"/>
    <w:rsid w:val="1958039C"/>
    <w:rsid w:val="197A56DF"/>
    <w:rsid w:val="198C3AAF"/>
    <w:rsid w:val="19AE3E37"/>
    <w:rsid w:val="19B7257A"/>
    <w:rsid w:val="19B94A54"/>
    <w:rsid w:val="19BA242F"/>
    <w:rsid w:val="19E37135"/>
    <w:rsid w:val="1A121FBE"/>
    <w:rsid w:val="1A163FD4"/>
    <w:rsid w:val="1A1A1EEC"/>
    <w:rsid w:val="1A2871EA"/>
    <w:rsid w:val="1A427DB3"/>
    <w:rsid w:val="1A5815C1"/>
    <w:rsid w:val="1A6849FF"/>
    <w:rsid w:val="1A741E88"/>
    <w:rsid w:val="1A886FDF"/>
    <w:rsid w:val="1A915624"/>
    <w:rsid w:val="1AA92983"/>
    <w:rsid w:val="1AAB6F6C"/>
    <w:rsid w:val="1AC40D62"/>
    <w:rsid w:val="1AE80E95"/>
    <w:rsid w:val="1B0C2E33"/>
    <w:rsid w:val="1B26494F"/>
    <w:rsid w:val="1B306BE0"/>
    <w:rsid w:val="1B3B34D0"/>
    <w:rsid w:val="1B757579"/>
    <w:rsid w:val="1B835703"/>
    <w:rsid w:val="1B90644C"/>
    <w:rsid w:val="1B947FEE"/>
    <w:rsid w:val="1B9F30DD"/>
    <w:rsid w:val="1B9F6F74"/>
    <w:rsid w:val="1BB579D2"/>
    <w:rsid w:val="1BF02292"/>
    <w:rsid w:val="1C1F6E8B"/>
    <w:rsid w:val="1C2539AC"/>
    <w:rsid w:val="1C2660B4"/>
    <w:rsid w:val="1C3247CB"/>
    <w:rsid w:val="1C3325E5"/>
    <w:rsid w:val="1C3812D7"/>
    <w:rsid w:val="1C4C664E"/>
    <w:rsid w:val="1C677656"/>
    <w:rsid w:val="1C95334B"/>
    <w:rsid w:val="1CAC0F74"/>
    <w:rsid w:val="1CAF1108"/>
    <w:rsid w:val="1CBC5CCB"/>
    <w:rsid w:val="1CD91E13"/>
    <w:rsid w:val="1CDF5BD0"/>
    <w:rsid w:val="1D063CE9"/>
    <w:rsid w:val="1D207460"/>
    <w:rsid w:val="1D284C6D"/>
    <w:rsid w:val="1D3C5422"/>
    <w:rsid w:val="1D5028A5"/>
    <w:rsid w:val="1D5876D8"/>
    <w:rsid w:val="1D626D2D"/>
    <w:rsid w:val="1D8A1AE3"/>
    <w:rsid w:val="1DA83514"/>
    <w:rsid w:val="1DAB5524"/>
    <w:rsid w:val="1DAF6CF4"/>
    <w:rsid w:val="1DBD3F8A"/>
    <w:rsid w:val="1DC070D3"/>
    <w:rsid w:val="1E2D75EA"/>
    <w:rsid w:val="1E3D09E4"/>
    <w:rsid w:val="1E4B75A5"/>
    <w:rsid w:val="1E600A19"/>
    <w:rsid w:val="1E7271A7"/>
    <w:rsid w:val="1E86376B"/>
    <w:rsid w:val="1ECA4A11"/>
    <w:rsid w:val="1ECB5F0F"/>
    <w:rsid w:val="1EDE2109"/>
    <w:rsid w:val="1EF91FE1"/>
    <w:rsid w:val="1F005DBB"/>
    <w:rsid w:val="1F0467EC"/>
    <w:rsid w:val="1F09365C"/>
    <w:rsid w:val="1F1C48E6"/>
    <w:rsid w:val="1F1F4A5F"/>
    <w:rsid w:val="1F4347FF"/>
    <w:rsid w:val="1F9326D3"/>
    <w:rsid w:val="1FB678BE"/>
    <w:rsid w:val="1FDB03D4"/>
    <w:rsid w:val="1FDB1254"/>
    <w:rsid w:val="1FF61E4D"/>
    <w:rsid w:val="20030A37"/>
    <w:rsid w:val="20083C58"/>
    <w:rsid w:val="200F6D51"/>
    <w:rsid w:val="205643EE"/>
    <w:rsid w:val="208C0DD5"/>
    <w:rsid w:val="209C0815"/>
    <w:rsid w:val="20EC6CF2"/>
    <w:rsid w:val="210642C6"/>
    <w:rsid w:val="21350FC6"/>
    <w:rsid w:val="21394881"/>
    <w:rsid w:val="213B0446"/>
    <w:rsid w:val="214757A6"/>
    <w:rsid w:val="21493D39"/>
    <w:rsid w:val="21582356"/>
    <w:rsid w:val="21592A78"/>
    <w:rsid w:val="21650E07"/>
    <w:rsid w:val="21811A73"/>
    <w:rsid w:val="218542D9"/>
    <w:rsid w:val="218F0627"/>
    <w:rsid w:val="21AC4AE3"/>
    <w:rsid w:val="21B91AE0"/>
    <w:rsid w:val="21C1045B"/>
    <w:rsid w:val="21C23360"/>
    <w:rsid w:val="21C431D4"/>
    <w:rsid w:val="21EE1173"/>
    <w:rsid w:val="223F5BD9"/>
    <w:rsid w:val="22486129"/>
    <w:rsid w:val="224F1206"/>
    <w:rsid w:val="22D9113E"/>
    <w:rsid w:val="22FC638D"/>
    <w:rsid w:val="22FF1C0E"/>
    <w:rsid w:val="230A0FB7"/>
    <w:rsid w:val="23147C68"/>
    <w:rsid w:val="233F49AB"/>
    <w:rsid w:val="239A74D9"/>
    <w:rsid w:val="23A76F67"/>
    <w:rsid w:val="23AE3468"/>
    <w:rsid w:val="23B209E9"/>
    <w:rsid w:val="23B669EA"/>
    <w:rsid w:val="23F95E59"/>
    <w:rsid w:val="2415395F"/>
    <w:rsid w:val="241E3906"/>
    <w:rsid w:val="241F1535"/>
    <w:rsid w:val="242434AD"/>
    <w:rsid w:val="242C531F"/>
    <w:rsid w:val="243F0A59"/>
    <w:rsid w:val="244A53A4"/>
    <w:rsid w:val="24583CE5"/>
    <w:rsid w:val="246D0D0F"/>
    <w:rsid w:val="24A06FDA"/>
    <w:rsid w:val="24BE7660"/>
    <w:rsid w:val="24E751B2"/>
    <w:rsid w:val="24FB784B"/>
    <w:rsid w:val="250E6A29"/>
    <w:rsid w:val="25177CC4"/>
    <w:rsid w:val="251C6EF8"/>
    <w:rsid w:val="251F6A5A"/>
    <w:rsid w:val="25251947"/>
    <w:rsid w:val="253A21E9"/>
    <w:rsid w:val="25403F0E"/>
    <w:rsid w:val="254B233D"/>
    <w:rsid w:val="25551D73"/>
    <w:rsid w:val="256E45CE"/>
    <w:rsid w:val="25917855"/>
    <w:rsid w:val="259D456C"/>
    <w:rsid w:val="25AF545D"/>
    <w:rsid w:val="25DE2248"/>
    <w:rsid w:val="25F341B8"/>
    <w:rsid w:val="25FC5548"/>
    <w:rsid w:val="26083E4B"/>
    <w:rsid w:val="26233796"/>
    <w:rsid w:val="263137D9"/>
    <w:rsid w:val="26826A21"/>
    <w:rsid w:val="26880F40"/>
    <w:rsid w:val="269B44CE"/>
    <w:rsid w:val="26A67CD8"/>
    <w:rsid w:val="26CC4C1C"/>
    <w:rsid w:val="26E86CFF"/>
    <w:rsid w:val="26FE4807"/>
    <w:rsid w:val="27000ECF"/>
    <w:rsid w:val="270F340E"/>
    <w:rsid w:val="271516D7"/>
    <w:rsid w:val="273720E3"/>
    <w:rsid w:val="274A2EB7"/>
    <w:rsid w:val="276109EE"/>
    <w:rsid w:val="277E3766"/>
    <w:rsid w:val="279044FB"/>
    <w:rsid w:val="279B7742"/>
    <w:rsid w:val="27B360A0"/>
    <w:rsid w:val="27B70ECF"/>
    <w:rsid w:val="27D760B3"/>
    <w:rsid w:val="27FC08C0"/>
    <w:rsid w:val="282B00FE"/>
    <w:rsid w:val="28376EAF"/>
    <w:rsid w:val="283E79FD"/>
    <w:rsid w:val="2841397B"/>
    <w:rsid w:val="28442865"/>
    <w:rsid w:val="284A7D8A"/>
    <w:rsid w:val="284E0A1A"/>
    <w:rsid w:val="28586CDB"/>
    <w:rsid w:val="287D4561"/>
    <w:rsid w:val="28917FE0"/>
    <w:rsid w:val="28CD4A26"/>
    <w:rsid w:val="28E72971"/>
    <w:rsid w:val="28F47954"/>
    <w:rsid w:val="29170E99"/>
    <w:rsid w:val="29176E9A"/>
    <w:rsid w:val="2925639E"/>
    <w:rsid w:val="29AB57BA"/>
    <w:rsid w:val="29AC3933"/>
    <w:rsid w:val="29DD2DE7"/>
    <w:rsid w:val="29E320A4"/>
    <w:rsid w:val="29F771DD"/>
    <w:rsid w:val="29F9563E"/>
    <w:rsid w:val="2A23430B"/>
    <w:rsid w:val="2A417560"/>
    <w:rsid w:val="2A513ADB"/>
    <w:rsid w:val="2A6A3102"/>
    <w:rsid w:val="2A8B7840"/>
    <w:rsid w:val="2AB43742"/>
    <w:rsid w:val="2AB76BC7"/>
    <w:rsid w:val="2AD41A3B"/>
    <w:rsid w:val="2AE324DA"/>
    <w:rsid w:val="2AE4520E"/>
    <w:rsid w:val="2AF055F6"/>
    <w:rsid w:val="2AF2542B"/>
    <w:rsid w:val="2B173BE3"/>
    <w:rsid w:val="2B222CD4"/>
    <w:rsid w:val="2B242374"/>
    <w:rsid w:val="2B64282A"/>
    <w:rsid w:val="2B677666"/>
    <w:rsid w:val="2B952895"/>
    <w:rsid w:val="2BAE3F53"/>
    <w:rsid w:val="2BB54598"/>
    <w:rsid w:val="2BC33268"/>
    <w:rsid w:val="2BEE38B7"/>
    <w:rsid w:val="2BFA22C3"/>
    <w:rsid w:val="2C12443E"/>
    <w:rsid w:val="2C287495"/>
    <w:rsid w:val="2C380ECB"/>
    <w:rsid w:val="2C3C2DCF"/>
    <w:rsid w:val="2C73659E"/>
    <w:rsid w:val="2C7C14EB"/>
    <w:rsid w:val="2C81157F"/>
    <w:rsid w:val="2C851157"/>
    <w:rsid w:val="2CBC233B"/>
    <w:rsid w:val="2CE1774A"/>
    <w:rsid w:val="2CF33E11"/>
    <w:rsid w:val="2D0E7057"/>
    <w:rsid w:val="2D207037"/>
    <w:rsid w:val="2D2B1BF3"/>
    <w:rsid w:val="2D3B1941"/>
    <w:rsid w:val="2D3E7DC9"/>
    <w:rsid w:val="2D3F6612"/>
    <w:rsid w:val="2D424C45"/>
    <w:rsid w:val="2DA810C7"/>
    <w:rsid w:val="2DD536F8"/>
    <w:rsid w:val="2DDE666E"/>
    <w:rsid w:val="2E061BB9"/>
    <w:rsid w:val="2E0F12B7"/>
    <w:rsid w:val="2E1133B2"/>
    <w:rsid w:val="2E3D4E5A"/>
    <w:rsid w:val="2E45636A"/>
    <w:rsid w:val="2E63276C"/>
    <w:rsid w:val="2E690139"/>
    <w:rsid w:val="2E8365BA"/>
    <w:rsid w:val="2E987D4A"/>
    <w:rsid w:val="2EF26F41"/>
    <w:rsid w:val="2F1F1DF9"/>
    <w:rsid w:val="2F293257"/>
    <w:rsid w:val="2F2A24E0"/>
    <w:rsid w:val="2F347AF4"/>
    <w:rsid w:val="2F6D2BB2"/>
    <w:rsid w:val="2FA24D8B"/>
    <w:rsid w:val="2FAA146B"/>
    <w:rsid w:val="2FAA21ED"/>
    <w:rsid w:val="2FC5482B"/>
    <w:rsid w:val="2FD73F93"/>
    <w:rsid w:val="2FE45CE7"/>
    <w:rsid w:val="2FE70D89"/>
    <w:rsid w:val="2FE9630D"/>
    <w:rsid w:val="2FF72A6A"/>
    <w:rsid w:val="2FF807B0"/>
    <w:rsid w:val="300F609F"/>
    <w:rsid w:val="301B541E"/>
    <w:rsid w:val="301F0682"/>
    <w:rsid w:val="30266200"/>
    <w:rsid w:val="30336640"/>
    <w:rsid w:val="306B6D99"/>
    <w:rsid w:val="30771EA0"/>
    <w:rsid w:val="30CF50D7"/>
    <w:rsid w:val="30FB6803"/>
    <w:rsid w:val="30FC50F9"/>
    <w:rsid w:val="31042D8E"/>
    <w:rsid w:val="311831C1"/>
    <w:rsid w:val="31284A31"/>
    <w:rsid w:val="316F20B8"/>
    <w:rsid w:val="31822F12"/>
    <w:rsid w:val="31864DC0"/>
    <w:rsid w:val="31953981"/>
    <w:rsid w:val="31A05065"/>
    <w:rsid w:val="31A63720"/>
    <w:rsid w:val="31BD2EA0"/>
    <w:rsid w:val="31FF7B57"/>
    <w:rsid w:val="320C6E77"/>
    <w:rsid w:val="32172C7F"/>
    <w:rsid w:val="322455D5"/>
    <w:rsid w:val="322768F1"/>
    <w:rsid w:val="322F00EC"/>
    <w:rsid w:val="32541855"/>
    <w:rsid w:val="327834AA"/>
    <w:rsid w:val="327855D2"/>
    <w:rsid w:val="328038DD"/>
    <w:rsid w:val="329A41A0"/>
    <w:rsid w:val="32CB05EA"/>
    <w:rsid w:val="32F21259"/>
    <w:rsid w:val="33042DAD"/>
    <w:rsid w:val="331C727D"/>
    <w:rsid w:val="332831B8"/>
    <w:rsid w:val="332C30A1"/>
    <w:rsid w:val="332C47D8"/>
    <w:rsid w:val="33371219"/>
    <w:rsid w:val="3342153D"/>
    <w:rsid w:val="33510973"/>
    <w:rsid w:val="33545708"/>
    <w:rsid w:val="33635619"/>
    <w:rsid w:val="33DD080A"/>
    <w:rsid w:val="33DF41C6"/>
    <w:rsid w:val="33E006BF"/>
    <w:rsid w:val="33E27AD5"/>
    <w:rsid w:val="33E87040"/>
    <w:rsid w:val="33ED4221"/>
    <w:rsid w:val="34061086"/>
    <w:rsid w:val="34931B4B"/>
    <w:rsid w:val="34BD08C7"/>
    <w:rsid w:val="34C41065"/>
    <w:rsid w:val="34C56B09"/>
    <w:rsid w:val="34E91677"/>
    <w:rsid w:val="35042B59"/>
    <w:rsid w:val="353C0C67"/>
    <w:rsid w:val="355241BC"/>
    <w:rsid w:val="35596AD9"/>
    <w:rsid w:val="355F5FB8"/>
    <w:rsid w:val="35805D0E"/>
    <w:rsid w:val="358E7CA6"/>
    <w:rsid w:val="359D4AD2"/>
    <w:rsid w:val="359D7604"/>
    <w:rsid w:val="35A84F42"/>
    <w:rsid w:val="36186930"/>
    <w:rsid w:val="362E11E5"/>
    <w:rsid w:val="362E4E77"/>
    <w:rsid w:val="364D459D"/>
    <w:rsid w:val="367F78F4"/>
    <w:rsid w:val="368E0205"/>
    <w:rsid w:val="369A33DE"/>
    <w:rsid w:val="369D789A"/>
    <w:rsid w:val="36E17764"/>
    <w:rsid w:val="36F46EFE"/>
    <w:rsid w:val="37066D2A"/>
    <w:rsid w:val="37122819"/>
    <w:rsid w:val="3723271A"/>
    <w:rsid w:val="37264A8D"/>
    <w:rsid w:val="37510DCE"/>
    <w:rsid w:val="37C628D4"/>
    <w:rsid w:val="37DC437A"/>
    <w:rsid w:val="37DC533E"/>
    <w:rsid w:val="37F44E51"/>
    <w:rsid w:val="38153947"/>
    <w:rsid w:val="385440AE"/>
    <w:rsid w:val="386A3468"/>
    <w:rsid w:val="387C1EA7"/>
    <w:rsid w:val="38837DA2"/>
    <w:rsid w:val="38D11C8A"/>
    <w:rsid w:val="38F54968"/>
    <w:rsid w:val="393F2658"/>
    <w:rsid w:val="39435B80"/>
    <w:rsid w:val="394A277C"/>
    <w:rsid w:val="39637A73"/>
    <w:rsid w:val="39845719"/>
    <w:rsid w:val="39C31A48"/>
    <w:rsid w:val="39D027BB"/>
    <w:rsid w:val="39E971C5"/>
    <w:rsid w:val="39FC418E"/>
    <w:rsid w:val="3A003C3A"/>
    <w:rsid w:val="3A3142E7"/>
    <w:rsid w:val="3A53337A"/>
    <w:rsid w:val="3A71057C"/>
    <w:rsid w:val="3A88061E"/>
    <w:rsid w:val="3ACE6E46"/>
    <w:rsid w:val="3AD363C7"/>
    <w:rsid w:val="3AF34358"/>
    <w:rsid w:val="3AFB29B9"/>
    <w:rsid w:val="3B106CF8"/>
    <w:rsid w:val="3B7137D1"/>
    <w:rsid w:val="3B7F7D23"/>
    <w:rsid w:val="3B970FD5"/>
    <w:rsid w:val="3BA416DF"/>
    <w:rsid w:val="3BDD3851"/>
    <w:rsid w:val="3BDF5773"/>
    <w:rsid w:val="3BE13723"/>
    <w:rsid w:val="3C13134E"/>
    <w:rsid w:val="3C26483D"/>
    <w:rsid w:val="3C36416E"/>
    <w:rsid w:val="3C4E20F1"/>
    <w:rsid w:val="3CD2751C"/>
    <w:rsid w:val="3CE878A3"/>
    <w:rsid w:val="3CED2A32"/>
    <w:rsid w:val="3CFE2966"/>
    <w:rsid w:val="3D0B6455"/>
    <w:rsid w:val="3D167EA4"/>
    <w:rsid w:val="3D2E142A"/>
    <w:rsid w:val="3D432317"/>
    <w:rsid w:val="3D54496E"/>
    <w:rsid w:val="3D7F2EE9"/>
    <w:rsid w:val="3D802B81"/>
    <w:rsid w:val="3D846A5A"/>
    <w:rsid w:val="3D920B68"/>
    <w:rsid w:val="3D9D4453"/>
    <w:rsid w:val="3DB57FA9"/>
    <w:rsid w:val="3DDC3D25"/>
    <w:rsid w:val="3DDE0ADB"/>
    <w:rsid w:val="3DDF62C1"/>
    <w:rsid w:val="3DEC6CE2"/>
    <w:rsid w:val="3DF114ED"/>
    <w:rsid w:val="3DF7503B"/>
    <w:rsid w:val="3E0242A2"/>
    <w:rsid w:val="3E026E8A"/>
    <w:rsid w:val="3E0D2DF3"/>
    <w:rsid w:val="3E1D1ED4"/>
    <w:rsid w:val="3E1D3579"/>
    <w:rsid w:val="3E2403F1"/>
    <w:rsid w:val="3E2832E8"/>
    <w:rsid w:val="3E2B7D78"/>
    <w:rsid w:val="3E3925FB"/>
    <w:rsid w:val="3E45796E"/>
    <w:rsid w:val="3E5C2EB0"/>
    <w:rsid w:val="3E5D0EF7"/>
    <w:rsid w:val="3E72198D"/>
    <w:rsid w:val="3E823D9B"/>
    <w:rsid w:val="3EB76990"/>
    <w:rsid w:val="3EC128CE"/>
    <w:rsid w:val="3ED77B27"/>
    <w:rsid w:val="3EED3A6C"/>
    <w:rsid w:val="3EEF5475"/>
    <w:rsid w:val="3F251B84"/>
    <w:rsid w:val="3F2C0029"/>
    <w:rsid w:val="3F3E71C9"/>
    <w:rsid w:val="3F4D20C7"/>
    <w:rsid w:val="3F534941"/>
    <w:rsid w:val="3F536D28"/>
    <w:rsid w:val="3F855CDD"/>
    <w:rsid w:val="3FA94155"/>
    <w:rsid w:val="3FC74A62"/>
    <w:rsid w:val="3FD575A6"/>
    <w:rsid w:val="3FF44037"/>
    <w:rsid w:val="3FFA3375"/>
    <w:rsid w:val="4058296A"/>
    <w:rsid w:val="40617844"/>
    <w:rsid w:val="4081008C"/>
    <w:rsid w:val="40B273EF"/>
    <w:rsid w:val="40E1334E"/>
    <w:rsid w:val="40ED1816"/>
    <w:rsid w:val="40F029B9"/>
    <w:rsid w:val="40F405E6"/>
    <w:rsid w:val="41032ADB"/>
    <w:rsid w:val="411B6AD5"/>
    <w:rsid w:val="413B6865"/>
    <w:rsid w:val="414F7D27"/>
    <w:rsid w:val="415B4B76"/>
    <w:rsid w:val="41625F90"/>
    <w:rsid w:val="417E3344"/>
    <w:rsid w:val="417E7666"/>
    <w:rsid w:val="418C636C"/>
    <w:rsid w:val="41AA0910"/>
    <w:rsid w:val="41AB7333"/>
    <w:rsid w:val="41D54A26"/>
    <w:rsid w:val="41D67E81"/>
    <w:rsid w:val="41EC18EB"/>
    <w:rsid w:val="41F440CB"/>
    <w:rsid w:val="420234E4"/>
    <w:rsid w:val="42596380"/>
    <w:rsid w:val="426534E9"/>
    <w:rsid w:val="426F6C10"/>
    <w:rsid w:val="42C804A0"/>
    <w:rsid w:val="42E9774A"/>
    <w:rsid w:val="42EB14E4"/>
    <w:rsid w:val="43034449"/>
    <w:rsid w:val="430D6D9E"/>
    <w:rsid w:val="4311112A"/>
    <w:rsid w:val="43133C0B"/>
    <w:rsid w:val="431B3F36"/>
    <w:rsid w:val="433543B6"/>
    <w:rsid w:val="43482A98"/>
    <w:rsid w:val="43595662"/>
    <w:rsid w:val="43807A93"/>
    <w:rsid w:val="438C3816"/>
    <w:rsid w:val="4391076B"/>
    <w:rsid w:val="43BC0F28"/>
    <w:rsid w:val="43CE0F87"/>
    <w:rsid w:val="43DE39DE"/>
    <w:rsid w:val="43FC6AD6"/>
    <w:rsid w:val="44032210"/>
    <w:rsid w:val="440D2F8C"/>
    <w:rsid w:val="441C5322"/>
    <w:rsid w:val="445B6954"/>
    <w:rsid w:val="447B7108"/>
    <w:rsid w:val="448E439E"/>
    <w:rsid w:val="4497268A"/>
    <w:rsid w:val="44996D47"/>
    <w:rsid w:val="44A57374"/>
    <w:rsid w:val="44B56F7D"/>
    <w:rsid w:val="45164582"/>
    <w:rsid w:val="451C2AB3"/>
    <w:rsid w:val="45287BE4"/>
    <w:rsid w:val="452D4041"/>
    <w:rsid w:val="453B745D"/>
    <w:rsid w:val="453F01CA"/>
    <w:rsid w:val="455560F9"/>
    <w:rsid w:val="456728FD"/>
    <w:rsid w:val="456B138B"/>
    <w:rsid w:val="457D1132"/>
    <w:rsid w:val="457E6A8A"/>
    <w:rsid w:val="45923CC0"/>
    <w:rsid w:val="45D51AAB"/>
    <w:rsid w:val="46657F48"/>
    <w:rsid w:val="467203E5"/>
    <w:rsid w:val="4676028A"/>
    <w:rsid w:val="468946B2"/>
    <w:rsid w:val="468F07DE"/>
    <w:rsid w:val="469508D0"/>
    <w:rsid w:val="46B06318"/>
    <w:rsid w:val="46FE5A7F"/>
    <w:rsid w:val="47167E41"/>
    <w:rsid w:val="47180CDA"/>
    <w:rsid w:val="47194B1B"/>
    <w:rsid w:val="47195D05"/>
    <w:rsid w:val="47254260"/>
    <w:rsid w:val="47404F6C"/>
    <w:rsid w:val="475A471D"/>
    <w:rsid w:val="475A63E8"/>
    <w:rsid w:val="477040DA"/>
    <w:rsid w:val="47990A76"/>
    <w:rsid w:val="47AC4C1A"/>
    <w:rsid w:val="47E770A1"/>
    <w:rsid w:val="47E849CA"/>
    <w:rsid w:val="47EC1FE2"/>
    <w:rsid w:val="47EF61E1"/>
    <w:rsid w:val="47F72922"/>
    <w:rsid w:val="47FC710F"/>
    <w:rsid w:val="482B0C1A"/>
    <w:rsid w:val="48402D92"/>
    <w:rsid w:val="4847209D"/>
    <w:rsid w:val="486C2F92"/>
    <w:rsid w:val="487A0706"/>
    <w:rsid w:val="48A77C76"/>
    <w:rsid w:val="48CB7489"/>
    <w:rsid w:val="48DF0E87"/>
    <w:rsid w:val="48F77373"/>
    <w:rsid w:val="491D6B78"/>
    <w:rsid w:val="49224E15"/>
    <w:rsid w:val="495A0989"/>
    <w:rsid w:val="495A5D09"/>
    <w:rsid w:val="497560C3"/>
    <w:rsid w:val="4979560E"/>
    <w:rsid w:val="499B3B82"/>
    <w:rsid w:val="499F49A0"/>
    <w:rsid w:val="49C81E80"/>
    <w:rsid w:val="49DF4BD0"/>
    <w:rsid w:val="49F66E28"/>
    <w:rsid w:val="49FD55FD"/>
    <w:rsid w:val="4A007D35"/>
    <w:rsid w:val="4A3F672B"/>
    <w:rsid w:val="4A5B6ABA"/>
    <w:rsid w:val="4A74024B"/>
    <w:rsid w:val="4A8E69B9"/>
    <w:rsid w:val="4ACE2064"/>
    <w:rsid w:val="4AF36944"/>
    <w:rsid w:val="4B012174"/>
    <w:rsid w:val="4B09701C"/>
    <w:rsid w:val="4B5868F3"/>
    <w:rsid w:val="4B5B49CD"/>
    <w:rsid w:val="4B5D2903"/>
    <w:rsid w:val="4B647567"/>
    <w:rsid w:val="4BD2551C"/>
    <w:rsid w:val="4BE86BC3"/>
    <w:rsid w:val="4C347B62"/>
    <w:rsid w:val="4C382DBD"/>
    <w:rsid w:val="4C434B9C"/>
    <w:rsid w:val="4C61509B"/>
    <w:rsid w:val="4CB71352"/>
    <w:rsid w:val="4D06732F"/>
    <w:rsid w:val="4D2A3F9E"/>
    <w:rsid w:val="4D4E6605"/>
    <w:rsid w:val="4D5807DC"/>
    <w:rsid w:val="4D7567C1"/>
    <w:rsid w:val="4DA72EE7"/>
    <w:rsid w:val="4DA904AC"/>
    <w:rsid w:val="4DAB5359"/>
    <w:rsid w:val="4DD67428"/>
    <w:rsid w:val="4DDA2BFC"/>
    <w:rsid w:val="4DFB5E54"/>
    <w:rsid w:val="4E3E65C4"/>
    <w:rsid w:val="4E5B6A1A"/>
    <w:rsid w:val="4E5D03D4"/>
    <w:rsid w:val="4E724CA6"/>
    <w:rsid w:val="4EA33CBF"/>
    <w:rsid w:val="4EC468D8"/>
    <w:rsid w:val="4ED22965"/>
    <w:rsid w:val="4F1D2D8C"/>
    <w:rsid w:val="4F6470B6"/>
    <w:rsid w:val="4F7857EB"/>
    <w:rsid w:val="4F9975EE"/>
    <w:rsid w:val="4FF36462"/>
    <w:rsid w:val="50130B6F"/>
    <w:rsid w:val="5074189D"/>
    <w:rsid w:val="507D70C0"/>
    <w:rsid w:val="50862605"/>
    <w:rsid w:val="509E0129"/>
    <w:rsid w:val="50A44DCB"/>
    <w:rsid w:val="50B62280"/>
    <w:rsid w:val="50D03F32"/>
    <w:rsid w:val="50F3261E"/>
    <w:rsid w:val="50F65242"/>
    <w:rsid w:val="51000C9A"/>
    <w:rsid w:val="514E41A2"/>
    <w:rsid w:val="515266B8"/>
    <w:rsid w:val="518E24E3"/>
    <w:rsid w:val="51951CAF"/>
    <w:rsid w:val="51B44869"/>
    <w:rsid w:val="51DF7E48"/>
    <w:rsid w:val="51EE3AA2"/>
    <w:rsid w:val="51F66AEA"/>
    <w:rsid w:val="51FB4563"/>
    <w:rsid w:val="52030FF1"/>
    <w:rsid w:val="52341D3C"/>
    <w:rsid w:val="52394C1E"/>
    <w:rsid w:val="52472D01"/>
    <w:rsid w:val="52637157"/>
    <w:rsid w:val="526B52EA"/>
    <w:rsid w:val="52991624"/>
    <w:rsid w:val="529A6189"/>
    <w:rsid w:val="52A90DE9"/>
    <w:rsid w:val="5302720B"/>
    <w:rsid w:val="53231228"/>
    <w:rsid w:val="534F7F74"/>
    <w:rsid w:val="535B46B9"/>
    <w:rsid w:val="5365119C"/>
    <w:rsid w:val="53692D0E"/>
    <w:rsid w:val="5376418F"/>
    <w:rsid w:val="537D431D"/>
    <w:rsid w:val="538E37A9"/>
    <w:rsid w:val="53C03E32"/>
    <w:rsid w:val="53DF0871"/>
    <w:rsid w:val="53F65D54"/>
    <w:rsid w:val="54135B66"/>
    <w:rsid w:val="54394660"/>
    <w:rsid w:val="54541F1A"/>
    <w:rsid w:val="545515C6"/>
    <w:rsid w:val="549756CF"/>
    <w:rsid w:val="5498149D"/>
    <w:rsid w:val="549D67A0"/>
    <w:rsid w:val="54B61BFA"/>
    <w:rsid w:val="54C21F40"/>
    <w:rsid w:val="54CA5D3D"/>
    <w:rsid w:val="54ED11DC"/>
    <w:rsid w:val="550A3E4E"/>
    <w:rsid w:val="556942F9"/>
    <w:rsid w:val="55757913"/>
    <w:rsid w:val="558C74FC"/>
    <w:rsid w:val="558D5A75"/>
    <w:rsid w:val="55972559"/>
    <w:rsid w:val="55981D42"/>
    <w:rsid w:val="559E10FD"/>
    <w:rsid w:val="55A051AA"/>
    <w:rsid w:val="55A5770F"/>
    <w:rsid w:val="55C55CDD"/>
    <w:rsid w:val="55D8352F"/>
    <w:rsid w:val="55FF78A5"/>
    <w:rsid w:val="55FF7984"/>
    <w:rsid w:val="5610503F"/>
    <w:rsid w:val="562D3CCF"/>
    <w:rsid w:val="56460DEA"/>
    <w:rsid w:val="565646D4"/>
    <w:rsid w:val="56733401"/>
    <w:rsid w:val="56A52DAD"/>
    <w:rsid w:val="56B81FE5"/>
    <w:rsid w:val="574B0EB1"/>
    <w:rsid w:val="577F2A69"/>
    <w:rsid w:val="578A19D9"/>
    <w:rsid w:val="578F783E"/>
    <w:rsid w:val="57910BCF"/>
    <w:rsid w:val="579B0162"/>
    <w:rsid w:val="57AF3BB9"/>
    <w:rsid w:val="57DE4468"/>
    <w:rsid w:val="57FB1219"/>
    <w:rsid w:val="580905F4"/>
    <w:rsid w:val="58150BE1"/>
    <w:rsid w:val="583C347A"/>
    <w:rsid w:val="584C5549"/>
    <w:rsid w:val="585E235C"/>
    <w:rsid w:val="587D701D"/>
    <w:rsid w:val="5899514C"/>
    <w:rsid w:val="589B12FA"/>
    <w:rsid w:val="589C7EAA"/>
    <w:rsid w:val="589D2579"/>
    <w:rsid w:val="58A666EA"/>
    <w:rsid w:val="58B3479C"/>
    <w:rsid w:val="58C268C5"/>
    <w:rsid w:val="58CA6534"/>
    <w:rsid w:val="58DF1921"/>
    <w:rsid w:val="59045133"/>
    <w:rsid w:val="590C1677"/>
    <w:rsid w:val="596A6138"/>
    <w:rsid w:val="597F32E0"/>
    <w:rsid w:val="59845FD6"/>
    <w:rsid w:val="59971D20"/>
    <w:rsid w:val="59AE49D2"/>
    <w:rsid w:val="59C56BB1"/>
    <w:rsid w:val="59CE7789"/>
    <w:rsid w:val="59CE7BD6"/>
    <w:rsid w:val="59E20292"/>
    <w:rsid w:val="59E34017"/>
    <w:rsid w:val="59FA0A29"/>
    <w:rsid w:val="59FA7746"/>
    <w:rsid w:val="5A0C190A"/>
    <w:rsid w:val="5A2B6911"/>
    <w:rsid w:val="5A3F6864"/>
    <w:rsid w:val="5A697138"/>
    <w:rsid w:val="5A6C136A"/>
    <w:rsid w:val="5A7D6F39"/>
    <w:rsid w:val="5A814BC7"/>
    <w:rsid w:val="5A83101F"/>
    <w:rsid w:val="5A8C2229"/>
    <w:rsid w:val="5AC346E1"/>
    <w:rsid w:val="5ACC6428"/>
    <w:rsid w:val="5ACE0631"/>
    <w:rsid w:val="5AE70EFE"/>
    <w:rsid w:val="5AEF2CB6"/>
    <w:rsid w:val="5B1852BB"/>
    <w:rsid w:val="5B2A2071"/>
    <w:rsid w:val="5B30328B"/>
    <w:rsid w:val="5B6A5553"/>
    <w:rsid w:val="5B6D64DA"/>
    <w:rsid w:val="5B932FE9"/>
    <w:rsid w:val="5BA07C28"/>
    <w:rsid w:val="5BD7152F"/>
    <w:rsid w:val="5BDA4FED"/>
    <w:rsid w:val="5BEA7802"/>
    <w:rsid w:val="5BFD0827"/>
    <w:rsid w:val="5C0A72A0"/>
    <w:rsid w:val="5C2E3E7A"/>
    <w:rsid w:val="5C2F632B"/>
    <w:rsid w:val="5C333E06"/>
    <w:rsid w:val="5C4A1FB9"/>
    <w:rsid w:val="5C4F4FCB"/>
    <w:rsid w:val="5C4F6648"/>
    <w:rsid w:val="5C5D6B46"/>
    <w:rsid w:val="5C895A50"/>
    <w:rsid w:val="5CD55882"/>
    <w:rsid w:val="5CE25678"/>
    <w:rsid w:val="5CF04395"/>
    <w:rsid w:val="5CFD184A"/>
    <w:rsid w:val="5D0A7870"/>
    <w:rsid w:val="5D1868F9"/>
    <w:rsid w:val="5D215EBA"/>
    <w:rsid w:val="5D4D5E06"/>
    <w:rsid w:val="5DC62794"/>
    <w:rsid w:val="5DE05AAC"/>
    <w:rsid w:val="5DE221BE"/>
    <w:rsid w:val="5DEC5B09"/>
    <w:rsid w:val="5E1B2C62"/>
    <w:rsid w:val="5E3B76DE"/>
    <w:rsid w:val="5E404046"/>
    <w:rsid w:val="5ED4088B"/>
    <w:rsid w:val="5F0D7DD0"/>
    <w:rsid w:val="5F202B45"/>
    <w:rsid w:val="5F2B768D"/>
    <w:rsid w:val="5F3C6223"/>
    <w:rsid w:val="5F426F85"/>
    <w:rsid w:val="5F74788B"/>
    <w:rsid w:val="5FA74A35"/>
    <w:rsid w:val="5FAE744B"/>
    <w:rsid w:val="5FBA4C43"/>
    <w:rsid w:val="5FBD6CD9"/>
    <w:rsid w:val="5FC55C91"/>
    <w:rsid w:val="5FCC2B56"/>
    <w:rsid w:val="5FCE4FE0"/>
    <w:rsid w:val="5FE57321"/>
    <w:rsid w:val="60116F2A"/>
    <w:rsid w:val="60132B88"/>
    <w:rsid w:val="601A1FB0"/>
    <w:rsid w:val="60230060"/>
    <w:rsid w:val="60330584"/>
    <w:rsid w:val="603C0396"/>
    <w:rsid w:val="605B0DCF"/>
    <w:rsid w:val="609871D8"/>
    <w:rsid w:val="60A13B12"/>
    <w:rsid w:val="60C313F7"/>
    <w:rsid w:val="60F23A9A"/>
    <w:rsid w:val="61071422"/>
    <w:rsid w:val="6131730B"/>
    <w:rsid w:val="613535F6"/>
    <w:rsid w:val="614C7514"/>
    <w:rsid w:val="615036F1"/>
    <w:rsid w:val="615071D8"/>
    <w:rsid w:val="61757AC0"/>
    <w:rsid w:val="617B2D0F"/>
    <w:rsid w:val="618C1EDF"/>
    <w:rsid w:val="619C32C1"/>
    <w:rsid w:val="61D63961"/>
    <w:rsid w:val="62065A0D"/>
    <w:rsid w:val="620F7518"/>
    <w:rsid w:val="621651C1"/>
    <w:rsid w:val="62381E2E"/>
    <w:rsid w:val="62615A84"/>
    <w:rsid w:val="626D1413"/>
    <w:rsid w:val="62770010"/>
    <w:rsid w:val="62D7293B"/>
    <w:rsid w:val="62F62C2B"/>
    <w:rsid w:val="631F36C1"/>
    <w:rsid w:val="63315D79"/>
    <w:rsid w:val="633B6939"/>
    <w:rsid w:val="63E70CDE"/>
    <w:rsid w:val="64196334"/>
    <w:rsid w:val="64207D47"/>
    <w:rsid w:val="6433783A"/>
    <w:rsid w:val="64396F65"/>
    <w:rsid w:val="644D38CB"/>
    <w:rsid w:val="645A676F"/>
    <w:rsid w:val="646368AD"/>
    <w:rsid w:val="646D4418"/>
    <w:rsid w:val="647E1D35"/>
    <w:rsid w:val="648805C5"/>
    <w:rsid w:val="64A8418B"/>
    <w:rsid w:val="64BA61B4"/>
    <w:rsid w:val="64BD415F"/>
    <w:rsid w:val="64E75CA6"/>
    <w:rsid w:val="64FD4E45"/>
    <w:rsid w:val="65124A1A"/>
    <w:rsid w:val="654D230E"/>
    <w:rsid w:val="654F172F"/>
    <w:rsid w:val="6551595C"/>
    <w:rsid w:val="6560362B"/>
    <w:rsid w:val="6563227B"/>
    <w:rsid w:val="65A6228B"/>
    <w:rsid w:val="65BA64D1"/>
    <w:rsid w:val="65C82BC8"/>
    <w:rsid w:val="65CC77C9"/>
    <w:rsid w:val="65CE003E"/>
    <w:rsid w:val="65E0020E"/>
    <w:rsid w:val="65E4678D"/>
    <w:rsid w:val="66035310"/>
    <w:rsid w:val="660709C5"/>
    <w:rsid w:val="66111ECC"/>
    <w:rsid w:val="66112CB1"/>
    <w:rsid w:val="661C5047"/>
    <w:rsid w:val="66235FDA"/>
    <w:rsid w:val="66445923"/>
    <w:rsid w:val="664C6713"/>
    <w:rsid w:val="66644D6A"/>
    <w:rsid w:val="669B177A"/>
    <w:rsid w:val="66C1105E"/>
    <w:rsid w:val="66C4616A"/>
    <w:rsid w:val="66FF305B"/>
    <w:rsid w:val="671A5427"/>
    <w:rsid w:val="672A78D5"/>
    <w:rsid w:val="67435A4C"/>
    <w:rsid w:val="675D240A"/>
    <w:rsid w:val="67663EE3"/>
    <w:rsid w:val="677F2526"/>
    <w:rsid w:val="680A0A77"/>
    <w:rsid w:val="68211045"/>
    <w:rsid w:val="682C39EA"/>
    <w:rsid w:val="682C5261"/>
    <w:rsid w:val="68327699"/>
    <w:rsid w:val="685A31DB"/>
    <w:rsid w:val="68642435"/>
    <w:rsid w:val="686C7C45"/>
    <w:rsid w:val="68880E76"/>
    <w:rsid w:val="68897B4C"/>
    <w:rsid w:val="688C74D1"/>
    <w:rsid w:val="689271D5"/>
    <w:rsid w:val="68D67986"/>
    <w:rsid w:val="68E93A91"/>
    <w:rsid w:val="68EC7929"/>
    <w:rsid w:val="68FC3BC1"/>
    <w:rsid w:val="690046C8"/>
    <w:rsid w:val="690A4086"/>
    <w:rsid w:val="692A6280"/>
    <w:rsid w:val="694D108B"/>
    <w:rsid w:val="696E200A"/>
    <w:rsid w:val="69826254"/>
    <w:rsid w:val="69885251"/>
    <w:rsid w:val="699A19D9"/>
    <w:rsid w:val="69CB1B30"/>
    <w:rsid w:val="69D55C03"/>
    <w:rsid w:val="69D62667"/>
    <w:rsid w:val="6A1F16F5"/>
    <w:rsid w:val="6A391E37"/>
    <w:rsid w:val="6A4F4E2E"/>
    <w:rsid w:val="6A5050E8"/>
    <w:rsid w:val="6A555FD1"/>
    <w:rsid w:val="6A777F7B"/>
    <w:rsid w:val="6AC02DC5"/>
    <w:rsid w:val="6AC85A4A"/>
    <w:rsid w:val="6ACA6C32"/>
    <w:rsid w:val="6AFB61CC"/>
    <w:rsid w:val="6AFC062F"/>
    <w:rsid w:val="6B1738EE"/>
    <w:rsid w:val="6B354779"/>
    <w:rsid w:val="6B83542B"/>
    <w:rsid w:val="6B864FB3"/>
    <w:rsid w:val="6BD17A83"/>
    <w:rsid w:val="6BE045DC"/>
    <w:rsid w:val="6BF8416F"/>
    <w:rsid w:val="6C0F5FF8"/>
    <w:rsid w:val="6C2900AA"/>
    <w:rsid w:val="6C2C3C64"/>
    <w:rsid w:val="6C3E1FDE"/>
    <w:rsid w:val="6C997348"/>
    <w:rsid w:val="6C9F2278"/>
    <w:rsid w:val="6CB57F83"/>
    <w:rsid w:val="6CB87699"/>
    <w:rsid w:val="6D1C0260"/>
    <w:rsid w:val="6D1E1575"/>
    <w:rsid w:val="6D58728F"/>
    <w:rsid w:val="6D5D77EE"/>
    <w:rsid w:val="6D7A4448"/>
    <w:rsid w:val="6DB115EC"/>
    <w:rsid w:val="6DB6270A"/>
    <w:rsid w:val="6DBC12D3"/>
    <w:rsid w:val="6DBD1BE4"/>
    <w:rsid w:val="6DC0151E"/>
    <w:rsid w:val="6DC53C69"/>
    <w:rsid w:val="6DE27717"/>
    <w:rsid w:val="6E135FDF"/>
    <w:rsid w:val="6E27179F"/>
    <w:rsid w:val="6E361416"/>
    <w:rsid w:val="6E3D69D7"/>
    <w:rsid w:val="6E593FF2"/>
    <w:rsid w:val="6E6563C9"/>
    <w:rsid w:val="6E8E187C"/>
    <w:rsid w:val="6EA15F17"/>
    <w:rsid w:val="6EAB76FF"/>
    <w:rsid w:val="6ED572E8"/>
    <w:rsid w:val="6EE516A5"/>
    <w:rsid w:val="6EEA6F11"/>
    <w:rsid w:val="6EF374CB"/>
    <w:rsid w:val="6F220E08"/>
    <w:rsid w:val="6F451FE0"/>
    <w:rsid w:val="6F4B497F"/>
    <w:rsid w:val="6F5B38C6"/>
    <w:rsid w:val="6F625B4C"/>
    <w:rsid w:val="6F7F57F5"/>
    <w:rsid w:val="6FB976FB"/>
    <w:rsid w:val="6FC24A3D"/>
    <w:rsid w:val="6FEE1AFF"/>
    <w:rsid w:val="6FF65F4F"/>
    <w:rsid w:val="703171CD"/>
    <w:rsid w:val="704A7E91"/>
    <w:rsid w:val="70554FDE"/>
    <w:rsid w:val="708C5101"/>
    <w:rsid w:val="708D7C2C"/>
    <w:rsid w:val="70E90D38"/>
    <w:rsid w:val="70ED5796"/>
    <w:rsid w:val="71054E2B"/>
    <w:rsid w:val="7118616E"/>
    <w:rsid w:val="71316BDA"/>
    <w:rsid w:val="71370225"/>
    <w:rsid w:val="715504B8"/>
    <w:rsid w:val="716D25E8"/>
    <w:rsid w:val="71A04515"/>
    <w:rsid w:val="71BC19E8"/>
    <w:rsid w:val="71C95E21"/>
    <w:rsid w:val="7242234F"/>
    <w:rsid w:val="725B5222"/>
    <w:rsid w:val="72613EC4"/>
    <w:rsid w:val="72617D94"/>
    <w:rsid w:val="726E11B2"/>
    <w:rsid w:val="72A51780"/>
    <w:rsid w:val="72A953C2"/>
    <w:rsid w:val="72AD4E8A"/>
    <w:rsid w:val="72BA5564"/>
    <w:rsid w:val="72C4059D"/>
    <w:rsid w:val="72D92B43"/>
    <w:rsid w:val="731E73F6"/>
    <w:rsid w:val="732B3F48"/>
    <w:rsid w:val="734722C6"/>
    <w:rsid w:val="736425D8"/>
    <w:rsid w:val="73722A61"/>
    <w:rsid w:val="73A17478"/>
    <w:rsid w:val="73B43DF3"/>
    <w:rsid w:val="73C20DD1"/>
    <w:rsid w:val="73F85BCD"/>
    <w:rsid w:val="740572FA"/>
    <w:rsid w:val="74167334"/>
    <w:rsid w:val="746E22CE"/>
    <w:rsid w:val="74891793"/>
    <w:rsid w:val="749F2791"/>
    <w:rsid w:val="74A46C2C"/>
    <w:rsid w:val="74B30112"/>
    <w:rsid w:val="74CA6DBD"/>
    <w:rsid w:val="74D07A45"/>
    <w:rsid w:val="74D5080C"/>
    <w:rsid w:val="74D60342"/>
    <w:rsid w:val="74F80379"/>
    <w:rsid w:val="74FA4014"/>
    <w:rsid w:val="750F1086"/>
    <w:rsid w:val="752A78C4"/>
    <w:rsid w:val="752F7E8F"/>
    <w:rsid w:val="75331604"/>
    <w:rsid w:val="7535528B"/>
    <w:rsid w:val="75407CF2"/>
    <w:rsid w:val="7548328D"/>
    <w:rsid w:val="75553B2E"/>
    <w:rsid w:val="75627E48"/>
    <w:rsid w:val="756A3167"/>
    <w:rsid w:val="75C27B12"/>
    <w:rsid w:val="75CB4ED9"/>
    <w:rsid w:val="762F540A"/>
    <w:rsid w:val="766833FC"/>
    <w:rsid w:val="766F396A"/>
    <w:rsid w:val="76861890"/>
    <w:rsid w:val="76865D89"/>
    <w:rsid w:val="76A75C9D"/>
    <w:rsid w:val="76CF5A8E"/>
    <w:rsid w:val="76EB0108"/>
    <w:rsid w:val="76F26EAD"/>
    <w:rsid w:val="77322087"/>
    <w:rsid w:val="77496C68"/>
    <w:rsid w:val="776668C0"/>
    <w:rsid w:val="77800B45"/>
    <w:rsid w:val="77AB3965"/>
    <w:rsid w:val="77B4081E"/>
    <w:rsid w:val="77F47F22"/>
    <w:rsid w:val="78221301"/>
    <w:rsid w:val="785462A3"/>
    <w:rsid w:val="785632A7"/>
    <w:rsid w:val="7858038B"/>
    <w:rsid w:val="785F1F58"/>
    <w:rsid w:val="786A664C"/>
    <w:rsid w:val="78904413"/>
    <w:rsid w:val="78CB16AD"/>
    <w:rsid w:val="78CB2B21"/>
    <w:rsid w:val="78D00F9A"/>
    <w:rsid w:val="78D2287F"/>
    <w:rsid w:val="78D96AA8"/>
    <w:rsid w:val="78DF567F"/>
    <w:rsid w:val="79012392"/>
    <w:rsid w:val="7903192A"/>
    <w:rsid w:val="79105053"/>
    <w:rsid w:val="79122CEB"/>
    <w:rsid w:val="791E181D"/>
    <w:rsid w:val="79504E6F"/>
    <w:rsid w:val="797A4592"/>
    <w:rsid w:val="79B539E2"/>
    <w:rsid w:val="79BD396C"/>
    <w:rsid w:val="79C30259"/>
    <w:rsid w:val="79F00013"/>
    <w:rsid w:val="7A03550C"/>
    <w:rsid w:val="7A0E139C"/>
    <w:rsid w:val="7A162F5D"/>
    <w:rsid w:val="7A264A9D"/>
    <w:rsid w:val="7A4A585A"/>
    <w:rsid w:val="7A511E57"/>
    <w:rsid w:val="7A550511"/>
    <w:rsid w:val="7A5604DF"/>
    <w:rsid w:val="7A721720"/>
    <w:rsid w:val="7A847857"/>
    <w:rsid w:val="7AA17009"/>
    <w:rsid w:val="7AAE3C31"/>
    <w:rsid w:val="7ABB5703"/>
    <w:rsid w:val="7AC45F31"/>
    <w:rsid w:val="7B036B98"/>
    <w:rsid w:val="7B0A7E69"/>
    <w:rsid w:val="7B311415"/>
    <w:rsid w:val="7B4062F0"/>
    <w:rsid w:val="7B444A27"/>
    <w:rsid w:val="7B451617"/>
    <w:rsid w:val="7B641F6B"/>
    <w:rsid w:val="7B691C77"/>
    <w:rsid w:val="7B815A42"/>
    <w:rsid w:val="7BD74994"/>
    <w:rsid w:val="7BFE194A"/>
    <w:rsid w:val="7C131413"/>
    <w:rsid w:val="7C1E7959"/>
    <w:rsid w:val="7C407735"/>
    <w:rsid w:val="7C68359C"/>
    <w:rsid w:val="7C745784"/>
    <w:rsid w:val="7C840452"/>
    <w:rsid w:val="7C932770"/>
    <w:rsid w:val="7C935606"/>
    <w:rsid w:val="7C95308D"/>
    <w:rsid w:val="7CA22AA3"/>
    <w:rsid w:val="7CAB777C"/>
    <w:rsid w:val="7CB63B60"/>
    <w:rsid w:val="7CB76712"/>
    <w:rsid w:val="7CBA01A7"/>
    <w:rsid w:val="7CED6D6E"/>
    <w:rsid w:val="7D0660C9"/>
    <w:rsid w:val="7D0B3866"/>
    <w:rsid w:val="7D5626E9"/>
    <w:rsid w:val="7D67620A"/>
    <w:rsid w:val="7D702E07"/>
    <w:rsid w:val="7D76119C"/>
    <w:rsid w:val="7D793696"/>
    <w:rsid w:val="7D837448"/>
    <w:rsid w:val="7D974FD2"/>
    <w:rsid w:val="7D9E229F"/>
    <w:rsid w:val="7DAF43F2"/>
    <w:rsid w:val="7DBD2152"/>
    <w:rsid w:val="7DE45E8A"/>
    <w:rsid w:val="7E026423"/>
    <w:rsid w:val="7E0D5C30"/>
    <w:rsid w:val="7E16453B"/>
    <w:rsid w:val="7E1E0946"/>
    <w:rsid w:val="7E46060F"/>
    <w:rsid w:val="7E641FE1"/>
    <w:rsid w:val="7E6D7106"/>
    <w:rsid w:val="7EAD2019"/>
    <w:rsid w:val="7EBE50E3"/>
    <w:rsid w:val="7ECF1F1B"/>
    <w:rsid w:val="7EDD30B7"/>
    <w:rsid w:val="7EE54D50"/>
    <w:rsid w:val="7F0D0EDC"/>
    <w:rsid w:val="7F1A4388"/>
    <w:rsid w:val="7F227A43"/>
    <w:rsid w:val="7F26049B"/>
    <w:rsid w:val="7F3C247A"/>
    <w:rsid w:val="7F4110E7"/>
    <w:rsid w:val="7F546F9A"/>
    <w:rsid w:val="7F76482E"/>
    <w:rsid w:val="7F7659AF"/>
    <w:rsid w:val="7FA52B83"/>
    <w:rsid w:val="7FD60384"/>
    <w:rsid w:val="7FD64FE3"/>
    <w:rsid w:val="7FDE26E8"/>
    <w:rsid w:val="7FE24093"/>
    <w:rsid w:val="7FEE63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27"/>
    <w:qFormat/>
    <w:uiPriority w:val="9"/>
    <w:pPr>
      <w:keepNext/>
      <w:snapToGrid w:val="0"/>
      <w:spacing w:beforeLines="100" w:afterLines="50"/>
      <w:jc w:val="center"/>
      <w:outlineLvl w:val="0"/>
    </w:pPr>
    <w:rPr>
      <w:rFonts w:eastAsia="黑体"/>
      <w:bCs/>
      <w:color w:val="FF0000"/>
      <w:sz w:val="32"/>
      <w:szCs w:val="32"/>
    </w:rPr>
  </w:style>
  <w:style w:type="paragraph" w:styleId="3">
    <w:name w:val="heading 2"/>
    <w:basedOn w:val="1"/>
    <w:next w:val="1"/>
    <w:link w:val="28"/>
    <w:qFormat/>
    <w:uiPriority w:val="0"/>
    <w:pPr>
      <w:keepNext/>
      <w:keepLines/>
      <w:numPr>
        <w:ilvl w:val="1"/>
        <w:numId w:val="1"/>
      </w:numPr>
      <w:snapToGrid w:val="0"/>
      <w:spacing w:line="600" w:lineRule="atLeast"/>
      <w:outlineLvl w:val="1"/>
    </w:pPr>
    <w:rPr>
      <w:rFonts w:eastAsia="黑体"/>
      <w:color w:val="C00000"/>
      <w:sz w:val="28"/>
      <w:szCs w:val="28"/>
    </w:rPr>
  </w:style>
  <w:style w:type="paragraph" w:styleId="4">
    <w:name w:val="heading 3"/>
    <w:basedOn w:val="1"/>
    <w:next w:val="1"/>
    <w:link w:val="29"/>
    <w:qFormat/>
    <w:uiPriority w:val="0"/>
    <w:pPr>
      <w:keepNext/>
      <w:keepLines/>
      <w:spacing w:before="260" w:after="260" w:line="416" w:lineRule="auto"/>
      <w:outlineLvl w:val="2"/>
    </w:pPr>
    <w:rPr>
      <w:b/>
      <w:bCs/>
      <w:color w:val="0070C0"/>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 w:val="21"/>
      <w:szCs w:val="22"/>
    </w:rPr>
  </w:style>
  <w:style w:type="paragraph" w:styleId="6">
    <w:name w:val="annotation text"/>
    <w:basedOn w:val="1"/>
    <w:link w:val="38"/>
    <w:semiHidden/>
    <w:unhideWhenUsed/>
    <w:qFormat/>
    <w:uiPriority w:val="99"/>
    <w:pPr>
      <w:jc w:val="left"/>
    </w:pPr>
  </w:style>
  <w:style w:type="paragraph" w:styleId="7">
    <w:name w:val="toc 5"/>
    <w:basedOn w:val="1"/>
    <w:next w:val="1"/>
    <w:unhideWhenUsed/>
    <w:qFormat/>
    <w:uiPriority w:val="39"/>
    <w:pPr>
      <w:spacing w:line="240" w:lineRule="auto"/>
      <w:ind w:left="1680" w:leftChars="800" w:firstLine="0" w:firstLineChars="0"/>
    </w:pPr>
    <w:rPr>
      <w:rFonts w:asciiTheme="minorHAnsi" w:hAnsiTheme="minorHAnsi" w:eastAsiaTheme="minorEastAsia" w:cstheme="minorBidi"/>
      <w:sz w:val="21"/>
      <w:szCs w:val="22"/>
    </w:rPr>
  </w:style>
  <w:style w:type="paragraph" w:styleId="8">
    <w:name w:val="toc 3"/>
    <w:basedOn w:val="1"/>
    <w:next w:val="1"/>
    <w:unhideWhenUsed/>
    <w:qFormat/>
    <w:uiPriority w:val="39"/>
    <w:pPr>
      <w:spacing w:line="240" w:lineRule="auto"/>
      <w:ind w:left="840" w:leftChars="400" w:firstLine="0" w:firstLineChars="0"/>
    </w:pPr>
    <w:rPr>
      <w:rFonts w:asciiTheme="minorHAnsi" w:hAnsiTheme="minorHAnsi" w:eastAsiaTheme="minorEastAsia" w:cstheme="minorBidi"/>
      <w:sz w:val="21"/>
      <w:szCs w:val="22"/>
    </w:rPr>
  </w:style>
  <w:style w:type="paragraph" w:styleId="9">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 w:val="21"/>
      <w:szCs w:val="22"/>
    </w:rPr>
  </w:style>
  <w:style w:type="paragraph" w:styleId="10">
    <w:name w:val="Balloon Text"/>
    <w:basedOn w:val="1"/>
    <w:link w:val="37"/>
    <w:unhideWhenUsed/>
    <w:qFormat/>
    <w:uiPriority w:val="99"/>
    <w:pPr>
      <w:spacing w:line="240" w:lineRule="auto"/>
    </w:pPr>
    <w:rPr>
      <w:sz w:val="18"/>
      <w:szCs w:val="18"/>
    </w:rPr>
  </w:style>
  <w:style w:type="paragraph" w:styleId="11">
    <w:name w:val="footer"/>
    <w:basedOn w:val="1"/>
    <w:link w:val="32"/>
    <w:unhideWhenUsed/>
    <w:qFormat/>
    <w:uiPriority w:val="99"/>
    <w:pPr>
      <w:tabs>
        <w:tab w:val="center" w:pos="4153"/>
        <w:tab w:val="right" w:pos="8306"/>
      </w:tabs>
      <w:snapToGrid w:val="0"/>
      <w:jc w:val="left"/>
    </w:pPr>
    <w:rPr>
      <w:sz w:val="18"/>
      <w:szCs w:val="18"/>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b/>
      <w:bCs/>
      <w:caps/>
      <w:sz w:val="28"/>
      <w:szCs w:val="20"/>
    </w:rPr>
  </w:style>
  <w:style w:type="paragraph" w:styleId="14">
    <w:name w:val="toc 4"/>
    <w:basedOn w:val="1"/>
    <w:next w:val="1"/>
    <w:unhideWhenUsed/>
    <w:qFormat/>
    <w:uiPriority w:val="39"/>
    <w:pPr>
      <w:spacing w:line="240" w:lineRule="auto"/>
      <w:ind w:left="1260" w:leftChars="600" w:firstLine="0" w:firstLineChars="0"/>
    </w:pPr>
    <w:rPr>
      <w:rFonts w:asciiTheme="minorHAnsi" w:hAnsiTheme="minorHAnsi" w:eastAsiaTheme="minorEastAsia" w:cstheme="minorBidi"/>
      <w:sz w:val="21"/>
      <w:szCs w:val="22"/>
    </w:rPr>
  </w:style>
  <w:style w:type="paragraph" w:styleId="15">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 w:val="21"/>
      <w:szCs w:val="22"/>
    </w:rPr>
  </w:style>
  <w:style w:type="paragraph" w:styleId="16">
    <w:name w:val="toc 2"/>
    <w:basedOn w:val="1"/>
    <w:next w:val="1"/>
    <w:qFormat/>
    <w:uiPriority w:val="39"/>
    <w:pPr>
      <w:spacing w:line="300" w:lineRule="exact"/>
      <w:jc w:val="left"/>
    </w:pPr>
    <w:rPr>
      <w:smallCaps/>
      <w:sz w:val="28"/>
      <w:szCs w:val="20"/>
    </w:rPr>
  </w:style>
  <w:style w:type="paragraph" w:styleId="17">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 w:val="21"/>
      <w:szCs w:val="22"/>
    </w:rPr>
  </w:style>
  <w:style w:type="paragraph" w:styleId="18">
    <w:name w:val="Normal (Web)"/>
    <w:basedOn w:val="1"/>
    <w:qFormat/>
    <w:uiPriority w:val="0"/>
    <w:pPr>
      <w:spacing w:before="100" w:beforeAutospacing="1" w:after="100" w:afterAutospacing="1"/>
      <w:jc w:val="left"/>
    </w:pPr>
    <w:rPr>
      <w:kern w:val="0"/>
    </w:rPr>
  </w:style>
  <w:style w:type="paragraph" w:styleId="19">
    <w:name w:val="Title"/>
    <w:basedOn w:val="1"/>
    <w:next w:val="1"/>
    <w:link w:val="30"/>
    <w:qFormat/>
    <w:uiPriority w:val="0"/>
    <w:pPr>
      <w:spacing w:before="240" w:after="60"/>
      <w:jc w:val="center"/>
      <w:outlineLvl w:val="0"/>
    </w:pPr>
    <w:rPr>
      <w:rFonts w:asciiTheme="majorHAnsi" w:hAnsiTheme="majorHAnsi" w:cstheme="majorBidi"/>
      <w:b/>
      <w:bCs/>
      <w:sz w:val="32"/>
      <w:szCs w:val="32"/>
    </w:rPr>
  </w:style>
  <w:style w:type="paragraph" w:styleId="20">
    <w:name w:val="annotation subject"/>
    <w:basedOn w:val="6"/>
    <w:next w:val="6"/>
    <w:link w:val="39"/>
    <w:semiHidden/>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000000"/>
      <w:sz w:val="18"/>
      <w:szCs w:val="18"/>
      <w:u w:val="none"/>
    </w:rPr>
  </w:style>
  <w:style w:type="character" w:styleId="25">
    <w:name w:val="Hyperlink"/>
    <w:qFormat/>
    <w:uiPriority w:val="99"/>
    <w:rPr>
      <w:color w:val="0000FF"/>
      <w:u w:val="single"/>
    </w:rPr>
  </w:style>
  <w:style w:type="character" w:styleId="26">
    <w:name w:val="annotation reference"/>
    <w:basedOn w:val="23"/>
    <w:semiHidden/>
    <w:unhideWhenUsed/>
    <w:qFormat/>
    <w:uiPriority w:val="99"/>
    <w:rPr>
      <w:sz w:val="21"/>
      <w:szCs w:val="21"/>
    </w:rPr>
  </w:style>
  <w:style w:type="character" w:customStyle="1" w:styleId="27">
    <w:name w:val="标题 1 Char"/>
    <w:basedOn w:val="23"/>
    <w:link w:val="2"/>
    <w:qFormat/>
    <w:uiPriority w:val="9"/>
    <w:rPr>
      <w:rFonts w:eastAsia="黑体"/>
      <w:bCs/>
      <w:color w:val="FF0000"/>
      <w:kern w:val="2"/>
      <w:sz w:val="32"/>
      <w:szCs w:val="32"/>
    </w:rPr>
  </w:style>
  <w:style w:type="character" w:customStyle="1" w:styleId="28">
    <w:name w:val="标题 2 Char"/>
    <w:basedOn w:val="23"/>
    <w:link w:val="3"/>
    <w:qFormat/>
    <w:uiPriority w:val="0"/>
    <w:rPr>
      <w:rFonts w:eastAsia="黑体"/>
      <w:color w:val="C00000"/>
      <w:kern w:val="2"/>
      <w:sz w:val="28"/>
      <w:szCs w:val="28"/>
    </w:rPr>
  </w:style>
  <w:style w:type="character" w:customStyle="1" w:styleId="29">
    <w:name w:val="标题 3 Char"/>
    <w:basedOn w:val="23"/>
    <w:link w:val="4"/>
    <w:qFormat/>
    <w:uiPriority w:val="0"/>
    <w:rPr>
      <w:b/>
      <w:bCs/>
      <w:color w:val="0070C0"/>
      <w:kern w:val="2"/>
      <w:sz w:val="32"/>
      <w:szCs w:val="32"/>
    </w:rPr>
  </w:style>
  <w:style w:type="character" w:customStyle="1" w:styleId="30">
    <w:name w:val="标题 Char"/>
    <w:basedOn w:val="23"/>
    <w:link w:val="19"/>
    <w:qFormat/>
    <w:uiPriority w:val="0"/>
    <w:rPr>
      <w:rFonts w:asciiTheme="majorHAnsi" w:hAnsiTheme="majorHAnsi" w:cstheme="majorBidi"/>
      <w:b/>
      <w:bCs/>
      <w:kern w:val="2"/>
      <w:sz w:val="32"/>
      <w:szCs w:val="32"/>
    </w:rPr>
  </w:style>
  <w:style w:type="character" w:customStyle="1" w:styleId="31">
    <w:name w:val="页眉 Char"/>
    <w:basedOn w:val="23"/>
    <w:link w:val="12"/>
    <w:qFormat/>
    <w:uiPriority w:val="99"/>
    <w:rPr>
      <w:rFonts w:eastAsia="仿宋_GB2312"/>
      <w:kern w:val="2"/>
      <w:sz w:val="18"/>
      <w:szCs w:val="18"/>
    </w:rPr>
  </w:style>
  <w:style w:type="character" w:customStyle="1" w:styleId="32">
    <w:name w:val="页脚 Char"/>
    <w:basedOn w:val="23"/>
    <w:link w:val="11"/>
    <w:qFormat/>
    <w:uiPriority w:val="99"/>
    <w:rPr>
      <w:rFonts w:eastAsia="仿宋_GB2312"/>
      <w:kern w:val="2"/>
      <w:sz w:val="18"/>
      <w:szCs w:val="18"/>
    </w:rPr>
  </w:style>
  <w:style w:type="paragraph" w:customStyle="1" w:styleId="33">
    <w:name w:val="列出段落2"/>
    <w:basedOn w:val="1"/>
    <w:qFormat/>
    <w:uiPriority w:val="34"/>
    <w:pPr>
      <w:ind w:firstLine="420"/>
    </w:pPr>
  </w:style>
  <w:style w:type="paragraph" w:customStyle="1" w:styleId="34">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paragraph" w:customStyle="1" w:styleId="35">
    <w:name w:val="列出段落1"/>
    <w:basedOn w:val="1"/>
    <w:qFormat/>
    <w:uiPriority w:val="99"/>
    <w:pPr>
      <w:spacing w:line="240" w:lineRule="auto"/>
      <w:ind w:firstLine="420"/>
    </w:pPr>
    <w:rPr>
      <w:rFonts w:ascii="Calibri" w:hAnsi="Calibri" w:eastAsia="宋体"/>
      <w:sz w:val="21"/>
      <w:szCs w:val="22"/>
    </w:rPr>
  </w:style>
  <w:style w:type="paragraph" w:customStyle="1" w:styleId="36">
    <w:name w:val="TOC 标题1"/>
    <w:basedOn w:val="2"/>
    <w:next w:val="1"/>
    <w:unhideWhenUsed/>
    <w:qFormat/>
    <w:uiPriority w:val="39"/>
    <w:pPr>
      <w:keepLines/>
      <w:widowControl/>
      <w:snapToGrid/>
      <w:spacing w:beforeLines="0" w:afterLines="0" w:line="276" w:lineRule="auto"/>
      <w:jc w:val="left"/>
      <w:outlineLvl w:val="9"/>
    </w:pPr>
    <w:rPr>
      <w:rFonts w:asciiTheme="majorHAnsi" w:hAnsiTheme="majorHAnsi" w:eastAsiaTheme="majorEastAsia" w:cstheme="majorBidi"/>
      <w:b/>
      <w:color w:val="366091" w:themeColor="accent1" w:themeShade="BF"/>
      <w:kern w:val="0"/>
      <w:sz w:val="28"/>
      <w:szCs w:val="28"/>
    </w:rPr>
  </w:style>
  <w:style w:type="character" w:customStyle="1" w:styleId="37">
    <w:name w:val="批注框文本 Char"/>
    <w:basedOn w:val="23"/>
    <w:link w:val="10"/>
    <w:semiHidden/>
    <w:qFormat/>
    <w:uiPriority w:val="99"/>
    <w:rPr>
      <w:rFonts w:eastAsia="仿宋_GB2312"/>
      <w:kern w:val="2"/>
      <w:sz w:val="18"/>
      <w:szCs w:val="18"/>
    </w:rPr>
  </w:style>
  <w:style w:type="character" w:customStyle="1" w:styleId="38">
    <w:name w:val="批注文字 Char"/>
    <w:basedOn w:val="23"/>
    <w:link w:val="6"/>
    <w:semiHidden/>
    <w:qFormat/>
    <w:uiPriority w:val="99"/>
    <w:rPr>
      <w:rFonts w:eastAsia="仿宋_GB2312"/>
      <w:kern w:val="2"/>
      <w:sz w:val="24"/>
      <w:szCs w:val="24"/>
    </w:rPr>
  </w:style>
  <w:style w:type="character" w:customStyle="1" w:styleId="39">
    <w:name w:val="批注主题 Char"/>
    <w:basedOn w:val="38"/>
    <w:link w:val="20"/>
    <w:qFormat/>
    <w:uiPriority w:val="0"/>
  </w:style>
  <w:style w:type="paragraph" w:styleId="40">
    <w:name w:val="List Paragraph"/>
    <w:basedOn w:val="1"/>
    <w:unhideWhenUsed/>
    <w:qFormat/>
    <w:uiPriority w:val="99"/>
    <w:pPr>
      <w:ind w:firstLine="420"/>
    </w:pPr>
  </w:style>
  <w:style w:type="character" w:customStyle="1" w:styleId="41">
    <w:name w:val="font01"/>
    <w:basedOn w:val="23"/>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31</Pages>
  <Words>3675</Words>
  <Characters>20950</Characters>
  <Lines>174</Lines>
  <Paragraphs>49</Paragraphs>
  <TotalTime>2</TotalTime>
  <ScaleCrop>false</ScaleCrop>
  <LinksUpToDate>false</LinksUpToDate>
  <CharactersWithSpaces>24576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2018-06-12T01:25:00Z</dcterms:created>
  <dc:creator>Sky123.Org</dc:creator>
  <cp:lastModifiedBy>琦</cp:lastModifiedBy>
  <cp:lastPrinted>2019-11-20T01:14:00Z</cp:lastPrinted>
  <dcterms:modified xsi:type="dcterms:W3CDTF">2020-09-23T09:16:30Z</dcterms:modified>
  <cp:revision>400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