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建设单位在物业管理区域内不按照规定配置必要的物业管理用房对违反《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eastAsia" w:ascii="华文中宋" w:hAnsi="华文中宋" w:eastAsia="华文中宋" w:cs="方正小标宋_GBK"/>
          <w:sz w:val="32"/>
          <w:szCs w:val="32"/>
          <w:lang w:val="en-US" w:eastAsia="zh-CN"/>
        </w:rPr>
        <w:t>第三十条、六十一条</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44"/>
          <w:szCs w:val="44"/>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对违反《物业管理条例》</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三十条、六十一</w:t>
            </w:r>
            <w:r>
              <w:rPr>
                <w:rFonts w:hint="default" w:ascii="仿宋_GB2312" w:hAnsi="仿宋" w:eastAsia="仿宋_GB2312" w:cs="宋体"/>
                <w:kern w:val="0"/>
                <w:sz w:val="18"/>
                <w:szCs w:val="18"/>
                <w:lang w:val="en-US" w:eastAsia="zh-CN"/>
              </w:rPr>
              <w:t>条</w:t>
            </w:r>
            <w:r>
              <w:rPr>
                <w:rFonts w:hint="eastAsia" w:ascii="仿宋_GB2312" w:hAnsi="仿宋" w:eastAsia="仿宋_GB2312" w:cs="宋体"/>
                <w:kern w:val="0"/>
                <w:sz w:val="18"/>
                <w:szCs w:val="18"/>
                <w:lang w:val="en-US" w:eastAsia="zh-CN"/>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lang w:val="en-US" w:eastAsia="zh-CN"/>
              </w:rPr>
              <w:t>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三十条、六十一</w:t>
            </w:r>
            <w:r>
              <w:rPr>
                <w:rFonts w:hint="default" w:ascii="仿宋_GB2312" w:hAnsi="仿宋" w:eastAsia="仿宋_GB2312" w:cs="宋体"/>
                <w:kern w:val="0"/>
                <w:sz w:val="18"/>
                <w:szCs w:val="18"/>
                <w:lang w:val="en-US"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default" w:ascii="仿宋_GB2312" w:hAnsi="仿宋" w:eastAsia="仿宋_GB2312" w:cs="Verdana"/>
                <w:kern w:val="0"/>
                <w:sz w:val="18"/>
                <w:szCs w:val="18"/>
                <w:lang w:val="en-US" w:eastAsia="zh-CN"/>
              </w:rPr>
              <w:t>建设单位在物业管理区域内不按照规定配置必要的物业管理用房的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警告、</w:t>
            </w: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ind w:left="0" w:leftChars="0" w:firstLineChars="0"/>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配置物业管理用房面积低于规定10平方米以内（含10平方米）主动消除或减轻违法行为危害后果的。给予警告，没收违法所得，并处20万元罚款。</w:t>
            </w:r>
          </w:p>
          <w:p>
            <w:pPr>
              <w:widowControl/>
              <w:numPr>
                <w:ilvl w:val="0"/>
                <w:numId w:val="1"/>
              </w:numPr>
              <w:spacing w:line="400" w:lineRule="exact"/>
              <w:ind w:left="0" w:leftChars="0" w:firstLineChars="0"/>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配置物业管理用房面积规定10平方米以上的，主动消除或减轻违法行为危害后果的。给予警告，没收违法所得，并处40万元罚款。</w:t>
            </w:r>
          </w:p>
          <w:p>
            <w:pPr>
              <w:widowControl/>
              <w:numPr>
                <w:ilvl w:val="0"/>
                <w:numId w:val="1"/>
              </w:numPr>
              <w:spacing w:line="400" w:lineRule="exact"/>
              <w:ind w:left="0" w:leftChars="0" w:firstLineChars="0"/>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未按规定配置物业管理用房的，主动消除或减轻违法行为危害后果的；逃避或不配合改正的。给予警告，没收违法所得，并处50万元罚款。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1.《物业管理条例》第六十一条  违反本条例的规定，建设单位在物业管理区域内不按照规定配置必要的物业管理用房的，县级以上地方人民政府房地产行政主管部门责令限期改正，应给予警告，没收违法所得，并处10万元以上50万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88870414</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jc w:val="both"/>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A526667"/>
    <w:multiLevelType w:val="singleLevel"/>
    <w:tmpl w:val="6A526667"/>
    <w:lvl w:ilvl="0" w:tentative="0">
      <w:start w:val="1"/>
      <w:numFmt w:val="decimal"/>
      <w:suff w:val="nothing"/>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759438B"/>
    <w:rsid w:val="0E7F340B"/>
    <w:rsid w:val="13D256C7"/>
    <w:rsid w:val="13D26E8B"/>
    <w:rsid w:val="2257052C"/>
    <w:rsid w:val="2C5B1C37"/>
    <w:rsid w:val="30424A13"/>
    <w:rsid w:val="483747FE"/>
    <w:rsid w:val="493A0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风起天澜</cp:lastModifiedBy>
  <dcterms:modified xsi:type="dcterms:W3CDTF">2021-08-20T08:14:19Z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FA5D36A7BFAA47C5AFE57D5F9DFFE1A2</vt:lpwstr>
  </property>
  <property fmtid="{D5CDD505-2E9C-101B-9397-08002B2CF9AE}" pid="4" name="KSOSaveFontToCloudKey">
    <vt:lpwstr>818107661_btnclosed</vt:lpwstr>
  </property>
</Properties>
</file>