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未按规定交存首期住宅专项维修资金，</w:t>
      </w:r>
      <w:r>
        <w:rPr>
          <w:rFonts w:hint="eastAsia" w:ascii="华文中宋" w:hAnsi="华文中宋" w:eastAsia="华文中宋" w:cs="方正小标宋_GBK"/>
          <w:sz w:val="32"/>
          <w:szCs w:val="32"/>
          <w:lang w:val="en-US" w:eastAsia="zh-CN"/>
        </w:rPr>
        <w:t>开发建设</w:t>
      </w:r>
      <w:r>
        <w:rPr>
          <w:rFonts w:hint="eastAsia" w:ascii="华文中宋" w:hAnsi="华文中宋" w:eastAsia="华文中宋" w:cs="方正小标宋_GBK"/>
          <w:sz w:val="32"/>
          <w:szCs w:val="32"/>
        </w:rPr>
        <w:t>单位将房屋交付买受人对违反《住宅专项维修资金管理办法》</w:t>
      </w:r>
      <w:r>
        <w:rPr>
          <w:rFonts w:hint="eastAsia" w:ascii="华文中宋" w:hAnsi="华文中宋" w:eastAsia="华文中宋" w:cs="方正小标宋_GBK"/>
          <w:sz w:val="32"/>
          <w:szCs w:val="32"/>
          <w:lang w:val="en-US" w:eastAsia="zh-CN"/>
        </w:rPr>
        <w:t>第十三条</w:t>
      </w:r>
      <w:r>
        <w:rPr>
          <w:rFonts w:hint="eastAsia" w:ascii="华文中宋" w:hAnsi="华文中宋" w:eastAsia="华文中宋" w:cs="方正小标宋_GBK"/>
          <w:sz w:val="32"/>
          <w:szCs w:val="32"/>
        </w:rPr>
        <w:t>行政处罚办事指南表（基本信息表）</w:t>
      </w:r>
    </w:p>
    <w:p>
      <w:pPr>
        <w:spacing w:line="560" w:lineRule="exact"/>
        <w:jc w:val="center"/>
        <w:rPr>
          <w:rFonts w:hint="eastAsia" w:ascii="华文中宋" w:hAnsi="华文中宋" w:eastAsia="华文中宋" w:cs="方正小标宋_GBK"/>
          <w:sz w:val="32"/>
          <w:szCs w:val="32"/>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对违反《住宅专项维修资金管理办法》第十三条、第三十六条的行政处罚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武汉市武昌区住房保障和房屋管理局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《住宅专项维修资金管理办法》（建设部 第165号）第十三条、第三十六条。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360" w:firstLineChars="200"/>
              <w:jc w:val="both"/>
              <w:textAlignment w:val="auto"/>
              <w:rPr>
                <w:rFonts w:hint="eastAsia"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bidi="ar-SA"/>
              </w:rPr>
              <w:t>未按本办法规定交存首期住宅专项维修资金的，开发建设单位或者公有住房售房单位不得将房屋交付购买人。</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1.违规交付商品房50套以下（含50套），逾期不予改正的。每套处以1.5万元罚款。</w:t>
            </w:r>
          </w:p>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2.违规交付商品房50套以上100套以下（含100套），逾期不予改正的。每套处以2.5万元罚款。</w:t>
            </w:r>
          </w:p>
          <w:p>
            <w:pPr>
              <w:widowControl/>
              <w:rPr>
                <w:rFonts w:hint="default" w:ascii="仿宋" w:hAnsi="仿宋" w:eastAsia="仿宋" w:cs="仿宋"/>
                <w:color w:val="333333"/>
                <w:sz w:val="18"/>
                <w:szCs w:val="18"/>
                <w:lang w:val="en-US" w:eastAsia="zh-CN"/>
              </w:rPr>
            </w:pPr>
            <w:r>
              <w:rPr>
                <w:rFonts w:hint="eastAsia" w:ascii="仿宋_GB2312" w:hAnsi="宋体" w:eastAsia="仿宋_GB2312" w:cs="宋体"/>
                <w:color w:val="000000"/>
                <w:kern w:val="0"/>
                <w:sz w:val="18"/>
                <w:szCs w:val="18"/>
                <w:lang w:val="en-US" w:eastAsia="zh-CN"/>
              </w:rPr>
              <w:t>3.违规交付商品房100套以上，逾期不予改正的。每套处以3万元罚款。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numPr>
                <w:ilvl w:val="0"/>
                <w:numId w:val="0"/>
              </w:numPr>
              <w:rPr>
                <w:rFonts w:hint="eastAsia" w:ascii="仿宋_GB2312" w:hAnsi="宋体" w:eastAsia="仿宋_GB2312"/>
                <w:color w:val="00000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w:t>
            </w:r>
            <w:r>
              <w:rPr>
                <w:rFonts w:hint="eastAsia" w:ascii="仿宋_GB2312" w:hAnsi="宋体" w:eastAsia="仿宋_GB2312"/>
                <w:color w:val="000000"/>
                <w:sz w:val="18"/>
                <w:szCs w:val="18"/>
              </w:rPr>
              <w:t>住宅专项维修资金管理办法</w:t>
            </w:r>
            <w:r>
              <w:rPr>
                <w:rFonts w:hint="eastAsia" w:ascii="仿宋_GB2312" w:hAnsi="仿宋" w:eastAsia="仿宋_GB2312" w:cs="Verdana"/>
                <w:kern w:val="0"/>
                <w:sz w:val="18"/>
                <w:szCs w:val="18"/>
              </w:rPr>
              <w:t>》</w:t>
            </w:r>
            <w:r>
              <w:rPr>
                <w:rFonts w:hint="eastAsia" w:ascii="仿宋_GB2312" w:hAnsi="宋体" w:eastAsia="仿宋_GB2312"/>
                <w:color w:val="000000"/>
                <w:sz w:val="18"/>
                <w:szCs w:val="18"/>
              </w:rPr>
              <w:t>第三十六条</w:t>
            </w:r>
            <w:r>
              <w:rPr>
                <w:rFonts w:hint="eastAsia" w:ascii="仿宋_GB2312" w:hAnsi="宋体" w:eastAsia="仿宋_GB2312"/>
                <w:color w:val="000000"/>
                <w:sz w:val="18"/>
                <w:szCs w:val="18"/>
                <w:lang w:val="en-US" w:eastAsia="zh-CN"/>
              </w:rPr>
              <w:t xml:space="preserve">  </w:t>
            </w:r>
            <w:r>
              <w:rPr>
                <w:rFonts w:hint="eastAsia" w:ascii="仿宋_GB2312" w:hAnsi="宋体" w:eastAsia="仿宋_GB2312"/>
                <w:color w:val="000000"/>
                <w:sz w:val="18"/>
                <w:szCs w:val="18"/>
              </w:rPr>
              <w:t>开发建设单位违反本办法第十三条规定将房屋交付买受人的，由县级以上地方人民政府建设（房地产）主管部门责令限期改正；逾期不改正的，处以3万元以下的罚款。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88868037</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ascii="华文中宋" w:hAnsi="华文中宋" w:eastAsia="华文中宋" w:cs="宋体"/>
          <w:kern w:val="0"/>
          <w:sz w:val="32"/>
          <w:szCs w:val="32"/>
        </w:rPr>
      </w:pPr>
      <w:bookmarkStart w:id="0" w:name="_GoBack"/>
      <w:bookmarkEnd w:id="0"/>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6247FE9"/>
    <w:rsid w:val="13D256C7"/>
    <w:rsid w:val="13D26E8B"/>
    <w:rsid w:val="14B3418F"/>
    <w:rsid w:val="21FA7513"/>
    <w:rsid w:val="2B1D686C"/>
    <w:rsid w:val="2C5B1C37"/>
    <w:rsid w:val="2CA14073"/>
    <w:rsid w:val="30424A13"/>
    <w:rsid w:val="48B55889"/>
    <w:rsid w:val="493A084B"/>
    <w:rsid w:val="7A5F3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iPriority w:val="0"/>
    <w:rPr>
      <w:color w:val="333333"/>
      <w:u w:val="none"/>
    </w:rPr>
  </w:style>
  <w:style w:type="character" w:styleId="11">
    <w:name w:val="HTML Code"/>
    <w:basedOn w:val="4"/>
    <w:qFormat/>
    <w:uiPriority w:val="0"/>
    <w:rPr>
      <w:rFonts w:hint="default"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ascii="Consolas" w:hAnsi="Consolas" w:eastAsia="Consolas" w:cs="Consolas"/>
      <w:b/>
      <w:bCs/>
      <w:color w:val="FFFFFF"/>
      <w:sz w:val="21"/>
      <w:szCs w:val="21"/>
      <w:shd w:val="clear" w:fill="333333"/>
    </w:rPr>
  </w:style>
  <w:style w:type="character" w:styleId="14">
    <w:name w:val="HTML Sample"/>
    <w:basedOn w:val="4"/>
    <w:qFormat/>
    <w:uiPriority w:val="0"/>
    <w:rPr>
      <w:rFonts w:hint="default" w:ascii="Consolas" w:hAnsi="Consolas" w:eastAsia="Consolas" w:cs="Consolas"/>
      <w:sz w:val="21"/>
      <w:szCs w:val="21"/>
    </w:rPr>
  </w:style>
  <w:style w:type="character" w:customStyle="1" w:styleId="15">
    <w:name w:val="nth-child(5)"/>
    <w:basedOn w:val="4"/>
    <w:qFormat/>
    <w:uiPriority w:val="0"/>
    <w:rPr>
      <w:vanish/>
    </w:rPr>
  </w:style>
  <w:style w:type="character" w:customStyle="1" w:styleId="16">
    <w:name w:val="first-child"/>
    <w:basedOn w:val="4"/>
    <w:qFormat/>
    <w:uiPriority w:val="0"/>
  </w:style>
  <w:style w:type="character" w:customStyle="1" w:styleId="17">
    <w:name w:val="nth-child(4)"/>
    <w:basedOn w:val="4"/>
    <w:qFormat/>
    <w:uiPriority w:val="0"/>
    <w:rPr>
      <w:vanish/>
    </w:rPr>
  </w:style>
  <w:style w:type="character" w:customStyle="1" w:styleId="18">
    <w:name w:val="layui-this"/>
    <w:basedOn w:val="4"/>
    <w:qFormat/>
    <w:uiPriority w:val="0"/>
    <w:rPr>
      <w:bdr w:val="single" w:color="EEEEEE" w:sz="6" w:space="0"/>
      <w:shd w:val="clear" w:fill="FFFFFF"/>
    </w:rPr>
  </w:style>
  <w:style w:type="character" w:customStyle="1" w:styleId="19">
    <w:name w:val="bsharetext"/>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2021-08-23T02:41:50Z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