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Arial Narrow" w:hAnsi="Arial Narrow"/>
          <w:b/>
          <w:color w:val="000000"/>
          <w:sz w:val="44"/>
          <w:szCs w:val="44"/>
        </w:rPr>
      </w:pPr>
      <w:r>
        <w:rPr>
          <w:rFonts w:hint="eastAsia" w:ascii="Arial Narrow" w:hAnsi="Arial Narrow"/>
          <w:b/>
          <w:color w:val="000000"/>
          <w:sz w:val="44"/>
          <w:szCs w:val="44"/>
        </w:rPr>
        <w:t>武昌区</w:t>
      </w:r>
      <w:r>
        <w:rPr>
          <w:rFonts w:hint="eastAsia" w:ascii="Arial Narrow" w:hAnsi="Arial Narrow"/>
          <w:b/>
          <w:color w:val="000000"/>
          <w:sz w:val="44"/>
          <w:szCs w:val="44"/>
          <w:lang w:eastAsia="zh-CN"/>
        </w:rPr>
        <w:t>杨园街</w:t>
      </w:r>
      <w:r>
        <w:rPr>
          <w:rFonts w:hint="eastAsia" w:ascii="Arial Narrow" w:hAnsi="Arial Narrow"/>
          <w:b/>
          <w:color w:val="000000"/>
          <w:sz w:val="44"/>
          <w:szCs w:val="44"/>
        </w:rPr>
        <w:t>201</w:t>
      </w:r>
      <w:r>
        <w:rPr>
          <w:rFonts w:hint="eastAsia" w:ascii="Arial Narrow" w:hAnsi="Arial Narrow"/>
          <w:b/>
          <w:color w:val="000000"/>
          <w:sz w:val="44"/>
          <w:szCs w:val="44"/>
          <w:lang w:val="en-US" w:eastAsia="zh-CN"/>
        </w:rPr>
        <w:t>9</w:t>
      </w:r>
      <w:r>
        <w:rPr>
          <w:rFonts w:hint="eastAsia" w:ascii="Arial Narrow" w:hAnsi="Arial Narrow"/>
          <w:b/>
          <w:color w:val="000000"/>
          <w:sz w:val="44"/>
          <w:szCs w:val="44"/>
        </w:rPr>
        <w:t>年度</w:t>
      </w:r>
      <w:r>
        <w:rPr>
          <w:rFonts w:hint="eastAsia" w:ascii="Arial Narrow" w:hAnsi="Arial Narrow"/>
          <w:b/>
          <w:color w:val="000000"/>
          <w:sz w:val="44"/>
          <w:szCs w:val="44"/>
          <w:lang w:eastAsia="zh-CN"/>
        </w:rPr>
        <w:t>文明创建</w:t>
      </w:r>
      <w:r>
        <w:rPr>
          <w:rFonts w:hint="eastAsia" w:ascii="Arial Narrow" w:hAnsi="Arial Narrow"/>
          <w:b/>
          <w:color w:val="000000"/>
          <w:sz w:val="44"/>
          <w:szCs w:val="44"/>
        </w:rPr>
        <w:t>项目</w:t>
      </w:r>
    </w:p>
    <w:p>
      <w:pPr>
        <w:ind w:firstLine="0" w:firstLineChars="0"/>
        <w:jc w:val="center"/>
        <w:rPr>
          <w:rFonts w:ascii="Arial Narrow" w:hAnsi="Arial Narrow"/>
          <w:b/>
          <w:bCs/>
          <w:color w:val="000000"/>
          <w:sz w:val="44"/>
          <w:szCs w:val="44"/>
        </w:rPr>
      </w:pPr>
      <w:r>
        <w:rPr>
          <w:rFonts w:hint="eastAsia" w:ascii="Arial Narrow" w:hAnsi="Arial Narrow"/>
          <w:b/>
          <w:color w:val="000000"/>
          <w:sz w:val="44"/>
          <w:szCs w:val="44"/>
        </w:rPr>
        <w:t>绩效评价报告</w:t>
      </w:r>
    </w:p>
    <w:p>
      <w:pPr>
        <w:snapToGrid w:val="0"/>
        <w:ind w:firstLine="0" w:firstLineChars="0"/>
        <w:outlineLvl w:val="0"/>
        <w:rPr>
          <w:rFonts w:ascii="Arial Narrow" w:hAnsi="Arial Narrow" w:cs="Arial Narrow"/>
          <w:b/>
          <w:sz w:val="28"/>
          <w:szCs w:val="28"/>
        </w:rPr>
      </w:pPr>
    </w:p>
    <w:p>
      <w:pPr>
        <w:snapToGrid w:val="0"/>
        <w:ind w:firstLine="0" w:firstLineChars="0"/>
        <w:outlineLvl w:val="0"/>
        <w:rPr>
          <w:rFonts w:ascii="Arial Narrow" w:hAnsi="Arial Narrow" w:cs="Arial Narrow"/>
          <w:b/>
          <w:bCs/>
          <w:sz w:val="28"/>
          <w:szCs w:val="28"/>
        </w:rPr>
      </w:pPr>
      <w:r>
        <w:rPr>
          <w:rFonts w:ascii="Arial Narrow" w:hAnsi="Arial Narrow" w:cs="Arial Narrow"/>
          <w:b/>
          <w:sz w:val="28"/>
          <w:szCs w:val="28"/>
        </w:rPr>
        <w:t>一、</w:t>
      </w:r>
      <w:r>
        <w:rPr>
          <w:rFonts w:hint="eastAsia" w:ascii="Arial Narrow" w:hAnsi="Arial Narrow" w:cs="Arial Narrow"/>
          <w:b/>
          <w:bCs/>
          <w:sz w:val="28"/>
          <w:szCs w:val="28"/>
        </w:rPr>
        <w:t>项目基本情况</w:t>
      </w:r>
    </w:p>
    <w:p>
      <w:pPr>
        <w:snapToGrid w:val="0"/>
        <w:ind w:firstLine="562" w:firstLineChars="200"/>
        <w:outlineLvl w:val="0"/>
        <w:rPr>
          <w:rFonts w:hint="eastAsia"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lang w:val="en-US" w:eastAsia="zh-CN"/>
        </w:rPr>
        <w:t>1.</w:t>
      </w:r>
      <w:r>
        <w:rPr>
          <w:rFonts w:hint="eastAsia" w:cs="Arial Narrow" w:asciiTheme="minorEastAsia" w:hAnsiTheme="minorEastAsia" w:eastAsiaTheme="minorEastAsia"/>
          <w:b/>
          <w:bCs/>
          <w:sz w:val="28"/>
          <w:szCs w:val="28"/>
        </w:rPr>
        <w:t>项目立项依据</w:t>
      </w:r>
    </w:p>
    <w:p>
      <w:pPr>
        <w:snapToGrid w:val="0"/>
        <w:ind w:firstLine="560"/>
        <w:outlineLvl w:val="1"/>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昌区精神文明建设十三五发展规划》提出，以建设社会主义核心价值体系为主要内容，以巩固全国文明城市创建成果和争创新一轮省、市级文明城区为主线，以提升市民文明素质和城市文明程度为根本任务，要扎实落实文明交通管理、网吧管理、集贸市场管理、公益广告管理等系列工作，着力加强思想道德建设，着力深化群众性精神文明创建活动，着力提高市民文明素质和城市文明程度。</w:t>
      </w:r>
    </w:p>
    <w:p>
      <w:pPr>
        <w:snapToGrid w:val="0"/>
        <w:ind w:firstLine="562" w:firstLineChars="200"/>
        <w:outlineLvl w:val="0"/>
        <w:rPr>
          <w:rFonts w:hint="eastAsia"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lang w:val="en-US" w:eastAsia="zh-CN"/>
        </w:rPr>
        <w:t>2.</w:t>
      </w:r>
      <w:r>
        <w:rPr>
          <w:rFonts w:hint="eastAsia" w:cs="Arial Narrow" w:asciiTheme="minorEastAsia" w:hAnsiTheme="minorEastAsia" w:eastAsiaTheme="minorEastAsia"/>
          <w:b/>
          <w:bCs/>
          <w:sz w:val="28"/>
          <w:szCs w:val="28"/>
        </w:rPr>
        <w:t>基准日及评价历时</w:t>
      </w:r>
    </w:p>
    <w:p>
      <w:pPr>
        <w:ind w:firstLine="56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评价基准日：201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年12月31日</w:t>
      </w:r>
    </w:p>
    <w:p>
      <w:pPr>
        <w:snapToGrid w:val="0"/>
        <w:ind w:firstLine="562" w:firstLineChars="200"/>
        <w:outlineLvl w:val="0"/>
        <w:rPr>
          <w:rFonts w:cs="Arial Narrow" w:asciiTheme="minorEastAsia" w:hAnsiTheme="minorEastAsia" w:eastAsiaTheme="minorEastAsia"/>
          <w:b/>
          <w:bCs/>
          <w:sz w:val="28"/>
          <w:szCs w:val="28"/>
        </w:rPr>
      </w:pPr>
      <w:r>
        <w:rPr>
          <w:rFonts w:hint="eastAsia" w:ascii="Arial Narrow" w:hAnsi="Arial Narrow" w:cs="Arial Narrow"/>
          <w:b/>
          <w:sz w:val="28"/>
          <w:szCs w:val="28"/>
          <w:lang w:val="en-US" w:eastAsia="zh-CN"/>
        </w:rPr>
        <w:t>3</w:t>
      </w:r>
      <w:r>
        <w:rPr>
          <w:rFonts w:hint="eastAsia" w:ascii="Arial Narrow" w:hAnsi="Arial Narrow" w:cs="Arial Narrow"/>
          <w:b/>
          <w:sz w:val="28"/>
          <w:szCs w:val="28"/>
        </w:rPr>
        <w:t>．</w:t>
      </w:r>
      <w:r>
        <w:rPr>
          <w:rFonts w:hint="eastAsia" w:cs="Arial Narrow" w:asciiTheme="minorEastAsia" w:hAnsiTheme="minorEastAsia" w:eastAsiaTheme="minorEastAsia"/>
          <w:b/>
          <w:bCs/>
          <w:sz w:val="28"/>
          <w:szCs w:val="28"/>
        </w:rPr>
        <w:t>项目基本情况</w:t>
      </w:r>
    </w:p>
    <w:p>
      <w:pPr>
        <w:snapToGrid w:val="0"/>
        <w:ind w:firstLine="560"/>
        <w:outlineLvl w:val="1"/>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文明创建常态化管理经费，按照上级相关要求，用于文明创建常态化管理，包括：文明劝导志愿者值守补贴、公益广告制作更新、宣传氛围营造、袖章袖标装备及其他各项支出。</w:t>
      </w:r>
    </w:p>
    <w:p>
      <w:pPr>
        <w:snapToGrid w:val="0"/>
        <w:ind w:firstLine="560"/>
        <w:outlineLvl w:val="1"/>
        <w:rPr>
          <w:rFonts w:hint="eastAsia" w:cs="Arial Narrow" w:asciiTheme="minorEastAsia" w:hAnsiTheme="minorEastAsia" w:eastAsiaTheme="minorEastAsia"/>
          <w:b/>
          <w:sz w:val="28"/>
          <w:szCs w:val="28"/>
          <w:lang w:val="en-US" w:eastAsia="zh-CN"/>
        </w:rPr>
      </w:pPr>
      <w:r>
        <w:rPr>
          <w:rFonts w:hint="eastAsia" w:asciiTheme="minorEastAsia" w:hAnsiTheme="minorEastAsia" w:eastAsiaTheme="minorEastAsia"/>
          <w:sz w:val="28"/>
          <w:szCs w:val="28"/>
        </w:rPr>
        <w:t>为进一步提升文明创建常态化管理水平、迎检国家及市级检查，通过文明创建常态化管理经费，文明劝导水平、宣传氛围营造、迎检工作准备等各方面得到有效落实。建立专门督查机制，文明劝导补贴规范化：专人负责审核及核对每月的文明劝导补贴，实行补贴与排名直接挂钩制度，根据排名和实际成绩进行奖优罚劣；定期制作、更新公益广告和宣传栏内容，按照每季度更新社区宣传栏和辖区公益广告的要求，定期制作更新、加强宣传氛围；将上级奖励经费用于社区文明创建奖励，对区文明办下发的文明创建排名全市前十的奖励经费用于检查中连续三次排名前三的社区。</w:t>
      </w:r>
    </w:p>
    <w:p>
      <w:pPr>
        <w:numPr>
          <w:ilvl w:val="0"/>
          <w:numId w:val="0"/>
        </w:numPr>
        <w:snapToGrid w:val="0"/>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lang w:val="en-US" w:eastAsia="zh-CN"/>
        </w:rPr>
        <w:t>二、</w:t>
      </w:r>
      <w:r>
        <w:rPr>
          <w:rFonts w:hint="eastAsia" w:ascii="Arial Narrow" w:hAnsi="Arial Narrow" w:cs="Arial Narrow"/>
          <w:b/>
          <w:bCs/>
          <w:sz w:val="28"/>
          <w:szCs w:val="28"/>
        </w:rPr>
        <w:t>绩效评价情况</w:t>
      </w:r>
    </w:p>
    <w:p>
      <w:pPr>
        <w:snapToGrid w:val="0"/>
        <w:ind w:firstLine="560"/>
        <w:outlineLvl w:val="1"/>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产出指标主要从项目的</w:t>
      </w:r>
      <w:r>
        <w:rPr>
          <w:rFonts w:hint="eastAsia" w:asciiTheme="minorEastAsia" w:hAnsiTheme="minorEastAsia" w:eastAsiaTheme="minorEastAsia"/>
          <w:sz w:val="28"/>
          <w:szCs w:val="28"/>
          <w:lang w:val="en-US" w:eastAsia="zh-CN"/>
        </w:rPr>
        <w:t>经济效益，社会效益，可持续影响服务对象满意度，</w:t>
      </w:r>
      <w:r>
        <w:rPr>
          <w:rFonts w:hint="eastAsia" w:asciiTheme="minorEastAsia" w:hAnsiTheme="minorEastAsia" w:eastAsiaTheme="minorEastAsia"/>
          <w:sz w:val="28"/>
          <w:szCs w:val="28"/>
        </w:rPr>
        <w:t>这</w:t>
      </w:r>
      <w:r>
        <w:rPr>
          <w:rFonts w:hint="eastAsia" w:asciiTheme="minorEastAsia" w:hAnsiTheme="minorEastAsia" w:eastAsiaTheme="minorEastAsia"/>
          <w:sz w:val="28"/>
          <w:szCs w:val="28"/>
          <w:lang w:eastAsia="zh-CN"/>
        </w:rPr>
        <w:t>四</w:t>
      </w:r>
      <w:r>
        <w:rPr>
          <w:rFonts w:hint="eastAsia" w:asciiTheme="minorEastAsia" w:hAnsiTheme="minorEastAsia" w:eastAsiaTheme="minorEastAsia"/>
          <w:sz w:val="28"/>
          <w:szCs w:val="28"/>
        </w:rPr>
        <w:t>个方面来进行评价。</w:t>
      </w:r>
    </w:p>
    <w:p>
      <w:pPr>
        <w:snapToGrid w:val="0"/>
        <w:ind w:firstLine="560"/>
        <w:outlineLvl w:val="1"/>
        <w:rPr>
          <w:rFonts w:hint="eastAsia" w:asciiTheme="minorEastAsia" w:hAnsiTheme="minorEastAsia" w:eastAsiaTheme="minorEastAsia"/>
          <w:sz w:val="28"/>
          <w:szCs w:val="28"/>
          <w:lang w:val="en-US" w:eastAsia="zh-CN"/>
        </w:rPr>
      </w:pPr>
      <w:bookmarkStart w:id="0" w:name="_Toc346110460"/>
      <w:bookmarkStart w:id="1" w:name="_Toc346109797"/>
      <w:bookmarkStart w:id="2" w:name="_Toc346109888"/>
      <w:r>
        <w:rPr>
          <w:rFonts w:hint="eastAsia" w:asciiTheme="minorEastAsia" w:hAnsiTheme="minorEastAsia" w:eastAsiaTheme="minorEastAsia"/>
          <w:sz w:val="28"/>
          <w:szCs w:val="28"/>
          <w:lang w:val="en-US" w:eastAsia="zh-CN"/>
        </w:rPr>
        <w:t>1. 经济效益：完成考核目标，产生间接经济效益。</w:t>
      </w:r>
    </w:p>
    <w:bookmarkEnd w:id="0"/>
    <w:bookmarkEnd w:id="1"/>
    <w:bookmarkEnd w:id="2"/>
    <w:p>
      <w:pPr>
        <w:snapToGrid w:val="0"/>
        <w:ind w:firstLine="560"/>
        <w:outlineLvl w:val="1"/>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2. 社会效益：加强精神文明建设，用社会主义核心价值观引领群众性精神文明创建活动</w:t>
      </w:r>
      <w:r>
        <w:rPr>
          <w:rFonts w:hint="eastAsia" w:asciiTheme="minorEastAsia" w:hAnsiTheme="minorEastAsia" w:eastAsiaTheme="minorEastAsia"/>
          <w:sz w:val="28"/>
          <w:szCs w:val="28"/>
        </w:rPr>
        <w:t>，产生良好的社会综合效益</w:t>
      </w:r>
      <w:r>
        <w:rPr>
          <w:rFonts w:hint="eastAsia" w:asciiTheme="minorEastAsia" w:hAnsiTheme="minorEastAsia" w:eastAsiaTheme="minorEastAsia"/>
          <w:sz w:val="28"/>
          <w:szCs w:val="28"/>
          <w:lang w:eastAsia="zh-CN"/>
        </w:rPr>
        <w:t>。</w:t>
      </w:r>
    </w:p>
    <w:p>
      <w:pPr>
        <w:snapToGrid w:val="0"/>
        <w:ind w:firstLine="560"/>
        <w:outlineLvl w:val="1"/>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 可持续影响：精神文明建设已列入“十三五”规划，推动物质文明与精神文明协同发展。</w:t>
      </w:r>
    </w:p>
    <w:p>
      <w:pPr>
        <w:snapToGrid w:val="0"/>
        <w:ind w:firstLine="560"/>
        <w:outlineLvl w:val="1"/>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4. 服务对象满意度：向社会公众进行问卷调查，调查结果满意度90%。</w:t>
      </w:r>
    </w:p>
    <w:p>
      <w:pPr>
        <w:snapToGrid w:val="0"/>
        <w:ind w:left="0" w:leftChars="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lang w:eastAsia="zh-CN"/>
        </w:rPr>
        <w:t>三</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snapToGrid w:val="0"/>
        <w:ind w:firstLine="562"/>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（一）主要经验及做法</w:t>
      </w:r>
    </w:p>
    <w:p>
      <w:pPr>
        <w:snapToGrid w:val="0"/>
        <w:ind w:firstLine="560"/>
        <w:outlineLvl w:val="1"/>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项目全年预算数为160万元，执行数为160万元，完成预算的100 %。主要产出和效果：一是提高文明创建常态化水平，“小红帽”等文明宣传氛围得到有效落实；二是通过国家及市级检查，文明劝导水平得以提升，各种不文明现象显著减少。</w:t>
      </w:r>
    </w:p>
    <w:p>
      <w:pPr>
        <w:snapToGrid w:val="0"/>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napToGrid w:val="0"/>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1、文明创建还没有深入到每一个居民的心中；</w:t>
      </w:r>
    </w:p>
    <w:p>
      <w:pPr>
        <w:snapToGrid w:val="0"/>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2、资金使用效率不高，存在一定的滞后性。</w:t>
      </w:r>
    </w:p>
    <w:p>
      <w:pPr>
        <w:snapToGrid w:val="0"/>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napToGrid w:val="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1、多组织文明创建活动，广泛发动群众参与文明创建中；</w:t>
      </w:r>
    </w:p>
    <w:p>
      <w:pPr>
        <w:rPr>
          <w:rFonts w:hint="eastAsia" w:eastAsiaTheme="minorEastAsia"/>
          <w:lang w:eastAsia="zh-CN"/>
        </w:rPr>
      </w:pPr>
      <w:r>
        <w:rPr>
          <w:rFonts w:hint="eastAsia" w:asciiTheme="minorEastAsia" w:hAnsiTheme="minorEastAsia" w:eastAsiaTheme="minorEastAsia"/>
          <w:sz w:val="28"/>
          <w:szCs w:val="28"/>
        </w:rPr>
        <w:t>2、扩大文明创建的宣传范围，提高资金使用效率</w:t>
      </w:r>
      <w:r>
        <w:rPr>
          <w:rFonts w:hint="eastAsia" w:asciiTheme="minorEastAsia" w:hAnsiTheme="minorEastAsia" w:eastAsiaTheme="minorEastAsia"/>
          <w:sz w:val="28"/>
          <w:szCs w:val="28"/>
          <w:lang w:eastAsia="zh-CN"/>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Arial Narrow">
    <w:panose1 w:val="020B0606020202030204"/>
    <w:charset w:val="00"/>
    <w:family w:val="modern"/>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1291"/>
    <w:rsid w:val="3715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2020-10-27T09:01:00Z</dcterms:created>
  <dc:creator>阿阿蜜</dc:creator>
  <cp:lastModifiedBy>阿阿蜜</cp:lastModifiedBy>
  <dcterms:modified xsi:type="dcterms:W3CDTF">2020-10-27T09:02:21Z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