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Arial Narrow" w:hAnsi="Arial Narrow"/>
          <w:b/>
          <w:color w:val="000000"/>
          <w:sz w:val="44"/>
          <w:szCs w:val="44"/>
        </w:rPr>
      </w:pPr>
      <w:r>
        <w:rPr>
          <w:rFonts w:hint="eastAsia" w:ascii="Arial Narrow" w:hAnsi="Arial Narrow"/>
          <w:b/>
          <w:color w:val="000000"/>
          <w:sz w:val="44"/>
          <w:szCs w:val="44"/>
        </w:rPr>
        <w:t>武昌区</w:t>
      </w:r>
      <w:r>
        <w:rPr>
          <w:rFonts w:hint="eastAsia" w:ascii="Arial Narrow" w:hAnsi="Arial Narrow"/>
          <w:b/>
          <w:color w:val="000000"/>
          <w:sz w:val="44"/>
          <w:szCs w:val="44"/>
          <w:lang w:eastAsia="zh-CN"/>
        </w:rPr>
        <w:t>杨园街</w:t>
      </w:r>
      <w:r>
        <w:rPr>
          <w:rFonts w:hint="eastAsia" w:ascii="Arial Narrow" w:hAnsi="Arial Narrow"/>
          <w:b/>
          <w:color w:val="000000"/>
          <w:sz w:val="44"/>
          <w:szCs w:val="44"/>
        </w:rPr>
        <w:t>201</w:t>
      </w:r>
      <w:r>
        <w:rPr>
          <w:rFonts w:hint="eastAsia" w:ascii="Arial Narrow" w:hAnsi="Arial Narrow"/>
          <w:b/>
          <w:color w:val="000000"/>
          <w:sz w:val="44"/>
          <w:szCs w:val="44"/>
          <w:lang w:val="en-US" w:eastAsia="zh-CN"/>
        </w:rPr>
        <w:t>9</w:t>
      </w:r>
      <w:r>
        <w:rPr>
          <w:rFonts w:hint="eastAsia" w:ascii="Arial Narrow" w:hAnsi="Arial Narrow"/>
          <w:b/>
          <w:color w:val="000000"/>
          <w:sz w:val="44"/>
          <w:szCs w:val="44"/>
        </w:rPr>
        <w:t>年度社区惠民项目</w:t>
      </w:r>
    </w:p>
    <w:p>
      <w:pPr>
        <w:ind w:firstLine="0" w:firstLineChars="0"/>
        <w:jc w:val="center"/>
        <w:rPr>
          <w:rFonts w:hint="eastAsia" w:ascii="Arial Narrow" w:hAnsi="Arial Narrow"/>
          <w:b/>
          <w:color w:val="000000"/>
          <w:sz w:val="44"/>
          <w:szCs w:val="44"/>
        </w:rPr>
      </w:pPr>
      <w:r>
        <w:rPr>
          <w:rFonts w:hint="eastAsia" w:ascii="Arial Narrow" w:hAnsi="Arial Narrow"/>
          <w:b/>
          <w:color w:val="000000"/>
          <w:sz w:val="44"/>
          <w:szCs w:val="44"/>
        </w:rPr>
        <w:t>绩效评价报告</w:t>
      </w:r>
    </w:p>
    <w:p>
      <w:pPr>
        <w:snapToGrid w:val="0"/>
        <w:ind w:firstLine="0" w:firstLineChars="0"/>
        <w:outlineLvl w:val="0"/>
        <w:rPr>
          <w:rFonts w:ascii="Arial Narrow" w:hAnsi="Arial Narrow" w:cs="Arial Narrow"/>
          <w:b/>
          <w:sz w:val="28"/>
          <w:szCs w:val="28"/>
        </w:rPr>
      </w:pPr>
    </w:p>
    <w:p>
      <w:pPr>
        <w:snapToGrid w:val="0"/>
        <w:ind w:firstLine="0" w:firstLineChars="0"/>
        <w:outlineLvl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一、</w:t>
      </w:r>
      <w:r>
        <w:rPr>
          <w:rFonts w:hint="eastAsia" w:ascii="Arial Narrow" w:hAnsi="Arial Narrow" w:cs="Arial Narrow"/>
          <w:b/>
          <w:bCs/>
          <w:sz w:val="28"/>
          <w:szCs w:val="28"/>
        </w:rPr>
        <w:t>项目基本情况</w:t>
      </w:r>
    </w:p>
    <w:p>
      <w:pPr>
        <w:ind w:firstLine="562" w:firstLineChars="200"/>
        <w:rPr>
          <w:rFonts w:hint="eastAsia" w:cs="Arial Narrow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Arial Narrow" w:asciiTheme="minorEastAsia" w:hAnsiTheme="minorEastAsia" w:eastAsiaTheme="minorEastAsia"/>
          <w:b/>
          <w:bCs/>
          <w:sz w:val="28"/>
          <w:szCs w:val="28"/>
          <w:lang w:val="en-US" w:eastAsia="zh-CN"/>
        </w:rPr>
        <w:t>1.</w:t>
      </w:r>
      <w:r>
        <w:rPr>
          <w:rFonts w:hint="eastAsia" w:cs="Arial Narrow" w:asciiTheme="minorEastAsia" w:hAnsiTheme="minorEastAsia" w:eastAsiaTheme="minorEastAsia"/>
          <w:b/>
          <w:bCs/>
          <w:sz w:val="28"/>
          <w:szCs w:val="28"/>
        </w:rPr>
        <w:t>项目立项依据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eastAsia="zh-CN"/>
        </w:rPr>
        <w:t>根据</w:t>
      </w:r>
      <w:r>
        <w:rPr>
          <w:rFonts w:hint="eastAsia" w:cs="Arial Narrow" w:asciiTheme="minorEastAsia" w:hAnsiTheme="minorEastAsia" w:eastAsiaTheme="minorEastAsia"/>
          <w:sz w:val="28"/>
          <w:szCs w:val="28"/>
        </w:rPr>
        <w:t>《关于进一步加强城乡社区建设的意见》（武发〔2012〕6号文件）中指出，要按照“五务合一”的要求</w:t>
      </w:r>
      <w:r>
        <w:rPr>
          <w:rFonts w:hint="eastAsia" w:cs="Arial Narrow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cs="Arial Narrow" w:asciiTheme="minorEastAsia" w:hAnsiTheme="minorEastAsia" w:eastAsiaTheme="minorEastAsia"/>
          <w:sz w:val="28"/>
          <w:szCs w:val="28"/>
        </w:rPr>
        <w:t>《武汉市社区惠民项目资金使用管理办法》（武办文[2012]55号）、《武汉市社区惠民项目资金使用管理细则》（武民政【2012】180号）和《关于进一步明确社区惠民项目资金使用管理有关问题的通知》中的要求，用于解决社区居民群众最关心、最直接、最现实的各类民生问题的专项资金。</w:t>
      </w:r>
    </w:p>
    <w:p>
      <w:pPr>
        <w:ind w:firstLine="562" w:firstLineChars="200"/>
        <w:rPr>
          <w:rFonts w:hint="eastAsia" w:cs="Arial Narrow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Arial Narrow" w:asciiTheme="minorEastAsia" w:hAnsiTheme="minorEastAsia" w:eastAsiaTheme="minorEastAsia"/>
          <w:b/>
          <w:bCs/>
          <w:sz w:val="28"/>
          <w:szCs w:val="28"/>
          <w:lang w:val="en-US" w:eastAsia="zh-CN"/>
        </w:rPr>
        <w:t>2.</w:t>
      </w:r>
      <w:r>
        <w:rPr>
          <w:rFonts w:hint="eastAsia" w:cs="Arial Narrow" w:asciiTheme="minorEastAsia" w:hAnsiTheme="minorEastAsia" w:eastAsiaTheme="minorEastAsia"/>
          <w:b/>
          <w:bCs/>
          <w:sz w:val="28"/>
          <w:szCs w:val="28"/>
        </w:rPr>
        <w:t>基准日及评价历时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eastAsia="zh-CN"/>
        </w:rPr>
        <w:t>评价基准日：201</w:t>
      </w: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cs="Arial Narrow" w:asciiTheme="minorEastAsia" w:hAnsiTheme="minorEastAsia" w:eastAsiaTheme="minorEastAsia"/>
          <w:sz w:val="28"/>
          <w:szCs w:val="28"/>
          <w:lang w:eastAsia="zh-CN"/>
        </w:rPr>
        <w:t>年12月31日</w:t>
      </w:r>
    </w:p>
    <w:p>
      <w:pPr>
        <w:snapToGrid w:val="0"/>
        <w:ind w:firstLine="562" w:firstLineChars="200"/>
        <w:outlineLvl w:val="0"/>
        <w:rPr>
          <w:rFonts w:cs="Arial Narrow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="Arial Narrow" w:hAnsi="Arial Narrow" w:cs="Arial Narrow"/>
          <w:b/>
          <w:sz w:val="28"/>
          <w:szCs w:val="28"/>
          <w:lang w:val="en-US" w:eastAsia="zh-CN"/>
        </w:rPr>
        <w:t>3</w:t>
      </w:r>
      <w:r>
        <w:rPr>
          <w:rFonts w:hint="eastAsia" w:ascii="Arial Narrow" w:hAnsi="Arial Narrow" w:cs="Arial Narrow"/>
          <w:b/>
          <w:sz w:val="28"/>
          <w:szCs w:val="28"/>
        </w:rPr>
        <w:t>．</w:t>
      </w:r>
      <w:r>
        <w:rPr>
          <w:rFonts w:hint="eastAsia" w:cs="Arial Narrow" w:asciiTheme="minorEastAsia" w:hAnsiTheme="minorEastAsia" w:eastAsiaTheme="minorEastAsia"/>
          <w:b/>
          <w:bCs/>
          <w:sz w:val="28"/>
          <w:szCs w:val="28"/>
        </w:rPr>
        <w:t>项目基本情况</w:t>
      </w:r>
    </w:p>
    <w:p>
      <w:pPr>
        <w:snapToGrid w:val="0"/>
        <w:ind w:firstLine="560"/>
        <w:rPr>
          <w:rFonts w:cs="Arial Narrow" w:asciiTheme="minorEastAsia" w:hAnsiTheme="minorEastAsia" w:eastAsiaTheme="minorEastAsia"/>
          <w:sz w:val="28"/>
          <w:szCs w:val="28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</w:rPr>
        <w:t>合理利用惠民资金，在</w:t>
      </w: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15</w:t>
      </w:r>
      <w:r>
        <w:rPr>
          <w:rFonts w:hint="eastAsia" w:cs="Arial Narrow" w:asciiTheme="minorEastAsia" w:hAnsiTheme="minorEastAsia" w:eastAsiaTheme="minorEastAsia"/>
          <w:sz w:val="28"/>
          <w:szCs w:val="28"/>
        </w:rPr>
        <w:t>个社区实施惠民项目共计</w:t>
      </w: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cs="Arial Narrow" w:asciiTheme="minorEastAsia" w:hAnsiTheme="minorEastAsia" w:eastAsiaTheme="minorEastAsia"/>
          <w:sz w:val="28"/>
          <w:szCs w:val="28"/>
        </w:rPr>
        <w:t>00余项。</w:t>
      </w:r>
      <w:r>
        <w:rPr>
          <w:rFonts w:hint="eastAsia" w:cs="Arial Narrow" w:asciiTheme="minorEastAsia" w:hAnsiTheme="minorEastAsia" w:eastAsiaTheme="minorEastAsia"/>
          <w:sz w:val="28"/>
          <w:szCs w:val="28"/>
          <w:lang w:eastAsia="zh-CN"/>
        </w:rPr>
        <w:t>提高</w:t>
      </w:r>
      <w:r>
        <w:rPr>
          <w:rFonts w:hint="eastAsia" w:cs="Arial Narrow" w:asciiTheme="minorEastAsia" w:hAnsiTheme="minorEastAsia" w:eastAsiaTheme="minorEastAsia"/>
          <w:sz w:val="28"/>
          <w:szCs w:val="28"/>
        </w:rPr>
        <w:t>社区居民生活质量，楼道粉刷、防盗门制安、楼道灯安装、破损道路维修、楼栋雨水管的更换、电动车棚的制作，社区宣传展板的制作、休闲桌椅的安装等工程项目，购买社会组织服务，社区在各类传统节假日举行的活动及各项惠民演出活动的开展，为社区居民带来更多便利。</w:t>
      </w:r>
    </w:p>
    <w:p>
      <w:pPr>
        <w:numPr>
          <w:ilvl w:val="0"/>
          <w:numId w:val="0"/>
        </w:numPr>
        <w:snapToGrid w:val="0"/>
        <w:outlineLvl w:val="0"/>
        <w:rPr>
          <w:rFonts w:cs="Arial Narrow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 Narrow" w:asciiTheme="minorEastAsia" w:hAnsiTheme="minorEastAsia" w:eastAsiaTheme="minorEastAsia"/>
          <w:b/>
          <w:sz w:val="28"/>
          <w:szCs w:val="28"/>
          <w:lang w:val="en-US" w:eastAsia="zh-CN"/>
        </w:rPr>
        <w:t>二、</w:t>
      </w:r>
      <w:r>
        <w:rPr>
          <w:rFonts w:hint="eastAsia" w:ascii="Arial Narrow" w:hAnsi="Arial Narrow" w:cs="Arial Narrow"/>
          <w:b/>
          <w:bCs/>
          <w:sz w:val="28"/>
          <w:szCs w:val="28"/>
        </w:rPr>
        <w:t>绩效评价情况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</w:rPr>
        <w:t>产出指标主要从项目的</w:t>
      </w: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经济效益，社会效益，可持续影响服务对象满意度，</w:t>
      </w:r>
      <w:r>
        <w:rPr>
          <w:rFonts w:hint="eastAsia" w:cs="Arial Narrow" w:asciiTheme="minorEastAsia" w:hAnsiTheme="minorEastAsia" w:eastAsiaTheme="minorEastAsia"/>
          <w:sz w:val="28"/>
          <w:szCs w:val="28"/>
        </w:rPr>
        <w:t>这</w:t>
      </w:r>
      <w:r>
        <w:rPr>
          <w:rFonts w:hint="eastAsia" w:cs="Arial Narrow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cs="Arial Narrow" w:asciiTheme="minorEastAsia" w:hAnsiTheme="minorEastAsia" w:eastAsiaTheme="minorEastAsia"/>
          <w:sz w:val="28"/>
          <w:szCs w:val="28"/>
        </w:rPr>
        <w:t>个方面来进行评价。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1. 经济效益：完成考核目标，产生间接经济效益，社区服务完成率为100%。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2. 社会效益：</w:t>
      </w:r>
      <w:r>
        <w:rPr>
          <w:rFonts w:hint="eastAsia" w:cs="Arial Narrow" w:asciiTheme="minorEastAsia" w:hAnsiTheme="minorEastAsia" w:eastAsiaTheme="minorEastAsia"/>
          <w:sz w:val="28"/>
          <w:szCs w:val="28"/>
        </w:rPr>
        <w:t>解决社区居民切身实际的利益问题，不断提高社区居民的幸福感、安全感产生良好的社会综合效益</w:t>
      </w:r>
      <w:r>
        <w:rPr>
          <w:rFonts w:hint="eastAsia" w:cs="Arial Narrow" w:asciiTheme="minorEastAsia" w:hAnsiTheme="minorEastAsia" w:eastAsiaTheme="minorEastAsia"/>
          <w:sz w:val="28"/>
          <w:szCs w:val="28"/>
          <w:lang w:eastAsia="zh-CN"/>
        </w:rPr>
        <w:t>。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3. 可持续影响：惠民服务覆盖率为100%，全年参加服务的居民达上万人次。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4. 服务对象满意度：向社会公众进行问卷调查，调查结果满意度90%。</w:t>
      </w:r>
    </w:p>
    <w:p>
      <w:pPr>
        <w:snapToGrid w:val="0"/>
        <w:ind w:left="0" w:leftChars="0" w:firstLine="0" w:firstLineChars="0"/>
        <w:jc w:val="left"/>
        <w:rPr>
          <w:rFonts w:cs="Arial Narrow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  <w:t>三</w:t>
      </w:r>
      <w:r>
        <w:rPr>
          <w:rFonts w:cs="Arial Narrow" w:asciiTheme="minorEastAsia" w:hAnsiTheme="minorEastAsia" w:eastAsiaTheme="minorEastAsia"/>
          <w:b/>
          <w:sz w:val="28"/>
          <w:szCs w:val="28"/>
        </w:rPr>
        <w:t>、主要</w:t>
      </w:r>
      <w:r>
        <w:rPr>
          <w:rFonts w:hint="eastAsia" w:cs="Arial Narrow" w:asciiTheme="minorEastAsia" w:hAnsiTheme="minorEastAsia" w:eastAsiaTheme="minorEastAsia"/>
          <w:b/>
          <w:sz w:val="28"/>
          <w:szCs w:val="28"/>
        </w:rPr>
        <w:t>经验</w:t>
      </w:r>
      <w:r>
        <w:rPr>
          <w:rFonts w:cs="Arial Narrow" w:asciiTheme="minorEastAsia" w:hAnsiTheme="minorEastAsia" w:eastAsiaTheme="minorEastAsia"/>
          <w:b/>
          <w:sz w:val="28"/>
          <w:szCs w:val="28"/>
        </w:rPr>
        <w:t>及做法、存在的问题和建议</w:t>
      </w:r>
    </w:p>
    <w:p>
      <w:pPr>
        <w:snapToGrid w:val="0"/>
        <w:ind w:firstLine="562"/>
        <w:outlineLvl w:val="1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（一）主要经验及做法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项目全年预算数为330万元，执行数为330万元，完成预算的100 %。主要产出和效果：一是项目产出。社区服务完成率为100%，社区活动完成率为100%，完成及时率及资金使用率均为100%；二是项目效果。惠民服务覆盖率为100%，全年参加服务的居民达上万人次。</w:t>
      </w:r>
    </w:p>
    <w:p>
      <w:pPr>
        <w:numPr>
          <w:ilvl w:val="0"/>
          <w:numId w:val="1"/>
        </w:numPr>
        <w:snapToGrid w:val="0"/>
        <w:ind w:left="0" w:leftChars="0" w:firstLine="562" w:firstLineChars="200"/>
        <w:outlineLvl w:val="1"/>
        <w:rPr>
          <w:rFonts w:cs="Arial Narrow" w:asciiTheme="minorEastAsia" w:hAnsiTheme="minorEastAsia" w:eastAsiaTheme="minorEastAsia"/>
          <w:b/>
          <w:bCs/>
          <w:sz w:val="28"/>
          <w:szCs w:val="28"/>
        </w:rPr>
      </w:pPr>
      <w:r>
        <w:rPr>
          <w:rFonts w:cs="Arial Narrow" w:asciiTheme="minorEastAsia" w:hAnsiTheme="minorEastAsia" w:eastAsiaTheme="minorEastAsia"/>
          <w:b/>
          <w:bCs/>
          <w:sz w:val="28"/>
          <w:szCs w:val="28"/>
        </w:rPr>
        <w:t>存在的问题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1、未制定质量控制标准，验收结果易受主观因素影响；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2、项目后期维护跟进不力。制度贯彻执行不彻底，后期监督不够，缺少相应督察回访工作。</w:t>
      </w:r>
    </w:p>
    <w:p>
      <w:pPr>
        <w:snapToGrid w:val="0"/>
        <w:ind w:firstLine="562"/>
        <w:outlineLvl w:val="1"/>
        <w:rPr>
          <w:rFonts w:cs="Arial Narrow" w:asciiTheme="minorEastAsia" w:hAnsiTheme="minorEastAsia" w:eastAsiaTheme="minorEastAsia"/>
          <w:b/>
          <w:bCs/>
          <w:sz w:val="28"/>
          <w:szCs w:val="28"/>
        </w:rPr>
      </w:pPr>
      <w:r>
        <w:rPr>
          <w:rFonts w:cs="Arial Narrow" w:asciiTheme="minorEastAsia" w:hAnsiTheme="minorEastAsia" w:eastAsiaTheme="minorEastAsia"/>
          <w:b/>
          <w:bCs/>
          <w:sz w:val="28"/>
          <w:szCs w:val="28"/>
        </w:rPr>
        <w:t>（三）建议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1、制定相应质量控制标准，包括施工方案、质量检验方案、验收标准等文件。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2、组织专门人员，做好后期项目维护，将该任务制度化规范化，并做好相关留痕工作。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8004FC"/>
    <w:multiLevelType w:val="singleLevel"/>
    <w:tmpl w:val="D58004F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21EF0"/>
    <w:rsid w:val="54CC639B"/>
    <w:rsid w:val="5D067482"/>
    <w:rsid w:val="784A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阿阿蜜</cp:lastModifiedBy>
  <dcterms:modified xsi:type="dcterms:W3CDTF">2020-10-27T08:59:08Z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