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宋体" w:hAnsi="宋体" w:eastAsia="宋体"/>
          <w:b/>
          <w:color w:val="FF0000"/>
          <w:sz w:val="44"/>
          <w:szCs w:val="44"/>
        </w:rPr>
      </w:pPr>
    </w:p>
    <w:p>
      <w:pPr>
        <w:ind w:firstLine="883"/>
        <w:jc w:val="center"/>
        <w:rPr>
          <w:rFonts w:ascii="宋体" w:hAnsi="宋体" w:eastAsia="宋体"/>
          <w:b/>
          <w:color w:val="FF0000"/>
          <w:sz w:val="44"/>
          <w:szCs w:val="44"/>
        </w:rPr>
      </w:pPr>
    </w:p>
    <w:p>
      <w:pPr>
        <w:ind w:firstLine="0" w:firstLineChars="0"/>
        <w:jc w:val="center"/>
        <w:rPr>
          <w:rFonts w:ascii="宋体" w:hAnsi="宋体" w:eastAsia="宋体"/>
          <w:b/>
          <w:sz w:val="44"/>
          <w:szCs w:val="44"/>
        </w:rPr>
      </w:pPr>
      <w:r>
        <w:rPr>
          <w:rFonts w:hint="eastAsia" w:ascii="宋体" w:hAnsi="宋体" w:eastAsia="宋体"/>
          <w:b/>
          <w:sz w:val="44"/>
          <w:szCs w:val="44"/>
        </w:rPr>
        <w:t>武昌区2017年度文明创建工作经费项目</w:t>
      </w:r>
    </w:p>
    <w:p>
      <w:pPr>
        <w:ind w:firstLine="0" w:firstLineChars="0"/>
        <w:jc w:val="center"/>
        <w:rPr>
          <w:rFonts w:ascii="宋体" w:hAnsi="宋体" w:eastAsia="宋体"/>
          <w:b/>
          <w:bCs/>
          <w:sz w:val="44"/>
          <w:szCs w:val="44"/>
        </w:rPr>
      </w:pPr>
      <w:r>
        <w:rPr>
          <w:rFonts w:hint="eastAsia" w:ascii="宋体" w:hAnsi="宋体" w:eastAsia="宋体"/>
          <w:b/>
          <w:sz w:val="44"/>
          <w:szCs w:val="44"/>
        </w:rPr>
        <w:t>绩效评价报告</w:t>
      </w:r>
    </w:p>
    <w:p>
      <w:pPr>
        <w:ind w:firstLine="480"/>
      </w:pPr>
    </w:p>
    <w:p>
      <w:pPr>
        <w:ind w:firstLine="480"/>
      </w:pPr>
    </w:p>
    <w:p>
      <w:pPr>
        <w:ind w:firstLine="480"/>
      </w:pPr>
    </w:p>
    <w:p>
      <w:pPr>
        <w:widowControl/>
        <w:spacing w:line="800" w:lineRule="exact"/>
        <w:ind w:firstLine="790" w:firstLineChars="246"/>
        <w:jc w:val="left"/>
        <w:rPr>
          <w:b/>
          <w:bCs/>
          <w:kern w:val="32"/>
          <w:sz w:val="32"/>
          <w:lang w:bidi="he-IL"/>
        </w:rPr>
      </w:pPr>
    </w:p>
    <w:p>
      <w:pPr>
        <w:widowControl/>
        <w:spacing w:line="800" w:lineRule="exact"/>
        <w:ind w:firstLine="790" w:firstLineChars="246"/>
        <w:jc w:val="left"/>
        <w:rPr>
          <w:b/>
          <w:bCs/>
          <w:kern w:val="32"/>
          <w:sz w:val="32"/>
          <w:lang w:bidi="he-IL"/>
        </w:rPr>
      </w:pPr>
    </w:p>
    <w:p>
      <w:pPr>
        <w:widowControl/>
        <w:spacing w:line="480" w:lineRule="auto"/>
        <w:ind w:right="-192" w:rightChars="-80" w:firstLine="643"/>
        <w:jc w:val="left"/>
        <w:rPr>
          <w:rFonts w:hint="eastAsia" w:eastAsia="仿宋_GB2312"/>
          <w:b/>
          <w:bCs/>
          <w:kern w:val="32"/>
          <w:sz w:val="32"/>
          <w:szCs w:val="32"/>
          <w:lang w:val="en-US" w:eastAsia="zh-CN" w:bidi="he-IL"/>
        </w:rPr>
      </w:pPr>
      <w:r>
        <w:rPr>
          <w:b/>
          <w:bCs/>
          <w:kern w:val="32"/>
          <w:sz w:val="32"/>
          <w:lang w:bidi="he-IL"/>
        </w:rPr>
        <w:t>项目名称：</w:t>
      </w:r>
      <w:r>
        <w:rPr>
          <w:rFonts w:hint="eastAsia"/>
          <w:b/>
          <w:bCs/>
          <w:sz w:val="32"/>
          <w:szCs w:val="32"/>
        </w:rPr>
        <w:t>文明创建工作经费</w:t>
      </w:r>
      <w:r>
        <w:rPr>
          <w:rFonts w:hint="eastAsia"/>
          <w:b/>
          <w:bCs/>
          <w:sz w:val="32"/>
          <w:szCs w:val="32"/>
          <w:lang w:val="en-US" w:eastAsia="zh-CN"/>
        </w:rPr>
        <w:t>项目</w:t>
      </w:r>
    </w:p>
    <w:p>
      <w:pPr>
        <w:widowControl/>
        <w:spacing w:line="480" w:lineRule="auto"/>
        <w:ind w:firstLine="643"/>
        <w:jc w:val="left"/>
        <w:rPr>
          <w:b/>
          <w:bCs/>
          <w:sz w:val="32"/>
          <w:szCs w:val="32"/>
        </w:rPr>
      </w:pPr>
      <w:r>
        <w:rPr>
          <w:b/>
          <w:bCs/>
          <w:kern w:val="32"/>
          <w:sz w:val="32"/>
          <w:lang w:bidi="he-IL"/>
        </w:rPr>
        <w:t>项目单位：</w:t>
      </w:r>
      <w:r>
        <w:rPr>
          <w:rFonts w:hint="eastAsia"/>
          <w:b/>
          <w:bCs/>
          <w:kern w:val="32"/>
          <w:sz w:val="32"/>
          <w:lang w:bidi="he-IL"/>
        </w:rPr>
        <w:t>武昌区人民政府</w:t>
      </w:r>
      <w:r>
        <w:rPr>
          <w:rFonts w:hint="eastAsia"/>
          <w:b/>
          <w:bCs/>
          <w:kern w:val="32"/>
          <w:sz w:val="32"/>
          <w:lang w:eastAsia="zh-CN" w:bidi="he-IL"/>
        </w:rPr>
        <w:t>杨园</w:t>
      </w:r>
      <w:r>
        <w:rPr>
          <w:rFonts w:hint="eastAsia"/>
          <w:b/>
          <w:bCs/>
          <w:kern w:val="32"/>
          <w:sz w:val="32"/>
          <w:lang w:bidi="he-IL"/>
        </w:rPr>
        <w:t>街办事处</w:t>
      </w:r>
    </w:p>
    <w:p>
      <w:pPr>
        <w:widowControl/>
        <w:spacing w:line="480" w:lineRule="auto"/>
        <w:ind w:firstLine="643"/>
        <w:jc w:val="left"/>
        <w:rPr>
          <w:b/>
          <w:bCs/>
          <w:kern w:val="32"/>
          <w:sz w:val="32"/>
          <w:lang w:bidi="he-IL"/>
        </w:rPr>
      </w:pPr>
      <w:r>
        <w:rPr>
          <w:rFonts w:hint="eastAsia"/>
          <w:b/>
          <w:bCs/>
          <w:kern w:val="32"/>
          <w:sz w:val="32"/>
          <w:lang w:bidi="he-IL"/>
        </w:rPr>
        <w:t>主管部门：武昌区人民政府</w:t>
      </w:r>
      <w:r>
        <w:rPr>
          <w:rFonts w:hint="eastAsia"/>
          <w:b/>
          <w:bCs/>
          <w:kern w:val="32"/>
          <w:sz w:val="32"/>
          <w:lang w:eastAsia="zh-CN" w:bidi="he-IL"/>
        </w:rPr>
        <w:t>杨园</w:t>
      </w:r>
      <w:r>
        <w:rPr>
          <w:rFonts w:hint="eastAsia"/>
          <w:b/>
          <w:bCs/>
          <w:kern w:val="32"/>
          <w:sz w:val="32"/>
          <w:lang w:bidi="he-IL"/>
        </w:rPr>
        <w:t>街办事处</w:t>
      </w:r>
    </w:p>
    <w:p>
      <w:pPr>
        <w:widowControl/>
        <w:spacing w:line="480" w:lineRule="auto"/>
        <w:ind w:firstLine="643"/>
        <w:jc w:val="left"/>
        <w:rPr>
          <w:b/>
          <w:bCs/>
          <w:kern w:val="32"/>
          <w:sz w:val="32"/>
          <w:lang w:bidi="he-IL"/>
        </w:rPr>
      </w:pPr>
      <w:r>
        <w:rPr>
          <w:rFonts w:hint="eastAsia"/>
          <w:b/>
          <w:bCs/>
          <w:kern w:val="32"/>
          <w:sz w:val="32"/>
          <w:lang w:bidi="he-IL"/>
        </w:rPr>
        <w:t>评价机构：致同会计师事务所（特殊普通合伙）武汉分所</w:t>
      </w:r>
    </w:p>
    <w:p>
      <w:pPr>
        <w:widowControl/>
        <w:spacing w:line="480" w:lineRule="auto"/>
        <w:ind w:firstLine="790" w:firstLineChars="246"/>
        <w:jc w:val="left"/>
        <w:rPr>
          <w:b/>
          <w:bCs/>
          <w:color w:val="FF0000"/>
          <w:sz w:val="32"/>
          <w:szCs w:val="32"/>
        </w:rPr>
      </w:pPr>
    </w:p>
    <w:p>
      <w:pPr>
        <w:spacing w:line="800" w:lineRule="exact"/>
        <w:ind w:firstLine="0" w:firstLineChars="0"/>
        <w:rPr>
          <w:b/>
          <w:bCs/>
          <w:color w:val="FF0000"/>
          <w:sz w:val="32"/>
          <w:szCs w:val="32"/>
        </w:rPr>
      </w:pPr>
    </w:p>
    <w:p>
      <w:pPr>
        <w:spacing w:line="800" w:lineRule="exact"/>
        <w:ind w:firstLine="0" w:firstLineChars="0"/>
        <w:rPr>
          <w:b/>
          <w:bCs/>
          <w:color w:val="FF0000"/>
          <w:sz w:val="32"/>
          <w:szCs w:val="32"/>
        </w:rPr>
      </w:pPr>
    </w:p>
    <w:p>
      <w:pPr>
        <w:spacing w:line="800" w:lineRule="exact"/>
        <w:ind w:firstLine="0" w:firstLineChars="0"/>
        <w:jc w:val="center"/>
        <w:rPr>
          <w:b/>
          <w:bCs/>
          <w:sz w:val="32"/>
          <w:szCs w:val="32"/>
        </w:rPr>
      </w:pPr>
      <w:r>
        <w:rPr>
          <w:b/>
          <w:bCs/>
          <w:sz w:val="32"/>
          <w:szCs w:val="32"/>
        </w:rPr>
        <w:t>二</w:t>
      </w:r>
      <w:r>
        <w:rPr>
          <w:rFonts w:hint="eastAsia"/>
          <w:b/>
          <w:bCs/>
          <w:sz w:val="32"/>
          <w:szCs w:val="32"/>
          <w:lang w:val="en-US" w:eastAsia="zh-CN"/>
        </w:rPr>
        <w:t>〇</w:t>
      </w:r>
      <w:r>
        <w:rPr>
          <w:rFonts w:hint="eastAsia"/>
          <w:b/>
          <w:bCs/>
          <w:sz w:val="32"/>
          <w:szCs w:val="32"/>
        </w:rPr>
        <w:t>一八</w:t>
      </w:r>
      <w:r>
        <w:rPr>
          <w:b/>
          <w:bCs/>
          <w:sz w:val="32"/>
          <w:szCs w:val="32"/>
        </w:rPr>
        <w:t>年</w:t>
      </w:r>
      <w:r>
        <w:rPr>
          <w:rFonts w:hint="eastAsia"/>
          <w:b/>
          <w:bCs/>
          <w:sz w:val="32"/>
          <w:szCs w:val="32"/>
        </w:rPr>
        <w:t>五</w:t>
      </w:r>
      <w:r>
        <w:rPr>
          <w:b/>
          <w:bCs/>
          <w:sz w:val="32"/>
          <w:szCs w:val="32"/>
        </w:rPr>
        <w:t>月</w:t>
      </w:r>
    </w:p>
    <w:p>
      <w:pPr>
        <w:spacing w:line="240" w:lineRule="auto"/>
        <w:ind w:firstLine="0" w:firstLineChars="0"/>
        <w:rPr>
          <w:b/>
          <w:bCs/>
          <w:color w:val="FF0000"/>
          <w:sz w:val="30"/>
          <w:szCs w:val="30"/>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361" w:right="1406" w:bottom="1089" w:left="1797" w:header="1361" w:footer="992" w:gutter="0"/>
          <w:pgNumType w:start="0"/>
          <w:cols w:space="720" w:num="1"/>
          <w:docGrid w:type="lines" w:linePitch="408" w:charSpace="0"/>
        </w:sectPr>
      </w:pPr>
    </w:p>
    <w:p>
      <w:pPr>
        <w:ind w:firstLine="0" w:firstLineChars="0"/>
        <w:jc w:val="center"/>
        <w:rPr>
          <w:rFonts w:ascii="华文宋体" w:hAnsi="华文宋体" w:eastAsia="华文宋体" w:cs="Arial Narrow"/>
          <w:b/>
          <w:sz w:val="44"/>
          <w:szCs w:val="44"/>
        </w:rPr>
      </w:pPr>
      <w:r>
        <w:rPr>
          <w:rFonts w:hint="eastAsia" w:ascii="华文宋体" w:hAnsi="华文宋体" w:eastAsia="华文宋体" w:cs="Arial Narrow"/>
          <w:b/>
          <w:sz w:val="44"/>
          <w:szCs w:val="44"/>
        </w:rPr>
        <w:t>摘   要</w:t>
      </w:r>
    </w:p>
    <w:p>
      <w:pPr>
        <w:ind w:firstLine="0" w:firstLineChars="0"/>
        <w:jc w:val="center"/>
        <w:rPr>
          <w:rFonts w:ascii="Arial Narrow" w:hAnsi="Arial Narrow" w:cs="Arial Narrow"/>
          <w:b/>
        </w:rPr>
      </w:pPr>
    </w:p>
    <w:p>
      <w:pPr>
        <w:pStyle w:val="40"/>
        <w:numPr>
          <w:ilvl w:val="0"/>
          <w:numId w:val="1"/>
        </w:numPr>
        <w:ind w:firstLineChars="0"/>
        <w:jc w:val="left"/>
        <w:rPr>
          <w:rFonts w:ascii="Arial Narrow" w:hAnsi="Arial Narrow" w:cs="Arial Narrow"/>
          <w:b/>
        </w:rPr>
      </w:pPr>
      <w:r>
        <w:rPr>
          <w:rFonts w:ascii="Arial Narrow" w:hAnsi="Arial Narrow" w:cs="Arial Narrow"/>
          <w:b/>
        </w:rPr>
        <w:t>项目名称：文明创建工作经费项目</w:t>
      </w:r>
    </w:p>
    <w:p>
      <w:pPr>
        <w:pStyle w:val="40"/>
        <w:numPr>
          <w:ilvl w:val="0"/>
          <w:numId w:val="1"/>
        </w:numPr>
        <w:ind w:firstLineChars="0"/>
        <w:jc w:val="left"/>
        <w:rPr>
          <w:rFonts w:ascii="Arial Narrow" w:hAnsi="Arial Narrow" w:cs="Arial Narrow"/>
          <w:b/>
        </w:rPr>
      </w:pPr>
      <w:r>
        <w:rPr>
          <w:rFonts w:ascii="Arial Narrow" w:hAnsi="Arial Narrow" w:cs="Arial Narrow"/>
          <w:b/>
        </w:rPr>
        <w:t>项目金额：</w:t>
      </w:r>
      <w:r>
        <w:rPr>
          <w:rFonts w:hint="eastAsia" w:ascii="Arial Narrow" w:hAnsi="Arial Narrow" w:cs="Arial Narrow"/>
          <w:b/>
          <w:lang w:val="en-US" w:eastAsia="zh-CN"/>
        </w:rPr>
        <w:t>230</w:t>
      </w:r>
      <w:r>
        <w:rPr>
          <w:rFonts w:ascii="Arial Narrow" w:hAnsi="Arial Narrow" w:cs="Arial Narrow"/>
          <w:b/>
        </w:rPr>
        <w:t>万元</w:t>
      </w:r>
    </w:p>
    <w:p>
      <w:pPr>
        <w:ind w:firstLine="0" w:firstLineChars="0"/>
        <w:jc w:val="left"/>
        <w:rPr>
          <w:rFonts w:ascii="Arial Narrow" w:hAnsi="Arial Narrow" w:cs="Arial Narrow"/>
          <w:b/>
        </w:rPr>
      </w:pPr>
      <w:r>
        <w:rPr>
          <w:rFonts w:ascii="Arial Narrow" w:hAnsi="Arial Narrow" w:cs="Arial Narrow"/>
          <w:b/>
        </w:rPr>
        <w:t>三、绩效评价结果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0" w:firstLineChars="0"/>
              <w:jc w:val="center"/>
              <w:rPr>
                <w:rFonts w:ascii="Arial Narrow" w:hAnsi="Arial Narrow" w:cs="Arial Narrow"/>
                <w:color w:val="auto"/>
              </w:rPr>
            </w:pPr>
            <w:r>
              <w:rPr>
                <w:rFonts w:ascii="Arial Narrow" w:hAnsi="Arial Narrow" w:cs="Arial Narrow"/>
                <w:color w:val="auto"/>
              </w:rPr>
              <w:t>评价准则</w:t>
            </w:r>
          </w:p>
        </w:tc>
        <w:tc>
          <w:tcPr>
            <w:tcW w:w="2126" w:type="dxa"/>
            <w:tcBorders>
              <w:bottom w:val="single" w:color="008000" w:sz="6" w:space="0"/>
            </w:tcBorders>
            <w:vAlign w:val="center"/>
          </w:tcPr>
          <w:p>
            <w:pPr>
              <w:ind w:firstLine="0" w:firstLineChars="0"/>
              <w:jc w:val="center"/>
              <w:rPr>
                <w:rFonts w:ascii="Arial Narrow" w:hAnsi="Arial Narrow" w:cs="Arial Narrow"/>
                <w:color w:val="auto"/>
              </w:rPr>
            </w:pPr>
            <w:r>
              <w:rPr>
                <w:rFonts w:ascii="Arial Narrow" w:hAnsi="Arial Narrow" w:cs="Arial Narrow"/>
                <w:color w:val="auto"/>
              </w:rPr>
              <w:t>准则分值</w:t>
            </w:r>
          </w:p>
        </w:tc>
        <w:tc>
          <w:tcPr>
            <w:tcW w:w="2268" w:type="dxa"/>
            <w:tcBorders>
              <w:bottom w:val="single" w:color="008000" w:sz="6" w:space="0"/>
            </w:tcBorders>
            <w:vAlign w:val="center"/>
          </w:tcPr>
          <w:p>
            <w:pPr>
              <w:ind w:firstLine="0" w:firstLineChars="0"/>
              <w:jc w:val="center"/>
              <w:rPr>
                <w:rFonts w:ascii="Arial Narrow" w:hAnsi="Arial Narrow" w:cs="Arial Narrow"/>
                <w:color w:val="auto"/>
              </w:rPr>
            </w:pPr>
            <w:r>
              <w:rPr>
                <w:rFonts w:ascii="Arial Narrow" w:hAnsi="Arial Narrow" w:cs="Arial Narrow"/>
                <w:color w:val="auto"/>
              </w:rPr>
              <w:t>评价得分</w:t>
            </w:r>
          </w:p>
        </w:tc>
        <w:tc>
          <w:tcPr>
            <w:tcW w:w="2126" w:type="dxa"/>
            <w:tcBorders>
              <w:bottom w:val="single" w:color="008000" w:sz="6" w:space="0"/>
            </w:tcBorders>
            <w:vAlign w:val="center"/>
          </w:tcPr>
          <w:p>
            <w:pPr>
              <w:ind w:firstLine="0" w:firstLineChars="0"/>
              <w:jc w:val="center"/>
              <w:rPr>
                <w:rFonts w:ascii="Arial Narrow" w:hAnsi="Arial Narrow" w:cs="Arial Narrow"/>
                <w:color w:val="auto"/>
              </w:rPr>
            </w:pPr>
            <w:r>
              <w:rPr>
                <w:rFonts w:ascii="Arial Narrow" w:hAnsi="Arial Narrow" w:cs="Arial Narrow"/>
                <w:color w:val="auto"/>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0" w:firstLineChars="0"/>
              <w:jc w:val="center"/>
              <w:rPr>
                <w:rFonts w:ascii="Arial Narrow" w:hAnsi="Arial Narrow" w:cs="Arial Narrow"/>
                <w:color w:val="auto"/>
              </w:rPr>
            </w:pPr>
            <w:r>
              <w:rPr>
                <w:rFonts w:hint="eastAsia" w:ascii="Arial Narrow" w:hAnsi="Arial Narrow" w:cs="Arial Narrow"/>
                <w:color w:val="auto"/>
              </w:rPr>
              <w:t>投入</w:t>
            </w:r>
          </w:p>
        </w:tc>
        <w:tc>
          <w:tcPr>
            <w:tcW w:w="2126"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10</w:t>
            </w:r>
            <w:r>
              <w:rPr>
                <w:rFonts w:ascii="Arial Narrow" w:hAnsi="Arial Narrow" w:cs="Arial Narrow"/>
                <w:color w:val="auto"/>
                <w:highlight w:val="none"/>
              </w:rPr>
              <w:t>分</w:t>
            </w:r>
          </w:p>
        </w:tc>
        <w:tc>
          <w:tcPr>
            <w:tcW w:w="2268"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9</w:t>
            </w:r>
            <w:r>
              <w:rPr>
                <w:rFonts w:hint="eastAsia" w:ascii="Arial Narrow" w:hAnsi="Arial Narrow" w:cs="Arial Narrow"/>
                <w:color w:val="auto"/>
                <w:highlight w:val="none"/>
                <w:lang w:eastAsia="zh-CN"/>
              </w:rPr>
              <w:t>.</w:t>
            </w:r>
            <w:r>
              <w:rPr>
                <w:rFonts w:hint="eastAsia" w:ascii="Arial Narrow" w:hAnsi="Arial Narrow" w:cs="Arial Narrow"/>
                <w:color w:val="auto"/>
                <w:highlight w:val="none"/>
                <w:lang w:val="en-US" w:eastAsia="zh-CN"/>
              </w:rPr>
              <w:t>5</w:t>
            </w:r>
            <w:r>
              <w:rPr>
                <w:rFonts w:ascii="Arial Narrow" w:hAnsi="Arial Narrow" w:cs="Arial Narrow"/>
                <w:color w:val="auto"/>
                <w:highlight w:val="none"/>
              </w:rPr>
              <w:t>分</w:t>
            </w:r>
          </w:p>
        </w:tc>
        <w:tc>
          <w:tcPr>
            <w:tcW w:w="2126"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0" w:firstLineChars="0"/>
              <w:jc w:val="center"/>
              <w:rPr>
                <w:rFonts w:ascii="Arial Narrow" w:hAnsi="Arial Narrow" w:cs="Arial Narrow"/>
                <w:color w:val="auto"/>
              </w:rPr>
            </w:pPr>
            <w:r>
              <w:rPr>
                <w:rFonts w:hint="eastAsia" w:ascii="Arial Narrow" w:hAnsi="Arial Narrow" w:cs="Arial Narrow"/>
                <w:color w:val="auto"/>
              </w:rPr>
              <w:t>过程</w:t>
            </w:r>
          </w:p>
        </w:tc>
        <w:tc>
          <w:tcPr>
            <w:tcW w:w="2126" w:type="dxa"/>
            <w:vAlign w:val="center"/>
          </w:tcPr>
          <w:p>
            <w:pPr>
              <w:ind w:firstLine="0" w:firstLineChars="0"/>
              <w:jc w:val="center"/>
              <w:rPr>
                <w:rFonts w:ascii="Arial Narrow" w:hAnsi="Arial Narrow" w:cs="Arial Narrow"/>
                <w:color w:val="auto"/>
                <w:highlight w:val="none"/>
              </w:rPr>
            </w:pPr>
            <w:r>
              <w:rPr>
                <w:rFonts w:ascii="Arial Narrow" w:hAnsi="Arial Narrow" w:cs="Arial Narrow"/>
                <w:color w:val="auto"/>
                <w:highlight w:val="none"/>
              </w:rPr>
              <w:t>2</w:t>
            </w:r>
            <w:r>
              <w:rPr>
                <w:rFonts w:hint="eastAsia" w:ascii="Arial Narrow" w:hAnsi="Arial Narrow" w:cs="Arial Narrow"/>
                <w:color w:val="auto"/>
                <w:highlight w:val="none"/>
              </w:rPr>
              <w:t>0</w:t>
            </w:r>
            <w:r>
              <w:rPr>
                <w:rFonts w:ascii="Arial Narrow" w:hAnsi="Arial Narrow" w:cs="Arial Narrow"/>
                <w:color w:val="auto"/>
                <w:highlight w:val="none"/>
              </w:rPr>
              <w:t>分</w:t>
            </w:r>
          </w:p>
        </w:tc>
        <w:tc>
          <w:tcPr>
            <w:tcW w:w="2268"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1</w:t>
            </w:r>
            <w:r>
              <w:rPr>
                <w:rFonts w:hint="eastAsia" w:ascii="Arial Narrow" w:hAnsi="Arial Narrow" w:cs="Arial Narrow"/>
                <w:color w:val="auto"/>
                <w:highlight w:val="none"/>
                <w:lang w:val="en-US" w:eastAsia="zh-CN"/>
              </w:rPr>
              <w:t>8.5</w:t>
            </w:r>
            <w:r>
              <w:rPr>
                <w:rFonts w:ascii="Arial Narrow" w:hAnsi="Arial Narrow" w:cs="Arial Narrow"/>
                <w:color w:val="auto"/>
                <w:highlight w:val="none"/>
              </w:rPr>
              <w:t>分</w:t>
            </w:r>
          </w:p>
        </w:tc>
        <w:tc>
          <w:tcPr>
            <w:tcW w:w="2126"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0" w:firstLineChars="0"/>
              <w:jc w:val="center"/>
              <w:rPr>
                <w:rFonts w:ascii="Arial Narrow" w:hAnsi="Arial Narrow" w:cs="Arial Narrow"/>
                <w:color w:val="auto"/>
              </w:rPr>
            </w:pPr>
            <w:r>
              <w:rPr>
                <w:rFonts w:hint="eastAsia" w:ascii="Arial Narrow" w:hAnsi="Arial Narrow" w:cs="Arial Narrow"/>
                <w:color w:val="auto"/>
              </w:rPr>
              <w:t>产出</w:t>
            </w:r>
          </w:p>
        </w:tc>
        <w:tc>
          <w:tcPr>
            <w:tcW w:w="2126" w:type="dxa"/>
            <w:vAlign w:val="center"/>
          </w:tcPr>
          <w:p>
            <w:pPr>
              <w:ind w:firstLine="0" w:firstLineChars="0"/>
              <w:jc w:val="center"/>
              <w:textAlignment w:val="top"/>
              <w:rPr>
                <w:rFonts w:ascii="Arial Narrow" w:hAnsi="Arial Narrow" w:cs="Arial Narrow"/>
                <w:color w:val="auto"/>
                <w:highlight w:val="none"/>
              </w:rPr>
            </w:pPr>
            <w:r>
              <w:rPr>
                <w:rFonts w:hint="eastAsia" w:ascii="Arial Narrow" w:hAnsi="Arial Narrow" w:cs="Arial Narrow"/>
                <w:color w:val="auto"/>
                <w:highlight w:val="none"/>
              </w:rPr>
              <w:t>33</w:t>
            </w:r>
            <w:r>
              <w:rPr>
                <w:rFonts w:ascii="Arial Narrow" w:hAnsi="Arial Narrow" w:cs="Arial Narrow"/>
                <w:color w:val="auto"/>
                <w:highlight w:val="none"/>
              </w:rPr>
              <w:t>分</w:t>
            </w:r>
          </w:p>
        </w:tc>
        <w:tc>
          <w:tcPr>
            <w:tcW w:w="2268" w:type="dxa"/>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lang w:val="en-US" w:eastAsia="zh-CN"/>
              </w:rPr>
              <w:t>29</w:t>
            </w:r>
            <w:r>
              <w:rPr>
                <w:rFonts w:ascii="Arial Narrow" w:hAnsi="Arial Narrow" w:cs="Arial Narrow"/>
                <w:color w:val="auto"/>
                <w:highlight w:val="none"/>
              </w:rPr>
              <w:t>分</w:t>
            </w:r>
          </w:p>
        </w:tc>
        <w:tc>
          <w:tcPr>
            <w:tcW w:w="2126" w:type="dxa"/>
            <w:vAlign w:val="center"/>
          </w:tcPr>
          <w:p>
            <w:pPr>
              <w:ind w:firstLine="0" w:firstLineChars="0"/>
              <w:jc w:val="center"/>
              <w:rPr>
                <w:rFonts w:hint="eastAsia" w:ascii="Arial Narrow" w:hAnsi="Arial Narrow" w:eastAsia="仿宋_GB2312" w:cs="Arial Narrow"/>
                <w:color w:val="auto"/>
                <w:highlight w:val="none"/>
                <w:lang w:eastAsia="zh-CN"/>
              </w:rPr>
            </w:pPr>
            <w:r>
              <w:rPr>
                <w:rFonts w:hint="eastAsia" w:ascii="Arial Narrow" w:hAnsi="Arial Narrow" w:cs="Arial Narrow"/>
                <w:color w:val="auto"/>
                <w:highlight w:val="none"/>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0" w:firstLineChars="0"/>
              <w:jc w:val="center"/>
              <w:rPr>
                <w:rFonts w:ascii="Arial Narrow" w:hAnsi="Arial Narrow" w:cs="Arial Narrow"/>
                <w:color w:val="auto"/>
              </w:rPr>
            </w:pPr>
            <w:r>
              <w:rPr>
                <w:rFonts w:hint="eastAsia" w:ascii="Arial Narrow" w:hAnsi="Arial Narrow" w:cs="Arial Narrow"/>
                <w:color w:val="auto"/>
              </w:rPr>
              <w:t>效果</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37</w:t>
            </w:r>
            <w:r>
              <w:rPr>
                <w:rFonts w:ascii="Arial Narrow" w:hAnsi="Arial Narrow" w:cs="Arial Narrow"/>
                <w:color w:val="auto"/>
                <w:highlight w:val="none"/>
              </w:rPr>
              <w:t>分</w:t>
            </w:r>
          </w:p>
        </w:tc>
        <w:tc>
          <w:tcPr>
            <w:tcW w:w="2268" w:type="dxa"/>
            <w:tcBorders>
              <w:top w:val="single" w:color="008000" w:sz="6" w:space="0"/>
              <w:bottom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3</w:t>
            </w:r>
            <w:r>
              <w:rPr>
                <w:rFonts w:hint="eastAsia" w:ascii="Arial Narrow" w:hAnsi="Arial Narrow" w:cs="Arial Narrow"/>
                <w:color w:val="auto"/>
                <w:highlight w:val="none"/>
                <w:lang w:val="en-US" w:eastAsia="zh-CN"/>
              </w:rPr>
              <w:t>7</w:t>
            </w:r>
            <w:r>
              <w:rPr>
                <w:rFonts w:ascii="Arial Narrow" w:hAnsi="Arial Narrow" w:cs="Arial Narrow"/>
                <w:color w:val="auto"/>
                <w:highlight w:val="none"/>
              </w:rPr>
              <w:t>分</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0" w:firstLineChars="0"/>
              <w:jc w:val="center"/>
              <w:rPr>
                <w:rFonts w:ascii="Arial Narrow" w:hAnsi="Arial Narrow" w:cs="Arial Narrow"/>
                <w:color w:val="auto"/>
              </w:rPr>
            </w:pPr>
            <w:r>
              <w:rPr>
                <w:rFonts w:hint="eastAsia" w:ascii="Arial Narrow" w:hAnsi="Arial Narrow" w:cs="Arial Narrow"/>
                <w:color w:val="auto"/>
              </w:rPr>
              <w:t>综合绩效</w:t>
            </w:r>
          </w:p>
        </w:tc>
        <w:tc>
          <w:tcPr>
            <w:tcW w:w="2126" w:type="dxa"/>
            <w:tcBorders>
              <w:top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100分</w:t>
            </w:r>
          </w:p>
        </w:tc>
        <w:tc>
          <w:tcPr>
            <w:tcW w:w="2268" w:type="dxa"/>
            <w:tcBorders>
              <w:top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9</w:t>
            </w:r>
            <w:r>
              <w:rPr>
                <w:rFonts w:hint="eastAsia" w:ascii="Arial Narrow" w:hAnsi="Arial Narrow" w:cs="Arial Narrow"/>
                <w:color w:val="auto"/>
                <w:highlight w:val="none"/>
                <w:lang w:val="en-US" w:eastAsia="zh-CN"/>
              </w:rPr>
              <w:t>4</w:t>
            </w:r>
            <w:r>
              <w:rPr>
                <w:rFonts w:hint="eastAsia" w:ascii="Arial Narrow" w:hAnsi="Arial Narrow" w:cs="Arial Narrow"/>
                <w:color w:val="auto"/>
                <w:highlight w:val="none"/>
              </w:rPr>
              <w:t>分</w:t>
            </w:r>
          </w:p>
        </w:tc>
        <w:tc>
          <w:tcPr>
            <w:tcW w:w="2126" w:type="dxa"/>
            <w:tcBorders>
              <w:top w:val="single" w:color="008000" w:sz="6" w:space="0"/>
            </w:tcBorders>
            <w:vAlign w:val="center"/>
          </w:tcPr>
          <w:p>
            <w:pPr>
              <w:ind w:firstLine="0" w:firstLineChars="0"/>
              <w:jc w:val="center"/>
              <w:rPr>
                <w:rFonts w:ascii="Arial Narrow" w:hAnsi="Arial Narrow" w:cs="Arial Narrow"/>
                <w:color w:val="auto"/>
                <w:highlight w:val="none"/>
              </w:rPr>
            </w:pPr>
            <w:r>
              <w:rPr>
                <w:rFonts w:hint="eastAsia" w:ascii="Arial Narrow" w:hAnsi="Arial Narrow" w:cs="Arial Narrow"/>
                <w:color w:val="auto"/>
                <w:highlight w:val="none"/>
              </w:rPr>
              <w:t>优</w:t>
            </w:r>
          </w:p>
        </w:tc>
      </w:tr>
    </w:tbl>
    <w:p>
      <w:pPr>
        <w:ind w:firstLine="0" w:firstLineChars="0"/>
        <w:rPr>
          <w:rFonts w:ascii="Arial Narrow" w:hAnsi="Arial Narrow" w:cs="Arial Narrow"/>
          <w:b/>
        </w:rPr>
      </w:pPr>
      <w:r>
        <w:rPr>
          <w:rFonts w:ascii="Arial Narrow" w:hAnsi="Arial Narrow" w:cs="Arial Narrow"/>
          <w:b/>
        </w:rPr>
        <w:t>四、评价工作组组成名单</w:t>
      </w:r>
    </w:p>
    <w:p>
      <w:pPr>
        <w:ind w:firstLine="0" w:firstLineChars="0"/>
        <w:rPr>
          <w:rFonts w:ascii="Arial Narrow" w:hAnsi="Arial Narrow" w:cs="Arial Narrow"/>
          <w:color w:val="FF0000"/>
          <w:highlight w:val="none"/>
        </w:rPr>
      </w:pPr>
      <w:r>
        <w:rPr>
          <w:rFonts w:ascii="Arial Narrow" w:hAnsi="Arial Narrow" w:cs="Arial Narrow"/>
          <w:highlight w:val="none"/>
        </w:rPr>
        <w:t>项目组组长：</w:t>
      </w:r>
      <w:r>
        <w:rPr>
          <w:rFonts w:ascii="Arial Narrow" w:hAnsi="Arial Narrow" w:cs="Arial Narrow"/>
          <w:color w:val="auto"/>
          <w:highlight w:val="none"/>
        </w:rPr>
        <w:t>蒋中友</w:t>
      </w:r>
      <w:r>
        <w:rPr>
          <w:rFonts w:hint="eastAsia" w:ascii="Arial Narrow" w:hAnsi="Arial Narrow" w:cs="Arial Narrow"/>
          <w:color w:val="auto"/>
          <w:highlight w:val="none"/>
        </w:rPr>
        <w:t>、</w:t>
      </w:r>
      <w:r>
        <w:rPr>
          <w:rFonts w:ascii="Arial Narrow" w:hAnsi="Arial Narrow" w:cs="Arial Narrow"/>
          <w:color w:val="auto"/>
          <w:highlight w:val="none"/>
        </w:rPr>
        <w:t>何思琪</w:t>
      </w:r>
    </w:p>
    <w:p>
      <w:pPr>
        <w:ind w:firstLine="0" w:firstLineChars="0"/>
        <w:rPr>
          <w:rFonts w:ascii="Arial Narrow" w:hAnsi="Arial Narrow" w:cs="Arial Narrow"/>
          <w:highlight w:val="none"/>
        </w:rPr>
      </w:pPr>
      <w:r>
        <w:rPr>
          <w:rFonts w:ascii="Arial Narrow" w:hAnsi="Arial Narrow" w:cs="Arial Narrow"/>
          <w:highlight w:val="none"/>
        </w:rPr>
        <w:t>现场负责人：</w:t>
      </w:r>
      <w:r>
        <w:rPr>
          <w:rFonts w:hint="eastAsia" w:ascii="Arial Narrow" w:hAnsi="Arial Narrow" w:cs="Arial Narrow"/>
          <w:highlight w:val="none"/>
          <w:lang w:eastAsia="zh-CN"/>
        </w:rPr>
        <w:t>李娇</w:t>
      </w:r>
    </w:p>
    <w:p>
      <w:pPr>
        <w:ind w:firstLine="0" w:firstLineChars="0"/>
        <w:rPr>
          <w:rFonts w:hint="eastAsia" w:ascii="Arial Narrow" w:hAnsi="Arial Narrow" w:eastAsia="仿宋_GB2312" w:cs="Arial Narrow"/>
          <w:highlight w:val="none"/>
          <w:lang w:val="en-US" w:eastAsia="zh-CN"/>
        </w:rPr>
      </w:pPr>
      <w:r>
        <w:rPr>
          <w:rFonts w:ascii="Arial Narrow" w:hAnsi="Arial Narrow" w:cs="Arial Narrow"/>
          <w:highlight w:val="none"/>
        </w:rPr>
        <w:t>评价小组成员：</w:t>
      </w:r>
      <w:r>
        <w:rPr>
          <w:rFonts w:hint="eastAsia" w:ascii="Arial Narrow" w:hAnsi="Arial Narrow" w:cs="Arial Narrow"/>
          <w:color w:val="auto"/>
          <w:highlight w:val="none"/>
          <w:lang w:val="en-US" w:eastAsia="zh-CN"/>
        </w:rPr>
        <w:t>黄薪铭、方梅、伍子炜</w:t>
      </w:r>
    </w:p>
    <w:p>
      <w:pPr>
        <w:ind w:firstLine="0" w:firstLineChars="0"/>
        <w:rPr>
          <w:rFonts w:ascii="Arial Narrow" w:hAnsi="Arial Narrow" w:cs="Arial Narrow"/>
          <w:b/>
        </w:rPr>
      </w:pPr>
      <w:r>
        <w:rPr>
          <w:rFonts w:ascii="Arial Narrow" w:hAnsi="Arial Narrow" w:cs="Arial Narrow"/>
          <w:b/>
        </w:rPr>
        <w:t>五、主要评价方法概述</w:t>
      </w:r>
    </w:p>
    <w:p>
      <w:pPr>
        <w:ind w:firstLine="480"/>
        <w:rPr>
          <w:rFonts w:hint="eastAsia" w:ascii="仿宋_GB2312" w:hAnsi="仿宋_GB2312" w:eastAsia="仿宋_GB2312" w:cs="仿宋_GB2312"/>
          <w:b/>
        </w:rPr>
      </w:pPr>
      <w:r>
        <w:rPr>
          <w:rFonts w:hint="eastAsia" w:ascii="仿宋_GB2312" w:hAnsi="仿宋_GB2312" w:eastAsia="仿宋_GB2312" w:cs="仿宋_GB2312"/>
        </w:rPr>
        <w:t>“文明创建工作经费项目”绩效评价根据项目特点和评价工作的要求，选择比较法、公众评判法、统计计算法、实地考察等方法进行绩效评价分析，与此同时我们收集了大量项目实施单位的各种统计资料进行分析研究。</w:t>
      </w:r>
    </w:p>
    <w:p>
      <w:pPr>
        <w:ind w:firstLine="480"/>
        <w:rPr>
          <w:rFonts w:hint="eastAsia" w:ascii="仿宋_GB2312" w:hAnsi="仿宋_GB2312" w:eastAsia="仿宋_GB2312" w:cs="仿宋_GB2312"/>
        </w:rPr>
      </w:pPr>
      <w:r>
        <w:rPr>
          <w:rFonts w:hint="eastAsia" w:ascii="仿宋_GB2312" w:hAnsi="仿宋_GB2312" w:eastAsia="仿宋_GB2312" w:cs="仿宋_GB2312"/>
        </w:rPr>
        <w:t>（一）比较法。是指通过对“文明创建工作经费项目”绩效目标与实际实施效果的对比，综合分析绩效目标实现程度。项目小组根据收集的预算批复文件、项目实施方案、《</w:t>
      </w:r>
      <w:r>
        <w:rPr>
          <w:rFonts w:hint="default" w:ascii="Arial Narrow" w:hAnsi="Arial Narrow" w:eastAsia="仿宋_GB2312" w:cs="Arial Narrow"/>
        </w:rPr>
        <w:t>2017年杨园街文明创建工作计划》、2017</w:t>
      </w:r>
      <w:r>
        <w:rPr>
          <w:rFonts w:hint="eastAsia" w:ascii="仿宋_GB2312" w:hAnsi="仿宋_GB2312" w:eastAsia="仿宋_GB2312" w:cs="仿宋_GB2312"/>
        </w:rPr>
        <w:t>年</w:t>
      </w:r>
      <w:r>
        <w:rPr>
          <w:rFonts w:hint="eastAsia" w:ascii="仿宋_GB2312" w:hAnsi="仿宋_GB2312" w:eastAsia="仿宋_GB2312" w:cs="仿宋_GB2312"/>
          <w:lang w:eastAsia="zh-CN"/>
        </w:rPr>
        <w:t>杨园</w:t>
      </w:r>
      <w:r>
        <w:rPr>
          <w:rFonts w:hint="eastAsia" w:ascii="仿宋_GB2312" w:hAnsi="仿宋_GB2312" w:eastAsia="仿宋_GB2312" w:cs="仿宋_GB2312"/>
        </w:rPr>
        <w:t>街文明创建工作专项业务经费明细账等资料，了解项目实际实施情况后，与项目申报时确定的绩效目标进行对比，评价绩效目标的实现程度。</w:t>
      </w:r>
    </w:p>
    <w:p>
      <w:pPr>
        <w:ind w:firstLine="480"/>
        <w:rPr>
          <w:rFonts w:hint="eastAsia" w:ascii="仿宋_GB2312" w:hAnsi="仿宋_GB2312" w:eastAsia="仿宋_GB2312" w:cs="仿宋_GB2312"/>
        </w:rPr>
      </w:pPr>
      <w:r>
        <w:rPr>
          <w:rFonts w:hint="eastAsia" w:ascii="仿宋_GB2312" w:hAnsi="仿宋_GB2312" w:eastAsia="仿宋_GB2312" w:cs="仿宋_GB2312"/>
        </w:rPr>
        <w:t>（二）公众评判法。是指通过专家评估、公众问卷及抽样调查等对财政支出效果进行评判，评价绩效目标实现程度。项目小组将对</w:t>
      </w:r>
      <w:r>
        <w:rPr>
          <w:rFonts w:hint="eastAsia" w:ascii="仿宋_GB2312" w:hAnsi="仿宋_GB2312" w:eastAsia="仿宋_GB2312" w:cs="仿宋_GB2312"/>
          <w:lang w:eastAsia="zh-CN"/>
        </w:rPr>
        <w:t>杨园</w:t>
      </w:r>
      <w:r>
        <w:rPr>
          <w:rFonts w:hint="eastAsia" w:ascii="仿宋_GB2312" w:hAnsi="仿宋_GB2312" w:eastAsia="仿宋_GB2312" w:cs="仿宋_GB2312"/>
        </w:rPr>
        <w:t>街办事处的工作人员进行访谈，同时对参与文明创建工作经费项目的社区居民进行问卷调查，将社区居民的反映情况与收集的资料进行验证核对，收集项目具体实施情况和效果的相关证据，为绩效分析结论提供有力支撑。</w:t>
      </w:r>
    </w:p>
    <w:p>
      <w:pPr>
        <w:ind w:firstLine="480"/>
        <w:rPr>
          <w:rFonts w:hint="eastAsia" w:ascii="仿宋_GB2312" w:hAnsi="仿宋_GB2312" w:eastAsia="仿宋_GB2312" w:cs="仿宋_GB2312"/>
        </w:rPr>
      </w:pPr>
      <w:r>
        <w:rPr>
          <w:rFonts w:hint="eastAsia" w:ascii="仿宋_GB2312" w:hAnsi="仿宋_GB2312" w:eastAsia="仿宋_GB2312"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该项目特点的评价指标体系，然后采集数据依据计算公式进行计算分析，并根据计算结果分析项目的绩效目标实现程度。</w:t>
      </w:r>
    </w:p>
    <w:p>
      <w:pPr>
        <w:ind w:firstLine="480"/>
        <w:rPr>
          <w:rFonts w:hint="eastAsia" w:ascii="仿宋_GB2312" w:hAnsi="仿宋_GB2312" w:eastAsia="仿宋_GB2312" w:cs="仿宋_GB2312"/>
        </w:rPr>
      </w:pPr>
      <w:r>
        <w:rPr>
          <w:rFonts w:hint="eastAsia" w:ascii="仿宋_GB2312" w:hAnsi="仿宋_GB2312" w:eastAsia="仿宋_GB2312" w:cs="仿宋_GB2312"/>
        </w:rPr>
        <w:t>（四）实地考察。是指前往项目具体实施单位或场地进行考察，了解项目的实施情况。项目小组将走访</w:t>
      </w:r>
      <w:r>
        <w:rPr>
          <w:rFonts w:hint="eastAsia" w:ascii="仿宋_GB2312" w:hAnsi="仿宋_GB2312" w:eastAsia="仿宋_GB2312" w:cs="仿宋_GB2312"/>
          <w:lang w:eastAsia="zh-CN"/>
        </w:rPr>
        <w:t>杨园</w:t>
      </w:r>
      <w:r>
        <w:rPr>
          <w:rFonts w:hint="eastAsia" w:ascii="仿宋_GB2312" w:hAnsi="仿宋_GB2312" w:eastAsia="仿宋_GB2312" w:cs="仿宋_GB2312"/>
        </w:rPr>
        <w:t>街辖区各个街道社区，并拍照留痕。</w:t>
      </w:r>
    </w:p>
    <w:p>
      <w:pPr>
        <w:ind w:firstLine="0" w:firstLineChars="0"/>
        <w:rPr>
          <w:rFonts w:ascii="Arial Narrow" w:hAnsi="Arial Narrow" w:cs="Arial Narrow"/>
          <w:b/>
          <w:color w:val="auto"/>
          <w:highlight w:val="none"/>
        </w:rPr>
      </w:pPr>
      <w:r>
        <w:rPr>
          <w:rFonts w:ascii="Arial Narrow" w:hAnsi="Arial Narrow" w:cs="Arial Narrow"/>
          <w:b/>
          <w:color w:val="auto"/>
          <w:highlight w:val="none"/>
        </w:rPr>
        <w:t>六、存在的主要问题概述</w:t>
      </w:r>
    </w:p>
    <w:p>
      <w:pPr>
        <w:ind w:firstLine="480"/>
        <w:rPr>
          <w:rFonts w:ascii="Arial Narrow" w:hAnsi="Arial Narrow" w:cs="Arial Narrow"/>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一</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绩效指标</w:t>
      </w:r>
      <w:r>
        <w:rPr>
          <w:rFonts w:hint="eastAsia" w:ascii="仿宋_GB2312" w:hAnsi="仿宋_GB2312" w:eastAsia="仿宋_GB2312" w:cs="仿宋_GB2312"/>
          <w:sz w:val="24"/>
          <w:szCs w:val="24"/>
        </w:rPr>
        <w:t>体系不完善。项目实施单位</w:t>
      </w:r>
      <w:r>
        <w:rPr>
          <w:rFonts w:hint="eastAsia" w:ascii="仿宋_GB2312" w:hAnsi="仿宋_GB2312" w:cs="仿宋_GB2312"/>
          <w:sz w:val="24"/>
          <w:szCs w:val="24"/>
          <w:lang w:val="en-US" w:eastAsia="zh-CN"/>
        </w:rPr>
        <w:t>针对</w:t>
      </w:r>
      <w:r>
        <w:rPr>
          <w:rFonts w:hint="eastAsia" w:ascii="仿宋_GB2312" w:hAnsi="仿宋_GB2312" w:eastAsia="仿宋_GB2312" w:cs="仿宋_GB2312"/>
          <w:sz w:val="24"/>
          <w:szCs w:val="24"/>
        </w:rPr>
        <w:t>组织街道党员干部集中学习、开展学习活动、加强群众性精神文明创建、志愿者注册情况制定了年度总体目标任务，但未将项目目标细化成具体的绩效指标</w:t>
      </w:r>
      <w:r>
        <w:rPr>
          <w:rFonts w:hint="eastAsia" w:ascii="仿宋_GB2312" w:hAnsi="仿宋_GB2312" w:cs="仿宋_GB2312"/>
          <w:sz w:val="24"/>
          <w:szCs w:val="24"/>
          <w:lang w:eastAsia="zh-CN"/>
        </w:rPr>
        <w:t>，</w:t>
      </w:r>
      <w:r>
        <w:t>不利于后期项目</w:t>
      </w:r>
      <w:r>
        <w:rPr>
          <w:rFonts w:hint="eastAsia"/>
        </w:rPr>
        <w:t>的绩效</w:t>
      </w:r>
      <w:r>
        <w:t>考评</w:t>
      </w:r>
      <w:r>
        <w:rPr>
          <w:rFonts w:hint="eastAsia" w:ascii="仿宋_GB2312" w:hAnsi="仿宋_GB2312" w:eastAsia="仿宋_GB2312" w:cs="仿宋_GB2312"/>
          <w:sz w:val="24"/>
          <w:szCs w:val="24"/>
        </w:rPr>
        <w:t>。</w:t>
      </w:r>
    </w:p>
    <w:p>
      <w:pPr>
        <w:ind w:firstLine="480"/>
        <w:rPr>
          <w:rFonts w:hint="eastAsia" w:ascii="Arial Narrow" w:hAnsi="Arial Narrow" w:eastAsia="仿宋_GB2312" w:cs="Arial Narrow"/>
          <w:lang w:val="en-US" w:eastAsia="zh-CN"/>
        </w:rPr>
      </w:pPr>
      <w:r>
        <w:rPr>
          <w:rFonts w:hint="eastAsia" w:ascii="Arial Narrow" w:hAnsi="Arial Narrow" w:cs="Arial Narrow"/>
          <w:lang w:eastAsia="zh-CN"/>
        </w:rPr>
        <w:t>（</w:t>
      </w:r>
      <w:r>
        <w:rPr>
          <w:rFonts w:hint="eastAsia" w:ascii="Arial Narrow" w:hAnsi="Arial Narrow" w:cs="Arial Narrow"/>
          <w:lang w:val="en-US" w:eastAsia="zh-CN"/>
        </w:rPr>
        <w:t>二</w:t>
      </w:r>
      <w:r>
        <w:rPr>
          <w:rFonts w:hint="eastAsia" w:ascii="Arial Narrow" w:hAnsi="Arial Narrow" w:cs="Arial Narrow"/>
          <w:lang w:eastAsia="zh-CN"/>
        </w:rPr>
        <w:t>）</w:t>
      </w:r>
      <w:r>
        <w:rPr>
          <w:rFonts w:hint="eastAsia" w:ascii="Arial Narrow" w:hAnsi="Arial Narrow" w:cs="Arial Narrow"/>
          <w:lang w:val="en-US" w:eastAsia="zh-CN"/>
        </w:rPr>
        <w:t>文明过马路劝导活动覆盖率不高</w:t>
      </w:r>
      <w:r>
        <w:rPr>
          <w:rFonts w:ascii="Arial Narrow" w:hAnsi="Arial Narrow" w:cs="Arial Narrow"/>
        </w:rPr>
        <w:t>。</w:t>
      </w:r>
      <w:r>
        <w:rPr>
          <w:rFonts w:hint="eastAsia" w:ascii="Arial Narrow" w:hAnsi="Arial Narrow" w:cs="Arial Narrow"/>
        </w:rPr>
        <w:t>杨园街志愿服务活动项目统计表显示街道、社区共15个，实际</w:t>
      </w:r>
      <w:r>
        <w:rPr>
          <w:rFonts w:hint="eastAsia" w:ascii="Arial Narrow" w:hAnsi="Arial Narrow" w:cs="Arial Narrow"/>
          <w:lang w:val="en-US" w:eastAsia="zh-CN"/>
        </w:rPr>
        <w:t>仅</w:t>
      </w:r>
      <w:r>
        <w:rPr>
          <w:rFonts w:hint="eastAsia" w:ascii="Arial Narrow" w:hAnsi="Arial Narrow" w:cs="Arial Narrow"/>
        </w:rPr>
        <w:t>在友谊大道徐东大街路口、友谊大道才华街路口、铁机路路口、和四美塘公交站台4个站点开展文明过马路志愿劝导活动，文明过马路劝导活动覆盖率为26.67%</w:t>
      </w:r>
      <w:r>
        <w:rPr>
          <w:rFonts w:hint="eastAsia" w:ascii="Arial Narrow" w:hAnsi="Arial Narrow" w:cs="Arial Narrow"/>
          <w:lang w:eastAsia="zh-CN"/>
        </w:rPr>
        <w:t>，</w:t>
      </w:r>
      <w:r>
        <w:rPr>
          <w:rFonts w:hint="eastAsia" w:ascii="Arial Narrow" w:hAnsi="Arial Narrow" w:cs="Arial Narrow"/>
          <w:lang w:val="en-US" w:eastAsia="zh-CN"/>
        </w:rPr>
        <w:t>覆盖率不高。</w:t>
      </w:r>
    </w:p>
    <w:p>
      <w:pPr>
        <w:ind w:firstLine="480"/>
        <w:rPr>
          <w:rFonts w:hint="eastAsia"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三</w:t>
      </w:r>
      <w:r>
        <w:rPr>
          <w:rFonts w:hint="eastAsia" w:ascii="Arial Narrow" w:hAnsi="Arial Narrow" w:cs="Arial Narrow"/>
          <w:lang w:eastAsia="zh-CN"/>
        </w:rPr>
        <w:t>）</w:t>
      </w:r>
      <w:r>
        <w:rPr>
          <w:rFonts w:hint="eastAsia" w:ascii="Arial Narrow" w:hAnsi="Arial Narrow" w:cs="Arial Narrow"/>
        </w:rPr>
        <w:t>未制定具体明确的资金分配管理办法。项目主要依据《杨园街2017年财务管理办法》进行资金核算，但未制定具体的项目资金管理办法，也未明确资金分配办法，不利于保障项目资金的规范使用。</w:t>
      </w:r>
    </w:p>
    <w:p>
      <w:pPr>
        <w:ind w:left="0" w:leftChars="0" w:firstLine="0" w:firstLineChars="0"/>
        <w:rPr>
          <w:rFonts w:ascii="Arial Narrow" w:hAnsi="Arial Narrow" w:cs="Arial Narrow"/>
          <w:b/>
          <w:highlight w:val="none"/>
        </w:rPr>
      </w:pPr>
      <w:r>
        <w:rPr>
          <w:rFonts w:ascii="Arial Narrow" w:hAnsi="Arial Narrow" w:cs="Arial Narrow"/>
          <w:b/>
          <w:highlight w:val="none"/>
        </w:rPr>
        <w:t>七、管理建议概述</w:t>
      </w:r>
    </w:p>
    <w:p>
      <w:pPr>
        <w:keepNext w:val="0"/>
        <w:keepLines w:val="0"/>
        <w:pageBreakBefore w:val="0"/>
        <w:widowControl w:val="0"/>
        <w:kinsoku/>
        <w:wordWrap/>
        <w:overflowPunct/>
        <w:topLinePunct w:val="0"/>
        <w:autoSpaceDE/>
        <w:autoSpaceDN/>
        <w:bidi w:val="0"/>
        <w:ind w:firstLine="480"/>
        <w:textAlignment w:val="auto"/>
        <w:rPr>
          <w:rFonts w:hint="eastAsia" w:ascii="Arial Narrow" w:hAnsi="Arial Narrow" w:cs="Arial Narrow"/>
          <w:highlight w:val="none"/>
        </w:rPr>
      </w:pPr>
      <w:r>
        <w:rPr>
          <w:rFonts w:hint="eastAsia" w:ascii="Arial Narrow" w:hAnsi="Arial Narrow" w:cs="Arial Narrow"/>
          <w:highlight w:val="none"/>
          <w:lang w:eastAsia="zh-CN"/>
        </w:rPr>
        <w:t>（</w:t>
      </w:r>
      <w:r>
        <w:rPr>
          <w:rFonts w:hint="eastAsia" w:ascii="Arial Narrow" w:hAnsi="Arial Narrow" w:cs="Arial Narrow"/>
          <w:highlight w:val="none"/>
          <w:lang w:val="en-US" w:eastAsia="zh-CN"/>
        </w:rPr>
        <w:t>一</w:t>
      </w:r>
      <w:r>
        <w:rPr>
          <w:rFonts w:hint="eastAsia" w:ascii="Arial Narrow" w:hAnsi="Arial Narrow" w:cs="Arial Narrow"/>
          <w:highlight w:val="none"/>
          <w:lang w:eastAsia="zh-CN"/>
        </w:rPr>
        <w:t>）</w:t>
      </w:r>
      <w:r>
        <w:rPr>
          <w:rFonts w:hint="eastAsia" w:ascii="Arial Narrow" w:hAnsi="Arial Narrow" w:cs="Arial Narrow"/>
          <w:highlight w:val="none"/>
        </w:rPr>
        <w:t>完善项目</w:t>
      </w:r>
      <w:r>
        <w:rPr>
          <w:rFonts w:hint="eastAsia" w:ascii="Arial Narrow" w:hAnsi="Arial Narrow" w:cs="Arial Narrow"/>
          <w:highlight w:val="none"/>
          <w:lang w:val="en-US" w:eastAsia="zh-CN"/>
        </w:rPr>
        <w:t>绩效指标</w:t>
      </w:r>
      <w:r>
        <w:rPr>
          <w:rFonts w:hint="eastAsia" w:ascii="Arial Narrow" w:hAnsi="Arial Narrow" w:cs="Arial Narrow"/>
          <w:highlight w:val="none"/>
        </w:rPr>
        <w:t>体系。项目实施单位应根据绩效指标体系将总体目标细化成具体的绩效指标，并根据项目实施特点与目标，探索项目个性化指标，促进绩效评价工作的规范化。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Arial Narrow" w:hAnsi="Arial Narrow" w:cs="Arial Narrow"/>
          <w:color w:val="000000" w:themeColor="text1"/>
          <w:highlight w:val="none"/>
          <w:lang w:val="en-US" w:eastAsia="zh-CN"/>
          <w14:textFill>
            <w14:solidFill>
              <w14:schemeClr w14:val="tx1"/>
            </w14:solidFill>
          </w14:textFill>
        </w:rPr>
      </w:pPr>
      <w:r>
        <w:rPr>
          <w:rFonts w:hint="eastAsia" w:ascii="Arial Narrow" w:hAnsi="Arial Narrow" w:cs="Arial Narrow"/>
          <w:highlight w:val="none"/>
          <w:lang w:eastAsia="zh-CN"/>
        </w:rPr>
        <w:t>（</w:t>
      </w:r>
      <w:r>
        <w:rPr>
          <w:rFonts w:hint="eastAsia" w:ascii="Arial Narrow" w:hAnsi="Arial Narrow" w:cs="Arial Narrow"/>
          <w:highlight w:val="none"/>
          <w:lang w:val="en-US" w:eastAsia="zh-CN"/>
        </w:rPr>
        <w:t>二</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扩大文明过马路劝导活动的范围</w:t>
      </w:r>
      <w:r>
        <w:rPr>
          <w:rFonts w:hint="eastAsia" w:ascii="Arial Narrow" w:hAnsi="Arial Narrow" w:cs="Arial Narrow"/>
          <w:color w:val="000000" w:themeColor="text1"/>
          <w:highlight w:val="none"/>
          <w14:textFill>
            <w14:solidFill>
              <w14:schemeClr w14:val="tx1"/>
            </w14:solidFill>
          </w14:textFill>
        </w:rPr>
        <w:t>。</w:t>
      </w:r>
      <w:r>
        <w:rPr>
          <w:rFonts w:hint="eastAsia" w:ascii="Arial Narrow" w:hAnsi="Arial Narrow" w:cs="Arial Narrow"/>
          <w:color w:val="000000" w:themeColor="text1"/>
          <w:highlight w:val="none"/>
          <w:lang w:val="en-US" w:eastAsia="zh-CN"/>
          <w14:textFill>
            <w14:solidFill>
              <w14:schemeClr w14:val="tx1"/>
            </w14:solidFill>
          </w14:textFill>
        </w:rPr>
        <w:t>项目实施单位应配备充足人手尽可能在街道的辖区范围内全面的开展</w:t>
      </w:r>
      <w:r>
        <w:rPr>
          <w:rFonts w:hint="eastAsia" w:ascii="Arial Narrow" w:hAnsi="Arial Narrow" w:cs="Arial Narrow"/>
          <w:highlight w:val="none"/>
          <w:lang w:val="en-US" w:eastAsia="zh-CN"/>
        </w:rPr>
        <w:t>文明过马路劝导活动，将“讲文明、树新风”理念进一步落实推广。</w:t>
      </w:r>
      <w:r>
        <w:rPr>
          <w:rFonts w:hint="eastAsia" w:ascii="Arial Narrow" w:hAnsi="Arial Narrow" w:cs="Arial Narrow"/>
          <w:color w:val="000000" w:themeColor="text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Arial Narrow" w:hAnsi="Arial Narrow" w:cs="Arial Narrow"/>
          <w:highlight w:val="none"/>
        </w:rPr>
      </w:pPr>
      <w:r>
        <w:rPr>
          <w:rFonts w:hint="eastAsia" w:ascii="Arial Narrow" w:hAnsi="Arial Narrow" w:cs="Arial Narrow"/>
          <w:highlight w:val="none"/>
          <w:lang w:eastAsia="zh-CN"/>
        </w:rPr>
        <w:t>（</w:t>
      </w:r>
      <w:r>
        <w:rPr>
          <w:rFonts w:hint="eastAsia" w:ascii="Arial Narrow" w:hAnsi="Arial Narrow" w:cs="Arial Narrow"/>
          <w:highlight w:val="none"/>
          <w:lang w:val="en-US" w:eastAsia="zh-CN"/>
        </w:rPr>
        <w:t>三</w:t>
      </w:r>
      <w:r>
        <w:rPr>
          <w:rFonts w:hint="eastAsia" w:ascii="Arial Narrow" w:hAnsi="Arial Narrow" w:cs="Arial Narrow"/>
          <w:highlight w:val="none"/>
          <w:lang w:eastAsia="zh-CN"/>
        </w:rPr>
        <w:t>）</w:t>
      </w:r>
      <w:r>
        <w:rPr>
          <w:rFonts w:hint="eastAsia" w:ascii="Arial Narrow" w:hAnsi="Arial Narrow" w:cs="Arial Narrow"/>
          <w:highlight w:val="none"/>
          <w:lang w:val="en-US" w:eastAsia="zh-CN"/>
        </w:rPr>
        <w:t>制定项目</w:t>
      </w:r>
      <w:r>
        <w:rPr>
          <w:rFonts w:hint="eastAsia" w:ascii="Arial Narrow" w:hAnsi="Arial Narrow" w:cs="Arial Narrow"/>
          <w:highlight w:val="none"/>
        </w:rPr>
        <w:t>资金管理办法。在《管理办法》中应完善资金分配办法，明确资金使用分配对象及具体资金分配标准，做到“资金谁使用，使用多少“两个方面合理化、标准化，便于进一步保障资金使用的合规性、合理性。</w:t>
      </w: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spacing w:line="360" w:lineRule="exact"/>
        <w:ind w:firstLine="0" w:firstLineChars="0"/>
        <w:rPr>
          <w:rFonts w:ascii="Arial Narrow" w:hAnsi="Arial Narrow" w:cs="Arial Narrow"/>
          <w:b/>
          <w:sz w:val="32"/>
          <w:szCs w:val="32"/>
        </w:rPr>
      </w:pPr>
    </w:p>
    <w:p>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outlineLvl w:val="9"/>
        <w:rPr>
          <w:rFonts w:hint="default" w:ascii="Arial Narrow" w:hAnsi="Arial Narrow" w:eastAsia="仿宋_GB2312" w:cs="Arial Narrow"/>
          <w:b/>
          <w:sz w:val="24"/>
          <w:szCs w:val="24"/>
        </w:rPr>
      </w:pPr>
      <w:r>
        <w:rPr>
          <w:rFonts w:hint="default" w:ascii="Arial Narrow" w:hAnsi="Arial Narrow" w:eastAsia="仿宋_GB2312" w:cs="Arial Narrow"/>
          <w:b/>
          <w:sz w:val="24"/>
          <w:szCs w:val="24"/>
        </w:rPr>
        <w:t>目  录</w:t>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48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TOC \o "1-3" \h \z \u </w:instrText>
      </w:r>
      <w:r>
        <w:rPr>
          <w:rFonts w:hint="default" w:ascii="Arial Narrow" w:hAnsi="Arial Narrow" w:eastAsia="仿宋_GB2312" w:cs="Arial Narrow"/>
          <w:b w:val="0"/>
          <w:sz w:val="24"/>
          <w:szCs w:val="24"/>
        </w:rPr>
        <w:fldChar w:fldCharType="separate"/>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"_Toc513828336"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一、项目基本情况</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_Toc513828336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1</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"_Toc513828337"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（一）项目概况</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_Toc513828337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1</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"_Toc513828338"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（二）项目绩效目标</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_Toc513828338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4</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"_Toc513828339"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二、绩效评价工作情况</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_Toc513828339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4</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"_Toc513828340"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（一）绩效评价目的</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_Toc513828340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5</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"_Toc513828341"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（二）绩效评价工作过程</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_Toc513828341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5</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"_Toc513828343"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（三）绩效评价框架</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_Toc513828343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7</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"_Toc513828344"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（四）证据收集方式</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_Toc513828344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17</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"_Toc513828345"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三、绩效分析</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_Toc513828345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18</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"_Toc513828346"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（一）投入（10分）</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_Toc513828346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18</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"_Toc513828348"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（二）过程（20分）</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_Toc513828348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20</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"_Toc513828349"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（三）产出（33分）</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_Toc513828349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23</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"_Toc513828350"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（四）效果（37分）</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_Toc513828350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24</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"_Toc513828351"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四、评价结论</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_Toc513828351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26</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"_Toc513828352"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（一）评分结果</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_Toc513828352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26</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"_Toc513828353"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（二）主要结论</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_Toc513828353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27</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"_Toc513828354"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五、主要经验及做法、存在的问题和建议</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_Toc513828354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28</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"_Toc513828355"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（一）主要经验及做法</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_Toc513828355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28</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"_Toc513828356"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（二）存在的主要问题概述</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_Toc513828356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29</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"_Toc513828357"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（三）管理建议概述</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_Toc513828357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29</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"_Toc513828358"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b w:val="0"/>
          <w:sz w:val="24"/>
          <w:szCs w:val="24"/>
        </w:rPr>
        <w:t>六、其他需说明的问题</w:t>
      </w:r>
      <w:r>
        <w:rPr>
          <w:rFonts w:hint="default" w:ascii="Arial Narrow" w:hAnsi="Arial Narrow" w:eastAsia="仿宋_GB2312" w:cs="Arial Narrow"/>
          <w:b w:val="0"/>
          <w:sz w:val="24"/>
          <w:szCs w:val="24"/>
        </w:rPr>
        <w:tab/>
      </w:r>
      <w:r>
        <w:rPr>
          <w:rFonts w:hint="default" w:ascii="Arial Narrow" w:hAnsi="Arial Narrow" w:eastAsia="仿宋_GB2312" w:cs="Arial Narrow"/>
          <w:b w:val="0"/>
          <w:sz w:val="24"/>
          <w:szCs w:val="24"/>
        </w:rPr>
        <w:fldChar w:fldCharType="begin"/>
      </w:r>
      <w:r>
        <w:rPr>
          <w:rFonts w:hint="default" w:ascii="Arial Narrow" w:hAnsi="Arial Narrow" w:eastAsia="仿宋_GB2312" w:cs="Arial Narrow"/>
          <w:b w:val="0"/>
          <w:sz w:val="24"/>
          <w:szCs w:val="24"/>
        </w:rPr>
        <w:instrText xml:space="preserve"> PAGEREF _Toc513828358 \h </w:instrText>
      </w:r>
      <w:r>
        <w:rPr>
          <w:rFonts w:hint="default" w:ascii="Arial Narrow" w:hAnsi="Arial Narrow" w:eastAsia="仿宋_GB2312" w:cs="Arial Narrow"/>
          <w:b w:val="0"/>
          <w:sz w:val="24"/>
          <w:szCs w:val="24"/>
        </w:rPr>
        <w:fldChar w:fldCharType="separate"/>
      </w:r>
      <w:r>
        <w:rPr>
          <w:rFonts w:hint="default" w:ascii="Arial Narrow" w:hAnsi="Arial Narrow" w:eastAsia="仿宋_GB2312" w:cs="Arial Narrow"/>
          <w:b w:val="0"/>
          <w:sz w:val="24"/>
          <w:szCs w:val="24"/>
        </w:rPr>
        <w:t>29</w:t>
      </w:r>
      <w:r>
        <w:rPr>
          <w:rFonts w:hint="default" w:ascii="Arial Narrow" w:hAnsi="Arial Narrow" w:eastAsia="仿宋_GB2312" w:cs="Arial Narrow"/>
          <w:b w:val="0"/>
          <w:sz w:val="24"/>
          <w:szCs w:val="24"/>
        </w:rPr>
        <w:fldChar w:fldCharType="end"/>
      </w:r>
      <w:r>
        <w:rPr>
          <w:rFonts w:hint="default" w:ascii="Arial Narrow" w:hAnsi="Arial Narrow" w:eastAsia="仿宋_GB2312" w:cs="Arial Narrow"/>
          <w:b w:val="0"/>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"_Toc513828359"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（一）关于评价责任的说明</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_Toc513828359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29</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9"/>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iC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"_Toc513828360" </w:instrText>
      </w:r>
      <w:r>
        <w:rPr>
          <w:rFonts w:hint="default" w:ascii="Arial Narrow" w:hAnsi="Arial Narrow" w:eastAsia="仿宋_GB2312" w:cs="Arial Narrow"/>
          <w:sz w:val="24"/>
          <w:szCs w:val="24"/>
        </w:rPr>
        <w:fldChar w:fldCharType="separate"/>
      </w:r>
      <w:r>
        <w:rPr>
          <w:rStyle w:val="26"/>
          <w:rFonts w:hint="default" w:ascii="Arial Narrow" w:hAnsi="Arial Narrow" w:eastAsia="仿宋_GB2312" w:cs="Arial Narrow"/>
          <w:sz w:val="24"/>
          <w:szCs w:val="24"/>
        </w:rPr>
        <w:t>（二）关于本项目评价中局限性的说明</w:t>
      </w:r>
      <w:r>
        <w:rPr>
          <w:rFonts w:hint="default" w:ascii="Arial Narrow" w:hAnsi="Arial Narrow" w:eastAsia="仿宋_GB2312" w:cs="Arial Narrow"/>
          <w:sz w:val="24"/>
          <w:szCs w:val="24"/>
        </w:rPr>
        <w:tab/>
      </w: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PAGEREF _Toc513828360 \h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sz w:val="24"/>
          <w:szCs w:val="24"/>
        </w:rPr>
        <w:t>30</w:t>
      </w:r>
      <w:r>
        <w:rPr>
          <w:rFonts w:hint="default" w:ascii="Arial Narrow" w:hAnsi="Arial Narrow" w:eastAsia="仿宋_GB2312" w:cs="Arial Narrow"/>
          <w:sz w:val="24"/>
          <w:szCs w:val="24"/>
        </w:rPr>
        <w:fldChar w:fldCharType="end"/>
      </w:r>
      <w:r>
        <w:rPr>
          <w:rFonts w:hint="default" w:ascii="Arial Narrow" w:hAnsi="Arial Narrow" w:eastAsia="仿宋_GB2312" w:cs="Arial Narrow"/>
          <w:sz w:val="24"/>
          <w:szCs w:val="24"/>
        </w:rPr>
        <w:fldChar w:fldCharType="end"/>
      </w:r>
    </w:p>
    <w:p>
      <w:pPr>
        <w:pStyle w:val="15"/>
        <w:keepNext w:val="0"/>
        <w:keepLines w:val="0"/>
        <w:pageBreakBefore w:val="0"/>
        <w:widowControl w:val="0"/>
        <w:tabs>
          <w:tab w:val="right" w:leader="dot" w:pos="8693"/>
        </w:tabs>
        <w:kinsoku/>
        <w:wordWrap/>
        <w:overflowPunct/>
        <w:topLinePunct w:val="0"/>
        <w:autoSpaceDE/>
        <w:autoSpaceDN/>
        <w:bidi w:val="0"/>
        <w:adjustRightInd w:val="0"/>
        <w:snapToGrid w:val="0"/>
        <w:spacing w:line="360" w:lineRule="auto"/>
        <w:ind w:firstLine="560"/>
        <w:textAlignment w:val="auto"/>
        <w:outlineLvl w:val="9"/>
        <w:rPr>
          <w:rFonts w:hint="default" w:ascii="Arial Narrow" w:hAnsi="Arial Narrow" w:eastAsia="仿宋_GB2312" w:cs="Arial Narrow"/>
          <w:b w:val="0"/>
          <w:bCs w:val="0"/>
          <w:caps w:val="0"/>
          <w:sz w:val="24"/>
          <w:szCs w:val="24"/>
        </w:rPr>
      </w:pPr>
      <w:r>
        <w:rPr>
          <w:rFonts w:hint="default" w:ascii="Arial Narrow" w:hAnsi="Arial Narrow" w:eastAsia="仿宋_GB2312" w:cs="Arial Narrow"/>
          <w:sz w:val="24"/>
          <w:szCs w:val="24"/>
        </w:rPr>
        <w:fldChar w:fldCharType="begin"/>
      </w:r>
      <w:r>
        <w:rPr>
          <w:rFonts w:hint="default" w:ascii="Arial Narrow" w:hAnsi="Arial Narrow" w:eastAsia="仿宋_GB2312" w:cs="Arial Narrow"/>
          <w:sz w:val="24"/>
          <w:szCs w:val="24"/>
        </w:rPr>
        <w:instrText xml:space="preserve"> HYPERLINK \l "_Toc513828361" </w:instrText>
      </w:r>
      <w:r>
        <w:rPr>
          <w:rFonts w:hint="default" w:ascii="Arial Narrow" w:hAnsi="Arial Narrow" w:eastAsia="仿宋_GB2312" w:cs="Arial Narrow"/>
          <w:sz w:val="24"/>
          <w:szCs w:val="24"/>
        </w:rPr>
        <w:fldChar w:fldCharType="separate"/>
      </w:r>
      <w:r>
        <w:rPr>
          <w:rFonts w:hint="default" w:ascii="Arial Narrow" w:hAnsi="Arial Narrow" w:eastAsia="仿宋_GB2312" w:cs="Arial Narrow"/>
          <w:b w:val="0"/>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仿宋_GB2312" w:hAnsi="仿宋_GB2312" w:eastAsia="仿宋_GB2312" w:cs="仿宋_GB2312"/>
          <w:color w:val="FF0000"/>
          <w:sz w:val="24"/>
          <w:szCs w:val="24"/>
        </w:rPr>
        <w:sectPr>
          <w:pgSz w:w="11906" w:h="16838"/>
          <w:pgMar w:top="1361" w:right="1406" w:bottom="1089" w:left="1797" w:header="1361" w:footer="992" w:gutter="0"/>
          <w:pgNumType w:start="0"/>
          <w:cols w:space="720" w:num="1"/>
          <w:docGrid w:type="lines" w:linePitch="408" w:charSpace="0"/>
        </w:sectPr>
      </w:pPr>
      <w:r>
        <w:rPr>
          <w:rFonts w:hint="default" w:ascii="Arial Narrow" w:hAnsi="Arial Narrow" w:eastAsia="仿宋_GB2312" w:cs="Arial Narrow"/>
          <w:sz w:val="24"/>
          <w:szCs w:val="24"/>
        </w:rPr>
        <w:fldChar w:fldCharType="end"/>
      </w:r>
    </w:p>
    <w:p>
      <w:pPr>
        <w:pStyle w:val="2"/>
        <w:keepNext w:val="0"/>
        <w:keepLines w:val="0"/>
        <w:jc w:val="center"/>
        <w:rPr>
          <w:rFonts w:ascii="Arial Narrow" w:hAnsi="Arial Narrow" w:cs="Arial Narrow"/>
          <w:shd w:val="pct10" w:color="auto" w:fill="FFFFFF"/>
        </w:rPr>
      </w:pPr>
      <w:bookmarkStart w:id="0" w:name="_Toc478501015"/>
      <w:bookmarkStart w:id="1" w:name="_Toc513828335"/>
      <w:r>
        <w:rPr>
          <w:rFonts w:ascii="Arial Narrow" w:hAnsi="Arial Narrow" w:cs="Arial Narrow"/>
        </w:rPr>
        <w:t>前言</w:t>
      </w:r>
      <w:bookmarkEnd w:id="0"/>
      <w:bookmarkEnd w:id="1"/>
    </w:p>
    <w:p>
      <w:pPr>
        <w:ind w:firstLine="482"/>
        <w:rPr>
          <w:rFonts w:ascii="Arial Narrow" w:hAnsi="Arial Narrow" w:cs="Arial Narrow"/>
          <w:b/>
        </w:rPr>
      </w:pPr>
      <w:r>
        <w:rPr>
          <w:rFonts w:ascii="Arial Narrow" w:hAnsi="Arial Narrow" w:cs="Arial Narrow"/>
          <w:b/>
        </w:rPr>
        <w:t>开展绩效评价的背景</w:t>
      </w:r>
    </w:p>
    <w:p>
      <w:pPr>
        <w:ind w:firstLine="480"/>
        <w:rPr>
          <w:rFonts w:ascii="Arial Narrow" w:hAnsi="Arial Narrow" w:cs="Arial Narrow"/>
        </w:rPr>
      </w:pPr>
      <w:r>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pPr>
        <w:ind w:firstLine="480"/>
        <w:rPr>
          <w:rFonts w:ascii="Arial Narrow" w:hAnsi="Arial Narrow" w:cs="Arial Narrow"/>
        </w:rPr>
      </w:pPr>
      <w:r>
        <w:rPr>
          <w:rFonts w:ascii="Arial Narrow" w:hAnsi="Arial Narrow" w:cs="Arial Narrow"/>
        </w:rPr>
        <w:t>通过借鉴西方国家绩效评价发展经验，我国绩效评价工作已进行了一定程度的实践探索，2003年10月11日党的十六届三中全会决定指出，财政要建立预算绩效评价体系。2006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[2014]376号），市财政局印发《武汉市预算绩效管理工作方案(2014-2015年)》（武财绩[2014]218号）等。武昌区财政局印发的《武昌区财政支出绩效评价暂行办法》为此次文明创建工作经费项目绩效评价的具体实施提供了指导，确保了绩效评价工作的顺利开展。 随着各项制度的逐步完善，绩效评价体系和制度已步入常态，逐步完善文明创建工作经费项目绩效评价工作，对于提高财政资金使用效益具有重要意义。</w:t>
      </w:r>
    </w:p>
    <w:p>
      <w:pPr>
        <w:snapToGrid w:val="0"/>
        <w:ind w:firstLine="0" w:firstLineChars="0"/>
        <w:outlineLvl w:val="0"/>
        <w:rPr>
          <w:rFonts w:ascii="Arial Narrow" w:hAnsi="Arial Narrow" w:cs="Arial Narrow"/>
          <w:b/>
          <w:color w:val="FF0000"/>
        </w:rPr>
      </w:pPr>
    </w:p>
    <w:p>
      <w:pPr>
        <w:snapToGrid w:val="0"/>
        <w:ind w:firstLine="0" w:firstLineChars="0"/>
        <w:outlineLvl w:val="0"/>
        <w:rPr>
          <w:rFonts w:ascii="Arial Narrow" w:hAnsi="Arial Narrow" w:cs="Arial Narrow"/>
          <w:b/>
          <w:color w:val="FF0000"/>
        </w:rPr>
      </w:pPr>
    </w:p>
    <w:p>
      <w:pPr>
        <w:snapToGrid w:val="0"/>
        <w:ind w:firstLine="0" w:firstLineChars="0"/>
        <w:outlineLvl w:val="0"/>
        <w:rPr>
          <w:rFonts w:ascii="Arial Narrow" w:hAnsi="Arial Narrow" w:cs="Arial Narrow"/>
          <w:b/>
          <w:color w:val="FF0000"/>
        </w:rPr>
      </w:pPr>
    </w:p>
    <w:p>
      <w:pPr>
        <w:pStyle w:val="2"/>
        <w:keepNext w:val="0"/>
        <w:keepLines w:val="0"/>
        <w:numPr>
          <w:ilvl w:val="0"/>
          <w:numId w:val="0"/>
        </w:numPr>
        <w:ind w:left="120" w:leftChars="0" w:firstLine="482" w:firstLineChars="200"/>
        <w:rPr>
          <w:rFonts w:hint="eastAsia" w:ascii="Arial Narrow" w:hAnsi="Arial Narrow" w:cs="Arial Narrow"/>
          <w:kern w:val="2"/>
          <w:sz w:val="24"/>
          <w:szCs w:val="24"/>
          <w:lang w:val="en-US" w:eastAsia="zh-CN"/>
        </w:rPr>
        <w:sectPr>
          <w:headerReference r:id="rId11" w:type="default"/>
          <w:footerReference r:id="rId12" w:type="default"/>
          <w:pgSz w:w="11906" w:h="16838"/>
          <w:pgMar w:top="2835" w:right="1418" w:bottom="1418" w:left="1985" w:header="2041" w:footer="1134" w:gutter="0"/>
          <w:pgNumType w:start="1"/>
          <w:cols w:space="720" w:num="1"/>
          <w:docGrid w:type="lines" w:linePitch="408" w:charSpace="0"/>
        </w:sectPr>
      </w:pPr>
      <w:bookmarkStart w:id="2" w:name="_Toc478501016"/>
      <w:bookmarkStart w:id="3" w:name="_Toc513828336"/>
      <w:bookmarkStart w:id="4" w:name="_Toc361304672"/>
      <w:bookmarkStart w:id="5" w:name="_Toc387957799"/>
      <w:bookmarkStart w:id="6" w:name="_Toc361304673"/>
      <w:bookmarkStart w:id="7" w:name="_Toc387957800"/>
    </w:p>
    <w:p>
      <w:pPr>
        <w:pStyle w:val="2"/>
        <w:keepNext w:val="0"/>
        <w:keepLines w:val="0"/>
        <w:numPr>
          <w:ilvl w:val="0"/>
          <w:numId w:val="0"/>
        </w:numPr>
        <w:ind w:left="120" w:leftChars="0" w:firstLine="482" w:firstLineChars="200"/>
        <w:rPr>
          <w:rFonts w:ascii="Arial Narrow" w:hAnsi="Arial Narrow" w:cs="Arial Narrow"/>
          <w:kern w:val="2"/>
          <w:sz w:val="24"/>
          <w:szCs w:val="24"/>
        </w:rPr>
      </w:pPr>
      <w:r>
        <w:rPr>
          <w:rFonts w:hint="eastAsia" w:ascii="Arial Narrow" w:hAnsi="Arial Narrow" w:cs="Arial Narrow"/>
          <w:kern w:val="2"/>
          <w:sz w:val="24"/>
          <w:szCs w:val="24"/>
          <w:lang w:val="en-US" w:eastAsia="zh-CN"/>
        </w:rPr>
        <w:t>一、</w:t>
      </w:r>
      <w:r>
        <w:rPr>
          <w:rFonts w:ascii="Arial Narrow" w:hAnsi="Arial Narrow" w:cs="Arial Narrow"/>
          <w:kern w:val="2"/>
          <w:sz w:val="24"/>
          <w:szCs w:val="24"/>
        </w:rPr>
        <w:t>项目基本情况</w:t>
      </w:r>
      <w:bookmarkEnd w:id="2"/>
      <w:bookmarkEnd w:id="3"/>
      <w:bookmarkStart w:id="8" w:name="_Toc478501017"/>
      <w:bookmarkStart w:id="9" w:name="_Toc513828337"/>
    </w:p>
    <w:p>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（一）项目概况</w:t>
      </w:r>
      <w:bookmarkEnd w:id="8"/>
      <w:bookmarkEnd w:id="9"/>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1. 项目立项背景</w:t>
      </w:r>
      <w:bookmarkEnd w:id="4"/>
      <w:bookmarkEnd w:id="5"/>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1.1 项目立项依据</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1）《武昌区精神文明建设十三五发展规划》中强调，要按照建设首善之区的要求，不断深化文明礼仪教育、诚信教育和公民道德建设，使我区市民文明素质提高到一个新水平。要按照全国文明城市的创建标准，扎实推进省、市级文明城区创建活动。</w:t>
      </w:r>
    </w:p>
    <w:p>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2）《武昌区国民经济和社会发展第十二个五年规划纲要》中指出，要广泛开展文明城市、文明村镇、文明单位、文明家庭、文明校园等群众性精神文明创建活动，深化学雷锋志愿服务活动，深化群众性精神文明创建活动，提高国民文明素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Arial Narrow" w:hAnsi="Arial Narrow" w:eastAsia="仿宋_GB2312" w:cs="Arial Narrow"/>
          <w:sz w:val="24"/>
          <w:szCs w:val="24"/>
        </w:rPr>
      </w:pPr>
      <w:r>
        <w:rPr>
          <w:rFonts w:hint="default" w:ascii="Arial Narrow" w:hAnsi="Arial Narrow" w:eastAsia="仿宋_GB2312" w:cs="Arial Narrow"/>
          <w:sz w:val="24"/>
          <w:szCs w:val="24"/>
        </w:rPr>
        <w:t>（3）《武昌区精神文明建设指导委员会2017年武昌区精神文明建设工作要点》（武昌文委字【2017】3号）中提出，全区精神文明建设工作，要全面贯彻落实党的十八大和十八届三中、四中、五中、六中全会精神，深入学习贯彻习近平总书记系列重要讲话精神和治国理政新理念新思想新战略，紧紧围绕全区中心工作，以培育和践行社会主义核心价值观为根本，以迎接全国文明城市复查为契机，着力加强思想道德建设，着力深化群众性精神文明创建，着力培育社会文明新风，着力提高市民文明素质和城市文明程度，为武昌率先全面建成小康社会，建设创新型城区和国家中心城市核心区提供强大的精神力量和有力的道德支撑。</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outlineLvl w:val="9"/>
        <w:rPr>
          <w:rFonts w:hint="default" w:ascii="Arial Narrow" w:hAnsi="Arial Narrow" w:eastAsia="仿宋_GB2312" w:cs="Arial Narrow"/>
          <w:sz w:val="24"/>
          <w:szCs w:val="24"/>
        </w:rPr>
      </w:pPr>
      <w:r>
        <w:rPr>
          <w:rFonts w:hint="default" w:ascii="Arial Narrow" w:hAnsi="Arial Narrow" w:eastAsia="仿宋_GB2312" w:cs="Arial Narrow"/>
          <w:sz w:val="24"/>
          <w:szCs w:val="24"/>
        </w:rPr>
        <w:t>1.2 项目所属领域</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sz w:val="24"/>
          <w:szCs w:val="24"/>
        </w:rPr>
        <w:t>文明创建工作经费项目属于公共文化体育事业，武昌区</w:t>
      </w:r>
      <w:r>
        <w:rPr>
          <w:rFonts w:hint="default" w:ascii="Arial Narrow" w:hAnsi="Arial Narrow" w:eastAsia="仿宋_GB2312" w:cs="Arial Narrow"/>
          <w:sz w:val="24"/>
          <w:szCs w:val="24"/>
          <w:lang w:eastAsia="zh-CN"/>
        </w:rPr>
        <w:t>杨园</w:t>
      </w:r>
      <w:r>
        <w:rPr>
          <w:rFonts w:hint="default" w:ascii="Arial Narrow" w:hAnsi="Arial Narrow" w:eastAsia="仿宋_GB2312" w:cs="Arial Narrow"/>
          <w:sz w:val="24"/>
          <w:szCs w:val="24"/>
        </w:rPr>
        <w:t>街办事处以国家的大环境为契机，推进省级公共文化服务体系示范区的创建工作，践行精神文明理念，开展文明创建工作，组织各社区开展市民教育活动，市民学校，科普活动，普法教育，志愿者服务活动，“我们的节日”等文化活动，引导社会群众提升自身文明素质，营造浓厚的文明城市的建设氛围。</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1.3 项目性质与特点</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lang w:val="en-US" w:eastAsia="zh-CN"/>
        </w:rPr>
      </w:pPr>
      <w:r>
        <w:rPr>
          <w:rFonts w:hint="default" w:ascii="Arial Narrow" w:hAnsi="Arial Narrow" w:eastAsia="仿宋_GB2312" w:cs="Arial Narrow"/>
          <w:lang w:val="en-US" w:eastAsia="zh-CN"/>
        </w:rPr>
        <w:t>杨园街办事处的 “文明创建工作经费项目”是根据《武昌区精神文明建设十三五发展规划》的要求设立的，以巩固全国文明城市创建成果和争创新一轮省、市级文明城区为主线，以提升市民文明素质和城市文明程度为根本任务，以开展“我的中国梦”系列活动为载体，主动适应经济发展新常态和社会转型时期新要求，努力构筑和谐人际关系和良好社会道德风尚。该项目是根据武创治【2016】7号文的精神，充分发挥全街上下力量，进一步巩固文明城市成果，推动文明城市建设常态化、制度化、规范化。其总体思路是：练内功（熟悉检查的内容和业务知识，培训相关人员对业务知识的掌握），另外抓外围（抓好文明劝导工作，长年保持辖区环境的整洁，加大对辖区内宣传氛围的管理），实现常态化管理的新突破。</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1.4 项目立项时所属领域状况</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精神文明创建工作的开展有利于促进社会的秩序良好、社会环境文明、道德建设活动丰富多彩、市民行为文明礼貌，为建设国家中心城市核心区提供强大精神动力、思想保证和智力支持。按照省会之区的要求，</w:t>
      </w:r>
      <w:r>
        <w:rPr>
          <w:rFonts w:hint="default" w:ascii="Arial Narrow" w:hAnsi="Arial Narrow" w:eastAsia="仿宋_GB2312" w:cs="Arial Narrow"/>
          <w:lang w:eastAsia="zh-CN"/>
        </w:rPr>
        <w:t>杨园</w:t>
      </w:r>
      <w:r>
        <w:rPr>
          <w:rFonts w:hint="default" w:ascii="Arial Narrow" w:hAnsi="Arial Narrow" w:eastAsia="仿宋_GB2312" w:cs="Arial Narrow"/>
        </w:rPr>
        <w:t>街办事处深入开展社会管理创新，促进社会治理能力进一步提升；不断深化文明礼仪教育、诚信教育和公民道德建设，使市民文明素质提高到一个新水平。</w:t>
      </w:r>
      <w:bookmarkEnd w:id="6"/>
      <w:bookmarkEnd w:id="7"/>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 基准日及评价历时</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bookmarkStart w:id="10" w:name="_Toc478501018"/>
      <w:bookmarkStart w:id="11" w:name="_Toc10760"/>
      <w:bookmarkStart w:id="12" w:name="_Toc406668025"/>
      <w:bookmarkStart w:id="13" w:name="_Toc361304674"/>
      <w:bookmarkStart w:id="14" w:name="_Toc406666352"/>
      <w:bookmarkStart w:id="15" w:name="_Toc387957801"/>
      <w:r>
        <w:rPr>
          <w:rFonts w:hint="default" w:ascii="Arial Narrow" w:hAnsi="Arial Narrow" w:eastAsia="仿宋_GB2312" w:cs="Arial Narrow"/>
        </w:rPr>
        <w:t>2.1 评价基准日：2017年12月31日</w:t>
      </w:r>
      <w:bookmarkEnd w:id="10"/>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color w:val="auto"/>
        </w:rPr>
      </w:pPr>
      <w:bookmarkStart w:id="16" w:name="_Toc478501019"/>
      <w:r>
        <w:rPr>
          <w:rFonts w:hint="default" w:ascii="Arial Narrow" w:hAnsi="Arial Narrow" w:eastAsia="仿宋_GB2312" w:cs="Arial Narrow"/>
        </w:rPr>
        <w:t>2.2</w:t>
      </w:r>
      <w:r>
        <w:rPr>
          <w:rFonts w:hint="eastAsia" w:ascii="Arial Narrow" w:hAnsi="Arial Narrow" w:cs="Arial Narrow"/>
          <w:lang w:val="en-US" w:eastAsia="zh-CN"/>
        </w:rPr>
        <w:t xml:space="preserve"> </w:t>
      </w:r>
      <w:r>
        <w:rPr>
          <w:rFonts w:hint="default" w:ascii="Arial Narrow" w:hAnsi="Arial Narrow" w:eastAsia="仿宋_GB2312" w:cs="Arial Narrow"/>
        </w:rPr>
        <w:t>我们接受武昌区</w:t>
      </w:r>
      <w:r>
        <w:rPr>
          <w:rFonts w:hint="default" w:ascii="Arial Narrow" w:hAnsi="Arial Narrow" w:eastAsia="仿宋_GB2312" w:cs="Arial Narrow"/>
          <w:lang w:eastAsia="zh-CN"/>
        </w:rPr>
        <w:t>杨园</w:t>
      </w:r>
      <w:r>
        <w:rPr>
          <w:rFonts w:hint="default" w:ascii="Arial Narrow" w:hAnsi="Arial Narrow" w:eastAsia="仿宋_GB2312" w:cs="Arial Narrow"/>
        </w:rPr>
        <w:t>街办事处的委托</w:t>
      </w:r>
      <w:r>
        <w:rPr>
          <w:rFonts w:hint="default" w:ascii="Arial Narrow" w:hAnsi="Arial Narrow" w:eastAsia="仿宋_GB2312" w:cs="Arial Narrow"/>
          <w:color w:val="auto"/>
        </w:rPr>
        <w:t>，从2018年5月2日—5月25日，历时23天，投入</w:t>
      </w:r>
      <w:r>
        <w:rPr>
          <w:rFonts w:hint="default" w:ascii="Arial Narrow" w:hAnsi="Arial Narrow" w:eastAsia="仿宋_GB2312" w:cs="Arial Narrow"/>
          <w:color w:val="auto"/>
          <w:lang w:val="en-US" w:eastAsia="zh-CN"/>
        </w:rPr>
        <w:t>5</w:t>
      </w:r>
      <w:r>
        <w:rPr>
          <w:rFonts w:hint="default" w:ascii="Arial Narrow" w:hAnsi="Arial Narrow" w:eastAsia="仿宋_GB2312" w:cs="Arial Narrow"/>
          <w:color w:val="auto"/>
        </w:rPr>
        <w:t>人对</w:t>
      </w:r>
      <w:r>
        <w:rPr>
          <w:rFonts w:hint="default" w:ascii="Arial Narrow" w:hAnsi="Arial Narrow" w:eastAsia="仿宋_GB2312" w:cs="Arial Narrow"/>
          <w:color w:val="auto"/>
          <w:lang w:eastAsia="zh-CN"/>
        </w:rPr>
        <w:t>杨园</w:t>
      </w:r>
      <w:r>
        <w:rPr>
          <w:rFonts w:hint="default" w:ascii="Arial Narrow" w:hAnsi="Arial Narrow" w:eastAsia="仿宋_GB2312" w:cs="Arial Narrow"/>
          <w:color w:val="auto"/>
        </w:rPr>
        <w:t>街办事处 “文明创建工作经费项目”进行绩效评价。</w:t>
      </w:r>
      <w:bookmarkEnd w:id="16"/>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bookmarkStart w:id="17" w:name="_Toc478501020"/>
      <w:r>
        <w:rPr>
          <w:rFonts w:hint="default" w:ascii="Arial Narrow" w:hAnsi="Arial Narrow" w:eastAsia="仿宋_GB2312" w:cs="Arial Narrow"/>
        </w:rPr>
        <w:t>3</w:t>
      </w:r>
      <w:r>
        <w:rPr>
          <w:rFonts w:hint="eastAsia" w:ascii="Arial Narrow" w:hAnsi="Arial Narrow" w:cs="Arial Narrow"/>
          <w:lang w:eastAsia="zh-CN"/>
        </w:rPr>
        <w:t>.</w:t>
      </w:r>
      <w:r>
        <w:rPr>
          <w:rFonts w:hint="eastAsia" w:ascii="Arial Narrow" w:hAnsi="Arial Narrow" w:cs="Arial Narrow"/>
          <w:lang w:val="en-US" w:eastAsia="zh-CN"/>
        </w:rPr>
        <w:t xml:space="preserve"> </w:t>
      </w:r>
      <w:r>
        <w:rPr>
          <w:rFonts w:hint="default" w:ascii="Arial Narrow" w:hAnsi="Arial Narrow" w:eastAsia="仿宋_GB2312" w:cs="Arial Narrow"/>
        </w:rPr>
        <w:t>项目实施情况</w:t>
      </w:r>
      <w:bookmarkEnd w:id="17"/>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bookmarkStart w:id="18" w:name="_Toc478501021"/>
      <w:r>
        <w:rPr>
          <w:rFonts w:hint="default" w:ascii="Arial Narrow" w:hAnsi="Arial Narrow" w:eastAsia="仿宋_GB2312" w:cs="Arial Narrow"/>
        </w:rPr>
        <w:t>（1）项目实施单位：</w:t>
      </w:r>
      <w:r>
        <w:rPr>
          <w:rFonts w:hint="default" w:ascii="Arial Narrow" w:hAnsi="Arial Narrow" w:eastAsia="仿宋_GB2312" w:cs="Arial Narrow"/>
          <w:lang w:eastAsia="zh-CN"/>
        </w:rPr>
        <w:t>杨园</w:t>
      </w:r>
      <w:r>
        <w:rPr>
          <w:rFonts w:hint="default" w:ascii="Arial Narrow" w:hAnsi="Arial Narrow" w:eastAsia="仿宋_GB2312" w:cs="Arial Narrow"/>
        </w:rPr>
        <w:t>街办事处</w:t>
      </w:r>
      <w:bookmarkEnd w:id="18"/>
      <w:bookmarkStart w:id="19" w:name="_Toc478501022"/>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（2）项目实施周期与地点</w:t>
      </w:r>
      <w:bookmarkEnd w:id="19"/>
      <w:bookmarkStart w:id="20" w:name="_Toc478501023"/>
      <w:r>
        <w:rPr>
          <w:rFonts w:hint="default" w:ascii="Arial Narrow" w:hAnsi="Arial Narrow" w:eastAsia="仿宋_GB2312" w:cs="Arial Narrow"/>
        </w:rPr>
        <w:t>：“文明创建工作经费项目”在2017年1月—12月展开，对</w:t>
      </w:r>
      <w:r>
        <w:rPr>
          <w:rFonts w:hint="default" w:ascii="Arial Narrow" w:hAnsi="Arial Narrow" w:eastAsia="仿宋_GB2312" w:cs="Arial Narrow"/>
          <w:lang w:eastAsia="zh-CN"/>
        </w:rPr>
        <w:t>杨园</w:t>
      </w:r>
      <w:r>
        <w:rPr>
          <w:rFonts w:hint="default" w:ascii="Arial Narrow" w:hAnsi="Arial Narrow" w:eastAsia="仿宋_GB2312" w:cs="Arial Narrow"/>
        </w:rPr>
        <w:t>街辖区内</w:t>
      </w:r>
      <w:r>
        <w:rPr>
          <w:rFonts w:hint="default" w:ascii="Arial Narrow" w:hAnsi="Arial Narrow" w:eastAsia="仿宋_GB2312" w:cs="Arial Narrow"/>
          <w:lang w:eastAsia="zh-CN"/>
        </w:rPr>
        <w:t>的</w:t>
      </w:r>
      <w:r>
        <w:rPr>
          <w:rFonts w:hint="default" w:ascii="Arial Narrow" w:hAnsi="Arial Narrow" w:eastAsia="仿宋_GB2312" w:cs="Arial Narrow"/>
          <w:lang w:val="en-US" w:eastAsia="zh-CN"/>
        </w:rPr>
        <w:t>15个</w:t>
      </w:r>
      <w:r>
        <w:rPr>
          <w:rFonts w:hint="default" w:ascii="Arial Narrow" w:hAnsi="Arial Narrow" w:eastAsia="仿宋_GB2312" w:cs="Arial Narrow"/>
        </w:rPr>
        <w:t>社区开展文明创建系列活动</w:t>
      </w:r>
      <w:bookmarkEnd w:id="20"/>
      <w:bookmarkStart w:id="21" w:name="_Toc478501024"/>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（3）项目主要内容</w:t>
      </w:r>
      <w:bookmarkEnd w:id="21"/>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bookmarkStart w:id="22" w:name="_Toc478501026"/>
      <w:r>
        <w:rPr>
          <w:rFonts w:hint="default" w:ascii="Arial Narrow" w:hAnsi="Arial Narrow" w:eastAsia="仿宋_GB2312" w:cs="Arial Narrow"/>
        </w:rPr>
        <w:t>街道、社区建立固定的社会主义核心价值观宣传阵地</w:t>
      </w:r>
      <w:r>
        <w:rPr>
          <w:rFonts w:hint="eastAsia" w:ascii="Arial Narrow" w:hAnsi="Arial Narrow" w:cs="Arial Narrow"/>
          <w:lang w:eastAsia="zh-CN"/>
        </w:rPr>
        <w:t>。</w:t>
      </w:r>
      <w:r>
        <w:rPr>
          <w:rFonts w:hint="default" w:ascii="Arial Narrow" w:hAnsi="Arial Narrow" w:eastAsia="仿宋_GB2312" w:cs="Arial Narrow"/>
          <w:lang w:eastAsia="zh-CN"/>
        </w:rPr>
        <w:t>聘请</w:t>
      </w:r>
      <w:r>
        <w:rPr>
          <w:rFonts w:hint="default" w:ascii="Arial Narrow" w:hAnsi="Arial Narrow" w:eastAsia="仿宋_GB2312" w:cs="Arial Narrow"/>
        </w:rPr>
        <w:t>“文明诚信”督导员，建立“诚信好人榜”和开展“文明诚信经营户”评选，倡导社会新风尚组织街道志愿者服务团队</w:t>
      </w:r>
      <w:r>
        <w:rPr>
          <w:rFonts w:hint="eastAsia" w:ascii="Arial Narrow" w:hAnsi="Arial Narrow" w:cs="Arial Narrow"/>
          <w:lang w:eastAsia="zh-CN"/>
        </w:rPr>
        <w:t>；</w:t>
      </w:r>
      <w:r>
        <w:rPr>
          <w:rFonts w:hint="default" w:ascii="Arial Narrow" w:hAnsi="Arial Narrow" w:eastAsia="仿宋_GB2312" w:cs="Arial Narrow"/>
        </w:rPr>
        <w:t>深入开展文明出行、周末清洁家园、文明工地创建、文明旅游宣传劝导等活动</w:t>
      </w:r>
      <w:r>
        <w:rPr>
          <w:rFonts w:hint="eastAsia" w:ascii="Arial Narrow" w:hAnsi="Arial Narrow" w:cs="Arial Narrow"/>
          <w:lang w:eastAsia="zh-CN"/>
        </w:rPr>
        <w:t>；</w:t>
      </w:r>
      <w:r>
        <w:rPr>
          <w:rFonts w:hint="default" w:ascii="Arial Narrow" w:hAnsi="Arial Narrow" w:eastAsia="仿宋_GB2312" w:cs="Arial Narrow"/>
        </w:rPr>
        <w:t>每月对校园周边环境进行整治，寒暑假集中开展净化社会文化环境集中行动，营造未成年人使康成长环境</w:t>
      </w:r>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（4）项目完成概况</w:t>
      </w:r>
      <w:bookmarkEnd w:id="22"/>
    </w:p>
    <w:p>
      <w:pPr>
        <w:keepNext w:val="0"/>
        <w:keepLines w:val="0"/>
        <w:pageBreakBefore w:val="0"/>
        <w:kinsoku/>
        <w:wordWrap/>
        <w:overflowPunct/>
        <w:topLinePunct w:val="0"/>
        <w:autoSpaceDE/>
        <w:autoSpaceDN/>
        <w:bidi w:val="0"/>
        <w:textAlignment w:val="auto"/>
        <w:outlineLvl w:val="9"/>
        <w:rPr>
          <w:rFonts w:hint="default" w:ascii="Arial Narrow" w:hAnsi="Arial Narrow" w:eastAsia="仿宋_GB2312" w:cs="Arial Narrow"/>
        </w:rPr>
      </w:pPr>
      <w:bookmarkStart w:id="23" w:name="_Toc478501028"/>
      <w:r>
        <w:rPr>
          <w:rFonts w:hint="default" w:ascii="Arial Narrow" w:hAnsi="Arial Narrow" w:eastAsia="仿宋_GB2312" w:cs="Arial Narrow"/>
        </w:rPr>
        <w:t>杨园街办事处各社区开展多种文明创建活动：各社区组织志愿者开展“文明过马路”</w:t>
      </w:r>
      <w:r>
        <w:rPr>
          <w:rFonts w:hint="default" w:ascii="Arial Narrow" w:hAnsi="Arial Narrow" w:eastAsia="仿宋_GB2312" w:cs="Arial Narrow"/>
          <w:lang w:eastAsia="zh-CN"/>
        </w:rPr>
        <w:t>劝导</w:t>
      </w:r>
      <w:r>
        <w:rPr>
          <w:rFonts w:hint="default" w:ascii="Arial Narrow" w:hAnsi="Arial Narrow" w:eastAsia="仿宋_GB2312" w:cs="Arial Narrow"/>
        </w:rPr>
        <w:t>、网吧值守、社区安全</w:t>
      </w:r>
      <w:r>
        <w:rPr>
          <w:rFonts w:hint="default" w:ascii="Arial Narrow" w:hAnsi="Arial Narrow" w:eastAsia="仿宋_GB2312" w:cs="Arial Narrow"/>
          <w:lang w:eastAsia="zh-CN"/>
        </w:rPr>
        <w:t>巡逻</w:t>
      </w:r>
      <w:r>
        <w:rPr>
          <w:rFonts w:hint="default" w:ascii="Arial Narrow" w:hAnsi="Arial Narrow" w:eastAsia="仿宋_GB2312" w:cs="Arial Narrow"/>
        </w:rPr>
        <w:t>等日常活动，定期开展内容多样的志愿者服务活动；确定公益广告牌或公益广告墙，宣传社会主义核心价值观、身边好人好事、优良家风等等内容；对社区单位要求“门前三包”全覆盖，开展“周末清洁家园”行动，保持社区环境卫生。各项工作如期开展，居民满意度高</w:t>
      </w:r>
      <w:r>
        <w:rPr>
          <w:rFonts w:hint="default" w:ascii="Arial Narrow" w:hAnsi="Arial Narrow" w:eastAsia="仿宋_GB2312" w:cs="Arial Narrow"/>
          <w:lang w:eastAsia="zh-CN"/>
        </w:rPr>
        <w:t>。</w:t>
      </w:r>
    </w:p>
    <w:p>
      <w:pPr>
        <w:keepNext w:val="0"/>
        <w:keepLines w:val="0"/>
        <w:pageBreakBefore w:val="0"/>
        <w:kinsoku/>
        <w:wordWrap/>
        <w:overflowPunct/>
        <w:topLinePunct w:val="0"/>
        <w:autoSpaceDE/>
        <w:autoSpaceDN/>
        <w:bidi w:val="0"/>
        <w:ind w:firstLine="480" w:firstLineChars="200"/>
        <w:textAlignment w:val="auto"/>
        <w:outlineLvl w:val="9"/>
        <w:rPr>
          <w:rFonts w:hint="default" w:ascii="Arial Narrow" w:hAnsi="Arial Narrow" w:eastAsia="仿宋_GB2312" w:cs="Arial Narrow"/>
        </w:rPr>
      </w:pPr>
      <w:r>
        <w:rPr>
          <w:rFonts w:hint="default" w:ascii="Arial Narrow" w:hAnsi="Arial Narrow" w:eastAsia="仿宋_GB2312" w:cs="Arial Narrow"/>
        </w:rPr>
        <w:t>4．项目经费来源和使用情况</w:t>
      </w:r>
      <w:bookmarkEnd w:id="23"/>
      <w:bookmarkStart w:id="24" w:name="_Toc478501029"/>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（1）项目资金来源概况</w:t>
      </w:r>
      <w:bookmarkEnd w:id="24"/>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bookmarkStart w:id="25" w:name="_Toc478501030"/>
      <w:r>
        <w:rPr>
          <w:rFonts w:hint="default" w:ascii="Arial Narrow" w:hAnsi="Arial Narrow" w:eastAsia="仿宋_GB2312" w:cs="Arial Narrow"/>
          <w:lang w:eastAsia="zh-CN"/>
        </w:rPr>
        <w:t>杨园</w:t>
      </w:r>
      <w:r>
        <w:rPr>
          <w:rFonts w:hint="default" w:ascii="Arial Narrow" w:hAnsi="Arial Narrow" w:eastAsia="仿宋_GB2312" w:cs="Arial Narrow"/>
        </w:rPr>
        <w:t>街办事处“文明创建工作经费项目”是经武昌区财政局批复，下达预算资金为</w:t>
      </w:r>
      <w:r>
        <w:rPr>
          <w:rFonts w:hint="default" w:ascii="Arial Narrow" w:hAnsi="Arial Narrow" w:eastAsia="仿宋_GB2312" w:cs="Arial Narrow"/>
          <w:lang w:val="en-US" w:eastAsia="zh-CN"/>
        </w:rPr>
        <w:t>230</w:t>
      </w:r>
      <w:r>
        <w:rPr>
          <w:rFonts w:hint="default" w:ascii="Arial Narrow" w:hAnsi="Arial Narrow" w:eastAsia="仿宋_GB2312" w:cs="Arial Narrow"/>
        </w:rPr>
        <w:t>万元。</w:t>
      </w:r>
      <w:bookmarkEnd w:id="25"/>
      <w:bookmarkStart w:id="26" w:name="_Toc478501031"/>
    </w:p>
    <w:p>
      <w:pPr>
        <w:keepNext w:val="0"/>
        <w:keepLines w:val="0"/>
        <w:pageBreakBefore w:val="0"/>
        <w:kinsoku/>
        <w:wordWrap/>
        <w:overflowPunct/>
        <w:topLinePunct w:val="0"/>
        <w:autoSpaceDE/>
        <w:autoSpaceDN/>
        <w:bidi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（2）项目资金使用概况</w:t>
      </w:r>
      <w:bookmarkEnd w:id="11"/>
      <w:bookmarkEnd w:id="12"/>
      <w:bookmarkEnd w:id="13"/>
      <w:bookmarkEnd w:id="14"/>
      <w:bookmarkEnd w:id="15"/>
      <w:bookmarkEnd w:id="26"/>
      <w:bookmarkStart w:id="27" w:name="_Toc361303718"/>
      <w:bookmarkStart w:id="28" w:name="_Toc361302024"/>
      <w:bookmarkStart w:id="29" w:name="_Toc361304169"/>
      <w:bookmarkStart w:id="30" w:name="_Toc361304427"/>
      <w:bookmarkStart w:id="31" w:name="_Toc361304679"/>
    </w:p>
    <w:p>
      <w:pPr>
        <w:keepNext w:val="0"/>
        <w:keepLines w:val="0"/>
        <w:pageBreakBefore w:val="0"/>
        <w:widowControl/>
        <w:suppressLineNumbers w:val="0"/>
        <w:kinsoku/>
        <w:wordWrap/>
        <w:overflowPunct/>
        <w:topLinePunct w:val="0"/>
        <w:autoSpaceDE/>
        <w:autoSpaceDN/>
        <w:bidi w:val="0"/>
        <w:jc w:val="left"/>
        <w:textAlignment w:val="auto"/>
        <w:outlineLvl w:val="9"/>
        <w:rPr>
          <w:rFonts w:ascii="Arial Narrow" w:hAnsi="Arial Narrow" w:cs="Arial Narrow"/>
        </w:rPr>
      </w:pPr>
      <w:bookmarkStart w:id="32" w:name="_Toc478501032"/>
      <w:r>
        <w:rPr>
          <w:rFonts w:hint="default" w:ascii="Arial Narrow" w:hAnsi="Arial Narrow" w:eastAsia="仿宋_GB2312" w:cs="Arial Narrow"/>
        </w:rPr>
        <w:t>武</w:t>
      </w:r>
      <w:r>
        <w:rPr>
          <w:rFonts w:hint="default" w:ascii="Arial Narrow" w:hAnsi="Arial Narrow" w:eastAsia="仿宋_GB2312" w:cs="Arial Narrow"/>
          <w:lang w:eastAsia="zh-CN"/>
        </w:rPr>
        <w:t>杨园</w:t>
      </w:r>
      <w:r>
        <w:rPr>
          <w:rFonts w:hint="default" w:ascii="Arial Narrow" w:hAnsi="Arial Narrow" w:eastAsia="仿宋_GB2312" w:cs="Arial Narrow"/>
        </w:rPr>
        <w:t>街办事处 “文明创建工作经费项目”实际支出金额</w:t>
      </w:r>
      <w:r>
        <w:rPr>
          <w:rFonts w:hint="default" w:ascii="Arial Narrow" w:hAnsi="Arial Narrow" w:eastAsia="仿宋_GB2312" w:cs="Arial Narrow"/>
          <w:lang w:val="en-US" w:eastAsia="zh-CN"/>
        </w:rPr>
        <w:t>230</w:t>
      </w:r>
      <w:r>
        <w:rPr>
          <w:rFonts w:hint="default" w:ascii="Arial Narrow" w:hAnsi="Arial Narrow" w:eastAsia="仿宋_GB2312" w:cs="Arial Narrow"/>
        </w:rPr>
        <w:t>万元，支出明细</w:t>
      </w:r>
      <w:bookmarkEnd w:id="32"/>
    </w:p>
    <w:p>
      <w:pPr>
        <w:keepNext w:val="0"/>
        <w:keepLines w:val="0"/>
        <w:widowControl/>
        <w:suppressLineNumbers w:val="0"/>
        <w:ind w:left="0" w:leftChars="0" w:firstLine="0" w:firstLineChars="0"/>
        <w:jc w:val="left"/>
      </w:pPr>
      <w:r>
        <w:rPr>
          <w:rFonts w:ascii="Arial Narrow" w:hAnsi="Arial Narrow" w:cs="Arial Narrow"/>
        </w:rPr>
        <w:t>如下：</w:t>
      </w:r>
    </w:p>
    <w:p>
      <w:pPr>
        <w:ind w:firstLine="480"/>
        <w:rPr>
          <w:rFonts w:ascii="Arial Narrow" w:hAnsi="Arial Narrow" w:cs="Arial Narrow"/>
        </w:rPr>
      </w:pPr>
      <w:r>
        <w:drawing>
          <wp:inline distT="0" distB="0" distL="114300" distR="114300">
            <wp:extent cx="4572000" cy="276225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line="240" w:lineRule="auto"/>
        <w:ind w:right="480" w:firstLine="480" w:firstLineChars="0"/>
        <w:jc w:val="right"/>
        <w:rPr>
          <w:rFonts w:ascii="Arial Narrow" w:hAnsi="Arial Narrow" w:cs="Arial Narrow"/>
          <w:color w:val="FF0000"/>
          <w:kern w:val="0"/>
        </w:rPr>
      </w:pPr>
    </w:p>
    <w:bookmarkEnd w:id="27"/>
    <w:bookmarkEnd w:id="28"/>
    <w:bookmarkEnd w:id="29"/>
    <w:bookmarkEnd w:id="30"/>
    <w:bookmarkEnd w:id="31"/>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562" w:firstLineChars="200"/>
        <w:textAlignment w:val="auto"/>
        <w:rPr>
          <w:rFonts w:hint="eastAsia" w:ascii="仿宋_GB2312" w:hAnsi="仿宋_GB2312" w:eastAsia="仿宋_GB2312" w:cs="仿宋_GB2312"/>
          <w:sz w:val="24"/>
          <w:szCs w:val="24"/>
          <w:lang w:val="en-US" w:eastAsia="zh-CN"/>
        </w:rPr>
      </w:pPr>
      <w:bookmarkStart w:id="33" w:name="_Toc478501033"/>
      <w:bookmarkStart w:id="34" w:name="_Toc513828338"/>
      <w:bookmarkStart w:id="35" w:name="_Toc406668030"/>
      <w:bookmarkStart w:id="36" w:name="_Toc16351"/>
      <w:bookmarkStart w:id="37" w:name="_Toc406666356"/>
      <w:bookmarkStart w:id="38" w:name="_Toc361304680"/>
      <w:r>
        <w:rPr>
          <w:rFonts w:hint="eastAsia" w:ascii="Arial Narrow" w:hAnsi="Arial Narrow" w:cs="Arial Narrow"/>
          <w:szCs w:val="24"/>
          <w:lang w:val="en-US" w:eastAsia="zh-CN"/>
        </w:rPr>
        <w:t xml:space="preserve"> </w:t>
      </w:r>
      <w:r>
        <w:rPr>
          <w:rFonts w:hint="eastAsia" w:ascii="仿宋_GB2312" w:hAnsi="仿宋_GB2312" w:eastAsia="仿宋_GB2312" w:cs="仿宋_GB2312"/>
          <w:sz w:val="24"/>
          <w:szCs w:val="24"/>
          <w:lang w:val="en-US" w:eastAsia="zh-CN"/>
        </w:rPr>
        <w:t>（二）项目绩效目标</w:t>
      </w:r>
      <w:bookmarkEnd w:id="33"/>
      <w:bookmarkEnd w:id="34"/>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rPr>
      </w:pPr>
      <w:bookmarkStart w:id="39" w:name="_Toc478501034"/>
      <w:r>
        <w:rPr>
          <w:rFonts w:hint="default" w:ascii="Arial Narrow" w:hAnsi="Arial Narrow" w:eastAsia="仿宋_GB2312" w:cs="Arial Narrow"/>
          <w:color w:val="auto"/>
          <w:sz w:val="24"/>
          <w:szCs w:val="24"/>
        </w:rPr>
        <w:t>1.</w:t>
      </w:r>
      <w:r>
        <w:rPr>
          <w:rFonts w:hint="eastAsia" w:ascii="Arial Narrow" w:hAnsi="Arial Narrow" w:cs="Arial Narrow"/>
          <w:color w:val="auto"/>
          <w:sz w:val="24"/>
          <w:szCs w:val="24"/>
          <w:lang w:val="en-US" w:eastAsia="zh-CN"/>
        </w:rPr>
        <w:t xml:space="preserve"> </w:t>
      </w:r>
      <w:r>
        <w:rPr>
          <w:rFonts w:hint="default" w:ascii="Arial Narrow" w:hAnsi="Arial Narrow" w:eastAsia="仿宋_GB2312" w:cs="Arial Narrow"/>
          <w:color w:val="auto"/>
          <w:sz w:val="24"/>
          <w:szCs w:val="24"/>
        </w:rPr>
        <w:t>项目绩效目标</w:t>
      </w:r>
      <w:bookmarkEnd w:id="35"/>
      <w:bookmarkEnd w:id="36"/>
      <w:bookmarkEnd w:id="37"/>
      <w:bookmarkEnd w:id="38"/>
      <w:bookmarkEnd w:id="39"/>
      <w:bookmarkStart w:id="40" w:name="_Toc478501035"/>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rPr>
      </w:pPr>
      <w:r>
        <w:rPr>
          <w:rFonts w:hint="default" w:ascii="Arial Narrow" w:hAnsi="Arial Narrow" w:eastAsia="仿宋_GB2312" w:cs="Arial Narrow"/>
          <w:color w:val="auto"/>
          <w:sz w:val="24"/>
          <w:szCs w:val="24"/>
        </w:rPr>
        <w:t>（1）项目立项设定绩效目标</w:t>
      </w:r>
      <w:bookmarkEnd w:id="40"/>
      <w:bookmarkStart w:id="41" w:name="_Toc478501036"/>
    </w:p>
    <w:bookmarkEnd w:id="41"/>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rPr>
      </w:pPr>
      <w:bookmarkStart w:id="42" w:name="_Toc478501037"/>
      <w:r>
        <w:rPr>
          <w:rFonts w:hint="default" w:ascii="Arial Narrow" w:hAnsi="Arial Narrow" w:eastAsia="仿宋_GB2312" w:cs="Arial Narrow"/>
          <w:color w:val="auto"/>
          <w:sz w:val="24"/>
          <w:szCs w:val="24"/>
        </w:rPr>
        <w:t>“文明创建工作经费项目”计划201</w:t>
      </w:r>
      <w:r>
        <w:rPr>
          <w:rFonts w:hint="default" w:ascii="Arial Narrow" w:hAnsi="Arial Narrow" w:eastAsia="仿宋_GB2312" w:cs="Arial Narrow"/>
          <w:color w:val="auto"/>
          <w:sz w:val="24"/>
          <w:szCs w:val="24"/>
          <w:lang w:val="en-US" w:eastAsia="zh-CN"/>
        </w:rPr>
        <w:t>7</w:t>
      </w:r>
      <w:r>
        <w:rPr>
          <w:rFonts w:hint="default" w:ascii="Arial Narrow" w:hAnsi="Arial Narrow" w:eastAsia="仿宋_GB2312" w:cs="Arial Narrow"/>
          <w:color w:val="auto"/>
          <w:sz w:val="24"/>
          <w:szCs w:val="24"/>
        </w:rPr>
        <w:t>年</w:t>
      </w:r>
      <w:r>
        <w:rPr>
          <w:rFonts w:hint="default" w:ascii="Arial Narrow" w:hAnsi="Arial Narrow" w:eastAsia="仿宋_GB2312" w:cs="Arial Narrow"/>
          <w:color w:val="auto"/>
          <w:sz w:val="24"/>
          <w:szCs w:val="24"/>
          <w:lang w:val="en-US" w:eastAsia="zh-CN"/>
        </w:rPr>
        <w:t>文明过马路劝导活动覆盖50%</w:t>
      </w:r>
      <w:r>
        <w:rPr>
          <w:rFonts w:hint="default" w:ascii="Arial Narrow" w:hAnsi="Arial Narrow" w:eastAsia="仿宋_GB2312" w:cs="Arial Narrow"/>
          <w:color w:val="auto"/>
          <w:sz w:val="24"/>
          <w:szCs w:val="24"/>
        </w:rPr>
        <w:t>；开展节日活动70场左右</w:t>
      </w:r>
      <w:r>
        <w:rPr>
          <w:rFonts w:hint="default" w:ascii="Arial Narrow" w:hAnsi="Arial Narrow" w:eastAsia="仿宋_GB2312" w:cs="Arial Narrow"/>
          <w:color w:val="auto"/>
          <w:sz w:val="24"/>
          <w:szCs w:val="24"/>
          <w:lang w:eastAsia="zh-CN"/>
        </w:rPr>
        <w:t>；</w:t>
      </w:r>
      <w:r>
        <w:rPr>
          <w:rFonts w:hint="default" w:ascii="Arial Narrow" w:hAnsi="Arial Narrow" w:eastAsia="仿宋_GB2312" w:cs="Arial Narrow"/>
          <w:color w:val="auto"/>
          <w:sz w:val="24"/>
          <w:szCs w:val="24"/>
        </w:rPr>
        <w:t>市文明程度指数双月测评以及街道文明程度指数每月测评</w:t>
      </w:r>
      <w:r>
        <w:rPr>
          <w:rFonts w:hint="default" w:ascii="Arial Narrow" w:hAnsi="Arial Narrow" w:eastAsia="仿宋_GB2312" w:cs="Arial Narrow"/>
          <w:color w:val="auto"/>
          <w:sz w:val="24"/>
          <w:szCs w:val="24"/>
          <w:lang w:eastAsia="zh-CN"/>
        </w:rPr>
        <w:t>；</w:t>
      </w:r>
      <w:r>
        <w:rPr>
          <w:rFonts w:hint="default" w:ascii="Arial Narrow" w:hAnsi="Arial Narrow" w:eastAsia="仿宋_GB2312" w:cs="Arial Narrow"/>
          <w:color w:val="auto"/>
          <w:sz w:val="24"/>
          <w:szCs w:val="24"/>
        </w:rPr>
        <w:t>志愿者注册比例超过</w:t>
      </w:r>
      <w:r>
        <w:rPr>
          <w:rFonts w:hint="default" w:ascii="Arial Narrow" w:hAnsi="Arial Narrow" w:eastAsia="仿宋_GB2312" w:cs="Arial Narrow"/>
          <w:color w:val="auto"/>
          <w:sz w:val="24"/>
          <w:szCs w:val="24"/>
          <w:highlight w:val="none"/>
        </w:rPr>
        <w:t>1</w:t>
      </w:r>
      <w:r>
        <w:rPr>
          <w:rFonts w:hint="default" w:ascii="Arial Narrow" w:hAnsi="Arial Narrow" w:eastAsia="仿宋_GB2312" w:cs="Arial Narrow"/>
          <w:color w:val="auto"/>
          <w:sz w:val="24"/>
          <w:szCs w:val="24"/>
          <w:highlight w:val="none"/>
          <w:lang w:val="en-US" w:eastAsia="zh-CN"/>
        </w:rPr>
        <w:t>5</w:t>
      </w:r>
      <w:r>
        <w:rPr>
          <w:rFonts w:hint="default" w:ascii="Arial Narrow" w:hAnsi="Arial Narrow" w:eastAsia="仿宋_GB2312" w:cs="Arial Narrow"/>
          <w:color w:val="auto"/>
          <w:sz w:val="24"/>
          <w:szCs w:val="24"/>
          <w:highlight w:val="none"/>
        </w:rPr>
        <w:t>%</w:t>
      </w:r>
      <w:r>
        <w:rPr>
          <w:rFonts w:hint="default" w:ascii="Arial Narrow" w:hAnsi="Arial Narrow" w:eastAsia="仿宋_GB2312" w:cs="Arial Narrow"/>
          <w:color w:val="auto"/>
          <w:sz w:val="24"/>
          <w:szCs w:val="24"/>
        </w:rPr>
        <w:t>；志愿者参与度超过</w:t>
      </w:r>
      <w:r>
        <w:rPr>
          <w:rFonts w:hint="default" w:ascii="Arial Narrow" w:hAnsi="Arial Narrow" w:eastAsia="仿宋_GB2312" w:cs="Arial Narrow"/>
          <w:color w:val="auto"/>
          <w:sz w:val="24"/>
          <w:szCs w:val="24"/>
          <w:highlight w:val="none"/>
        </w:rPr>
        <w:t>70%</w:t>
      </w:r>
      <w:r>
        <w:rPr>
          <w:rFonts w:hint="default" w:ascii="Arial Narrow" w:hAnsi="Arial Narrow" w:eastAsia="仿宋_GB2312" w:cs="Arial Narrow"/>
          <w:color w:val="auto"/>
          <w:sz w:val="24"/>
          <w:szCs w:val="24"/>
        </w:rPr>
        <w:t>；文明创建宣传形式超过</w:t>
      </w:r>
      <w:r>
        <w:rPr>
          <w:rFonts w:hint="default" w:ascii="Arial Narrow" w:hAnsi="Arial Narrow" w:eastAsia="仿宋_GB2312" w:cs="Arial Narrow"/>
          <w:color w:val="auto"/>
          <w:sz w:val="24"/>
          <w:szCs w:val="24"/>
          <w:highlight w:val="none"/>
        </w:rPr>
        <w:t>3</w:t>
      </w:r>
      <w:r>
        <w:rPr>
          <w:rFonts w:hint="default" w:ascii="Arial Narrow" w:hAnsi="Arial Narrow" w:eastAsia="仿宋_GB2312" w:cs="Arial Narrow"/>
          <w:color w:val="auto"/>
          <w:sz w:val="24"/>
          <w:szCs w:val="24"/>
        </w:rPr>
        <w:t>种；群众知晓率达</w:t>
      </w:r>
      <w:r>
        <w:rPr>
          <w:rFonts w:hint="default" w:ascii="Arial Narrow" w:hAnsi="Arial Narrow" w:eastAsia="仿宋_GB2312" w:cs="Arial Narrow"/>
          <w:color w:val="auto"/>
          <w:sz w:val="24"/>
          <w:szCs w:val="24"/>
          <w:highlight w:val="none"/>
          <w:lang w:val="en-US" w:eastAsia="zh-CN"/>
        </w:rPr>
        <w:t>65</w:t>
      </w:r>
      <w:r>
        <w:rPr>
          <w:rFonts w:hint="default" w:ascii="Arial Narrow" w:hAnsi="Arial Narrow" w:eastAsia="仿宋_GB2312" w:cs="Arial Narrow"/>
          <w:color w:val="auto"/>
          <w:sz w:val="24"/>
          <w:szCs w:val="24"/>
          <w:highlight w:val="none"/>
        </w:rPr>
        <w:t>%</w:t>
      </w:r>
      <w:r>
        <w:rPr>
          <w:rFonts w:hint="default" w:ascii="Arial Narrow" w:hAnsi="Arial Narrow" w:eastAsia="仿宋_GB2312" w:cs="Arial Narrow"/>
          <w:color w:val="auto"/>
          <w:sz w:val="24"/>
          <w:szCs w:val="24"/>
        </w:rPr>
        <w:t>；开展志愿者服务活动将空巢老人、留守儿童、困难职工、残疾人等作为服务重点，积极推动开展志愿者活动。</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rPr>
      </w:pPr>
      <w:r>
        <w:rPr>
          <w:rFonts w:hint="default" w:ascii="Arial Narrow" w:hAnsi="Arial Narrow" w:eastAsia="仿宋_GB2312" w:cs="Arial Narrow"/>
          <w:color w:val="auto"/>
          <w:sz w:val="24"/>
          <w:szCs w:val="24"/>
        </w:rPr>
        <w:t>（2）</w:t>
      </w:r>
      <w:bookmarkStart w:id="43" w:name="_Toc3631"/>
      <w:bookmarkStart w:id="44" w:name="_Toc361304681"/>
      <w:bookmarkStart w:id="45" w:name="_Toc387957806"/>
      <w:r>
        <w:rPr>
          <w:rFonts w:hint="default" w:ascii="Arial Narrow" w:hAnsi="Arial Narrow" w:eastAsia="仿宋_GB2312" w:cs="Arial Narrow"/>
          <w:color w:val="auto"/>
          <w:sz w:val="24"/>
          <w:szCs w:val="24"/>
        </w:rPr>
        <w:t>绩效目标完成情况</w:t>
      </w:r>
      <w:bookmarkEnd w:id="43"/>
      <w:r>
        <w:rPr>
          <w:rFonts w:hint="default" w:ascii="Arial Narrow" w:hAnsi="Arial Narrow" w:eastAsia="仿宋_GB2312" w:cs="Arial Narrow"/>
          <w:color w:val="auto"/>
          <w:sz w:val="24"/>
          <w:szCs w:val="24"/>
        </w:rPr>
        <w:t>的陈述</w:t>
      </w:r>
      <w:bookmarkEnd w:id="42"/>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highlight w:val="none"/>
        </w:rPr>
      </w:pPr>
      <w:bookmarkStart w:id="46" w:name="_Toc478501038"/>
      <w:bookmarkStart w:id="47" w:name="_Toc513828339"/>
      <w:bookmarkStart w:id="48" w:name="_Toc478501039"/>
      <w:bookmarkStart w:id="49" w:name="_Toc406666357"/>
      <w:bookmarkStart w:id="50" w:name="_Toc406668031"/>
      <w:bookmarkStart w:id="51" w:name="_Toc14372"/>
      <w:r>
        <w:rPr>
          <w:rFonts w:hint="default" w:ascii="Arial Narrow" w:hAnsi="Arial Narrow" w:eastAsia="仿宋_GB2312" w:cs="Arial Narrow"/>
          <w:color w:val="auto"/>
          <w:sz w:val="24"/>
          <w:szCs w:val="24"/>
        </w:rPr>
        <w:t>“文</w:t>
      </w:r>
      <w:r>
        <w:rPr>
          <w:rFonts w:hint="default" w:ascii="Arial Narrow" w:hAnsi="Arial Narrow" w:eastAsia="仿宋_GB2312" w:cs="Arial Narrow"/>
          <w:color w:val="auto"/>
          <w:sz w:val="24"/>
          <w:szCs w:val="24"/>
          <w:highlight w:val="none"/>
        </w:rPr>
        <w:t>明创建工作经费项目”截止到201</w:t>
      </w:r>
      <w:r>
        <w:rPr>
          <w:rFonts w:hint="default" w:ascii="Arial Narrow" w:hAnsi="Arial Narrow" w:eastAsia="仿宋_GB2312" w:cs="Arial Narrow"/>
          <w:color w:val="auto"/>
          <w:sz w:val="24"/>
          <w:szCs w:val="24"/>
          <w:highlight w:val="none"/>
          <w:lang w:val="en-US" w:eastAsia="zh-CN"/>
        </w:rPr>
        <w:t>7</w:t>
      </w:r>
      <w:r>
        <w:rPr>
          <w:rFonts w:hint="default" w:ascii="Arial Narrow" w:hAnsi="Arial Narrow" w:eastAsia="仿宋_GB2312" w:cs="Arial Narrow"/>
          <w:color w:val="auto"/>
          <w:sz w:val="24"/>
          <w:szCs w:val="24"/>
          <w:highlight w:val="none"/>
        </w:rPr>
        <w:t>年12月31日完成</w:t>
      </w:r>
      <w:r>
        <w:rPr>
          <w:rFonts w:hint="default" w:ascii="Arial Narrow" w:hAnsi="Arial Narrow" w:eastAsia="仿宋_GB2312" w:cs="Arial Narrow"/>
          <w:color w:val="auto"/>
          <w:sz w:val="24"/>
          <w:szCs w:val="24"/>
          <w:lang w:val="en-US" w:eastAsia="zh-CN"/>
        </w:rPr>
        <w:t>文明过马路劝导活动覆盖26.67%</w:t>
      </w:r>
      <w:r>
        <w:rPr>
          <w:rFonts w:hint="default" w:ascii="Arial Narrow" w:hAnsi="Arial Narrow" w:eastAsia="仿宋_GB2312" w:cs="Arial Narrow"/>
          <w:color w:val="auto"/>
          <w:sz w:val="24"/>
          <w:szCs w:val="24"/>
          <w:highlight w:val="none"/>
        </w:rPr>
        <w:t>；201</w:t>
      </w:r>
      <w:r>
        <w:rPr>
          <w:rFonts w:hint="default" w:ascii="Arial Narrow" w:hAnsi="Arial Narrow" w:eastAsia="仿宋_GB2312" w:cs="Arial Narrow"/>
          <w:color w:val="auto"/>
          <w:sz w:val="24"/>
          <w:szCs w:val="24"/>
          <w:highlight w:val="none"/>
          <w:lang w:val="en-US" w:eastAsia="zh-CN"/>
        </w:rPr>
        <w:t>7</w:t>
      </w:r>
      <w:r>
        <w:rPr>
          <w:rFonts w:hint="default" w:ascii="Arial Narrow" w:hAnsi="Arial Narrow" w:eastAsia="仿宋_GB2312" w:cs="Arial Narrow"/>
          <w:color w:val="auto"/>
          <w:sz w:val="24"/>
          <w:szCs w:val="24"/>
          <w:highlight w:val="none"/>
        </w:rPr>
        <w:t>年街道文明程度指数测评</w:t>
      </w:r>
      <w:r>
        <w:rPr>
          <w:rFonts w:hint="default" w:ascii="Arial Narrow" w:hAnsi="Arial Narrow" w:eastAsia="仿宋_GB2312" w:cs="Arial Narrow"/>
          <w:color w:val="auto"/>
          <w:sz w:val="24"/>
          <w:szCs w:val="24"/>
          <w:highlight w:val="none"/>
          <w:lang w:val="en-US" w:eastAsia="zh-CN"/>
        </w:rPr>
        <w:t>9</w:t>
      </w:r>
      <w:r>
        <w:rPr>
          <w:rFonts w:hint="default" w:ascii="Arial Narrow" w:hAnsi="Arial Narrow" w:eastAsia="仿宋_GB2312" w:cs="Arial Narrow"/>
          <w:color w:val="auto"/>
          <w:sz w:val="24"/>
          <w:szCs w:val="24"/>
          <w:highlight w:val="none"/>
        </w:rPr>
        <w:t>次；志愿者注册比例达</w:t>
      </w:r>
      <w:r>
        <w:rPr>
          <w:rFonts w:hint="default" w:ascii="Arial Narrow" w:hAnsi="Arial Narrow" w:eastAsia="仿宋_GB2312" w:cs="Arial Narrow"/>
          <w:color w:val="auto"/>
          <w:sz w:val="24"/>
          <w:szCs w:val="24"/>
          <w:highlight w:val="none"/>
          <w:lang w:val="en-US" w:eastAsia="zh-CN"/>
        </w:rPr>
        <w:t>12.09</w:t>
      </w:r>
      <w:r>
        <w:rPr>
          <w:rFonts w:hint="default" w:ascii="Arial Narrow" w:hAnsi="Arial Narrow" w:eastAsia="仿宋_GB2312" w:cs="Arial Narrow"/>
          <w:color w:val="auto"/>
          <w:sz w:val="24"/>
          <w:szCs w:val="24"/>
          <w:highlight w:val="none"/>
        </w:rPr>
        <w:t>%；志愿者参与度达到</w:t>
      </w:r>
      <w:r>
        <w:rPr>
          <w:rFonts w:hint="default" w:ascii="Arial Narrow" w:hAnsi="Arial Narrow" w:eastAsia="仿宋_GB2312" w:cs="Arial Narrow"/>
          <w:color w:val="auto"/>
          <w:sz w:val="24"/>
          <w:szCs w:val="24"/>
          <w:highlight w:val="none"/>
          <w:lang w:val="en-US" w:eastAsia="zh-CN"/>
        </w:rPr>
        <w:t>132.34</w:t>
      </w:r>
      <w:r>
        <w:rPr>
          <w:rFonts w:hint="default" w:ascii="Arial Narrow" w:hAnsi="Arial Narrow" w:eastAsia="仿宋_GB2312" w:cs="Arial Narrow"/>
          <w:color w:val="auto"/>
          <w:sz w:val="24"/>
          <w:szCs w:val="24"/>
          <w:highlight w:val="none"/>
        </w:rPr>
        <w:t>%；文明创建宣传形式超过3种；志愿者服务活动中包含关爱残疾人、空巢老人、困难职工、进城务工人员和留守儿童为主题的“邻里守望”志愿服务活动、志愿者义务劳动活动</w:t>
      </w:r>
      <w:r>
        <w:rPr>
          <w:rFonts w:hint="default" w:ascii="Arial Narrow" w:hAnsi="Arial Narrow" w:eastAsia="仿宋_GB2312" w:cs="Arial Narrow"/>
          <w:color w:val="auto"/>
          <w:sz w:val="24"/>
          <w:szCs w:val="24"/>
          <w:highlight w:val="none"/>
          <w:lang w:val="en-US" w:eastAsia="zh-CN"/>
        </w:rPr>
        <w:t>等</w:t>
      </w:r>
      <w:r>
        <w:rPr>
          <w:rFonts w:hint="default" w:ascii="Arial Narrow" w:hAnsi="Arial Narrow" w:eastAsia="仿宋_GB2312" w:cs="Arial Narrow"/>
          <w:color w:val="auto"/>
          <w:sz w:val="24"/>
          <w:szCs w:val="24"/>
          <w:highlight w:val="none"/>
        </w:rPr>
        <w:t>。</w:t>
      </w:r>
      <w:bookmarkEnd w:id="46"/>
    </w:p>
    <w:p>
      <w:pPr>
        <w:pStyle w:val="2"/>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二、绩效评价工作情况</w:t>
      </w:r>
      <w:bookmarkEnd w:id="44"/>
      <w:bookmarkEnd w:id="45"/>
      <w:bookmarkEnd w:id="47"/>
      <w:bookmarkEnd w:id="48"/>
      <w:bookmarkEnd w:id="49"/>
      <w:bookmarkEnd w:id="50"/>
      <w:bookmarkEnd w:id="51"/>
      <w:bookmarkStart w:id="52" w:name="_Toc361304682"/>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eastAsia" w:ascii="仿宋_GB2312" w:hAnsi="仿宋_GB2312" w:eastAsia="仿宋_GB2312" w:cs="仿宋_GB2312"/>
          <w:sz w:val="24"/>
          <w:szCs w:val="24"/>
          <w:lang w:val="en-US" w:eastAsia="zh-CN"/>
        </w:rPr>
      </w:pPr>
      <w:bookmarkStart w:id="53" w:name="_Toc387957807"/>
      <w:bookmarkStart w:id="54" w:name="_Toc29064"/>
      <w:bookmarkStart w:id="55" w:name="_Toc406668032"/>
      <w:bookmarkStart w:id="56" w:name="_Toc513828340"/>
      <w:bookmarkStart w:id="57" w:name="_Toc478501040"/>
      <w:bookmarkStart w:id="58" w:name="_Toc406666358"/>
      <w:r>
        <w:rPr>
          <w:rFonts w:hint="eastAsia" w:ascii="仿宋_GB2312" w:hAnsi="仿宋_GB2312" w:eastAsia="仿宋_GB2312" w:cs="仿宋_GB2312"/>
          <w:sz w:val="24"/>
          <w:szCs w:val="24"/>
          <w:lang w:val="en-US" w:eastAsia="zh-CN"/>
        </w:rPr>
        <w:t>（一）绩效评价目</w:t>
      </w:r>
      <w:bookmarkEnd w:id="52"/>
      <w:bookmarkEnd w:id="53"/>
      <w:r>
        <w:rPr>
          <w:rFonts w:hint="eastAsia" w:ascii="仿宋_GB2312" w:hAnsi="仿宋_GB2312" w:eastAsia="仿宋_GB2312" w:cs="仿宋_GB2312"/>
          <w:sz w:val="24"/>
          <w:szCs w:val="24"/>
          <w:lang w:val="en-US" w:eastAsia="zh-CN"/>
        </w:rPr>
        <w:t>的</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深化预算管理改革，进一步加强武昌区项目经费支出的监督，提高财政资金使用效益，根据《中华人民共和国预算法》、《财政支出绩效评价管理暂行办法》和《武昌区财政支出绩效评价暂行办法》等国家有关财务规章制度，结合文明创建工作经费项目的具体情况，根据武昌区财政局的要求进行此绩效评价工作；同时也可在实践中检验绩效评价工作文件的针对性和可操作性，推动绩效评价的制度建设。此外，本次绩效评价还力争实现以下目的：</w:t>
      </w:r>
    </w:p>
    <w:p>
      <w:pPr>
        <w:keepNext w:val="0"/>
        <w:keepLines w:val="0"/>
        <w:pageBreakBefore w:val="0"/>
        <w:widowControl w:val="0"/>
        <w:numPr>
          <w:ilvl w:val="0"/>
          <w:numId w:val="2"/>
        </w:numPr>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武昌区财政项目资金管理要求，设计合理的指标体系和评价标准，采取科学、规范的评价方法，采用定性及定量相结合的评价指标，对“文明创建工作经费项目”的项目决策、项目管理、项目绩效进行客观公正地评价。</w:t>
      </w:r>
    </w:p>
    <w:p>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通过绩效评价为合理分配资金、优化支出提供依据，也为逐步建立“预算编制有目标，预算执行有监控，预算完成有评价，评价结果有反馈，反馈结果有应用”的绩效评价机制提供决策依据。</w:t>
      </w:r>
    </w:p>
    <w:p>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通过绩效评价总结前一年度项目实施的经验教训，为进一步加强“文明创建工作经费项目”管理，提高项目建设水平，发挥财政资金效益提供重要的参考依据，也为将来的精神文明创建项目提供借鉴。</w:t>
      </w:r>
    </w:p>
    <w:p>
      <w:pPr>
        <w:pStyle w:val="2"/>
        <w:keepNext w:val="0"/>
        <w:keepLines w:val="0"/>
        <w:numPr>
          <w:ilvl w:val="0"/>
          <w:numId w:val="0"/>
        </w:numPr>
        <w:ind w:left="120" w:leftChars="0"/>
        <w:rPr>
          <w:rFonts w:hint="eastAsia" w:ascii="Arial Narrow" w:hAnsi="Arial Narrow" w:cs="Arial Narrow"/>
          <w:szCs w:val="24"/>
          <w:lang w:val="en-US" w:eastAsia="zh-CN"/>
        </w:rPr>
      </w:pPr>
      <w:bookmarkStart w:id="59" w:name="_Toc513828341"/>
      <w:bookmarkStart w:id="60" w:name="_Toc478501041"/>
      <w:bookmarkStart w:id="61" w:name="_Toc32197"/>
      <w:bookmarkStart w:id="62" w:name="_Toc406668033"/>
      <w:bookmarkStart w:id="63" w:name="_Toc387957809"/>
      <w:bookmarkStart w:id="64" w:name="_Toc406666359"/>
      <w:bookmarkStart w:id="65" w:name="_Toc361302025"/>
      <w:bookmarkStart w:id="66" w:name="_Toc361304684"/>
      <w:r>
        <w:rPr>
          <w:rFonts w:hint="eastAsia" w:ascii="Arial Narrow" w:hAnsi="Arial Narrow" w:cs="Arial Narrow"/>
          <w:szCs w:val="24"/>
          <w:lang w:val="en-US" w:eastAsia="zh-CN"/>
        </w:rPr>
        <w:t>（二）绩效评价工作过程</w:t>
      </w:r>
      <w:bookmarkEnd w:id="59"/>
      <w:bookmarkEnd w:id="60"/>
      <w:bookmarkEnd w:id="61"/>
    </w:p>
    <w:p>
      <w:pPr>
        <w:snapToGrid w:val="0"/>
        <w:ind w:firstLine="480"/>
        <w:jc w:val="left"/>
        <w:outlineLvl w:val="1"/>
        <w:rPr>
          <w:rFonts w:ascii="Arial Narrow" w:hAnsi="Arial Narrow" w:cs="Arial Narrow"/>
          <w:b/>
          <w:bCs/>
          <w:color w:val="FF0000"/>
        </w:rPr>
      </w:pPr>
      <w:bookmarkStart w:id="67" w:name="_Toc478501042"/>
      <w:bookmarkStart w:id="68" w:name="_Toc5877"/>
      <w:bookmarkStart w:id="69" w:name="_Toc478501643"/>
      <w:bookmarkStart w:id="70" w:name="_Toc513828342"/>
      <w:r>
        <w:rPr>
          <w:rFonts w:ascii="Arial Narrow" w:hAnsi="Arial Narrow" w:cs="Arial Narrow"/>
          <w:color w:val="FF0000"/>
        </w:rPr>
        <w:drawing>
          <wp:inline distT="0" distB="0" distL="0" distR="0">
            <wp:extent cx="4301490" cy="1987550"/>
            <wp:effectExtent l="76200" t="0" r="22860" b="8890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67"/>
      <w:bookmarkEnd w:id="68"/>
      <w:bookmarkEnd w:id="69"/>
      <w:bookmarkEnd w:id="70"/>
    </w:p>
    <w:p>
      <w:pPr>
        <w:keepNext w:val="0"/>
        <w:keepLines w:val="0"/>
        <w:pageBreakBefore w:val="0"/>
        <w:widowControl w:val="0"/>
        <w:numPr>
          <w:ilvl w:val="0"/>
          <w:numId w:val="3"/>
        </w:numPr>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前期准备工作内容</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首先，前期查阅项目的相关文件。评价小组通过查阅了《中华人民共和国预算法》、《财政支出绩效评价管理暂行办法》（财预〔2011〕285号）、《武昌区财政局关于武昌区人民政府</w:t>
      </w:r>
      <w:r>
        <w:rPr>
          <w:rFonts w:hint="default" w:ascii="Arial Narrow" w:hAnsi="Arial Narrow" w:eastAsia="仿宋_GB2312" w:cs="Arial Narrow"/>
          <w:lang w:eastAsia="zh-CN"/>
        </w:rPr>
        <w:t>杨园</w:t>
      </w:r>
      <w:r>
        <w:rPr>
          <w:rFonts w:hint="default" w:ascii="Arial Narrow" w:hAnsi="Arial Narrow" w:eastAsia="仿宋_GB2312" w:cs="Arial Narrow"/>
        </w:rPr>
        <w:t>街办事处2017年部门预算的批复》、《武昌区精神文明建设指导委员会2017年武昌区精神文明建设工作要点》、《2017年杨园街文明创建工作计划》、《</w:t>
      </w:r>
      <w:r>
        <w:rPr>
          <w:rFonts w:hint="default" w:ascii="Arial Narrow" w:hAnsi="Arial Narrow" w:eastAsia="仿宋_GB2312" w:cs="Arial Narrow"/>
          <w:lang w:eastAsia="zh-CN"/>
        </w:rPr>
        <w:t>杨园</w:t>
      </w:r>
      <w:r>
        <w:rPr>
          <w:rFonts w:hint="default" w:ascii="Arial Narrow" w:hAnsi="Arial Narrow" w:eastAsia="仿宋_GB2312" w:cs="Arial Narrow"/>
        </w:rPr>
        <w:t>街办事处财务管理制度》、2017年杨园街文明创建工作经费三栏明细分类帐、与项目相关的财务账等资料、其他与项目评价相关的资料等相关项目文件，结合《武昌区财政支出绩效评价管理暂行办法》的要求了解项目的背景、项目的目标、项目的内容、项目的活动等信息。这为绩效评价小组后续制定绩效评价方案奠定了基础。</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其次，设计绩效评价指标体系和评分标准。绩效评价指标体系是开展绩效评价工作的核心。评价小组参照《武昌区财政支出绩效评价管理暂行办法》，结合项目特点，在开发评价指标的基础上，制定绩效评价指标体系和评分标准。评价指标体系由4个一级指标、6个二级指标和23个三级指标组成，绩效评价指标体系包含10个定性指标，13个定量指标，定性定量指标相结合。结合文明创建工作经费项目的特点，设计了13个个性指标，包括：文明过马路劝导活动覆盖率、城市文明程度测评完成率、</w:t>
      </w:r>
      <w:r>
        <w:rPr>
          <w:rFonts w:hint="default" w:ascii="Arial Narrow" w:hAnsi="Arial Narrow" w:eastAsia="仿宋_GB2312" w:cs="Arial Narrow"/>
          <w:lang w:eastAsia="zh-CN"/>
        </w:rPr>
        <w:t>节日</w:t>
      </w:r>
      <w:r>
        <w:rPr>
          <w:rFonts w:hint="default" w:ascii="Arial Narrow" w:hAnsi="Arial Narrow" w:eastAsia="仿宋_GB2312" w:cs="Arial Narrow"/>
        </w:rPr>
        <w:t>活动完成率、志愿者注册比例、志愿者参与度</w:t>
      </w:r>
      <w:r>
        <w:rPr>
          <w:rFonts w:hint="eastAsia" w:ascii="Arial Narrow" w:hAnsi="Arial Narrow" w:cs="Arial Narrow"/>
          <w:lang w:eastAsia="zh-CN"/>
        </w:rPr>
        <w:t>、</w:t>
      </w:r>
      <w:r>
        <w:rPr>
          <w:rFonts w:hint="default" w:ascii="Arial Narrow" w:hAnsi="Arial Narrow" w:eastAsia="仿宋_GB2312" w:cs="Arial Narrow"/>
        </w:rPr>
        <w:t>群众知晓率</w:t>
      </w:r>
      <w:r>
        <w:rPr>
          <w:rFonts w:hint="eastAsia" w:ascii="Arial Narrow" w:hAnsi="Arial Narrow" w:cs="Arial Narrow"/>
          <w:lang w:eastAsia="zh-CN"/>
        </w:rPr>
        <w:t>、</w:t>
      </w:r>
      <w:r>
        <w:rPr>
          <w:rFonts w:hint="default" w:ascii="Arial Narrow" w:hAnsi="Arial Narrow" w:eastAsia="仿宋_GB2312" w:cs="Arial Narrow"/>
        </w:rPr>
        <w:t>志愿服务活动重点与内容等，旨在更好反映文明创建工作的具体实施情况。</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最后，制定项目实施方案。实施方案明确了评价对象、评价工作依据、评价工作方法、评分办法、评价实施步骤、评价小组组成人员及分工等。实施方案对评价小组具体工作内容和时间进一步细化，保证评价工作顺利开展。同时，为了保证得出科学、合理、公正的评价结果，评价小组制定了专门的调查问卷、基础数据表和访谈大纲，帮助评价小组在报告后期对调查问卷、基础数据、访谈记录等进行分析。</w:t>
      </w:r>
    </w:p>
    <w:p>
      <w:pPr>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480" w:firstLineChars="200"/>
        <w:textAlignment w:val="auto"/>
        <w:outlineLvl w:val="9"/>
        <w:rPr>
          <w:rFonts w:hint="default" w:ascii="Arial Narrow" w:hAnsi="Arial Narrow" w:eastAsia="仿宋_GB2312" w:cs="Arial Narrow"/>
        </w:rPr>
      </w:pPr>
      <w:r>
        <w:rPr>
          <w:rFonts w:hint="default" w:ascii="Arial Narrow" w:hAnsi="Arial Narrow" w:eastAsia="仿宋_GB2312" w:cs="Arial Narrow"/>
        </w:rPr>
        <w:t>组织实施过程内容</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根据制定的绩效评价工作方案，评价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pPr>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480" w:firstLineChars="200"/>
        <w:textAlignment w:val="auto"/>
        <w:outlineLvl w:val="9"/>
        <w:rPr>
          <w:rFonts w:hint="default" w:ascii="Arial Narrow" w:hAnsi="Arial Narrow" w:eastAsia="仿宋_GB2312" w:cs="Arial Narrow"/>
        </w:rPr>
      </w:pPr>
      <w:bookmarkStart w:id="71" w:name="_Toc478501043"/>
      <w:r>
        <w:rPr>
          <w:rFonts w:hint="default" w:ascii="Arial Narrow" w:hAnsi="Arial Narrow" w:eastAsia="仿宋_GB2312" w:cs="Arial Narrow"/>
        </w:rPr>
        <w:t>分析评价工作内容</w:t>
      </w:r>
      <w:bookmarkEnd w:id="71"/>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bookmarkStart w:id="72" w:name="_Toc478501044"/>
    </w:p>
    <w:p>
      <w:pPr>
        <w:pStyle w:val="2"/>
        <w:keepNext w:val="0"/>
        <w:keepLines w:val="0"/>
        <w:numPr>
          <w:ilvl w:val="0"/>
          <w:numId w:val="0"/>
        </w:numPr>
        <w:ind w:left="120" w:leftChars="0"/>
        <w:rPr>
          <w:rFonts w:hint="eastAsia" w:ascii="Arial Narrow" w:hAnsi="Arial Narrow" w:cs="Arial Narrow"/>
          <w:szCs w:val="24"/>
          <w:lang w:val="en-US" w:eastAsia="zh-CN"/>
        </w:rPr>
      </w:pPr>
      <w:bookmarkStart w:id="73" w:name="_Toc513828343"/>
      <w:r>
        <w:rPr>
          <w:rFonts w:hint="eastAsia" w:ascii="Arial Narrow" w:hAnsi="Arial Narrow" w:cs="Arial Narrow"/>
          <w:szCs w:val="24"/>
          <w:lang w:val="en-US" w:eastAsia="zh-CN"/>
        </w:rPr>
        <w:t>（三）绩效评价框架</w:t>
      </w:r>
      <w:bookmarkEnd w:id="72"/>
      <w:bookmarkEnd w:id="73"/>
    </w:p>
    <w:p>
      <w:pPr>
        <w:snapToGrid w:val="0"/>
        <w:ind w:firstLine="480"/>
        <w:jc w:val="left"/>
        <w:rPr>
          <w:rFonts w:ascii="Arial Narrow" w:hAnsi="Arial Narrow" w:cs="Arial Narrow"/>
        </w:rPr>
      </w:pPr>
      <w:r>
        <w:rPr>
          <w:rFonts w:ascii="Arial Narrow" w:hAnsi="Arial Narrow" w:cs="Arial Narrow"/>
        </w:rPr>
        <w:t>1.</w:t>
      </w:r>
      <w:r>
        <w:rPr>
          <w:rFonts w:hint="eastAsia" w:ascii="Arial Narrow" w:hAnsi="Arial Narrow" w:cs="Arial Narrow"/>
          <w:lang w:val="en-US" w:eastAsia="zh-CN"/>
        </w:rPr>
        <w:t xml:space="preserve"> </w:t>
      </w:r>
      <w:r>
        <w:rPr>
          <w:rFonts w:ascii="Arial Narrow" w:hAnsi="Arial Narrow" w:cs="Arial Narrow"/>
        </w:rPr>
        <w:t>评价原则</w:t>
      </w:r>
    </w:p>
    <w:p>
      <w:pPr>
        <w:snapToGrid w:val="0"/>
        <w:ind w:firstLine="480"/>
        <w:jc w:val="left"/>
        <w:rPr>
          <w:rFonts w:ascii="Arial Narrow" w:hAnsi="Arial Narrow" w:cs="Arial Narrow"/>
          <w:color w:val="FF0000"/>
        </w:rPr>
      </w:pPr>
      <w:r>
        <w:rPr>
          <w:rFonts w:ascii="Arial Narrow" w:hAnsi="Arial Narrow" w:cs="Arial Narrow"/>
          <w:color w:val="FF0000"/>
        </w:rPr>
        <w:drawing>
          <wp:inline distT="0" distB="0" distL="0" distR="0">
            <wp:extent cx="4899025" cy="1524000"/>
            <wp:effectExtent l="0" t="0" r="0" b="7620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1）科学规范原则。我们严格执行规定的程序，按照科学可行的要求，采用定量与定性分析相结合的方法，同时在反应项目产出、项目效益等方面的末级明细指标细化、量化程度高，如文明过马路劝导活动覆盖率、城市文明程度测评完成率、志愿者注册比例、志愿服务活动重点与内容群众知晓率等，均可取得量化的数据为基础进行评分，降低评价人员的主观影响。</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（2）公正公开原则。绩效评价符合真实、客观、公正的要求，依法公开并接受监督。</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（3）分级分类原则。绩效评价由区财政局、预算单位根据评价对象的特点分类组织实施。</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（4）绩效相关原则。我们使用与绩效目标有直接的联系，能够恰当反映目标的实现程度，如文明过马路劝导活动覆盖率、城市文明程度测评完成率、</w:t>
      </w:r>
      <w:r>
        <w:rPr>
          <w:rFonts w:hint="default" w:ascii="Arial Narrow" w:hAnsi="Arial Narrow" w:eastAsia="仿宋_GB2312" w:cs="Arial Narrow"/>
          <w:lang w:eastAsia="zh-CN"/>
        </w:rPr>
        <w:t>节日</w:t>
      </w:r>
      <w:r>
        <w:rPr>
          <w:rFonts w:hint="default" w:ascii="Arial Narrow" w:hAnsi="Arial Narrow" w:eastAsia="仿宋_GB2312" w:cs="Arial Narrow"/>
        </w:rPr>
        <w:t>活动完成率、志愿者参与度等，均为能够反映项目目标实现程度的绩效指标。</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w:t>
      </w:r>
      <w:r>
        <w:rPr>
          <w:rFonts w:hint="eastAsia" w:ascii="Arial Narrow" w:hAnsi="Arial Narrow" w:cs="Arial Narrow"/>
          <w:lang w:val="en-US" w:eastAsia="zh-CN"/>
        </w:rPr>
        <w:t xml:space="preserve"> </w:t>
      </w:r>
      <w:r>
        <w:rPr>
          <w:rFonts w:hint="default" w:ascii="Arial Narrow" w:hAnsi="Arial Narrow" w:eastAsia="仿宋_GB2312" w:cs="Arial Narrow"/>
        </w:rPr>
        <w:t>评价依据</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（1）项目行为依据</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①《武昌区精神文明建设十三五发展规划》；</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②《武昌区财政局关于武昌区人民政府</w:t>
      </w:r>
      <w:r>
        <w:rPr>
          <w:rFonts w:hint="default" w:ascii="Arial Narrow" w:hAnsi="Arial Narrow" w:eastAsia="仿宋_GB2312" w:cs="Arial Narrow"/>
          <w:lang w:eastAsia="zh-CN"/>
        </w:rPr>
        <w:t>杨园</w:t>
      </w:r>
      <w:r>
        <w:rPr>
          <w:rFonts w:hint="default" w:ascii="Arial Narrow" w:hAnsi="Arial Narrow" w:eastAsia="仿宋_GB2312" w:cs="Arial Narrow"/>
        </w:rPr>
        <w:t>街办事处2017年部门预算的批复》；</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 xml:space="preserve">③《2017年武昌区精神文明建设工作要点》（武昌文委字[2017]3号）；       </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④</w:t>
      </w:r>
      <w:r>
        <w:rPr>
          <w:rFonts w:hint="eastAsia" w:ascii="Arial Narrow" w:hAnsi="Arial Narrow" w:cs="Arial Narrow"/>
          <w:lang w:val="en-US" w:eastAsia="zh-CN"/>
        </w:rPr>
        <w:t xml:space="preserve"> </w:t>
      </w:r>
      <w:r>
        <w:rPr>
          <w:rFonts w:hint="default" w:ascii="Arial Narrow" w:hAnsi="Arial Narrow" w:eastAsia="仿宋_GB2312" w:cs="Arial Narrow"/>
        </w:rPr>
        <w:t>武汉市武昌区六项举措推动精神文明创建工作；</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 xml:space="preserve">⑤《2017年杨园街文明创建工作计划》；    </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⑥</w:t>
      </w:r>
      <w:r>
        <w:rPr>
          <w:rFonts w:hint="eastAsia" w:ascii="Arial Narrow" w:hAnsi="Arial Narrow" w:cs="Arial Narrow"/>
          <w:lang w:val="en-US" w:eastAsia="zh-CN"/>
        </w:rPr>
        <w:t xml:space="preserve"> </w:t>
      </w:r>
      <w:r>
        <w:rPr>
          <w:rFonts w:hint="default" w:ascii="Arial Narrow" w:hAnsi="Arial Narrow" w:eastAsia="仿宋_GB2312" w:cs="Arial Narrow"/>
        </w:rPr>
        <w:t>武创治【2015】7号文</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 7 \* GB3 </w:instrText>
      </w:r>
      <w:r>
        <w:rPr>
          <w:rFonts w:hint="default" w:ascii="Arial Narrow" w:hAnsi="Arial Narrow" w:eastAsia="仿宋_GB2312" w:cs="Arial Narrow"/>
        </w:rPr>
        <w:fldChar w:fldCharType="separate"/>
      </w:r>
      <w:r>
        <w:rPr>
          <w:rFonts w:hint="default" w:ascii="Arial Narrow" w:hAnsi="Arial Narrow" w:eastAsia="仿宋_GB2312" w:cs="Arial Narrow"/>
        </w:rPr>
        <w:t>⑦</w:t>
      </w:r>
      <w:r>
        <w:rPr>
          <w:rFonts w:hint="default" w:ascii="Arial Narrow" w:hAnsi="Arial Narrow" w:eastAsia="仿宋_GB2312" w:cs="Arial Narrow"/>
        </w:rPr>
        <w:fldChar w:fldCharType="end"/>
      </w:r>
      <w:r>
        <w:rPr>
          <w:rFonts w:hint="default" w:ascii="Arial Narrow" w:hAnsi="Arial Narrow" w:eastAsia="仿宋_GB2312" w:cs="Arial Narrow"/>
        </w:rPr>
        <w:t>《武昌区实施文明创建系统工程实现文明城市建设常态化工作方案》</w:t>
      </w:r>
      <w:r>
        <w:rPr>
          <w:rFonts w:hint="eastAsia" w:ascii="Arial Narrow" w:hAnsi="Arial Narrow" w:cs="Arial Narrow"/>
          <w:lang w:eastAsia="zh-CN"/>
        </w:rPr>
        <w:t>；</w:t>
      </w:r>
      <w:r>
        <w:rPr>
          <w:rFonts w:hint="default" w:ascii="Arial Narrow" w:hAnsi="Arial Narrow" w:eastAsia="仿宋_GB2312" w:cs="Arial Narrow"/>
        </w:rPr>
        <w:t xml:space="preserve">  </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（2）法律、法规依据</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①《中华人民共和国预算法》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②</w:t>
      </w:r>
      <w:r>
        <w:rPr>
          <w:rFonts w:hint="eastAsia" w:ascii="Arial Narrow" w:hAnsi="Arial Narrow" w:cs="Arial Narrow"/>
          <w:lang w:val="en-US" w:eastAsia="zh-CN"/>
        </w:rPr>
        <w:t xml:space="preserve"> </w:t>
      </w:r>
      <w:r>
        <w:rPr>
          <w:rFonts w:hint="default" w:ascii="Arial Narrow" w:hAnsi="Arial Narrow" w:eastAsia="仿宋_GB2312" w:cs="Arial Narrow"/>
        </w:rPr>
        <w:t>财政部《财政支出绩效评价管理暂行办法》（财预〔2011〕285号）；</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③《武昌区财政支出绩效评价管理暂行办法》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（3）项目财务资料依据</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①</w:t>
      </w:r>
      <w:r>
        <w:rPr>
          <w:rFonts w:hint="eastAsia" w:ascii="Arial Narrow" w:hAnsi="Arial Narrow" w:cs="Arial Narrow"/>
          <w:lang w:val="en-US" w:eastAsia="zh-CN"/>
        </w:rPr>
        <w:t xml:space="preserve"> </w:t>
      </w:r>
      <w:r>
        <w:rPr>
          <w:rFonts w:hint="default" w:ascii="Arial Narrow" w:hAnsi="Arial Narrow" w:eastAsia="仿宋_GB2312" w:cs="Arial Narrow"/>
        </w:rPr>
        <w:t>杨园街2017年财务管理办法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②</w:t>
      </w:r>
      <w:r>
        <w:rPr>
          <w:rFonts w:hint="eastAsia" w:ascii="Arial Narrow" w:hAnsi="Arial Narrow" w:cs="Arial Narrow"/>
          <w:lang w:val="en-US" w:eastAsia="zh-CN"/>
        </w:rPr>
        <w:t xml:space="preserve"> </w:t>
      </w:r>
      <w:r>
        <w:rPr>
          <w:rFonts w:hint="default" w:ascii="Arial Narrow" w:hAnsi="Arial Narrow" w:eastAsia="仿宋_GB2312" w:cs="Arial Narrow"/>
        </w:rPr>
        <w:t>2017年杨园街文明创建工作经费三栏明细分类帐</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③</w:t>
      </w:r>
      <w:r>
        <w:rPr>
          <w:rFonts w:hint="eastAsia" w:ascii="Arial Narrow" w:hAnsi="Arial Narrow" w:cs="Arial Narrow"/>
          <w:lang w:val="en-US" w:eastAsia="zh-CN"/>
        </w:rPr>
        <w:t xml:space="preserve"> </w:t>
      </w:r>
      <w:r>
        <w:rPr>
          <w:rFonts w:hint="default" w:ascii="Arial Narrow" w:hAnsi="Arial Narrow" w:eastAsia="仿宋_GB2312" w:cs="Arial Narrow"/>
        </w:rPr>
        <w:t>资金支出有关记账凭证和发票、银行回单等原始凭据</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（4）基础数据、资料依据</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lang w:eastAsia="zh-CN"/>
        </w:rPr>
      </w:pPr>
      <w:r>
        <w:rPr>
          <w:rFonts w:hint="default" w:ascii="Arial Narrow" w:hAnsi="Arial Narrow" w:eastAsia="仿宋_GB2312" w:cs="Arial Narrow"/>
        </w:rPr>
        <w:t>①</w:t>
      </w:r>
      <w:r>
        <w:rPr>
          <w:rFonts w:hint="default" w:ascii="Arial Narrow" w:hAnsi="Arial Narrow" w:eastAsia="仿宋_GB2312" w:cs="Arial Narrow"/>
          <w:lang w:eastAsia="zh-CN"/>
        </w:rPr>
        <w:t>《</w:t>
      </w:r>
      <w:r>
        <w:rPr>
          <w:rFonts w:hint="default" w:ascii="Arial Narrow" w:hAnsi="Arial Narrow" w:eastAsia="仿宋_GB2312" w:cs="Arial Narrow"/>
        </w:rPr>
        <w:t>杨园街行政投诉工作制度</w:t>
      </w:r>
      <w:r>
        <w:rPr>
          <w:rFonts w:hint="default" w:ascii="Arial Narrow" w:hAnsi="Arial Narrow" w:eastAsia="仿宋_GB2312" w:cs="Arial Narrow"/>
          <w:lang w:eastAsia="zh-CN"/>
        </w:rPr>
        <w:t>》</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②《全市各街道文明程度指数测评情况表》</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③《武昌区</w:t>
      </w:r>
      <w:r>
        <w:rPr>
          <w:rFonts w:hint="default" w:ascii="Arial Narrow" w:hAnsi="Arial Narrow" w:eastAsia="仿宋_GB2312" w:cs="Arial Narrow"/>
          <w:lang w:eastAsia="zh-CN"/>
        </w:rPr>
        <w:t>杨园</w:t>
      </w:r>
      <w:r>
        <w:rPr>
          <w:rFonts w:hint="default" w:ascii="Arial Narrow" w:hAnsi="Arial Narrow" w:eastAsia="仿宋_GB2312" w:cs="Arial Narrow"/>
        </w:rPr>
        <w:t>街街道文明程度指数测评情况表》</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④《201</w:t>
      </w:r>
      <w:r>
        <w:rPr>
          <w:rFonts w:hint="default" w:ascii="Arial Narrow" w:hAnsi="Arial Narrow" w:eastAsia="仿宋_GB2312" w:cs="Arial Narrow"/>
          <w:lang w:val="en-US" w:eastAsia="zh-CN"/>
        </w:rPr>
        <w:t>7</w:t>
      </w:r>
      <w:r>
        <w:rPr>
          <w:rFonts w:hint="default" w:ascii="Arial Narrow" w:hAnsi="Arial Narrow" w:eastAsia="仿宋_GB2312" w:cs="Arial Narrow"/>
        </w:rPr>
        <w:t>市民学校活动记录》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⑤《201</w:t>
      </w:r>
      <w:r>
        <w:rPr>
          <w:rFonts w:hint="default" w:ascii="Arial Narrow" w:hAnsi="Arial Narrow" w:eastAsia="仿宋_GB2312" w:cs="Arial Narrow"/>
          <w:lang w:val="en-US" w:eastAsia="zh-CN"/>
        </w:rPr>
        <w:t>7</w:t>
      </w:r>
      <w:r>
        <w:rPr>
          <w:rFonts w:hint="default" w:ascii="Arial Narrow" w:hAnsi="Arial Narrow" w:eastAsia="仿宋_GB2312" w:cs="Arial Narrow"/>
        </w:rPr>
        <w:t>年度开展道德讲堂活动记录》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⑥《</w:t>
      </w:r>
      <w:r>
        <w:rPr>
          <w:rFonts w:hint="default" w:ascii="Arial Narrow" w:hAnsi="Arial Narrow" w:eastAsia="仿宋_GB2312" w:cs="Arial Narrow"/>
          <w:lang w:eastAsia="zh-CN"/>
        </w:rPr>
        <w:t>杨园</w:t>
      </w:r>
      <w:r>
        <w:rPr>
          <w:rFonts w:hint="default" w:ascii="Arial Narrow" w:hAnsi="Arial Narrow" w:eastAsia="仿宋_GB2312" w:cs="Arial Narrow"/>
        </w:rPr>
        <w:t>街开展志愿者服务活动记录》</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⑦《</w:t>
      </w:r>
      <w:r>
        <w:rPr>
          <w:rFonts w:hint="default" w:ascii="Arial Narrow" w:hAnsi="Arial Narrow" w:eastAsia="仿宋_GB2312" w:cs="Arial Narrow"/>
          <w:lang w:eastAsia="zh-CN"/>
        </w:rPr>
        <w:t>杨园</w:t>
      </w:r>
      <w:r>
        <w:rPr>
          <w:rFonts w:hint="default" w:ascii="Arial Narrow" w:hAnsi="Arial Narrow" w:eastAsia="仿宋_GB2312" w:cs="Arial Narrow"/>
        </w:rPr>
        <w:t>街社区注册志愿者人数比例》</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lang w:eastAsia="zh-CN"/>
        </w:rPr>
      </w:pPr>
      <w:r>
        <w:rPr>
          <w:rFonts w:hint="default" w:ascii="Arial Narrow" w:hAnsi="Arial Narrow" w:eastAsia="仿宋_GB2312" w:cs="Arial Narrow"/>
          <w:lang w:eastAsia="zh-CN"/>
        </w:rPr>
        <w:t>⑧《</w:t>
      </w:r>
      <w:r>
        <w:rPr>
          <w:rFonts w:hint="default" w:ascii="Arial Narrow" w:hAnsi="Arial Narrow" w:eastAsia="仿宋_GB2312" w:cs="Arial Narrow"/>
        </w:rPr>
        <w:t>杨园街文化活动中心管理工作制度</w:t>
      </w:r>
      <w:r>
        <w:rPr>
          <w:rFonts w:hint="default" w:ascii="Arial Narrow" w:hAnsi="Arial Narrow" w:eastAsia="仿宋_GB2312" w:cs="Arial Narrow"/>
          <w:lang w:eastAsia="zh-CN"/>
        </w:rPr>
        <w:t>》</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lang w:eastAsia="zh-CN"/>
        </w:rPr>
      </w:pPr>
      <w:r>
        <w:rPr>
          <w:rFonts w:hint="default" w:ascii="Arial Narrow" w:hAnsi="Arial Narrow" w:eastAsia="仿宋_GB2312" w:cs="Arial Narrow"/>
          <w:lang w:eastAsia="zh-CN"/>
        </w:rPr>
        <w:t>⑨《</w:t>
      </w:r>
      <w:r>
        <w:rPr>
          <w:rFonts w:hint="default" w:ascii="Arial Narrow" w:hAnsi="Arial Narrow" w:eastAsia="仿宋_GB2312" w:cs="Arial Narrow"/>
        </w:rPr>
        <w:t>社区志愿者服务注册招募制度</w:t>
      </w:r>
      <w:r>
        <w:rPr>
          <w:rFonts w:hint="default" w:ascii="Arial Narrow" w:hAnsi="Arial Narrow" w:eastAsia="仿宋_GB2312" w:cs="Arial Narrow"/>
          <w:lang w:eastAsia="zh-CN"/>
        </w:rPr>
        <w:t>》</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lang w:eastAsia="zh-CN"/>
        </w:rPr>
      </w:pPr>
      <w:r>
        <w:rPr>
          <w:rFonts w:hint="default" w:ascii="Arial Narrow" w:hAnsi="Arial Narrow" w:eastAsia="仿宋_GB2312" w:cs="Arial Narrow"/>
          <w:lang w:eastAsia="zh-CN"/>
        </w:rPr>
        <w:t>⑩《</w:t>
      </w:r>
      <w:r>
        <w:rPr>
          <w:rFonts w:hint="default" w:ascii="Arial Narrow" w:hAnsi="Arial Narrow" w:eastAsia="仿宋_GB2312" w:cs="Arial Narrow"/>
        </w:rPr>
        <w:t>杨园街文艺团队管理办法</w:t>
      </w:r>
      <w:r>
        <w:rPr>
          <w:rFonts w:hint="default" w:ascii="Arial Narrow" w:hAnsi="Arial Narrow" w:eastAsia="仿宋_GB2312" w:cs="Arial Narrow"/>
          <w:lang w:eastAsia="zh-CN"/>
        </w:rPr>
        <w:t>》</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黑体" w:cs="Arial Narrow"/>
          <w:lang w:val="en-US" w:eastAsia="zh-CN"/>
        </w:rPr>
        <w:t>⑪</w:t>
      </w:r>
      <w:r>
        <w:rPr>
          <w:rFonts w:hint="eastAsia" w:ascii="Arial Narrow" w:hAnsi="Arial Narrow" w:eastAsia="黑体" w:cs="Arial Narrow"/>
          <w:lang w:val="en-US" w:eastAsia="zh-CN"/>
        </w:rPr>
        <w:t xml:space="preserve"> </w:t>
      </w:r>
      <w:r>
        <w:rPr>
          <w:rFonts w:hint="default" w:ascii="Arial Narrow" w:hAnsi="Arial Narrow" w:eastAsia="仿宋_GB2312" w:cs="Arial Narrow"/>
        </w:rPr>
        <w:t>文明创建知识培训现场照片</w:t>
      </w:r>
      <w:r>
        <w:rPr>
          <w:rFonts w:hint="eastAsia" w:ascii="Arial Narrow" w:hAnsi="Arial Narrow"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eastAsia" w:ascii="Arial Narrow" w:hAnsi="Arial Narrow" w:eastAsia="仿宋_GB2312" w:cs="Arial Narrow"/>
          <w:lang w:eastAsia="zh-CN"/>
        </w:rPr>
      </w:pPr>
      <w:r>
        <w:rPr>
          <w:rFonts w:hint="default" w:ascii="Arial Narrow" w:hAnsi="Arial Narrow" w:eastAsia="仿宋_GB2312" w:cs="Arial Narrow"/>
        </w:rPr>
        <w:t>⑫</w:t>
      </w:r>
      <w:r>
        <w:rPr>
          <w:rFonts w:hint="eastAsia" w:ascii="Arial Narrow" w:hAnsi="Arial Narrow" w:cs="Arial Narrow"/>
          <w:lang w:val="en-US" w:eastAsia="zh-CN"/>
        </w:rPr>
        <w:t xml:space="preserve"> </w:t>
      </w:r>
      <w:r>
        <w:rPr>
          <w:rFonts w:hint="default" w:ascii="Arial Narrow" w:hAnsi="Arial Narrow" w:eastAsia="仿宋_GB2312" w:cs="Arial Narrow"/>
        </w:rPr>
        <w:t>武昌区注册志愿者参与志愿服务活动情况统计表</w:t>
      </w:r>
      <w:r>
        <w:rPr>
          <w:rFonts w:hint="eastAsia" w:ascii="Arial Narrow" w:hAnsi="Arial Narrow" w:cs="Arial Narrow"/>
          <w:lang w:eastAsia="zh-CN"/>
        </w:rPr>
        <w:t>。</w:t>
      </w:r>
    </w:p>
    <w:p>
      <w:pPr>
        <w:ind w:firstLine="480"/>
        <w:rPr>
          <w:rFonts w:ascii="Arial Narrow" w:hAnsi="Arial Narrow" w:cs="Arial Narrow"/>
        </w:rPr>
      </w:pPr>
      <w:r>
        <w:rPr>
          <w:rFonts w:ascii="Arial Narrow" w:hAnsi="Arial Narrow" w:cs="Arial Narrow"/>
        </w:rPr>
        <w:t>3.</w:t>
      </w:r>
      <w:r>
        <w:rPr>
          <w:rFonts w:hint="eastAsia" w:ascii="Arial Narrow" w:hAnsi="Arial Narrow" w:cs="Arial Narrow"/>
          <w:lang w:val="en-US" w:eastAsia="zh-CN"/>
        </w:rPr>
        <w:t xml:space="preserve"> </w:t>
      </w:r>
      <w:r>
        <w:rPr>
          <w:rFonts w:ascii="Arial Narrow" w:hAnsi="Arial Narrow" w:cs="Arial Narrow"/>
        </w:rPr>
        <w:t>评价指标体系</w:t>
      </w:r>
    </w:p>
    <w:p>
      <w:pPr>
        <w:snapToGrid w:val="0"/>
        <w:ind w:firstLine="480"/>
        <w:jc w:val="left"/>
        <w:rPr>
          <w:rFonts w:ascii="Arial Narrow" w:hAnsi="Arial Narrow" w:cs="Arial Narrow"/>
          <w:color w:val="FF0000"/>
        </w:rPr>
      </w:pPr>
      <w:r>
        <w:drawing>
          <wp:inline distT="0" distB="0" distL="114300" distR="114300">
            <wp:extent cx="5398135" cy="2837815"/>
            <wp:effectExtent l="0" t="0" r="1206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6"/>
                    <a:stretch>
                      <a:fillRect/>
                    </a:stretch>
                  </pic:blipFill>
                  <pic:spPr>
                    <a:xfrm>
                      <a:off x="0" y="0"/>
                      <a:ext cx="5398135" cy="28378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绩效评价指标体系是开展绩效评价工作的核心。评价小组依据《武昌区财政支出绩效评价管理暂行办法》，结合项目特点，运用定量定性原则，确定了绩效评价一级指标、二级指标和三级指标。</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绩效评价指标体系包括投入、过程、产出、效果四个方面。一级指标“投入”权重10分，下设二级指标“项目立项”、“资金落实”，主要评价项目立项规范性、绩效目标合理性和资金到位率和到位及时率；“过程”权重20分，下设二级指标“业务管理”和“财务管理”，具体指标有业务制度健全性、制度执行有效性、项目质量可控性以及财务制度健全性、资金使用合规性和财务监控有效性等；“产出”权重33分，下设二级指标“项目产出”，项目产出主要评价文明创建工作的完成情况，如</w:t>
      </w:r>
      <w:r>
        <w:rPr>
          <w:rFonts w:hint="default" w:ascii="Arial Narrow" w:hAnsi="Arial Narrow" w:eastAsia="仿宋_GB2312" w:cs="Arial Narrow"/>
          <w:lang w:eastAsia="zh-CN"/>
        </w:rPr>
        <w:t>文明过马路劝导活动覆盖率</w:t>
      </w:r>
      <w:r>
        <w:rPr>
          <w:rFonts w:hint="default" w:ascii="Arial Narrow" w:hAnsi="Arial Narrow" w:eastAsia="仿宋_GB2312" w:cs="Arial Narrow"/>
        </w:rPr>
        <w:t>、</w:t>
      </w:r>
      <w:r>
        <w:rPr>
          <w:rFonts w:hint="default" w:ascii="Arial Narrow" w:hAnsi="Arial Narrow" w:eastAsia="仿宋_GB2312" w:cs="Arial Narrow"/>
          <w:lang w:eastAsia="zh-CN"/>
        </w:rPr>
        <w:t>节日</w:t>
      </w:r>
      <w:r>
        <w:rPr>
          <w:rFonts w:hint="default" w:ascii="Arial Narrow" w:hAnsi="Arial Narrow" w:eastAsia="仿宋_GB2312" w:cs="Arial Narrow"/>
        </w:rPr>
        <w:t>活动完成率、城市文明程度测评指数、志愿者注册比例、志愿者参与度、完成及时率以及资金使用率；”效果”权重37分，下设二级指标“项目效果”，三级指标包括资金使用率、宣传方式多样性、群众知晓率、志愿服务活动重点与内容、可持续性、活动丰富程度、服务对象满意度。</w:t>
      </w:r>
    </w:p>
    <w:p>
      <w:pPr>
        <w:keepNext w:val="0"/>
        <w:keepLines w:val="0"/>
        <w:pageBreakBefore w:val="0"/>
        <w:widowControl w:val="0"/>
        <w:kinsoku/>
        <w:wordWrap/>
        <w:overflowPunct/>
        <w:topLinePunct w:val="0"/>
        <w:autoSpaceDE/>
        <w:autoSpaceDN/>
        <w:bidi w:val="0"/>
        <w:adjustRightInd w:val="0"/>
        <w:snapToGrid w:val="0"/>
        <w:ind w:firstLine="480"/>
        <w:textAlignment w:val="auto"/>
        <w:outlineLvl w:val="9"/>
        <w:rPr>
          <w:rFonts w:hint="default" w:ascii="Arial Narrow" w:hAnsi="Arial Narrow" w:eastAsia="仿宋_GB2312" w:cs="Arial Narrow"/>
        </w:rPr>
      </w:pPr>
      <w:r>
        <w:rPr>
          <w:rFonts w:hint="default" w:ascii="Arial Narrow" w:hAnsi="Arial Narrow" w:eastAsia="仿宋_GB2312" w:cs="Arial Narrow"/>
        </w:rPr>
        <w:t>具体指标的分布情况、权重、指标解释、指标说明如下表所示：</w:t>
      </w:r>
    </w:p>
    <w:tbl>
      <w:tblPr>
        <w:tblStyle w:val="22"/>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2"/>
        <w:gridCol w:w="1309"/>
        <w:gridCol w:w="3287"/>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061" w:type="dxa"/>
            <w:gridSpan w:val="2"/>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指标名称（权重）</w:t>
            </w:r>
          </w:p>
        </w:tc>
        <w:tc>
          <w:tcPr>
            <w:tcW w:w="3287"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指标解释</w:t>
            </w:r>
          </w:p>
        </w:tc>
        <w:tc>
          <w:tcPr>
            <w:tcW w:w="3287"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rPr>
        <w:tc>
          <w:tcPr>
            <w:tcW w:w="752"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项目</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立项</w:t>
            </w: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项目立项规范性（3分）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项目的申请、设立过程是否符合相关要求，用以反映和考核项目立项的规范情况。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①项目是否按照规定的程序申请设立；</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②所提交的文件、材料是否符合相关要求；</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③事前是否已经过必要的可行性研究、专家论证、风险评估、集体决策等；</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④项目执行时是否发生重大调整。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绩效目标合理性（3分）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项目所设定的绩效目标是否依据充分，是否符合客观实际，用以反映和考核项目绩效目标与项目实施的相符情况。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①是否设定长期目标、年度目标和绩效指标；</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②目标和指标的设计是否符合目标管理规范；</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③根据绩效目标和完成情况的对比考核目标设立的合理性；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④绩效指标是否具有可测性。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0" w:hRule="atLeast"/>
        </w:trPr>
        <w:tc>
          <w:tcPr>
            <w:tcW w:w="752"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资金</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落实</w:t>
            </w: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资金到位率（2分）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实际到位资金与计划投入资金的比率，用以反映和考核资金落实情况对项目实施的总体保障程度。</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资金到位率=（实际到位资金/计划投入资金）×100%。</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实际到位资金：一定时期（本年度或项目期）内实际落实到具体项目的资金。</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计划投入资金：一定时期（本年度或项目期）内计划投入到具体项目的资金。（注：分预算资金、配套资金、自筹资金评价）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到位及时率（2分）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及时到位资金与应到位资金的比率，用以反映和考核项目资金落实的及时性程度。</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到位及时率=（及时到位资金/应到位资金）×100%。</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及时到位资金：截至规定时点实际落实到具体项目的资金。</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应到位资金：按照合同或项目进度要求截至规定时点应落实到具体项目的资金。（注：分预算资金、配套资金、自筹资金评价）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752"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业务</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管理</w:t>
            </w: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业务制度健全性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项目实施单位的业务管理制度是否健全，用以反映和考核业务管理制度对项目顺利实施的保障情况。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总项目：</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①是否制定或具有相应业务管理制度；</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②业务管理制度是否合法、合规、完整。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制度执行有效性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项目实施是否符合相关业务管理规定，用以反映和考核业务管理制度的有效执行情况。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①是否遵守相关法律法规和项目管理规定；</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②项目调整及支出调整手续是否完备；</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③项目实施的人员条件、场地设备、信息支撑等是否落实到位。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项目质量可控性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项目实施单位是否为达到项目质量要求而采取了必需的措施,用以反映和考核项目实施单位对项目质量的控制情况。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①是否已制定或具有相应的项目质量要求或标准；</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②是否采取了相应的项目质量检查、验收等必需的控制措施或手段。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752"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财务</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管理</w:t>
            </w: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财务制度健全性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项目实施单位的财务制度是否健全，用以反映和考核财务管理制度对资金规范、安全运行的保障情况。</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①是否已制定或具有相应的项目资金管理办法；</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②项目资金管理办法是否符合相关财务会计制度的规定。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资金使用合规性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项目资金使用是否符合相关的财务管理制度规定，用以反映和考核项目资金的规范运行情况。</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①是否符合国家财经法规和财务管理制度以及有关专项资金管理办法的规定；</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②资金的拨付是否有完整的审批程序和手续；</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③项目的重大开支是否经过评估认证；</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④是否符合项目预算批复或合同规定的用途；</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trPr>
        <w:tc>
          <w:tcPr>
            <w:tcW w:w="752"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财务监控有效性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项目实施单位是否为保障资金的安全、规范运行而采取了必要的监控措施，用以反映和考核项目实施单位对资金运行的控制情况。</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①是否已制定或具有相应的监控机制；</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②是否采取了相应的财务检查等必要的监控措施或手段。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752" w:type="dxa"/>
            <w:vMerge w:val="restart"/>
            <w:tcBorders>
              <w:top w:val="single" w:color="auto" w:sz="4" w:space="0"/>
              <w:bottom w:val="single" w:color="auto" w:sz="4" w:space="0"/>
            </w:tcBorders>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项目产出</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textAlignment w:val="center"/>
              <w:rPr>
                <w:rFonts w:hint="default" w:ascii="Arial Narrow" w:hAnsi="Arial Narrow" w:eastAsia="仿宋_GB2312" w:cs="Arial Narrow"/>
                <w:sz w:val="20"/>
                <w:szCs w:val="20"/>
              </w:rPr>
            </w:pPr>
          </w:p>
        </w:tc>
        <w:tc>
          <w:tcPr>
            <w:tcW w:w="1309" w:type="dxa"/>
            <w:tcBorders>
              <w:top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文明过马路劝导活动覆盖率（5分）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项目实施后，是否按照计划在各个街道路口或者社区开展文明过马路劝导活动，用以反映和考核项目数量目标的完成情况。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文明过马路劝导活动覆盖率=（实际开展文明过马路劝导活动的街道路口或社区数/总的街道路口、社区数</w:t>
            </w:r>
            <w:r>
              <w:rPr>
                <w:rFonts w:hint="eastAsia" w:ascii="Arial Narrow" w:hAnsi="Arial Narrow" w:cs="Arial Narrow"/>
                <w:kern w:val="0"/>
                <w:sz w:val="20"/>
                <w:szCs w:val="20"/>
                <w:lang w:val="en-US" w:eastAsia="zh-CN" w:bidi="ar"/>
              </w:rPr>
              <w:t>）</w:t>
            </w:r>
            <w:r>
              <w:rPr>
                <w:rFonts w:hint="default" w:ascii="Arial Narrow" w:hAnsi="Arial Narrow" w:eastAsia="仿宋_GB2312" w:cs="Arial Narrow"/>
                <w:kern w:val="0"/>
                <w:sz w:val="20"/>
                <w:szCs w:val="20"/>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节日活动完成率（5分）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项目实施中，是否按照计划开展教育、道德文化等多种形式的节日活动，用以反映和考核项目数量目标完成情况。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节日活动率=（实际开展节日活动场数/计划开展节日活动场数数）×100%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4"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城市文明程度指数测评</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项目实施中，是否做好街道文明程度指数每月测评，了解武昌区街道文明程度指数测评中得分情况，用以反映和考核项目的完成情况。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城市文明程度测评中，武昌区街道文明程度指数测评中，街道是否得100分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志愿者注册比例（4分）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项目实施中，在线注册志愿者人数与居民总人数的占比，用以反映和考核项目数量目标的完成情况。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志愿者注册比例=（在线注册志愿者人数/居民总人数）×100%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志愿者参与度（5分）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项目实施中，注册志愿者参加服务活动人数与在线注册志愿者人数的占比，用以反映和考核项目数量目标的完成情况。</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志愿者参与度=（注册志愿者参加活动人数/注册总人数）×100%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8"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完成及时率（5分）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项目实施中，各项工作任务是否按时完成，用以反映和考核项目产出时效目标的实现程度。</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完成及时率=[1-(实际完成时间-计划完成时间）/计划完成时间]×100%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资金使用率（5分）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项目实施过程中，项目资金是否按照预算及绩效目标进行合理控制，用以反映项目的产出成本。</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资金使用率=项目实际支出金额/项目计划支出额×100%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0" w:hRule="atLeast"/>
        </w:trPr>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top w:val="single" w:color="auto" w:sz="4" w:space="0"/>
              <w:left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宣传方式多样性（6分）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项目实施后，文明创建项目的宣传方式是否多样，如：社区宣传栏、电子显示屏宣传、公益广告等，用以反映和考核项目的社会效益。</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项目实施过程中，所采取的宣传活动的形式是否超过3种</w:t>
            </w:r>
            <w:r>
              <w:rPr>
                <w:rFonts w:hint="eastAsia" w:ascii="Arial Narrow" w:hAnsi="Arial Narrow" w:cs="Arial Narrow"/>
                <w:kern w:val="0"/>
                <w:sz w:val="20"/>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752" w:type="dxa"/>
            <w:vMerge w:val="restart"/>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项目</w:t>
            </w:r>
          </w:p>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效果</w:t>
            </w:r>
          </w:p>
        </w:tc>
        <w:tc>
          <w:tcPr>
            <w:tcW w:w="1309" w:type="dxa"/>
            <w:tcBorders>
              <w:top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群众知晓率（6分）</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项目实施后，通过对文明城市建设工作常态化的督促和指导，辖区居民对文明城市建设知晓情况，用以反应项目的社会效益。</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辖区居民对文明城市建设知晓率是否达到100%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top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志愿服务活动重点与内容（6分）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项目实施单位开展志愿者服务活动的内容与服务重点，是否与城市文明创建项目相关，能够推动志愿服务活动的开展。</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项目实施单位开展志愿者服务活动的内容与服务重点，是否与城市文明创建项目相关，能够推动志愿服务活动的开展。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top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可持续性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（5分）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项目实施单位是否支持项目长期运行，是否有相关的管理机构及人力资源满足项目实施的要求，用以反映和考核项目的可持续性。</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项目实施单位是否支持项目长期运行，是否有相关的管理机构及人力资源满足项目实施的要求。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top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活动丰富程度</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（6分）</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项目实施单位是否通过开展丰富多彩的活动从而实现文明建设常态化</w:t>
            </w:r>
            <w:r>
              <w:rPr>
                <w:rFonts w:hint="eastAsia" w:ascii="Arial Narrow" w:hAnsi="Arial Narrow" w:cs="Arial Narrow"/>
                <w:kern w:val="0"/>
                <w:sz w:val="20"/>
                <w:szCs w:val="20"/>
                <w:lang w:val="en-US" w:eastAsia="zh-CN" w:bidi="ar"/>
              </w:rPr>
              <w:t>。</w:t>
            </w:r>
          </w:p>
        </w:tc>
        <w:tc>
          <w:tcPr>
            <w:tcW w:w="328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评价要点：</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是否按计划开展市民教育活动，市民学校，科普活动，普法教育，志愿者服务活动，“我们的节日”主题活动。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0" w:hRule="atLeast"/>
        </w:trPr>
        <w:tc>
          <w:tcPr>
            <w:tcW w:w="752"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309" w:type="dxa"/>
            <w:tcBorders>
              <w:top w:val="single" w:color="auto" w:sz="4" w:space="0"/>
              <w:bottom w:val="single" w:color="auto" w:sz="4" w:space="0"/>
            </w:tcBorders>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服务对象满意度</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（8分）</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社会公众或服务对象对项目实施效果的满意程度。</w:t>
            </w:r>
          </w:p>
        </w:tc>
        <w:tc>
          <w:tcPr>
            <w:tcW w:w="3287" w:type="dxa"/>
            <w:shd w:val="clear" w:color="auto" w:fill="auto"/>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服务对象满意度评分值=(指标实现值/指标标准值)×指标满分值</w:t>
            </w:r>
          </w:p>
        </w:tc>
      </w:tr>
    </w:tbl>
    <w:p>
      <w:pPr>
        <w:widowControl/>
        <w:spacing w:line="280" w:lineRule="exact"/>
        <w:ind w:firstLine="0" w:firstLineChars="0"/>
        <w:jc w:val="left"/>
        <w:textAlignment w:val="center"/>
        <w:rPr>
          <w:rFonts w:hint="eastAsia" w:ascii="仿宋_GB2312" w:hAnsi="仿宋_GB2312" w:eastAsia="仿宋_GB2312" w:cs="仿宋_GB2312"/>
          <w:color w:val="FF0000"/>
          <w:kern w:val="0"/>
          <w:sz w:val="20"/>
          <w:szCs w:val="20"/>
          <w:lang w:bidi="ar"/>
        </w:rPr>
      </w:pPr>
    </w:p>
    <w:p>
      <w:pPr>
        <w:snapToGrid w:val="0"/>
        <w:ind w:firstLine="720" w:firstLineChars="300"/>
        <w:rPr>
          <w:rFonts w:hint="eastAsia" w:ascii="仿宋_GB2312" w:hAnsi="仿宋_GB2312" w:eastAsia="仿宋_GB2312" w:cs="仿宋_GB2312"/>
        </w:rPr>
      </w:pPr>
      <w:r>
        <w:rPr>
          <w:rFonts w:hint="eastAsia" w:ascii="仿宋_GB2312" w:hAnsi="仿宋_GB2312" w:eastAsia="仿宋_GB2312" w:cs="仿宋_GB2312"/>
        </w:rPr>
        <w:t>具体指标目标值、绩效标准、评分细则如下表所示：</w:t>
      </w:r>
    </w:p>
    <w:tbl>
      <w:tblPr>
        <w:tblStyle w:val="22"/>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1256"/>
        <w:gridCol w:w="1106"/>
        <w:gridCol w:w="1275"/>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050" w:type="dxa"/>
            <w:gridSpan w:val="2"/>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指标名称（权重）</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参照值</w:t>
            </w:r>
          </w:p>
        </w:tc>
        <w:tc>
          <w:tcPr>
            <w:tcW w:w="1275"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lang w:eastAsia="zh-CN"/>
              </w:rPr>
            </w:pPr>
            <w:r>
              <w:rPr>
                <w:rFonts w:hint="default" w:ascii="Arial Narrow" w:hAnsi="Arial Narrow" w:eastAsia="仿宋_GB2312" w:cs="Arial Narrow"/>
                <w:sz w:val="20"/>
                <w:szCs w:val="20"/>
                <w:lang w:eastAsia="zh-CN"/>
              </w:rPr>
              <w:t>绩效标准</w:t>
            </w:r>
          </w:p>
        </w:tc>
        <w:tc>
          <w:tcPr>
            <w:tcW w:w="4207"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rPr>
        <w:tc>
          <w:tcPr>
            <w:tcW w:w="794"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项目</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立项</w:t>
            </w:r>
          </w:p>
        </w:tc>
        <w:tc>
          <w:tcPr>
            <w:tcW w:w="1256"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项目立项规范性（3分）</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tc>
        <w:tc>
          <w:tcPr>
            <w:tcW w:w="1275" w:type="dxa"/>
            <w:shd w:val="clear" w:color="auto" w:fill="FFFFFF"/>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val="en-US" w:eastAsia="zh-CN" w:bidi="ar"/>
              </w:rPr>
            </w:pPr>
          </w:p>
        </w:tc>
        <w:tc>
          <w:tcPr>
            <w:tcW w:w="4207" w:type="dxa"/>
            <w:shd w:val="clear" w:color="auto" w:fill="FFFFFF"/>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项目是否按照规定的程序申请设立，计1分；所提交的文件、材料是否符合相关要求，计1分；事前是否已经过必要的可行性研究、专家论证、风险评估、集体决策等，计0.5分；项目执行时是否发生重大调整，调整手续规范，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0" w:hRule="atLeast"/>
        </w:trPr>
        <w:tc>
          <w:tcPr>
            <w:tcW w:w="794"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绩效目标合理性（3分）</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tc>
        <w:tc>
          <w:tcPr>
            <w:tcW w:w="1275" w:type="dxa"/>
            <w:shd w:val="clear" w:color="auto" w:fill="FFFFFF"/>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val="en-US" w:eastAsia="zh-CN" w:bidi="ar"/>
              </w:rPr>
            </w:pPr>
          </w:p>
        </w:tc>
        <w:tc>
          <w:tcPr>
            <w:tcW w:w="4207" w:type="dxa"/>
            <w:shd w:val="clear" w:color="auto" w:fill="FFFFFF"/>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设定长期目标、年度目标和绩效指标，计1分；目标和指标的设计是否符合目标管理规范，计1分；根据绩效目标和完成情况的对比考核目标设立清晰、合理、可衡量，计1分。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atLeast"/>
        </w:trPr>
        <w:tc>
          <w:tcPr>
            <w:tcW w:w="794"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资金</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落实</w:t>
            </w:r>
          </w:p>
        </w:tc>
        <w:tc>
          <w:tcPr>
            <w:tcW w:w="1256" w:type="dxa"/>
            <w:vAlign w:val="center"/>
          </w:tcPr>
          <w:p>
            <w:pPr>
              <w:widowControl/>
              <w:spacing w:line="280" w:lineRule="exact"/>
              <w:ind w:firstLine="0" w:firstLineChars="0"/>
              <w:jc w:val="left"/>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资金到位率（2分）</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val="en-US" w:eastAsia="zh-CN" w:bidi="ar"/>
              </w:rPr>
              <w:t>100%</w:t>
            </w:r>
          </w:p>
        </w:tc>
        <w:tc>
          <w:tcPr>
            <w:tcW w:w="1275"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计划标准</w:t>
            </w:r>
          </w:p>
        </w:tc>
        <w:tc>
          <w:tcPr>
            <w:tcW w:w="420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资金到位率=（实际到位资金/计划投入资金）×100%，达到100%计2分，每降低10%，扣0.5分。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9" w:hRule="atLeast"/>
        </w:trPr>
        <w:tc>
          <w:tcPr>
            <w:tcW w:w="794"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到位及时率（2分）</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到位及时率=（及时到位资金/应到位资金）×100%，达到100%计2分，每降低10%，扣0.5分。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3" w:hRule="atLeast"/>
        </w:trPr>
        <w:tc>
          <w:tcPr>
            <w:tcW w:w="794" w:type="dxa"/>
            <w:vMerge w:val="restart"/>
            <w:vAlign w:val="center"/>
          </w:tcPr>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eastAsia="仿宋_GB2312" w:cs="Arial Narrow"/>
                <w:kern w:val="0"/>
                <w:sz w:val="20"/>
                <w:szCs w:val="20"/>
                <w:lang w:bidi="ar"/>
              </w:rPr>
              <w:t>业务</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管理</w:t>
            </w:r>
          </w:p>
        </w:tc>
        <w:tc>
          <w:tcPr>
            <w:tcW w:w="1256"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业务制度健全性</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1106"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项目实施单位已制定或具有相应的业务管理制度，计2分；</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val="en-US" w:eastAsia="zh-CN" w:bidi="ar"/>
              </w:rPr>
            </w:pPr>
            <w:r>
              <w:rPr>
                <w:rFonts w:hint="default" w:ascii="Arial Narrow" w:hAnsi="Arial Narrow" w:eastAsia="仿宋_GB2312" w:cs="Arial Narrow"/>
                <w:kern w:val="0"/>
                <w:sz w:val="20"/>
                <w:szCs w:val="20"/>
                <w:lang w:val="en-US" w:eastAsia="zh-CN" w:bidi="ar"/>
              </w:rPr>
              <w:t>业务管理制度是否合法、合规、完整，计1分。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4" w:hRule="atLeast"/>
        </w:trPr>
        <w:tc>
          <w:tcPr>
            <w:tcW w:w="794"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制度执行有效性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项目实施过程遵守相关法律法规和业务管理规定计1分；</w:t>
            </w:r>
          </w:p>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项目调整及支出调整手续完备，计1分；项目实施的人员条件、场地设备、信息支撑等落实到位计1分。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rPr>
        <w:tc>
          <w:tcPr>
            <w:tcW w:w="794"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项目质量可控性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（4分）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项目实施单位已制定或具有相应的项目质量要求或标准计2分；采取了相应的项目质量检查、验收等必需的控制措施或手段计3分。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9" w:hRule="atLeast"/>
        </w:trPr>
        <w:tc>
          <w:tcPr>
            <w:tcW w:w="794" w:type="dxa"/>
            <w:vMerge w:val="restart"/>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cs="Arial Narrow"/>
                <w:kern w:val="0"/>
                <w:sz w:val="20"/>
                <w:szCs w:val="20"/>
                <w:lang w:bidi="ar"/>
              </w:rPr>
              <w:t>财务</w:t>
            </w: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管理</w:t>
            </w: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财务制度健全性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1106"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项目实施单位已制定或具有相应的项目资金管理办法计2分；项目资金管理办法符合相关财务会计制度的规定计1分。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9" w:hRule="atLeast"/>
        </w:trPr>
        <w:tc>
          <w:tcPr>
            <w:tcW w:w="794"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资金使用合规性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1106"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支出符合国家财经法规和财务管理制度以及有关专项资金管理办法的规定计1分；资金的拨付有完整的审批程序和手续计1分；符合项目预算批复或合同规定的用途，不存在截留、挤占、挪用、虚列支出等情况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4" w:hRule="atLeast"/>
        </w:trPr>
        <w:tc>
          <w:tcPr>
            <w:tcW w:w="794"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财务监控有效性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（4分）</w:t>
            </w:r>
          </w:p>
        </w:tc>
        <w:tc>
          <w:tcPr>
            <w:tcW w:w="1106"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项目实施单位已制定或具有相应的监控机制计2分；采取了相应的财务检查等必要的监控措施或手段计2分。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3" w:hRule="atLeast"/>
        </w:trPr>
        <w:tc>
          <w:tcPr>
            <w:tcW w:w="794" w:type="dxa"/>
            <w:vMerge w:val="restart"/>
            <w:vAlign w:val="center"/>
          </w:tcPr>
          <w:p>
            <w:pPr>
              <w:widowControl/>
              <w:spacing w:line="280" w:lineRule="exact"/>
              <w:ind w:firstLine="0" w:firstLineChars="0"/>
              <w:textAlignment w:val="center"/>
              <w:rPr>
                <w:rFonts w:hint="default" w:ascii="Arial Narrow" w:hAnsi="Arial Narrow" w:cs="Arial Narrow"/>
                <w:sz w:val="20"/>
                <w:szCs w:val="20"/>
              </w:rPr>
            </w:pPr>
            <w:r>
              <w:rPr>
                <w:rFonts w:hint="default" w:ascii="Arial Narrow" w:hAnsi="Arial Narrow" w:cs="Arial Narrow"/>
                <w:sz w:val="20"/>
                <w:szCs w:val="20"/>
              </w:rPr>
              <w:t>项目产出</w:t>
            </w: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文明过马路劝导活动覆盖率</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文明过马路劝导活动覆盖率=（实际开展文明过马路劝导活动的街道路口或社区数//总的街道路口、社区数）×100%，覆盖50%,计5分，每降低10%，扣1分。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rPr>
        <w:tc>
          <w:tcPr>
            <w:tcW w:w="794" w:type="dxa"/>
            <w:vMerge w:val="continue"/>
            <w:vAlign w:val="center"/>
          </w:tcPr>
          <w:p>
            <w:pPr>
              <w:widowControl/>
              <w:spacing w:line="280" w:lineRule="exact"/>
              <w:ind w:firstLine="0" w:firstLineChars="0"/>
              <w:textAlignment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节日活动完成率</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节日活动完成率=（实际开展节日活动数/计划开展节日活动场数）×100%，全部完成得5分，每少一场扣0.5分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rPr>
        <w:tc>
          <w:tcPr>
            <w:tcW w:w="794" w:type="dxa"/>
            <w:vMerge w:val="continue"/>
            <w:vAlign w:val="center"/>
          </w:tcPr>
          <w:p>
            <w:pPr>
              <w:widowControl/>
              <w:spacing w:line="280" w:lineRule="exact"/>
              <w:ind w:firstLine="0" w:firstLineChars="0"/>
              <w:textAlignment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城市文明程度指数测评</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（4分）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城市文明程度测评中，武昌区街道文明程度指数测评中，得100分计4分，每降低5分，扣1分。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rPr>
        <w:tc>
          <w:tcPr>
            <w:tcW w:w="794" w:type="dxa"/>
            <w:vMerge w:val="continue"/>
            <w:vAlign w:val="center"/>
          </w:tcPr>
          <w:p>
            <w:pPr>
              <w:widowControl/>
              <w:spacing w:line="280" w:lineRule="exact"/>
              <w:ind w:firstLine="0" w:firstLineChars="0"/>
              <w:textAlignment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志愿者注册比例（4分）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FFFFFF"/>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志愿者注册比例=（在线注册志愿者人数/居民总人数）×100%，超过10%得4分，每降低1%，扣1分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trPr>
        <w:tc>
          <w:tcPr>
            <w:tcW w:w="794" w:type="dxa"/>
            <w:vMerge w:val="continue"/>
            <w:vAlign w:val="center"/>
          </w:tcPr>
          <w:p>
            <w:pPr>
              <w:widowControl/>
              <w:spacing w:line="280" w:lineRule="exact"/>
              <w:ind w:firstLine="0" w:firstLineChars="0"/>
              <w:textAlignment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志愿者参与度（5分）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≥70%</w:t>
            </w: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志愿者参与度=（注册志愿者参加活动人数/注册总人数）×100%，超过70%得5分，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atLeast"/>
        </w:trPr>
        <w:tc>
          <w:tcPr>
            <w:tcW w:w="794"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完成及时率（5分）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≥100%</w:t>
            </w: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vAlign w:val="top"/>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完成及时率=[1-(实际完成时间-计划完成时间）/计划完成时间]×100%，项目均及时完成计4分，一项未完成扣0.5分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rPr>
        <w:tc>
          <w:tcPr>
            <w:tcW w:w="794" w:type="dxa"/>
            <w:vMerge w:val="continue"/>
            <w:tcBorders>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tcBorders>
              <w:bottom w:val="single" w:color="auto" w:sz="4" w:space="0"/>
            </w:tcBorders>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资金使用率（5分）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≥95%</w:t>
            </w: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资金使用率=项目实际支出金额/项目计划支出额×100%，每降低5%，扣1分。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794" w:type="dxa"/>
            <w:vMerge w:val="restart"/>
            <w:tcBorders>
              <w:top w:val="single" w:color="auto" w:sz="4" w:space="0"/>
              <w:bottom w:val="single" w:color="auto" w:sz="4" w:space="0"/>
            </w:tcBorders>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eastAsia" w:ascii="Arial Narrow" w:hAnsi="Arial Narrow" w:eastAsia="仿宋_GB2312" w:cs="Arial Narrow"/>
                <w:kern w:val="0"/>
                <w:sz w:val="20"/>
                <w:szCs w:val="20"/>
                <w:lang w:eastAsia="zh-CN" w:bidi="ar"/>
              </w:rPr>
            </w:pPr>
            <w:r>
              <w:rPr>
                <w:rFonts w:hint="default" w:ascii="Arial Narrow" w:hAnsi="Arial Narrow" w:cs="Arial Narrow"/>
                <w:kern w:val="0"/>
                <w:sz w:val="20"/>
                <w:szCs w:val="20"/>
                <w:lang w:bidi="ar"/>
              </w:rPr>
              <w:t>项目</w:t>
            </w: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效果</w:t>
            </w: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宣传方式多样性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（6分）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3种</w:t>
            </w: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项目实施过程中，所采取的宣传活动的形式超过3种，计6分，每少一类扣2分。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794"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群众知晓率（6分）</w:t>
            </w:r>
          </w:p>
        </w:tc>
        <w:tc>
          <w:tcPr>
            <w:tcW w:w="1106"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100%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项目实施后，通过对文明城市建设工作常态化的督促和指导，辖区居民对文明城市建设知晓情况，用以反应项目的社会效益。100%群众知晓率，计6分，每降低5%，扣1分。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trPr>
        <w:tc>
          <w:tcPr>
            <w:tcW w:w="794"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志愿服务活动重点与内容（6分）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项目实施单位开展志愿者服务活动的内容与服务重点，是否与城市文明创建项目相关，能够推动志愿服务活动的开展。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trPr>
        <w:tc>
          <w:tcPr>
            <w:tcW w:w="794"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可持续性</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（5分）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项目实施单位是否支持项目长期运行，是否有相关的管理机构及人力资源满足项目实施的要求，用以反映和考核项目的可持续性。两项都满足为4分，一项未满足扣2分.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794"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活动丰富程度</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（6分）</w:t>
            </w:r>
          </w:p>
        </w:tc>
        <w:tc>
          <w:tcPr>
            <w:tcW w:w="1106"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6项</w:t>
            </w:r>
          </w:p>
        </w:tc>
        <w:tc>
          <w:tcPr>
            <w:tcW w:w="127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p>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是否按计划开展市民教育活动，市民学校，科普活动，普法教育，志愿者服务活动，“我们的节日”主题活动。全部完成六项活动计6分，每少一项活动扣1分。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7" w:hRule="atLeast"/>
        </w:trPr>
        <w:tc>
          <w:tcPr>
            <w:tcW w:w="794" w:type="dxa"/>
            <w:vMerge w:val="continue"/>
            <w:tcBorders>
              <w:top w:val="single" w:color="auto" w:sz="4" w:space="0"/>
              <w:bottom w:val="single" w:color="auto" w:sz="4" w:space="0"/>
            </w:tcBorders>
            <w:vAlign w:val="center"/>
          </w:tcPr>
          <w:p>
            <w:pPr>
              <w:widowControl/>
              <w:spacing w:line="280" w:lineRule="exact"/>
              <w:ind w:firstLine="0" w:firstLineChars="0"/>
              <w:jc w:val="center"/>
              <w:rPr>
                <w:rFonts w:hint="default" w:ascii="Arial Narrow" w:hAnsi="Arial Narrow" w:cs="Arial Narrow"/>
                <w:sz w:val="20"/>
                <w:szCs w:val="20"/>
              </w:rPr>
            </w:pPr>
          </w:p>
        </w:tc>
        <w:tc>
          <w:tcPr>
            <w:tcW w:w="1256"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服务对象满意度</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（8分）</w:t>
            </w:r>
          </w:p>
        </w:tc>
        <w:tc>
          <w:tcPr>
            <w:tcW w:w="1106"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val="en-US" w:eastAsia="zh-CN" w:bidi="ar"/>
              </w:rPr>
              <w:t>≥70%</w:t>
            </w:r>
          </w:p>
        </w:tc>
        <w:tc>
          <w:tcPr>
            <w:tcW w:w="1275" w:type="dxa"/>
            <w:shd w:val="clear" w:color="auto" w:fill="auto"/>
            <w:vAlign w:val="center"/>
          </w:tcPr>
          <w:p>
            <w:pPr>
              <w:widowControl/>
              <w:spacing w:line="280" w:lineRule="exact"/>
              <w:ind w:firstLine="0" w:firstLineChars="0"/>
              <w:jc w:val="center"/>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计划标准</w:t>
            </w:r>
          </w:p>
        </w:tc>
        <w:tc>
          <w:tcPr>
            <w:tcW w:w="4207" w:type="dxa"/>
            <w:shd w:val="clear" w:color="auto" w:fill="auto"/>
            <w:vAlign w:val="center"/>
          </w:tcPr>
          <w:p>
            <w:pPr>
              <w:widowControl/>
              <w:spacing w:line="280" w:lineRule="exact"/>
              <w:ind w:firstLine="0" w:firstLineChars="0"/>
              <w:jc w:val="left"/>
              <w:textAlignment w:val="center"/>
              <w:rPr>
                <w:rFonts w:hint="default" w:ascii="Arial Narrow" w:hAnsi="Arial Narrow" w:cs="Arial Narrow"/>
                <w:kern w:val="0"/>
                <w:sz w:val="20"/>
                <w:szCs w:val="20"/>
                <w:lang w:val="en-US" w:eastAsia="zh-CN" w:bidi="ar"/>
              </w:rPr>
            </w:pPr>
            <w:r>
              <w:rPr>
                <w:rFonts w:hint="default" w:ascii="Arial Narrow" w:hAnsi="Arial Narrow" w:cs="Arial Narrow"/>
                <w:kern w:val="0"/>
                <w:sz w:val="20"/>
                <w:szCs w:val="20"/>
                <w:lang w:val="en-US" w:eastAsia="zh-CN" w:bidi="ar"/>
              </w:rPr>
              <w:t>服务对象的满意度，采取问卷调查的方式获取，按照比例法计算得分，评分值=(指标实现值/指标标准值)×指标满分值。</w:t>
            </w:r>
          </w:p>
        </w:tc>
      </w:tr>
    </w:tbl>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4.绩效评价指标体系补充说明</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文明创建工作经费项目年初没有项目申报表，故以下评价指标均为新增，调整情况如下：</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①新增“</w:t>
      </w:r>
      <w:r>
        <w:rPr>
          <w:rFonts w:hint="eastAsia" w:ascii="仿宋_GB2312" w:hAnsi="仿宋_GB2312" w:eastAsia="仿宋_GB2312" w:cs="仿宋_GB2312"/>
          <w:sz w:val="24"/>
          <w:szCs w:val="24"/>
          <w:highlight w:val="none"/>
          <w:lang w:eastAsia="zh-CN"/>
        </w:rPr>
        <w:t>节日</w:t>
      </w:r>
      <w:r>
        <w:rPr>
          <w:rFonts w:hint="eastAsia" w:ascii="仿宋_GB2312" w:hAnsi="仿宋_GB2312" w:eastAsia="仿宋_GB2312" w:cs="仿宋_GB2312"/>
          <w:sz w:val="24"/>
          <w:szCs w:val="24"/>
          <w:highlight w:val="none"/>
        </w:rPr>
        <w:t>活动完成率”“志愿者注册比例”“志愿者参与度”“</w:t>
      </w:r>
      <w:r>
        <w:rPr>
          <w:rFonts w:hint="eastAsia" w:ascii="仿宋_GB2312" w:hAnsi="仿宋_GB2312" w:eastAsia="仿宋_GB2312" w:cs="仿宋_GB2312"/>
          <w:sz w:val="24"/>
          <w:szCs w:val="24"/>
          <w:highlight w:val="none"/>
          <w:lang w:eastAsia="zh-CN"/>
        </w:rPr>
        <w:t>文明过马路劝导活动覆盖率</w:t>
      </w:r>
      <w:r>
        <w:rPr>
          <w:rFonts w:hint="eastAsia" w:ascii="仿宋_GB2312" w:hAnsi="仿宋_GB2312" w:eastAsia="仿宋_GB2312" w:cs="仿宋_GB2312"/>
          <w:sz w:val="24"/>
          <w:szCs w:val="24"/>
          <w:highlight w:val="none"/>
        </w:rPr>
        <w:t>”指标，调整原因：根据项目实施情况，新增上述指标以反映项目实施后，项目实际完成情况与目标数量的实现程度。</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②新增“</w:t>
      </w:r>
      <w:r>
        <w:rPr>
          <w:rFonts w:hint="eastAsia" w:ascii="仿宋_GB2312" w:hAnsi="仿宋_GB2312" w:eastAsia="仿宋_GB2312" w:cs="仿宋_GB2312"/>
          <w:sz w:val="24"/>
          <w:szCs w:val="24"/>
          <w:highlight w:val="none"/>
          <w:lang w:eastAsia="zh-CN"/>
        </w:rPr>
        <w:t>完成及时率</w:t>
      </w:r>
      <w:r>
        <w:rPr>
          <w:rFonts w:hint="eastAsia" w:ascii="仿宋_GB2312" w:hAnsi="仿宋_GB2312" w:eastAsia="仿宋_GB2312" w:cs="仿宋_GB2312"/>
          <w:sz w:val="24"/>
          <w:szCs w:val="24"/>
          <w:highlight w:val="none"/>
        </w:rPr>
        <w:t>”“城市文明程度测评指数”</w:t>
      </w:r>
      <w:r>
        <w:rPr>
          <w:rFonts w:hint="eastAsia" w:ascii="仿宋_GB2312" w:hAnsi="仿宋_GB2312" w:eastAsia="仿宋_GB2312" w:cs="仿宋_GB2312"/>
          <w:sz w:val="24"/>
          <w:szCs w:val="24"/>
          <w:highlight w:val="none"/>
          <w:lang w:eastAsia="zh-CN"/>
        </w:rPr>
        <w:t>“资金使用率”</w:t>
      </w:r>
      <w:r>
        <w:rPr>
          <w:rFonts w:hint="eastAsia" w:ascii="仿宋_GB2312" w:hAnsi="仿宋_GB2312" w:eastAsia="仿宋_GB2312" w:cs="仿宋_GB2312"/>
          <w:sz w:val="24"/>
          <w:szCs w:val="24"/>
          <w:highlight w:val="none"/>
        </w:rPr>
        <w:t>指标，调整原因：根据项目实施情况，新增上述指标以反映项目实施后，项目实际完成情况与目标质量的实现程度。</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w:t>
      </w:r>
      <w:r>
        <w:rPr>
          <w:rFonts w:hint="eastAsia" w:ascii="仿宋_GB2312" w:hAnsi="仿宋_GB2312" w:eastAsia="仿宋_GB2312" w:cs="仿宋_GB2312"/>
          <w:sz w:val="24"/>
          <w:szCs w:val="24"/>
          <w:highlight w:val="none"/>
        </w:rPr>
        <w:tab/>
      </w:r>
      <w:r>
        <w:rPr>
          <w:rFonts w:hint="eastAsia" w:ascii="仿宋_GB2312" w:hAnsi="仿宋_GB2312" w:eastAsia="仿宋_GB2312" w:cs="仿宋_GB2312"/>
          <w:sz w:val="24"/>
          <w:szCs w:val="24"/>
          <w:highlight w:val="none"/>
        </w:rPr>
        <w:t>新增“宣传方式多样性”“城市文明程度测评指数”</w:t>
      </w:r>
      <w:r>
        <w:rPr>
          <w:rFonts w:hint="eastAsia" w:ascii="仿宋_GB2312" w:hAnsi="仿宋_GB2312" w:eastAsia="仿宋_GB2312" w:cs="仿宋_GB2312"/>
          <w:sz w:val="24"/>
          <w:szCs w:val="24"/>
          <w:highlight w:val="none"/>
          <w:lang w:eastAsia="zh-CN"/>
        </w:rPr>
        <w:t>“群众知晓率”“可持续性”</w:t>
      </w:r>
      <w:r>
        <w:rPr>
          <w:rFonts w:hint="eastAsia" w:ascii="仿宋_GB2312" w:hAnsi="仿宋_GB2312" w:eastAsia="仿宋_GB2312" w:cs="仿宋_GB2312"/>
          <w:sz w:val="24"/>
          <w:szCs w:val="24"/>
          <w:highlight w:val="none"/>
        </w:rPr>
        <w:t>“志愿服务活动重点与内容”</w:t>
      </w:r>
      <w:r>
        <w:rPr>
          <w:rFonts w:hint="eastAsia" w:ascii="仿宋_GB2312" w:hAnsi="仿宋_GB2312" w:eastAsia="仿宋_GB2312" w:cs="仿宋_GB2312"/>
          <w:sz w:val="24"/>
          <w:szCs w:val="24"/>
          <w:highlight w:val="none"/>
          <w:lang w:eastAsia="zh-CN"/>
        </w:rPr>
        <w:t>“服务对象满意度”</w:t>
      </w:r>
      <w:r>
        <w:rPr>
          <w:rFonts w:hint="eastAsia" w:ascii="仿宋_GB2312" w:hAnsi="仿宋_GB2312" w:eastAsia="仿宋_GB2312" w:cs="仿宋_GB2312"/>
          <w:sz w:val="24"/>
          <w:szCs w:val="24"/>
          <w:highlight w:val="none"/>
        </w:rPr>
        <w:t>指标，调整原因：根据项目实际产出与社会效益，新增上述指标以反映项目质量目标的实现程度以及项目的社会效益。</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5.评价方法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（1）综合评分方法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评价采用加权平均法进行综合评分，通过对“文明创建经费项目”绩效目标与实际实施效果的对比，综合分析其绩效目标实现程度，对各项指标要素评分，结合各项评分值与指标要素权重得出评价综合分值。</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（2）指标计算方法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评价采用比率法对指标进行计算，先计算出指标实现值与指标标准值的比率，再将该项比率和对应指标满分值相乘，取整后得出指标评分值。</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（3）权重确定方法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评价指标的权重量化参考《武昌区财政支出绩效评价管理暂行办法》，同时采用了逐项对比法和层次分析法，对每个层次的指标根据重要性依次进行比较并确定权重值。</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（4）标准值的确定方法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rPr>
      </w:pPr>
      <w:r>
        <w:rPr>
          <w:rFonts w:hint="default" w:ascii="Arial Narrow" w:hAnsi="Arial Narrow" w:eastAsia="仿宋_GB2312" w:cs="Arial Narrow"/>
          <w:sz w:val="24"/>
          <w:szCs w:val="24"/>
        </w:rPr>
        <w:t>本次评价采用了计划标</w:t>
      </w:r>
      <w:r>
        <w:rPr>
          <w:rFonts w:hint="eastAsia" w:ascii="仿宋_GB2312" w:hAnsi="仿宋_GB2312" w:eastAsia="仿宋_GB2312" w:cs="仿宋_GB2312"/>
          <w:sz w:val="24"/>
          <w:szCs w:val="24"/>
        </w:rPr>
        <w:t>准、历史标准或经验标准来确定标准值。以预先制定的目标、计划、预算、定额等数据作为评价标准，或者参照同类指标的历史数据或经验数据确定标准值。</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eastAsia" w:ascii="仿宋_GB2312" w:hAnsi="仿宋_GB2312" w:eastAsia="仿宋_GB2312" w:cs="仿宋_GB2312"/>
          <w:sz w:val="24"/>
          <w:szCs w:val="24"/>
          <w:lang w:val="en-US" w:eastAsia="zh-CN"/>
        </w:rPr>
      </w:pPr>
      <w:bookmarkStart w:id="74" w:name="_Toc478501045"/>
      <w:bookmarkStart w:id="75" w:name="_Toc513828344"/>
      <w:r>
        <w:rPr>
          <w:rFonts w:hint="eastAsia" w:ascii="仿宋_GB2312" w:hAnsi="仿宋_GB2312" w:eastAsia="仿宋_GB2312" w:cs="仿宋_GB2312"/>
          <w:sz w:val="24"/>
          <w:szCs w:val="24"/>
          <w:lang w:val="en-US" w:eastAsia="zh-CN"/>
        </w:rPr>
        <w:t>（四）证据收集方式</w:t>
      </w:r>
      <w:bookmarkEnd w:id="74"/>
      <w:bookmarkEnd w:id="75"/>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eastAsia" w:ascii="仿宋_GB2312" w:hAnsi="仿宋_GB2312" w:eastAsia="仿宋_GB2312" w:cs="仿宋_GB2312"/>
          <w:sz w:val="24"/>
          <w:szCs w:val="24"/>
        </w:rPr>
        <w:t>“文明创建工作经费项目”绩效评价计划采取深入项目单位实地察看、面访、座谈、查阅相关资料、核查财务凭证等证据收集方法，获取大量高质量和准确可靠的数据信息，同时对项目实施相关机构进行访谈，发放调查问卷，收集绩效评价</w:t>
      </w:r>
      <w:r>
        <w:rPr>
          <w:rFonts w:hint="default" w:ascii="Arial Narrow" w:hAnsi="Arial Narrow" w:eastAsia="仿宋_GB2312" w:cs="Arial Narrow"/>
          <w:sz w:val="24"/>
          <w:szCs w:val="24"/>
        </w:rPr>
        <w:t>所需的基础性资料。</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 xml:space="preserve"> 1、评价信息资料的收集途径。评价小组前往项目实施单位，向文明创建工作的负责人和财务人员收集相关资料文件，对其进行访谈，了解各项目的开展过程和效果，并向社区居民直接发放调查问卷采集信息。</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 xml:space="preserve"> 2、信息资料的验证方式。财务数据方面，评价小组在项目现场查阅文明创建经费使用凭证、经费支出明细表及原始附件，将统计表与凭证明细进行核对，与项目相关人员进行经费使用情况的核实；项目实施方面，评价小组通过现场访谈、调查问卷的方式，从项目实施单位和社区居民多方面了解，将了解的信息与收集的资料进行对比验证。</w:t>
      </w:r>
    </w:p>
    <w:p>
      <w:pPr>
        <w:pStyle w:val="7"/>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color w:val="auto"/>
          <w:sz w:val="24"/>
          <w:szCs w:val="24"/>
        </w:rPr>
      </w:pPr>
      <w:r>
        <w:rPr>
          <w:rFonts w:hint="default" w:ascii="Arial Narrow" w:hAnsi="Arial Narrow" w:eastAsia="仿宋_GB2312" w:cs="Arial Narrow"/>
          <w:sz w:val="24"/>
          <w:szCs w:val="24"/>
        </w:rPr>
        <w:t xml:space="preserve"> 3、调查访谈、现场查勘方式与安排</w:t>
      </w:r>
      <w:r>
        <w:rPr>
          <w:rFonts w:hint="default" w:ascii="Arial Narrow" w:hAnsi="Arial Narrow" w:eastAsia="仿宋_GB2312" w:cs="Arial Narrow"/>
          <w:color w:val="auto"/>
          <w:sz w:val="24"/>
          <w:szCs w:val="24"/>
        </w:rPr>
        <w:t>。</w:t>
      </w:r>
      <w:r>
        <w:rPr>
          <w:rFonts w:hint="default" w:ascii="Arial Narrow" w:hAnsi="Arial Narrow" w:eastAsia="仿宋_GB2312" w:cs="Arial Narrow"/>
          <w:color w:val="auto"/>
          <w:sz w:val="24"/>
          <w:szCs w:val="24"/>
          <w:lang w:eastAsia="zh-CN"/>
        </w:rPr>
        <w:t>李娇</w:t>
      </w:r>
      <w:r>
        <w:rPr>
          <w:rFonts w:hint="default" w:ascii="Arial Narrow" w:hAnsi="Arial Narrow" w:eastAsia="仿宋_GB2312" w:cs="Arial Narrow"/>
          <w:color w:val="auto"/>
          <w:sz w:val="24"/>
          <w:szCs w:val="24"/>
        </w:rPr>
        <w:t>、</w:t>
      </w:r>
      <w:r>
        <w:rPr>
          <w:rFonts w:hint="default" w:ascii="Arial Narrow" w:hAnsi="Arial Narrow" w:eastAsia="仿宋_GB2312" w:cs="Arial Narrow"/>
          <w:color w:val="auto"/>
          <w:sz w:val="24"/>
          <w:szCs w:val="24"/>
          <w:lang w:val="en-US" w:eastAsia="zh-CN"/>
        </w:rPr>
        <w:t>黄薪铭</w:t>
      </w:r>
      <w:r>
        <w:rPr>
          <w:rFonts w:hint="default" w:ascii="Arial Narrow" w:hAnsi="Arial Narrow" w:eastAsia="仿宋_GB2312" w:cs="Arial Narrow"/>
          <w:color w:val="auto"/>
          <w:sz w:val="24"/>
          <w:szCs w:val="24"/>
        </w:rPr>
        <w:t>在</w:t>
      </w:r>
      <w:r>
        <w:rPr>
          <w:rFonts w:hint="default" w:ascii="Arial Narrow" w:hAnsi="Arial Narrow" w:eastAsia="仿宋_GB2312" w:cs="Arial Narrow"/>
          <w:color w:val="auto"/>
          <w:sz w:val="24"/>
          <w:szCs w:val="24"/>
          <w:highlight w:val="none"/>
        </w:rPr>
        <w:t>2018年5月</w:t>
      </w:r>
      <w:r>
        <w:rPr>
          <w:rFonts w:hint="default" w:ascii="Arial Narrow" w:hAnsi="Arial Narrow" w:cs="Arial Narrow"/>
          <w:color w:val="auto"/>
          <w:sz w:val="24"/>
          <w:szCs w:val="24"/>
          <w:highlight w:val="none"/>
          <w:lang w:val="en-US" w:eastAsia="zh-CN"/>
        </w:rPr>
        <w:t>8</w:t>
      </w:r>
      <w:r>
        <w:rPr>
          <w:rFonts w:hint="default" w:ascii="Arial Narrow" w:hAnsi="Arial Narrow" w:eastAsia="仿宋_GB2312" w:cs="Arial Narrow"/>
          <w:color w:val="auto"/>
          <w:sz w:val="24"/>
          <w:szCs w:val="24"/>
          <w:highlight w:val="none"/>
        </w:rPr>
        <w:t>日在项目实施单位现场收集资料并了解情况。</w:t>
      </w:r>
      <w:r>
        <w:rPr>
          <w:rFonts w:hint="default" w:ascii="Arial Narrow" w:hAnsi="Arial Narrow" w:eastAsia="仿宋_GB2312" w:cs="Arial Narrow"/>
          <w:color w:val="auto"/>
          <w:sz w:val="24"/>
          <w:szCs w:val="24"/>
          <w:highlight w:val="none"/>
          <w:lang w:eastAsia="zh-CN"/>
        </w:rPr>
        <w:t>李娇</w:t>
      </w:r>
      <w:r>
        <w:rPr>
          <w:rFonts w:hint="default" w:ascii="Arial Narrow" w:hAnsi="Arial Narrow" w:eastAsia="仿宋_GB2312" w:cs="Arial Narrow"/>
          <w:color w:val="auto"/>
          <w:sz w:val="24"/>
          <w:szCs w:val="24"/>
          <w:highlight w:val="none"/>
        </w:rPr>
        <w:t>、</w:t>
      </w:r>
      <w:r>
        <w:rPr>
          <w:rFonts w:hint="default" w:ascii="Arial Narrow" w:hAnsi="Arial Narrow" w:eastAsia="仿宋_GB2312" w:cs="Arial Narrow"/>
          <w:color w:val="auto"/>
          <w:sz w:val="24"/>
          <w:szCs w:val="24"/>
          <w:highlight w:val="none"/>
          <w:lang w:val="en-US" w:eastAsia="zh-CN"/>
        </w:rPr>
        <w:t>方梅</w:t>
      </w:r>
      <w:r>
        <w:rPr>
          <w:rFonts w:hint="default" w:ascii="Arial Narrow" w:hAnsi="Arial Narrow" w:cs="Arial Narrow"/>
          <w:color w:val="auto"/>
          <w:sz w:val="24"/>
          <w:szCs w:val="24"/>
          <w:highlight w:val="none"/>
          <w:lang w:val="en-US" w:eastAsia="zh-CN"/>
        </w:rPr>
        <w:t>、黄薪铭</w:t>
      </w:r>
      <w:r>
        <w:rPr>
          <w:rFonts w:hint="default" w:ascii="Arial Narrow" w:hAnsi="Arial Narrow" w:eastAsia="仿宋_GB2312" w:cs="Arial Narrow"/>
          <w:color w:val="auto"/>
          <w:sz w:val="24"/>
          <w:szCs w:val="24"/>
          <w:highlight w:val="none"/>
        </w:rPr>
        <w:t>在2018年5月</w:t>
      </w:r>
      <w:r>
        <w:rPr>
          <w:rFonts w:hint="default" w:ascii="Arial Narrow" w:hAnsi="Arial Narrow" w:cs="Arial Narrow"/>
          <w:color w:val="auto"/>
          <w:sz w:val="24"/>
          <w:szCs w:val="24"/>
          <w:highlight w:val="none"/>
          <w:lang w:val="en-US" w:eastAsia="zh-CN"/>
        </w:rPr>
        <w:t>15</w:t>
      </w:r>
      <w:r>
        <w:rPr>
          <w:rFonts w:hint="default" w:ascii="Arial Narrow" w:hAnsi="Arial Narrow" w:eastAsia="仿宋_GB2312" w:cs="Arial Narrow"/>
          <w:color w:val="auto"/>
          <w:sz w:val="24"/>
          <w:szCs w:val="24"/>
          <w:highlight w:val="none"/>
        </w:rPr>
        <w:t>日对项目负责人进行访谈。</w:t>
      </w:r>
      <w:r>
        <w:rPr>
          <w:rFonts w:hint="default" w:ascii="Arial Narrow" w:hAnsi="Arial Narrow" w:cs="Arial Narrow"/>
          <w:color w:val="auto"/>
          <w:sz w:val="24"/>
          <w:szCs w:val="24"/>
          <w:highlight w:val="none"/>
          <w:lang w:val="en-US" w:eastAsia="zh-CN"/>
        </w:rPr>
        <w:t>伍子炜</w:t>
      </w:r>
      <w:r>
        <w:rPr>
          <w:rFonts w:hint="default" w:ascii="Arial Narrow" w:hAnsi="Arial Narrow" w:eastAsia="仿宋_GB2312" w:cs="Arial Narrow"/>
          <w:color w:val="auto"/>
          <w:sz w:val="24"/>
          <w:szCs w:val="24"/>
          <w:highlight w:val="none"/>
        </w:rPr>
        <w:t>、</w:t>
      </w:r>
      <w:r>
        <w:rPr>
          <w:rFonts w:hint="default" w:ascii="Arial Narrow" w:hAnsi="Arial Narrow" w:cs="Arial Narrow"/>
          <w:color w:val="auto"/>
          <w:sz w:val="24"/>
          <w:szCs w:val="24"/>
          <w:highlight w:val="none"/>
          <w:lang w:val="en-US" w:eastAsia="zh-CN"/>
        </w:rPr>
        <w:t>方梅</w:t>
      </w:r>
      <w:r>
        <w:rPr>
          <w:rFonts w:hint="default" w:ascii="Arial Narrow" w:hAnsi="Arial Narrow" w:eastAsia="仿宋_GB2312" w:cs="Arial Narrow"/>
          <w:color w:val="auto"/>
          <w:sz w:val="24"/>
          <w:szCs w:val="24"/>
          <w:highlight w:val="none"/>
        </w:rPr>
        <w:t>在2018年5月</w:t>
      </w:r>
      <w:r>
        <w:rPr>
          <w:rFonts w:hint="default" w:ascii="Arial Narrow" w:hAnsi="Arial Narrow" w:cs="Arial Narrow"/>
          <w:color w:val="auto"/>
          <w:sz w:val="24"/>
          <w:szCs w:val="24"/>
          <w:highlight w:val="none"/>
          <w:lang w:val="en-US" w:eastAsia="zh-CN"/>
        </w:rPr>
        <w:t>9-10</w:t>
      </w:r>
      <w:r>
        <w:rPr>
          <w:rFonts w:hint="default" w:ascii="Arial Narrow" w:hAnsi="Arial Narrow" w:eastAsia="仿宋_GB2312" w:cs="Arial Narrow"/>
          <w:color w:val="auto"/>
          <w:sz w:val="24"/>
          <w:szCs w:val="24"/>
          <w:highlight w:val="none"/>
        </w:rPr>
        <w:t>日走访社区，对社区</w:t>
      </w:r>
      <w:r>
        <w:rPr>
          <w:rFonts w:hint="default" w:ascii="Arial Narrow" w:hAnsi="Arial Narrow" w:eastAsia="仿宋_GB2312" w:cs="Arial Narrow"/>
          <w:color w:val="auto"/>
          <w:sz w:val="24"/>
          <w:szCs w:val="24"/>
        </w:rPr>
        <w:t>居民发放调查问卷。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sz w:val="24"/>
          <w:szCs w:val="24"/>
        </w:rPr>
      </w:pPr>
      <w:r>
        <w:rPr>
          <w:rFonts w:hint="default" w:ascii="Arial Narrow" w:hAnsi="Arial Narrow" w:eastAsia="仿宋_GB2312" w:cs="Arial Narrow"/>
          <w:sz w:val="24"/>
          <w:szCs w:val="24"/>
        </w:rPr>
        <w:t xml:space="preserve"> 4、调查问卷的制作与安排。调查问卷由绩效评价小组根据项目资料，结合绩效指标框架，针对项目实际情况，设计合理的调查问题，收集相关、有效的问卷信息，综合分析调查结果，便于对项目进行评价。评价小组根据统计抽样法从《全市各街道文明程度指数测评情况表》列示的社区中，走访了</w:t>
      </w:r>
      <w:r>
        <w:rPr>
          <w:rFonts w:hint="default" w:ascii="Arial Narrow" w:hAnsi="Arial Narrow" w:eastAsia="仿宋_GB2312" w:cs="Arial Narrow"/>
          <w:sz w:val="24"/>
          <w:szCs w:val="24"/>
          <w:highlight w:val="none"/>
          <w:lang w:eastAsia="zh-CN"/>
        </w:rPr>
        <w:t>余家头等多个</w:t>
      </w:r>
      <w:r>
        <w:rPr>
          <w:rFonts w:hint="default" w:ascii="Arial Narrow" w:hAnsi="Arial Narrow" w:eastAsia="仿宋_GB2312" w:cs="Arial Narrow"/>
          <w:sz w:val="24"/>
          <w:szCs w:val="24"/>
        </w:rPr>
        <w:t>社区，向居民发放调查问卷。</w:t>
      </w:r>
    </w:p>
    <w:bookmarkEnd w:id="62"/>
    <w:bookmarkEnd w:id="63"/>
    <w:bookmarkEnd w:id="64"/>
    <w:bookmarkEnd w:id="65"/>
    <w:bookmarkEnd w:id="66"/>
    <w:p>
      <w:pPr>
        <w:pStyle w:val="2"/>
        <w:keepNext w:val="0"/>
        <w:keepLines w:val="0"/>
        <w:ind w:firstLine="482" w:firstLineChars="200"/>
        <w:rPr>
          <w:rFonts w:hint="default" w:ascii="Arial Narrow" w:hAnsi="Arial Narrow" w:eastAsia="仿宋_GB2312" w:cs="Arial Narrow"/>
          <w:kern w:val="2"/>
          <w:sz w:val="24"/>
          <w:szCs w:val="24"/>
        </w:rPr>
      </w:pPr>
      <w:bookmarkStart w:id="76" w:name="_Toc387957819"/>
      <w:bookmarkStart w:id="77" w:name="_Toc361304693"/>
      <w:bookmarkStart w:id="78" w:name="_Toc18443"/>
      <w:bookmarkStart w:id="79" w:name="_Toc513828345"/>
      <w:bookmarkStart w:id="80" w:name="_Toc406666370"/>
      <w:bookmarkStart w:id="81" w:name="_Toc406668044"/>
      <w:bookmarkStart w:id="82" w:name="_Toc478501046"/>
      <w:r>
        <w:rPr>
          <w:rFonts w:hint="default" w:ascii="Arial Narrow" w:hAnsi="Arial Narrow" w:eastAsia="仿宋_GB2312" w:cs="Arial Narrow"/>
          <w:kern w:val="2"/>
          <w:sz w:val="24"/>
          <w:szCs w:val="24"/>
        </w:rPr>
        <w:t>三、绩效分析</w:t>
      </w:r>
      <w:bookmarkEnd w:id="76"/>
      <w:bookmarkEnd w:id="77"/>
      <w:bookmarkEnd w:id="78"/>
      <w:bookmarkEnd w:id="79"/>
      <w:bookmarkEnd w:id="80"/>
      <w:bookmarkEnd w:id="81"/>
      <w:bookmarkEnd w:id="82"/>
      <w:bookmarkStart w:id="83" w:name="_Toc2992"/>
      <w:bookmarkStart w:id="84" w:name="_Toc394181010"/>
      <w:bookmarkStart w:id="85" w:name="_Toc513828346"/>
      <w:bookmarkStart w:id="86" w:name="_Toc478501047"/>
      <w:bookmarkStart w:id="87" w:name="_Toc406668047"/>
      <w:bookmarkStart w:id="88" w:name="_Toc361302034"/>
      <w:bookmarkStart w:id="89" w:name="_Toc387957822"/>
      <w:bookmarkStart w:id="90" w:name="_Toc406666373"/>
      <w:bookmarkStart w:id="91" w:name="_Toc361304697"/>
    </w:p>
    <w:p>
      <w:pPr>
        <w:pStyle w:val="2"/>
        <w:keepNext w:val="0"/>
        <w:keepLines w:val="0"/>
        <w:ind w:firstLine="482" w:firstLineChars="200"/>
        <w:rPr>
          <w:rFonts w:hint="default" w:ascii="Arial Narrow" w:hAnsi="Arial Narrow" w:eastAsia="仿宋_GB2312" w:cs="Arial Narrow"/>
          <w:sz w:val="24"/>
          <w:szCs w:val="24"/>
          <w:lang w:val="en-US" w:eastAsia="zh-CN"/>
        </w:rPr>
      </w:pPr>
      <w:r>
        <w:rPr>
          <w:rFonts w:hint="default" w:ascii="Arial Narrow" w:hAnsi="Arial Narrow" w:eastAsia="仿宋_GB2312" w:cs="Arial Narrow"/>
          <w:sz w:val="24"/>
          <w:szCs w:val="24"/>
          <w:lang w:val="en-US" w:eastAsia="zh-CN"/>
        </w:rPr>
        <w:t>（一）投入（10分）</w:t>
      </w:r>
      <w:bookmarkEnd w:id="83"/>
      <w:bookmarkEnd w:id="84"/>
      <w:bookmarkEnd w:id="85"/>
      <w:bookmarkEnd w:id="86"/>
    </w:p>
    <w:p>
      <w:pPr>
        <w:keepNext w:val="0"/>
        <w:keepLines w:val="0"/>
        <w:ind w:firstLine="480" w:firstLineChars="200"/>
        <w:outlineLvl w:val="9"/>
        <w:rPr>
          <w:rFonts w:hint="default" w:ascii="Arial Narrow" w:hAnsi="Arial Narrow" w:eastAsia="仿宋_GB2312" w:cs="Arial Narrow"/>
          <w:b w:val="0"/>
        </w:rPr>
      </w:pPr>
      <w:bookmarkStart w:id="92" w:name="_Toc513828347"/>
      <w:bookmarkStart w:id="93" w:name="_Toc394181009"/>
      <w:bookmarkStart w:id="94" w:name="_Toc394490596"/>
      <w:r>
        <w:rPr>
          <w:rFonts w:hint="default" w:ascii="Arial Narrow" w:hAnsi="Arial Narrow" w:eastAsia="仿宋_GB2312" w:cs="Arial Narrow"/>
          <w:b w:val="0"/>
        </w:rPr>
        <w:t>根据评价原则，项目</w:t>
      </w:r>
      <w:r>
        <w:rPr>
          <w:rFonts w:hint="eastAsia" w:ascii="Arial Narrow" w:hAnsi="Arial Narrow" w:cs="Arial Narrow"/>
          <w:b w:val="0"/>
          <w:lang w:val="en-US" w:eastAsia="zh-CN"/>
        </w:rPr>
        <w:t>投入绩效</w:t>
      </w:r>
      <w:r>
        <w:rPr>
          <w:rFonts w:hint="default" w:ascii="Arial Narrow" w:hAnsi="Arial Narrow" w:eastAsia="仿宋_GB2312" w:cs="Arial Narrow"/>
          <w:b w:val="0"/>
        </w:rPr>
        <w:t>评价得分为</w:t>
      </w:r>
      <w:r>
        <w:rPr>
          <w:rFonts w:hint="default" w:ascii="Arial Narrow" w:hAnsi="Arial Narrow" w:eastAsia="仿宋_GB2312" w:cs="Arial Narrow"/>
          <w:b w:val="0"/>
          <w:lang w:val="en-US" w:eastAsia="zh-CN"/>
        </w:rPr>
        <w:t>9</w:t>
      </w:r>
      <w:r>
        <w:rPr>
          <w:rFonts w:hint="default" w:ascii="Arial Narrow" w:hAnsi="Arial Narrow" w:eastAsia="仿宋_GB2312" w:cs="Arial Narrow"/>
          <w:b w:val="0"/>
        </w:rPr>
        <w:t>分，评价结果为优。</w:t>
      </w:r>
      <w:bookmarkEnd w:id="92"/>
      <w:bookmarkEnd w:id="93"/>
      <w:bookmarkEnd w:id="94"/>
      <w:bookmarkStart w:id="95" w:name="_Toc394490597"/>
    </w:p>
    <w:p>
      <w:pPr>
        <w:snapToGrid w:val="0"/>
        <w:ind w:firstLine="480"/>
        <w:jc w:val="center"/>
        <w:rPr>
          <w:rFonts w:ascii="Arial Narrow" w:hAnsi="Arial Narrow" w:cs="Arial Narrow"/>
          <w:color w:val="FF0000"/>
        </w:rPr>
      </w:pPr>
      <w:r>
        <w:drawing>
          <wp:inline distT="0" distB="0" distL="114300" distR="114300">
            <wp:extent cx="4572000" cy="2743200"/>
            <wp:effectExtent l="0" t="0" r="0" b="0"/>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ind w:firstLine="480"/>
        <w:rPr>
          <w:rFonts w:hint="default" w:ascii="Arial Narrow" w:hAnsi="Arial Narrow" w:eastAsia="仿宋_GB2312" w:cs="Arial Narrow"/>
        </w:rPr>
      </w:pPr>
      <w:r>
        <w:rPr>
          <w:rFonts w:hint="default" w:ascii="Arial Narrow" w:hAnsi="Arial Narrow" w:eastAsia="仿宋_GB2312" w:cs="Arial Narrow"/>
        </w:rPr>
        <w:t>投入指标主要评价项目立项和资金落实的实际情况。对于该项的评价，评价小组主要通过案卷研究、访谈、调查问卷等方式对资料进行收集、整理和分析，查看了项目立项的相关资料、财政预算的批复文件，对项目决策涉及的指标进行打分，并逐级加权计算结果。</w:t>
      </w:r>
    </w:p>
    <w:bookmarkEnd w:id="95"/>
    <w:p>
      <w:pPr>
        <w:ind w:firstLine="480"/>
        <w:rPr>
          <w:rFonts w:hint="default" w:ascii="Arial Narrow" w:hAnsi="Arial Narrow" w:eastAsia="仿宋_GB2312" w:cs="Arial Narrow"/>
        </w:rPr>
      </w:pPr>
      <w:r>
        <w:rPr>
          <w:rFonts w:hint="default" w:ascii="Arial Narrow" w:hAnsi="Arial Narrow" w:eastAsia="仿宋_GB2312" w:cs="Arial Narrow"/>
        </w:rPr>
        <w:t>1、项目立项（6分）</w:t>
      </w:r>
    </w:p>
    <w:p>
      <w:pPr>
        <w:ind w:firstLine="480"/>
        <w:rPr>
          <w:rFonts w:hint="default" w:ascii="Arial Narrow" w:hAnsi="Arial Narrow" w:eastAsia="仿宋_GB2312" w:cs="Arial Narrow"/>
        </w:rPr>
      </w:pPr>
      <w:r>
        <w:rPr>
          <w:rFonts w:hint="default" w:ascii="Arial Narrow" w:hAnsi="Arial Narrow" w:eastAsia="仿宋_GB2312" w:cs="Arial Narrow"/>
        </w:rPr>
        <w:t>该指标反映和考核项目绩效目标与项目实施的相符情况和项目绩效目标的明细化情况。该指标评价得分为</w:t>
      </w:r>
      <w:r>
        <w:rPr>
          <w:rFonts w:hint="default" w:ascii="Arial Narrow" w:hAnsi="Arial Narrow" w:eastAsia="仿宋_GB2312" w:cs="Arial Narrow"/>
          <w:lang w:val="en-US" w:eastAsia="zh-CN"/>
        </w:rPr>
        <w:t>5</w:t>
      </w:r>
      <w:r>
        <w:rPr>
          <w:rFonts w:hint="default" w:ascii="Arial Narrow" w:hAnsi="Arial Narrow" w:eastAsia="仿宋_GB2312" w:cs="Arial Narrow"/>
        </w:rPr>
        <w:t>分，评价等级为优。</w:t>
      </w:r>
    </w:p>
    <w:p>
      <w:pPr>
        <w:pStyle w:val="7"/>
        <w:ind w:firstLine="480"/>
        <w:rPr>
          <w:rFonts w:hint="default" w:ascii="Arial Narrow" w:hAnsi="Arial Narrow" w:eastAsia="仿宋_GB2312" w:cs="Arial Narrow"/>
        </w:rPr>
      </w:pPr>
      <w:r>
        <w:rPr>
          <w:rFonts w:hint="default" w:ascii="Arial Narrow" w:hAnsi="Arial Narrow" w:eastAsia="仿宋_GB2312" w:cs="Arial Narrow"/>
        </w:rPr>
        <w:t>（1）项目立项规范性，是指项目的申请、设立过程是否符合相关要求，用以反映和考核项目立项的规范情况。项目实施单位根据《2017年武昌区精神文明建设工作要点》（武昌文委字[2017]3号）中的主要任务以迎接全国文明城市复查为契机，加强思想道德建设，深化群众性精神文明创建，培育社会文明新风，提高市民文明素质和城市文明程度。项目符合相关法规决策，在实施的过程中没有发生重大调整。</w:t>
      </w:r>
    </w:p>
    <w:p>
      <w:pPr>
        <w:ind w:firstLine="480"/>
        <w:rPr>
          <w:rFonts w:hint="default" w:ascii="Arial Narrow" w:hAnsi="Arial Narrow" w:eastAsia="仿宋_GB2312" w:cs="Arial Narrow"/>
        </w:rPr>
      </w:pPr>
      <w:r>
        <w:rPr>
          <w:rFonts w:hint="default" w:ascii="Arial Narrow" w:hAnsi="Arial Narrow" w:eastAsia="仿宋_GB2312" w:cs="Arial Narrow"/>
        </w:rPr>
        <w:t>（2）绩效目标合理性，是指项目所设定的绩效目标是否依据充分，是否符合客观实际，用以反映和考核项目绩效目标与项目实施的相符情况。项目实施单位根据武昌区精神文明建设工作要点对组织街道党员干部集中学习、开展学习活动、加强群众性精神文明创建、志愿者注册情况制定了年度目标，目标清晰、合理、可衡量，但未设立具有可测性的绩效指标，根据评分标准，扣1分。</w:t>
      </w:r>
    </w:p>
    <w:p>
      <w:pPr>
        <w:ind w:firstLine="480"/>
        <w:rPr>
          <w:rFonts w:hint="default" w:ascii="Arial Narrow" w:hAnsi="Arial Narrow" w:eastAsia="仿宋_GB2312" w:cs="Arial Narrow"/>
        </w:rPr>
      </w:pPr>
      <w:r>
        <w:rPr>
          <w:rFonts w:hint="default" w:ascii="Arial Narrow" w:hAnsi="Arial Narrow" w:eastAsia="仿宋_GB2312" w:cs="Arial Narrow"/>
        </w:rPr>
        <w:t>2、资金落实（4分）</w:t>
      </w:r>
    </w:p>
    <w:p>
      <w:pPr>
        <w:ind w:firstLine="480"/>
        <w:rPr>
          <w:rFonts w:hint="default" w:ascii="Arial Narrow" w:hAnsi="Arial Narrow" w:eastAsia="仿宋_GB2312" w:cs="Arial Narrow"/>
          <w:highlight w:val="none"/>
        </w:rPr>
      </w:pPr>
      <w:r>
        <w:rPr>
          <w:rFonts w:hint="default" w:ascii="Arial Narrow" w:hAnsi="Arial Narrow" w:eastAsia="仿宋_GB2312" w:cs="Arial Narrow"/>
        </w:rPr>
        <w:t>该指标主要从资金到位率和到位及时率两方面具体评价。该指标评价得分为</w:t>
      </w:r>
      <w:r>
        <w:rPr>
          <w:rFonts w:hint="default" w:ascii="Arial Narrow" w:hAnsi="Arial Narrow" w:eastAsia="仿宋_GB2312" w:cs="Arial Narrow"/>
          <w:highlight w:val="none"/>
        </w:rPr>
        <w:t>4分，评价等级为优。</w:t>
      </w:r>
    </w:p>
    <w:p>
      <w:pPr>
        <w:ind w:firstLine="480"/>
        <w:rPr>
          <w:rFonts w:hint="default" w:ascii="Arial Narrow" w:hAnsi="Arial Narrow" w:eastAsia="仿宋_GB2312" w:cs="Arial Narrow"/>
        </w:rPr>
      </w:pPr>
      <w:r>
        <w:rPr>
          <w:rFonts w:hint="default" w:ascii="Arial Narrow" w:hAnsi="Arial Narrow" w:eastAsia="仿宋_GB2312" w:cs="Arial Narrow"/>
        </w:rPr>
        <w:t>（1）资金到位率是指实际到位资金与计划投入资金的比率，用以反映和考核资金落实情况对项目实施的总体保障程度。评价小组通过查阅《武昌区财政局关于武昌区人民政府</w:t>
      </w:r>
      <w:r>
        <w:rPr>
          <w:rFonts w:hint="default" w:ascii="Arial Narrow" w:hAnsi="Arial Narrow" w:eastAsia="仿宋_GB2312" w:cs="Arial Narrow"/>
          <w:lang w:eastAsia="zh-CN"/>
        </w:rPr>
        <w:t>杨园</w:t>
      </w:r>
      <w:r>
        <w:rPr>
          <w:rFonts w:hint="default" w:ascii="Arial Narrow" w:hAnsi="Arial Narrow" w:eastAsia="仿宋_GB2312" w:cs="Arial Narrow"/>
        </w:rPr>
        <w:t>街办事处2017年部门预算的批复》和2017年</w:t>
      </w:r>
      <w:r>
        <w:rPr>
          <w:rFonts w:hint="default" w:ascii="Arial Narrow" w:hAnsi="Arial Narrow" w:eastAsia="仿宋_GB2312" w:cs="Arial Narrow"/>
          <w:lang w:eastAsia="zh-CN"/>
        </w:rPr>
        <w:t>杨园</w:t>
      </w:r>
      <w:r>
        <w:rPr>
          <w:rFonts w:hint="default" w:ascii="Arial Narrow" w:hAnsi="Arial Narrow" w:eastAsia="仿宋_GB2312" w:cs="Arial Narrow"/>
        </w:rPr>
        <w:t>街文明创建工作经费三栏明细分类帐了解到，项目年初预算</w:t>
      </w:r>
      <w:r>
        <w:rPr>
          <w:rFonts w:hint="default" w:ascii="Arial Narrow" w:hAnsi="Arial Narrow" w:eastAsia="仿宋_GB2312" w:cs="Arial Narrow"/>
          <w:lang w:val="en-US" w:eastAsia="zh-CN"/>
        </w:rPr>
        <w:t>230</w:t>
      </w:r>
      <w:r>
        <w:rPr>
          <w:rFonts w:hint="default" w:ascii="Arial Narrow" w:hAnsi="Arial Narrow" w:eastAsia="仿宋_GB2312" w:cs="Arial Narrow"/>
        </w:rPr>
        <w:t>万元，实际到位资金</w:t>
      </w:r>
      <w:r>
        <w:rPr>
          <w:rFonts w:hint="default" w:ascii="Arial Narrow" w:hAnsi="Arial Narrow" w:eastAsia="仿宋_GB2312" w:cs="Arial Narrow"/>
          <w:lang w:val="en-US" w:eastAsia="zh-CN"/>
        </w:rPr>
        <w:t>230</w:t>
      </w:r>
      <w:r>
        <w:rPr>
          <w:rFonts w:hint="default" w:ascii="Arial Narrow" w:hAnsi="Arial Narrow" w:eastAsia="仿宋_GB2312" w:cs="Arial Narrow"/>
        </w:rPr>
        <w:t>万，资金到位率为100%。</w:t>
      </w:r>
    </w:p>
    <w:p>
      <w:pPr>
        <w:ind w:firstLine="480"/>
        <w:rPr>
          <w:rFonts w:hint="default" w:ascii="Arial Narrow" w:hAnsi="Arial Narrow" w:eastAsia="仿宋_GB2312" w:cs="Arial Narrow"/>
        </w:rPr>
      </w:pPr>
      <w:r>
        <w:rPr>
          <w:rFonts w:hint="default" w:ascii="Arial Narrow" w:hAnsi="Arial Narrow" w:eastAsia="仿宋_GB2312" w:cs="Arial Narrow"/>
        </w:rPr>
        <w:t>（2）到位及时率是指及时到位资金与应到位资金的比率，用以反映和考核项目资金落实的及时性程度。评价小组查阅《武昌区财政局关于武昌区人民政府</w:t>
      </w:r>
      <w:r>
        <w:rPr>
          <w:rFonts w:hint="default" w:ascii="Arial Narrow" w:hAnsi="Arial Narrow" w:eastAsia="仿宋_GB2312" w:cs="Arial Narrow"/>
          <w:lang w:eastAsia="zh-CN"/>
        </w:rPr>
        <w:t>杨园</w:t>
      </w:r>
      <w:r>
        <w:rPr>
          <w:rFonts w:hint="default" w:ascii="Arial Narrow" w:hAnsi="Arial Narrow" w:eastAsia="仿宋_GB2312" w:cs="Arial Narrow"/>
        </w:rPr>
        <w:t>街办事处2017年部门预算的批复》和2017年</w:t>
      </w:r>
      <w:r>
        <w:rPr>
          <w:rFonts w:hint="default" w:ascii="Arial Narrow" w:hAnsi="Arial Narrow" w:eastAsia="仿宋_GB2312" w:cs="Arial Narrow"/>
          <w:lang w:eastAsia="zh-CN"/>
        </w:rPr>
        <w:t>杨园</w:t>
      </w:r>
      <w:r>
        <w:rPr>
          <w:rFonts w:hint="default" w:ascii="Arial Narrow" w:hAnsi="Arial Narrow" w:eastAsia="仿宋_GB2312" w:cs="Arial Narrow"/>
        </w:rPr>
        <w:t>街文明创建工作经费三栏明细分类帐了解到，财政下达预算指标时间为2016年12月</w:t>
      </w:r>
      <w:r>
        <w:rPr>
          <w:rFonts w:hint="default" w:ascii="Arial Narrow" w:hAnsi="Arial Narrow" w:eastAsia="仿宋_GB2312" w:cs="Arial Narrow"/>
          <w:lang w:val="en-US" w:eastAsia="zh-CN"/>
        </w:rPr>
        <w:t>2</w:t>
      </w:r>
      <w:r>
        <w:rPr>
          <w:rFonts w:hint="default" w:ascii="Arial Narrow" w:hAnsi="Arial Narrow" w:eastAsia="仿宋_GB2312" w:cs="Arial Narrow"/>
        </w:rPr>
        <w:t>6日，资金到位及时未影响项目进度。</w:t>
      </w:r>
    </w:p>
    <w:bookmarkEnd w:id="87"/>
    <w:bookmarkEnd w:id="88"/>
    <w:bookmarkEnd w:id="89"/>
    <w:bookmarkEnd w:id="90"/>
    <w:bookmarkEnd w:id="91"/>
    <w:p>
      <w:pPr>
        <w:pStyle w:val="2"/>
        <w:keepNext w:val="0"/>
        <w:keepLines w:val="0"/>
        <w:numPr>
          <w:ilvl w:val="0"/>
          <w:numId w:val="0"/>
        </w:numPr>
        <w:ind w:firstLine="482" w:firstLineChars="200"/>
        <w:rPr>
          <w:rFonts w:hint="default" w:ascii="Arial Narrow" w:hAnsi="Arial Narrow" w:eastAsia="仿宋_GB2312" w:cs="Arial Narrow"/>
          <w:sz w:val="24"/>
          <w:szCs w:val="24"/>
          <w:lang w:val="en-US" w:eastAsia="zh-CN"/>
        </w:rPr>
      </w:pPr>
      <w:bookmarkStart w:id="96" w:name="_Toc11787"/>
      <w:bookmarkStart w:id="97" w:name="_Toc478501048"/>
      <w:bookmarkStart w:id="98" w:name="_Toc513828348"/>
      <w:bookmarkStart w:id="99" w:name="_Toc361302036"/>
      <w:bookmarkStart w:id="100" w:name="_Toc406668048"/>
      <w:bookmarkStart w:id="101" w:name="_Toc387957823"/>
      <w:bookmarkStart w:id="102" w:name="_Toc361304699"/>
      <w:bookmarkStart w:id="103" w:name="_Toc406666374"/>
      <w:r>
        <w:rPr>
          <w:rFonts w:hint="default" w:ascii="Arial Narrow" w:hAnsi="Arial Narrow" w:eastAsia="仿宋_GB2312" w:cs="Arial Narrow"/>
          <w:sz w:val="24"/>
          <w:szCs w:val="24"/>
          <w:lang w:val="en-US" w:eastAsia="zh-CN"/>
        </w:rPr>
        <w:t>（二）过程（20分）</w:t>
      </w:r>
      <w:bookmarkEnd w:id="96"/>
      <w:bookmarkEnd w:id="97"/>
      <w:bookmarkEnd w:id="98"/>
    </w:p>
    <w:p>
      <w:pPr>
        <w:ind w:firstLine="480"/>
        <w:rPr>
          <w:rFonts w:hint="default" w:ascii="Arial Narrow" w:hAnsi="Arial Narrow" w:eastAsia="仿宋_GB2312" w:cs="Arial Narrow"/>
        </w:rPr>
      </w:pPr>
      <w:bookmarkStart w:id="104" w:name="_Toc394490599"/>
      <w:bookmarkStart w:id="105" w:name="_Toc394181012"/>
      <w:r>
        <w:rPr>
          <w:rFonts w:hint="default" w:ascii="Arial Narrow" w:hAnsi="Arial Narrow" w:eastAsia="仿宋_GB2312" w:cs="Arial Narrow"/>
        </w:rPr>
        <w:t>根据评价原则，</w:t>
      </w:r>
      <w:r>
        <w:rPr>
          <w:rFonts w:hint="eastAsia" w:ascii="Arial Narrow" w:hAnsi="Arial Narrow" w:cs="Arial Narrow"/>
          <w:lang w:val="en-US" w:eastAsia="zh-CN"/>
        </w:rPr>
        <w:t>项目</w:t>
      </w:r>
      <w:r>
        <w:rPr>
          <w:rFonts w:hint="default" w:ascii="Arial Narrow" w:hAnsi="Arial Narrow" w:eastAsia="仿宋_GB2312" w:cs="Arial Narrow"/>
        </w:rPr>
        <w:t>过程</w:t>
      </w:r>
      <w:r>
        <w:rPr>
          <w:rFonts w:hint="eastAsia" w:ascii="Arial Narrow" w:hAnsi="Arial Narrow" w:cs="Arial Narrow"/>
          <w:lang w:val="en-US" w:eastAsia="zh-CN"/>
        </w:rPr>
        <w:t>绩效</w:t>
      </w:r>
      <w:r>
        <w:rPr>
          <w:rFonts w:hint="default" w:ascii="Arial Narrow" w:hAnsi="Arial Narrow" w:eastAsia="仿宋_GB2312" w:cs="Arial Narrow"/>
        </w:rPr>
        <w:t>评价得分为</w:t>
      </w:r>
      <w:r>
        <w:rPr>
          <w:rFonts w:hint="default" w:ascii="Arial Narrow" w:hAnsi="Arial Narrow" w:eastAsia="仿宋_GB2312" w:cs="Arial Narrow"/>
          <w:highlight w:val="none"/>
        </w:rPr>
        <w:t>1</w:t>
      </w:r>
      <w:r>
        <w:rPr>
          <w:rFonts w:hint="default" w:ascii="Arial Narrow" w:hAnsi="Arial Narrow" w:eastAsia="仿宋_GB2312" w:cs="Arial Narrow"/>
          <w:highlight w:val="none"/>
          <w:lang w:val="en-US" w:eastAsia="zh-CN"/>
        </w:rPr>
        <w:t>8.5</w:t>
      </w:r>
      <w:r>
        <w:rPr>
          <w:rFonts w:hint="default" w:ascii="Arial Narrow" w:hAnsi="Arial Narrow" w:eastAsia="仿宋_GB2312" w:cs="Arial Narrow"/>
          <w:highlight w:val="none"/>
        </w:rPr>
        <w:t>分，评价结果为优</w:t>
      </w:r>
      <w:r>
        <w:rPr>
          <w:rFonts w:hint="default" w:ascii="Arial Narrow" w:hAnsi="Arial Narrow" w:eastAsia="仿宋_GB2312" w:cs="Arial Narrow"/>
        </w:rPr>
        <w:t>。</w:t>
      </w:r>
      <w:bookmarkEnd w:id="104"/>
      <w:bookmarkEnd w:id="105"/>
    </w:p>
    <w:p>
      <w:pPr>
        <w:snapToGrid w:val="0"/>
        <w:ind w:firstLine="319" w:firstLineChars="133"/>
        <w:jc w:val="center"/>
        <w:rPr>
          <w:rFonts w:ascii="Arial Narrow" w:hAnsi="Arial Narrow" w:cs="Arial Narrow"/>
          <w:color w:val="FF0000"/>
        </w:rPr>
      </w:pPr>
      <w:r>
        <w:drawing>
          <wp:inline distT="0" distB="0" distL="114300" distR="114300">
            <wp:extent cx="4572000" cy="257175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项目过程指标主要从业务管理、财务管理来具体评价，主要考核业务制度健全性、制度执行有效性、项目质量可控性、财务制度健全性、资金使用合规性、财务监控有效性。对于该项的评价，评价小组主要采取了案卷研究、现场访谈等方式进行资料收集、整理、核实和分析，收集了项目具体实施单位相关文件和项目档案资料管理相关文件；了解项目实施单位工作内容、形式和要求；对项目管理涉及的指标进行打分，并逐级加权计算结果。</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1、业务管理（</w:t>
      </w:r>
      <w:r>
        <w:rPr>
          <w:rFonts w:hint="default" w:ascii="Arial Narrow" w:hAnsi="Arial Narrow" w:eastAsia="仿宋_GB2312" w:cs="Arial Narrow"/>
          <w:lang w:val="en-US" w:eastAsia="zh-CN"/>
        </w:rPr>
        <w:t>10</w:t>
      </w:r>
      <w:r>
        <w:rPr>
          <w:rFonts w:hint="default" w:ascii="Arial Narrow" w:hAnsi="Arial Narrow" w:eastAsia="仿宋_GB2312" w:cs="Arial Narrow"/>
        </w:rPr>
        <w:t>分）</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该问题主要从业务制度健全性、制度执行有效性、项目质量可控性三个方面具体评价。该指标评价得分为</w:t>
      </w:r>
      <w:r>
        <w:rPr>
          <w:rFonts w:hint="default" w:ascii="Arial Narrow" w:hAnsi="Arial Narrow" w:eastAsia="仿宋_GB2312" w:cs="Arial Narrow"/>
          <w:lang w:val="en-US" w:eastAsia="zh-CN"/>
        </w:rPr>
        <w:t>9.5</w:t>
      </w:r>
      <w:r>
        <w:rPr>
          <w:rFonts w:hint="default" w:ascii="Arial Narrow" w:hAnsi="Arial Narrow" w:eastAsia="仿宋_GB2312" w:cs="Arial Narrow"/>
        </w:rPr>
        <w:t>分，评价等级为优。</w:t>
      </w:r>
    </w:p>
    <w:p>
      <w:pPr>
        <w:keepNext w:val="0"/>
        <w:keepLines w:val="0"/>
        <w:pageBreakBefore w:val="0"/>
        <w:widowControl w:val="0"/>
        <w:numPr>
          <w:ilvl w:val="0"/>
          <w:numId w:val="4"/>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业务制度健全性，是指项目实施单位的业务管理制度是否健全，用以反映和考核业务管理制度对项目顺利实施的保障情况。目实施单位已制定健全的业务管理制度，如文化活动中心管理工作制度，社区志愿者服务注册招募制度等，业务管理制度健全且合法合规。</w:t>
      </w:r>
    </w:p>
    <w:p>
      <w:pPr>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480" w:firstLineChars="200"/>
        <w:textAlignment w:val="auto"/>
        <w:rPr>
          <w:rFonts w:hint="default" w:ascii="Arial Narrow" w:hAnsi="Arial Narrow" w:eastAsia="仿宋_GB2312" w:cs="Arial Narrow"/>
          <w:highlight w:val="none"/>
          <w:lang w:val="en-US" w:eastAsia="zh-CN"/>
        </w:rPr>
      </w:pPr>
      <w:r>
        <w:rPr>
          <w:rFonts w:hint="default" w:ascii="Arial Narrow" w:hAnsi="Arial Narrow" w:eastAsia="仿宋_GB2312" w:cs="Arial Narrow"/>
          <w:highlight w:val="none"/>
        </w:rPr>
        <w:t>制度执行有效性，是指项目实施是否符合相关业务管理规定，用以反映和考核业务管理制度的有效执行情况。项目实施单位根据《杨园街文明创建常态化工作方案》实施文明创建工作，项目实施过程遵守相关法律法规和业务管理规定；项目内容没有调整，项目责任人由于人事变动有所调整，但调整手续证明材料不够完备，扣0.5分。</w:t>
      </w:r>
      <w:r>
        <w:rPr>
          <w:rFonts w:hint="default" w:ascii="Arial Narrow" w:hAnsi="Arial Narrow" w:eastAsia="仿宋_GB2312" w:cs="Arial Narrow"/>
          <w:highlight w:val="non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480" w:firstLineChars="200"/>
        <w:textAlignment w:val="auto"/>
        <w:rPr>
          <w:rFonts w:hint="default" w:ascii="Arial Narrow" w:hAnsi="Arial Narrow" w:eastAsia="仿宋_GB2312" w:cs="Arial Narrow"/>
          <w:highlight w:val="none"/>
        </w:rPr>
      </w:pPr>
      <w:r>
        <w:rPr>
          <w:rFonts w:hint="default" w:ascii="Arial Narrow" w:hAnsi="Arial Narrow" w:eastAsia="仿宋_GB2312" w:cs="Arial Narrow"/>
          <w:highlight w:val="none"/>
        </w:rPr>
        <w:t>项目质量可控性，是指项目实施单位是否为达到项目质量要求而采取了必需的措施,用以反映和考核项目实施单位对项目质量的控制情况。项目实施单位根据点位包点包片责任手册制定了相应的项目质量要求和标准，杨园街各社区根据标准落实好属地管理责任，强化监督管理和责任追究，把项目验收检查工作作为项目质量标准的重要内容，加强督查检查，并相应的项目质量检查等控制措施和职责划分，责任到人，并采取了相应的项目质量检查、验收等必需的控制措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2、财务管理（10分）</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该问题主要从财务制度健全性、资金使用合规性和财务监控有效性三方面具体评价。用以反映和考核财务管理制度对资金规范、安全运行的保障情况，项目资金的规范运行情况及项目实施单位对资金的监控情况。该指标评价得分为</w:t>
      </w:r>
      <w:r>
        <w:rPr>
          <w:rFonts w:hint="default" w:ascii="Arial Narrow" w:hAnsi="Arial Narrow" w:eastAsia="仿宋_GB2312" w:cs="Arial Narrow"/>
          <w:lang w:val="en-US" w:eastAsia="zh-CN"/>
        </w:rPr>
        <w:t>9</w:t>
      </w:r>
      <w:r>
        <w:rPr>
          <w:rFonts w:hint="default" w:ascii="Arial Narrow" w:hAnsi="Arial Narrow" w:eastAsia="仿宋_GB2312" w:cs="Arial Narrow"/>
        </w:rPr>
        <w:t>分，评价等级为优。</w:t>
      </w:r>
    </w:p>
    <w:p>
      <w:pPr>
        <w:keepNext w:val="0"/>
        <w:keepLines w:val="0"/>
        <w:pageBreakBefore w:val="0"/>
        <w:widowControl w:val="0"/>
        <w:numPr>
          <w:ilvl w:val="0"/>
          <w:numId w:val="5"/>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财务制度健全性，是指项目实施单位的财务制度是否健全，用以反映和考核财务管理制度对资金规范、安全运行的保障情况。项目单位制定了《杨园街2017年财务管理办法》对项目资金政府采购、自己审批、报销审批、票据管理等进行了具体说明，且符合相关财务会计制度的规定；但缺乏文明创建专项资金使用管理办法或未明确文明创建经费的支出方向，扣1分</w:t>
      </w:r>
      <w:r>
        <w:rPr>
          <w:rFonts w:hint="default" w:ascii="Arial Narrow" w:hAnsi="Arial Narrow" w:eastAsia="仿宋_GB2312" w:cs="Arial Narrow"/>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（2）资金使用合规性，是指项目资金使用是否符合相关的财务管理制度规定，用以反映和考核项目资金的规范运行情况。评价小组通过凭证抽查，并查阅《杨园街2017年财务管理办法》、2017年</w:t>
      </w:r>
      <w:r>
        <w:rPr>
          <w:rFonts w:hint="default" w:ascii="Arial Narrow" w:hAnsi="Arial Narrow" w:eastAsia="仿宋_GB2312" w:cs="Arial Narrow"/>
          <w:lang w:eastAsia="zh-CN"/>
        </w:rPr>
        <w:t>杨园</w:t>
      </w:r>
      <w:r>
        <w:rPr>
          <w:rFonts w:hint="default" w:ascii="Arial Narrow" w:hAnsi="Arial Narrow" w:eastAsia="仿宋_GB2312" w:cs="Arial Narrow"/>
        </w:rPr>
        <w:t>街文明创建工作经费三栏明细分类帐和项目经费支出明细表和抽查相关支出凭证，了解到项目支出符合国家财经法规和财务管理制度及有关专项资金管理办法的规定，符合项目预算批复，按照完整的审批程序和手续进行资金的拨付，不存在截留、挤占、挪用、虚列支出等情况。</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3）财务监控有效性，是指项目实施单位是否为保障资金的安全、规范运行而采取了必要的监控措施，用以反映和考核项目实施单位对资金运行的控制情况。项目管理部门根据街道财务管理制度对各项资金支出进行管理，其中规定10000元至50000元以下资金的安排和使用，需报街办事处办公会集体研究决定，50000元以上的资金安排和使用，需提交街党工委审议，在实际工作中资金使用经过了分管领导、单位一把手、街道行政办公会审批，采取了相应的财务检查等必要的监控措施。</w:t>
      </w:r>
    </w:p>
    <w:bookmarkEnd w:id="99"/>
    <w:bookmarkEnd w:id="100"/>
    <w:bookmarkEnd w:id="101"/>
    <w:bookmarkEnd w:id="102"/>
    <w:bookmarkEnd w:id="103"/>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06" w:name="_Toc513828349"/>
      <w:bookmarkStart w:id="107" w:name="_Toc5732"/>
      <w:bookmarkStart w:id="108" w:name="_Toc478501049"/>
      <w:bookmarkStart w:id="109" w:name="_Toc406666375"/>
      <w:bookmarkStart w:id="110" w:name="_Toc387957824"/>
      <w:bookmarkStart w:id="111" w:name="_Toc406668049"/>
      <w:r>
        <w:rPr>
          <w:rFonts w:hint="default" w:ascii="Arial Narrow" w:hAnsi="Arial Narrow" w:eastAsia="仿宋_GB2312" w:cs="Arial Narrow"/>
          <w:sz w:val="24"/>
          <w:szCs w:val="24"/>
          <w:lang w:val="en-US" w:eastAsia="zh-CN"/>
        </w:rPr>
        <w:t>（三）产出（33分）</w:t>
      </w:r>
      <w:bookmarkEnd w:id="106"/>
      <w:bookmarkEnd w:id="107"/>
      <w:bookmarkEnd w:id="108"/>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bookmarkStart w:id="112" w:name="_Toc394181015"/>
      <w:bookmarkStart w:id="113" w:name="_Toc394490602"/>
      <w:bookmarkStart w:id="114" w:name="_Toc4489"/>
      <w:r>
        <w:rPr>
          <w:rFonts w:hint="default" w:ascii="Arial Narrow" w:hAnsi="Arial Narrow" w:eastAsia="仿宋_GB2312" w:cs="Arial Narrow"/>
        </w:rPr>
        <w:t>根据评价原则，</w:t>
      </w:r>
      <w:r>
        <w:rPr>
          <w:rFonts w:hint="eastAsia" w:ascii="Arial Narrow" w:hAnsi="Arial Narrow" w:cs="Arial Narrow"/>
          <w:lang w:val="en-US" w:eastAsia="zh-CN"/>
        </w:rPr>
        <w:t>项目产出</w:t>
      </w:r>
      <w:r>
        <w:rPr>
          <w:rFonts w:hint="default" w:ascii="Arial Narrow" w:hAnsi="Arial Narrow" w:eastAsia="仿宋_GB2312" w:cs="Arial Narrow"/>
        </w:rPr>
        <w:t>绩效评价得分</w:t>
      </w:r>
      <w:r>
        <w:rPr>
          <w:rFonts w:hint="default" w:ascii="Arial Narrow" w:hAnsi="Arial Narrow" w:eastAsia="仿宋_GB2312" w:cs="Arial Narrow"/>
          <w:lang w:val="en-US" w:eastAsia="zh-CN"/>
        </w:rPr>
        <w:t>29.5</w:t>
      </w:r>
      <w:r>
        <w:rPr>
          <w:rFonts w:hint="default" w:ascii="Arial Narrow" w:hAnsi="Arial Narrow" w:eastAsia="仿宋_GB2312" w:cs="Arial Narrow"/>
        </w:rPr>
        <w:t>分，评价结果为</w:t>
      </w:r>
      <w:bookmarkEnd w:id="112"/>
      <w:bookmarkEnd w:id="113"/>
      <w:r>
        <w:rPr>
          <w:rFonts w:hint="default" w:ascii="Arial Narrow" w:hAnsi="Arial Narrow" w:eastAsia="仿宋_GB2312" w:cs="Arial Narrow"/>
          <w:lang w:eastAsia="zh-CN"/>
        </w:rPr>
        <w:t>良</w:t>
      </w:r>
      <w:r>
        <w:rPr>
          <w:rFonts w:hint="default" w:ascii="Arial Narrow" w:hAnsi="Arial Narrow" w:eastAsia="仿宋_GB2312" w:cs="Arial Narrow"/>
        </w:rPr>
        <w:t>。</w:t>
      </w:r>
      <w:bookmarkEnd w:id="114"/>
    </w:p>
    <w:p>
      <w:pPr>
        <w:snapToGrid w:val="0"/>
        <w:ind w:firstLine="0" w:firstLineChars="0"/>
        <w:jc w:val="center"/>
        <w:rPr>
          <w:color w:val="FF0000"/>
        </w:rPr>
      </w:pPr>
      <w:r>
        <w:drawing>
          <wp:inline distT="0" distB="0" distL="114300" distR="114300">
            <wp:extent cx="4761865" cy="3238500"/>
            <wp:effectExtent l="0" t="0" r="635" b="0"/>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项目产出方面主要评价文明过马路劝导活动覆盖率、节日活动完成率、城市文明程度测评指数、志愿者注册比例、志愿者参与度、完成及时率、资金使用率。对于该项的评价，评价小组主要采取了案卷研究、访谈等方式进行资料收集、整理和分析，查看了项目实施方案及活动记录、财政资金拨付凭证、业务管理制度等，对项目投入涉及的指标进行打分，并逐级加权计算结果。</w:t>
      </w:r>
    </w:p>
    <w:bookmarkEnd w:id="109"/>
    <w:bookmarkEnd w:id="110"/>
    <w:bookmarkEnd w:id="111"/>
    <w:p>
      <w:pPr>
        <w:keepNext w:val="0"/>
        <w:keepLines w:val="0"/>
        <w:pageBreakBefore w:val="0"/>
        <w:widowControl w:val="0"/>
        <w:numPr>
          <w:ilvl w:val="0"/>
          <w:numId w:val="6"/>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bookmarkStart w:id="115" w:name="_Toc394181022"/>
      <w:bookmarkStart w:id="116" w:name="_Toc361304701"/>
      <w:bookmarkStart w:id="117" w:name="_Toc406666377"/>
      <w:bookmarkStart w:id="118" w:name="_Toc406668051"/>
      <w:bookmarkStart w:id="119" w:name="_Toc387957826"/>
      <w:bookmarkStart w:id="120" w:name="_Toc361302038"/>
      <w:r>
        <w:rPr>
          <w:rFonts w:hint="default" w:ascii="Arial Narrow" w:hAnsi="Arial Narrow" w:eastAsia="仿宋_GB2312" w:cs="Arial Narrow"/>
        </w:rPr>
        <w:t>文明过马路劝导活动覆盖率是指项目实施后，是否按照计划在各个街道路口或者社区开展文明过马路劝导活动，用以反映和考核项目数量目标的完成情况。杨园街志愿服务活动项目统计表显示街道、社区共15个，实际在友谊大道徐东大街路口、友谊大道才华街路口、铁机路路口、和四美塘公交站台4个站点开展文明过马路志愿劝导活动，文明过马路劝导活动覆盖率为26.67%，根据评分标准，扣2.5分。</w:t>
      </w:r>
    </w:p>
    <w:p>
      <w:pPr>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节日活动完成率是指项目实施中，是否按照计划开展教育、道德文化等多种形式的节日活动，用以反映和考核项目数量目标完成情况。评价小组根据现场访谈和查阅相关节日活动记录资料，评价小组了解到项目实施单位计划开展节日活动70场左右，实际开展节日活动70余场，节日活动完成率达100%。</w:t>
      </w:r>
    </w:p>
    <w:p>
      <w:pPr>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城市文明程度测评指数是指项目实施中，是否做好街道文明程度指数每月测评，了解武昌区街道文明程度指数测评中得分情况，用以反映和考核项目的完成情况。评价小组通过现场访谈和查阅《杨园街文明程度指数测评情况表》了解到，2017年度武昌区文明办对街道进行了9次测评，全年平均分91.89，根据评分标准，扣1分。</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4）志愿者注册比例是指项目实施中，在线注册志愿者人数与街道志愿者人数的占比，用以反映和考核项目数量目标的完成情况。根据《杨园街社区志愿服务情况统计表》显示，注册志愿者人数为13687，居民总人数为113200，志愿者注册比例为12.09%</w:t>
      </w:r>
      <w:r>
        <w:rPr>
          <w:rFonts w:hint="eastAsia" w:ascii="Arial Narrow" w:hAnsi="Arial Narrow" w:cs="Arial Narrow"/>
          <w:lang w:eastAsia="zh-CN"/>
        </w:rPr>
        <w:t>，</w:t>
      </w:r>
      <w:r>
        <w:rPr>
          <w:rFonts w:hint="eastAsia" w:ascii="Arial Narrow" w:hAnsi="Arial Narrow" w:cs="Arial Narrow"/>
          <w:lang w:val="en-US" w:eastAsia="zh-CN"/>
        </w:rPr>
        <w:t>达到10%的绩效标准</w:t>
      </w:r>
      <w:r>
        <w:rPr>
          <w:rFonts w:hint="default" w:ascii="Arial Narrow" w:hAnsi="Arial Narrow" w:eastAsia="仿宋_GB2312" w:cs="Arial Narrow"/>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5）志愿者参与度是指项目实施中，在线注册志愿者参加服务活动人数与在线注册志愿者人数的占比，用以反映和考核项目数量目标的完成情况。评价小组通过查阅《杨园街社区志愿服务情况统计表》显示，注册志愿者参加活动人数为13687，注册志愿者参加活动人数为18114,志愿者参与度为132.34%。</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（6）完成及时率是指项目实施中，各项工作任务是否按时完成，用以反映和考核项目产出时效目标的实现程度。评价小组通过与相关负责人访谈后了解到</w:t>
      </w:r>
      <w:r>
        <w:rPr>
          <w:rFonts w:hint="default" w:ascii="Arial Narrow" w:hAnsi="Arial Narrow" w:eastAsia="仿宋_GB2312" w:cs="Arial Narrow"/>
          <w:lang w:eastAsia="zh-CN"/>
        </w:rPr>
        <w:t>，项目</w:t>
      </w:r>
      <w:r>
        <w:rPr>
          <w:rFonts w:hint="default" w:ascii="Arial Narrow" w:hAnsi="Arial Narrow" w:eastAsia="仿宋_GB2312" w:cs="Arial Narrow"/>
        </w:rPr>
        <w:t>计划完成时间为2017年12月，项目实际完成时间为2017年12月，完成及时率为100%。</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7）资金使用率是指项目实施过程中，项目资金是否按照预算及绩效目标进行合理控制，用以反映项目的产出成本。评价小组通过查阅《武昌区财政局关于武昌区人民政府杨园街办事处2017年部门预算的批复》显示2017年文明创建预算为230万，项目实施单位实际支出230万，资金使用率100%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21" w:name="_Toc513828350"/>
      <w:r>
        <w:rPr>
          <w:rFonts w:hint="default" w:ascii="Arial Narrow" w:hAnsi="Arial Narrow" w:eastAsia="仿宋_GB2312" w:cs="Arial Narrow"/>
          <w:sz w:val="24"/>
          <w:szCs w:val="24"/>
          <w:lang w:val="en-US" w:eastAsia="zh-CN"/>
        </w:rPr>
        <w:t>（四）效果（37分）</w:t>
      </w:r>
      <w:bookmarkEnd w:id="121"/>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该指标评价得分为</w:t>
      </w:r>
      <w:r>
        <w:rPr>
          <w:rFonts w:hint="default" w:ascii="Arial Narrow" w:hAnsi="Arial Narrow" w:eastAsia="仿宋_GB2312" w:cs="Arial Narrow"/>
          <w:highlight w:val="none"/>
        </w:rPr>
        <w:t>3</w:t>
      </w:r>
      <w:r>
        <w:rPr>
          <w:rFonts w:hint="default" w:ascii="Arial Narrow" w:hAnsi="Arial Narrow" w:eastAsia="仿宋_GB2312" w:cs="Arial Narrow"/>
          <w:highlight w:val="none"/>
          <w:lang w:val="en-US" w:eastAsia="zh-CN"/>
        </w:rPr>
        <w:t>7</w:t>
      </w:r>
      <w:r>
        <w:rPr>
          <w:rFonts w:hint="default" w:ascii="Arial Narrow" w:hAnsi="Arial Narrow" w:eastAsia="仿宋_GB2312" w:cs="Arial Narrow"/>
          <w:highlight w:val="none"/>
        </w:rPr>
        <w:t>分，评价结果为优</w:t>
      </w:r>
      <w:r>
        <w:rPr>
          <w:rFonts w:hint="default" w:ascii="Arial Narrow" w:hAnsi="Arial Narrow" w:eastAsia="仿宋_GB2312" w:cs="Arial Narrow"/>
        </w:rPr>
        <w:t>。</w:t>
      </w:r>
    </w:p>
    <w:p>
      <w:pPr>
        <w:ind w:firstLine="480"/>
        <w:jc w:val="center"/>
        <w:rPr>
          <w:rFonts w:ascii="Arial Narrow" w:hAnsi="Arial Narrow" w:cs="Arial Narrow"/>
        </w:rPr>
      </w:pPr>
      <w:r>
        <w:drawing>
          <wp:inline distT="0" distB="0" distL="114300" distR="114300">
            <wp:extent cx="4552950" cy="3153410"/>
            <wp:effectExtent l="0" t="0" r="0" b="889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该指标主要通过宣传方式多样性、群众知晓率、志愿服务活动重点与内容、可持续性、活动丰富程度和服务对象满意度六个方面来评价，用以反映项目实施后所产生的社会效益及服务对象的受益程度。</w:t>
      </w:r>
    </w:p>
    <w:p>
      <w:pPr>
        <w:keepNext w:val="0"/>
        <w:keepLines w:val="0"/>
        <w:pageBreakBefore w:val="0"/>
        <w:widowControl w:val="0"/>
        <w:numPr>
          <w:ilvl w:val="0"/>
          <w:numId w:val="7"/>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宣传方式多样性是指项目实施后，文明创建活动的宣传方式是否多样，如：社区宣传栏、电子显示屏宣传、评选创建活动等，用以反映和考核项目的社会效益。评价小组通过查阅杨园街精神文明宣传手册、 杨园街2017年文明创建工作总结</w:t>
      </w:r>
      <w:r>
        <w:rPr>
          <w:rFonts w:hint="default" w:ascii="Arial Narrow" w:hAnsi="Arial Narrow" w:eastAsia="仿宋_GB2312" w:cs="Arial Narrow"/>
          <w:lang w:eastAsia="zh-CN"/>
        </w:rPr>
        <w:t>，了解到杨园街文明创建活动宣传形式主要为发放宣传物资、宣传公益广告、宣传单、街道宣传栏、显示屏等，宣传方式具有多样性。</w:t>
      </w:r>
      <w:r>
        <w:rPr>
          <w:rFonts w:hint="default" w:ascii="Arial Narrow" w:hAnsi="Arial Narrow" w:eastAsia="仿宋_GB2312" w:cs="Arial Narrow"/>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（2）群众知晓率是指项目实施后，通过对文明城市建设工作常态化的督促和指导，辖区居民对文明城市建设知晓情况，用以反应项目的社会效益。评价小组对</w:t>
      </w:r>
      <w:r>
        <w:rPr>
          <w:rFonts w:hint="default" w:ascii="Arial Narrow" w:hAnsi="Arial Narrow" w:eastAsia="仿宋_GB2312" w:cs="Arial Narrow"/>
          <w:highlight w:val="none"/>
          <w:lang w:eastAsia="zh-CN"/>
        </w:rPr>
        <w:t>余家头社区</w:t>
      </w:r>
      <w:r>
        <w:rPr>
          <w:rFonts w:hint="default" w:ascii="Arial Narrow" w:hAnsi="Arial Narrow" w:eastAsia="仿宋_GB2312" w:cs="Arial Narrow"/>
        </w:rPr>
        <w:t>等</w:t>
      </w:r>
      <w:r>
        <w:rPr>
          <w:rFonts w:hint="default" w:ascii="Arial Narrow" w:hAnsi="Arial Narrow" w:eastAsia="仿宋_GB2312" w:cs="Arial Narrow"/>
          <w:lang w:eastAsia="zh-CN"/>
        </w:rPr>
        <w:t>杨园</w:t>
      </w:r>
      <w:r>
        <w:rPr>
          <w:rFonts w:hint="default" w:ascii="Arial Narrow" w:hAnsi="Arial Narrow" w:eastAsia="仿宋_GB2312" w:cs="Arial Narrow"/>
        </w:rPr>
        <w:t>街办事处管辖的社区的居民发放调查问卷，统计数据后得出，群众知晓率达到</w:t>
      </w:r>
      <w:r>
        <w:rPr>
          <w:rFonts w:hint="default" w:ascii="Arial Narrow" w:hAnsi="Arial Narrow" w:eastAsia="仿宋_GB2312" w:cs="Arial Narrow"/>
          <w:lang w:val="en-US" w:eastAsia="zh-CN"/>
        </w:rPr>
        <w:t>68.33</w:t>
      </w:r>
      <w:r>
        <w:rPr>
          <w:rFonts w:hint="default" w:ascii="Arial Narrow" w:hAnsi="Arial Narrow" w:eastAsia="仿宋_GB2312" w:cs="Arial Narrow"/>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（3）志愿服务活动重点与内容是指项目实施单位开展志愿者服务活动的内容与服务重点，是否与城市文明创建项目相关，能够推动志愿服务活动的开展。评价小组通过查阅</w:t>
      </w:r>
      <w:r>
        <w:rPr>
          <w:rFonts w:hint="default" w:ascii="Arial Narrow" w:hAnsi="Arial Narrow" w:eastAsia="仿宋_GB2312" w:cs="Arial Narrow"/>
          <w:lang w:eastAsia="zh-CN"/>
        </w:rPr>
        <w:t>《杨园街开展志愿者服务活动记录》</w:t>
      </w:r>
      <w:r>
        <w:rPr>
          <w:rFonts w:hint="default" w:ascii="Arial Narrow" w:hAnsi="Arial Narrow" w:eastAsia="仿宋_GB2312" w:cs="Arial Narrow"/>
        </w:rPr>
        <w:t>显示项目实施单位主要开展了以关爱残疾人、空巢老人、困难职工、进城务工人员和留守儿童为主题的“邻里守望”志愿服务活动、志愿者义务劳动活动等，志愿服务活动丰富多样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4）可持续性是指项目实施单位是否支持项目长期运行，是否有相关的管理机构及人力资源满足项目实施的要求，用以反映和考核项目的可持续性。评价小组通过与相关负责人访谈后得知，项项目实施单位有机构设置和充足的人员，项目实施单位下设文明创建工作办公室，项目由办公室、财务部共同负责组织实施，办公室配备充足人手进行项目跟踪管理，保障可持续性。同时，2017年区里为街道专门配备了协管员协助文明创建工作的开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（5）活动丰富程度是指项目实施单位是否通过开展丰富多彩的活动从而实现文明建设常态化。评价小组通过查阅杨园街综合文化服务</w:t>
      </w:r>
      <w:r>
        <w:rPr>
          <w:rFonts w:hint="default" w:ascii="Arial Narrow" w:hAnsi="Arial Narrow" w:eastAsia="仿宋_GB2312" w:cs="Arial Narrow"/>
          <w:lang w:eastAsia="zh-CN"/>
        </w:rPr>
        <w:t>、杨园</w:t>
      </w:r>
      <w:r>
        <w:rPr>
          <w:rFonts w:hint="default" w:ascii="Arial Narrow" w:hAnsi="Arial Narrow" w:eastAsia="仿宋_GB2312" w:cs="Arial Narrow"/>
        </w:rPr>
        <w:t>街开展志愿服务活动记录</w:t>
      </w:r>
      <w:r>
        <w:rPr>
          <w:rFonts w:hint="default" w:ascii="Arial Narrow" w:hAnsi="Arial Narrow" w:eastAsia="仿宋_GB2312" w:cs="Arial Narrow"/>
          <w:lang w:eastAsia="zh-CN"/>
        </w:rPr>
        <w:t>、</w:t>
      </w:r>
      <w:r>
        <w:rPr>
          <w:rFonts w:hint="default" w:ascii="Arial Narrow" w:hAnsi="Arial Narrow" w:eastAsia="仿宋_GB2312" w:cs="Arial Narrow"/>
        </w:rPr>
        <w:t>道德讲堂活动记录</w:t>
      </w:r>
      <w:r>
        <w:rPr>
          <w:rFonts w:hint="default" w:ascii="Arial Narrow" w:hAnsi="Arial Narrow" w:eastAsia="仿宋_GB2312" w:cs="Arial Narrow"/>
          <w:lang w:eastAsia="zh-CN"/>
        </w:rPr>
        <w:t>、</w:t>
      </w:r>
      <w:r>
        <w:rPr>
          <w:rFonts w:hint="default" w:ascii="Arial Narrow" w:hAnsi="Arial Narrow" w:eastAsia="仿宋_GB2312" w:cs="Arial Narrow"/>
        </w:rPr>
        <w:t>市民学校活动记录</w:t>
      </w:r>
      <w:r>
        <w:rPr>
          <w:rFonts w:hint="default" w:ascii="Arial Narrow" w:hAnsi="Arial Narrow" w:eastAsia="仿宋_GB2312" w:cs="Arial Narrow"/>
          <w:lang w:eastAsia="zh-CN"/>
        </w:rPr>
        <w:t>等</w:t>
      </w:r>
      <w:r>
        <w:rPr>
          <w:rFonts w:hint="default" w:ascii="Arial Narrow" w:hAnsi="Arial Narrow" w:eastAsia="仿宋_GB2312" w:cs="Arial Narrow"/>
        </w:rPr>
        <w:t>了解到，项目实施单位2017年开展了市民教育活动，市民学校，科普活动，普法教育，志愿者服务活动，“我们的节日”主题活动，活动丰富多彩。</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（6）服务对象满意度是指社会公众或服务对象对项目实施效果的满意程度。评价小组对</w:t>
      </w:r>
      <w:r>
        <w:rPr>
          <w:rFonts w:hint="default" w:ascii="Arial Narrow" w:hAnsi="Arial Narrow" w:eastAsia="仿宋_GB2312" w:cs="Arial Narrow"/>
          <w:lang w:eastAsia="zh-CN"/>
        </w:rPr>
        <w:t>余家头</w:t>
      </w:r>
      <w:r>
        <w:rPr>
          <w:rFonts w:hint="default" w:ascii="Arial Narrow" w:hAnsi="Arial Narrow" w:eastAsia="仿宋_GB2312" w:cs="Arial Narrow"/>
          <w:highlight w:val="none"/>
          <w:lang w:eastAsia="zh-CN"/>
        </w:rPr>
        <w:t>社区</w:t>
      </w:r>
      <w:r>
        <w:rPr>
          <w:rFonts w:hint="default" w:ascii="Arial Narrow" w:hAnsi="Arial Narrow" w:eastAsia="仿宋_GB2312" w:cs="Arial Narrow"/>
        </w:rPr>
        <w:t>等</w:t>
      </w:r>
      <w:r>
        <w:rPr>
          <w:rFonts w:hint="default" w:ascii="Arial Narrow" w:hAnsi="Arial Narrow" w:eastAsia="仿宋_GB2312" w:cs="Arial Narrow"/>
          <w:lang w:eastAsia="zh-CN"/>
        </w:rPr>
        <w:t>杨园</w:t>
      </w:r>
      <w:r>
        <w:rPr>
          <w:rFonts w:hint="default" w:ascii="Arial Narrow" w:hAnsi="Arial Narrow" w:eastAsia="仿宋_GB2312" w:cs="Arial Narrow"/>
        </w:rPr>
        <w:t>街办事处管辖的社区的居民发放调查问卷，统计数据后得出服务对象满意度为</w:t>
      </w:r>
      <w:r>
        <w:rPr>
          <w:rFonts w:hint="default" w:ascii="Arial Narrow" w:hAnsi="Arial Narrow" w:eastAsia="仿宋_GB2312" w:cs="Arial Narrow"/>
          <w:lang w:val="en-US" w:eastAsia="zh-CN"/>
        </w:rPr>
        <w:t>86.67%</w:t>
      </w:r>
      <w:r>
        <w:rPr>
          <w:rFonts w:hint="default" w:ascii="Arial Narrow" w:hAnsi="Arial Narrow" w:eastAsia="仿宋_GB2312" w:cs="Arial Narrow"/>
        </w:rPr>
        <w:t>。</w:t>
      </w:r>
    </w:p>
    <w:bookmarkEnd w:id="115"/>
    <w:p>
      <w:pPr>
        <w:pStyle w:val="2"/>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仿宋_GB2312" w:hAnsi="仿宋_GB2312" w:eastAsia="仿宋_GB2312" w:cs="仿宋_GB2312"/>
          <w:kern w:val="2"/>
          <w:sz w:val="24"/>
          <w:szCs w:val="24"/>
        </w:rPr>
      </w:pPr>
      <w:bookmarkStart w:id="122" w:name="_Toc513828351"/>
      <w:bookmarkStart w:id="123" w:name="_Toc17932"/>
      <w:bookmarkStart w:id="124" w:name="_Toc478501050"/>
      <w:r>
        <w:rPr>
          <w:rFonts w:hint="eastAsia" w:ascii="仿宋_GB2312" w:hAnsi="仿宋_GB2312" w:eastAsia="仿宋_GB2312" w:cs="仿宋_GB2312"/>
          <w:kern w:val="2"/>
          <w:sz w:val="24"/>
          <w:szCs w:val="24"/>
        </w:rPr>
        <w:t>四、评价结论</w:t>
      </w:r>
      <w:bookmarkEnd w:id="116"/>
      <w:bookmarkEnd w:id="117"/>
      <w:bookmarkEnd w:id="118"/>
      <w:bookmarkEnd w:id="119"/>
      <w:bookmarkEnd w:id="120"/>
      <w:bookmarkEnd w:id="122"/>
      <w:bookmarkEnd w:id="123"/>
      <w:bookmarkEnd w:id="124"/>
      <w:bookmarkStart w:id="125" w:name="_Toc361302039"/>
      <w:bookmarkStart w:id="126" w:name="_Toc361304702"/>
    </w:p>
    <w:bookmarkEnd w:id="125"/>
    <w:bookmarkEnd w:id="126"/>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eastAsia" w:ascii="仿宋_GB2312" w:hAnsi="仿宋_GB2312" w:eastAsia="仿宋_GB2312" w:cs="仿宋_GB2312"/>
          <w:sz w:val="24"/>
          <w:szCs w:val="24"/>
          <w:lang w:val="en-US" w:eastAsia="zh-CN"/>
        </w:rPr>
      </w:pPr>
      <w:bookmarkStart w:id="127" w:name="_Toc478501051"/>
      <w:bookmarkStart w:id="128" w:name="_Toc513828352"/>
      <w:r>
        <w:rPr>
          <w:rFonts w:hint="eastAsia" w:ascii="仿宋_GB2312" w:hAnsi="仿宋_GB2312" w:eastAsia="仿宋_GB2312" w:cs="仿宋_GB2312"/>
          <w:sz w:val="24"/>
          <w:szCs w:val="24"/>
          <w:lang w:val="en-US" w:eastAsia="zh-CN"/>
        </w:rPr>
        <w:t>（一）评分结果</w:t>
      </w:r>
      <w:bookmarkEnd w:id="127"/>
      <w:bookmarkEnd w:id="128"/>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highlight w:val="none"/>
        </w:rPr>
      </w:pPr>
      <w:r>
        <w:rPr>
          <w:rFonts w:hint="default" w:ascii="Arial Narrow" w:hAnsi="Arial Narrow" w:eastAsia="仿宋_GB2312" w:cs="Arial Narrow"/>
          <w:highlight w:val="none"/>
        </w:rPr>
        <w:t>项目绩效评价综合得分为9</w:t>
      </w:r>
      <w:r>
        <w:rPr>
          <w:rFonts w:hint="default" w:ascii="Arial Narrow" w:hAnsi="Arial Narrow" w:eastAsia="仿宋_GB2312" w:cs="Arial Narrow"/>
          <w:highlight w:val="none"/>
          <w:lang w:val="en-US" w:eastAsia="zh-CN"/>
        </w:rPr>
        <w:t>4</w:t>
      </w:r>
      <w:r>
        <w:rPr>
          <w:rFonts w:hint="default" w:ascii="Arial Narrow" w:hAnsi="Arial Narrow" w:eastAsia="仿宋_GB2312" w:cs="Arial Narrow"/>
          <w:highlight w:val="none"/>
        </w:rPr>
        <w:t>分。其中投入得分9分，过程得分1</w:t>
      </w:r>
      <w:r>
        <w:rPr>
          <w:rFonts w:hint="default" w:ascii="Arial Narrow" w:hAnsi="Arial Narrow" w:eastAsia="仿宋_GB2312" w:cs="Arial Narrow"/>
          <w:highlight w:val="none"/>
          <w:lang w:val="en-US" w:eastAsia="zh-CN"/>
        </w:rPr>
        <w:t>8.5</w:t>
      </w:r>
      <w:r>
        <w:rPr>
          <w:rFonts w:hint="default" w:ascii="Arial Narrow" w:hAnsi="Arial Narrow" w:eastAsia="仿宋_GB2312" w:cs="Arial Narrow"/>
          <w:highlight w:val="none"/>
        </w:rPr>
        <w:t>分，产出得分</w:t>
      </w:r>
      <w:r>
        <w:rPr>
          <w:rFonts w:hint="default" w:ascii="Arial Narrow" w:hAnsi="Arial Narrow" w:eastAsia="仿宋_GB2312" w:cs="Arial Narrow"/>
          <w:highlight w:val="none"/>
          <w:lang w:val="en-US" w:eastAsia="zh-CN"/>
        </w:rPr>
        <w:t>29.5</w:t>
      </w:r>
      <w:r>
        <w:rPr>
          <w:rFonts w:hint="default" w:ascii="Arial Narrow" w:hAnsi="Arial Narrow" w:eastAsia="仿宋_GB2312" w:cs="Arial Narrow"/>
          <w:highlight w:val="none"/>
        </w:rPr>
        <w:t>分，效果得分3</w:t>
      </w:r>
      <w:r>
        <w:rPr>
          <w:rFonts w:hint="default" w:ascii="Arial Narrow" w:hAnsi="Arial Narrow" w:eastAsia="仿宋_GB2312" w:cs="Arial Narrow"/>
          <w:highlight w:val="none"/>
          <w:lang w:val="en-US" w:eastAsia="zh-CN"/>
        </w:rPr>
        <w:t>7</w:t>
      </w:r>
      <w:r>
        <w:rPr>
          <w:rFonts w:hint="default" w:ascii="Arial Narrow" w:hAnsi="Arial Narrow" w:eastAsia="仿宋_GB2312" w:cs="Arial Narrow"/>
          <w:highlight w:val="none"/>
        </w:rPr>
        <w:t>分。</w:t>
      </w:r>
    </w:p>
    <w:p>
      <w:pPr>
        <w:ind w:firstLine="0" w:firstLineChars="0"/>
        <w:jc w:val="center"/>
        <w:rPr>
          <w:rFonts w:ascii="Arial Narrow" w:hAnsi="Arial Narrow" w:cs="Arial Narrow"/>
          <w:color w:val="FF0000"/>
        </w:rPr>
      </w:pPr>
      <w:r>
        <w:drawing>
          <wp:inline distT="0" distB="0" distL="114300" distR="114300">
            <wp:extent cx="4572000" cy="2743200"/>
            <wp:effectExtent l="4445" t="4445" r="14605"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29" w:name="_Toc478501052"/>
      <w:bookmarkStart w:id="130" w:name="_Toc513828353"/>
      <w:bookmarkStart w:id="131" w:name="_Toc361304705"/>
      <w:bookmarkStart w:id="132" w:name="_Toc406668054"/>
      <w:bookmarkStart w:id="133" w:name="_Toc387957829"/>
      <w:bookmarkStart w:id="134" w:name="_Toc406666380"/>
      <w:r>
        <w:rPr>
          <w:rFonts w:hint="default" w:ascii="Arial Narrow" w:hAnsi="Arial Narrow" w:eastAsia="仿宋_GB2312" w:cs="Arial Narrow"/>
          <w:sz w:val="24"/>
          <w:szCs w:val="24"/>
          <w:lang w:val="en-US" w:eastAsia="zh-CN"/>
        </w:rPr>
        <w:t>（二）主要结论</w:t>
      </w:r>
      <w:bookmarkEnd w:id="129"/>
      <w:bookmarkEnd w:id="130"/>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bookmarkStart w:id="135" w:name="_Toc14373"/>
      <w:r>
        <w:rPr>
          <w:rFonts w:hint="default" w:ascii="Arial Narrow" w:hAnsi="Arial Narrow" w:eastAsia="仿宋_GB2312" w:cs="Arial Narrow"/>
        </w:rPr>
        <w:t>1、投入。项目投入评价得分为9分，评价等级为优。投入指标主要评价项目立项和资金落实的实际情况。项目符合相关法规决策，在实施的过程中没有发生重大调整；项目实施单位对组织街道党员干部集中学习、开展学习活动、加强群众性精神文明创建、志愿者注册情况制定了年度目标，目标清晰、合理、可衡量，但未未设立具有可测性的绩效指标；年初预算</w:t>
      </w:r>
      <w:r>
        <w:rPr>
          <w:rFonts w:hint="default" w:ascii="Arial Narrow" w:hAnsi="Arial Narrow" w:eastAsia="仿宋_GB2312" w:cs="Arial Narrow"/>
          <w:lang w:val="en-US" w:eastAsia="zh-CN"/>
        </w:rPr>
        <w:t>230</w:t>
      </w:r>
      <w:r>
        <w:rPr>
          <w:rFonts w:hint="default" w:ascii="Arial Narrow" w:hAnsi="Arial Narrow" w:eastAsia="仿宋_GB2312" w:cs="Arial Narrow"/>
        </w:rPr>
        <w:t>万元，实际到位资金</w:t>
      </w:r>
      <w:r>
        <w:rPr>
          <w:rFonts w:hint="default" w:ascii="Arial Narrow" w:hAnsi="Arial Narrow" w:eastAsia="仿宋_GB2312" w:cs="Arial Narrow"/>
          <w:lang w:val="en-US" w:eastAsia="zh-CN"/>
        </w:rPr>
        <w:t>230</w:t>
      </w:r>
      <w:r>
        <w:rPr>
          <w:rFonts w:hint="default" w:ascii="Arial Narrow" w:hAnsi="Arial Narrow" w:eastAsia="仿宋_GB2312" w:cs="Arial Narrow"/>
        </w:rPr>
        <w:t>万，资金到位率为100%；财政下达预算指标时间为2016年12月</w:t>
      </w:r>
      <w:r>
        <w:rPr>
          <w:rFonts w:hint="eastAsia" w:ascii="Arial Narrow" w:hAnsi="Arial Narrow" w:cs="Arial Narrow"/>
          <w:lang w:val="en-US" w:eastAsia="zh-CN"/>
        </w:rPr>
        <w:t>26</w:t>
      </w:r>
      <w:r>
        <w:rPr>
          <w:rFonts w:hint="default" w:ascii="Arial Narrow" w:hAnsi="Arial Narrow" w:eastAsia="仿宋_GB2312" w:cs="Arial Narrow"/>
        </w:rPr>
        <w:t>日，资金到位及</w:t>
      </w:r>
      <w:bookmarkStart w:id="167" w:name="_GoBack"/>
      <w:bookmarkEnd w:id="167"/>
      <w:r>
        <w:rPr>
          <w:rFonts w:hint="default" w:ascii="Arial Narrow" w:hAnsi="Arial Narrow" w:eastAsia="仿宋_GB2312" w:cs="Arial Narrow"/>
        </w:rPr>
        <w:t>时未影响项目进度。</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2、过程。项目过程评价得分为1</w:t>
      </w:r>
      <w:r>
        <w:rPr>
          <w:rFonts w:hint="default" w:ascii="Arial Narrow" w:hAnsi="Arial Narrow" w:eastAsia="仿宋_GB2312" w:cs="Arial Narrow"/>
          <w:lang w:val="en-US" w:eastAsia="zh-CN"/>
        </w:rPr>
        <w:t>8.5</w:t>
      </w:r>
      <w:r>
        <w:rPr>
          <w:rFonts w:hint="default" w:ascii="Arial Narrow" w:hAnsi="Arial Narrow" w:eastAsia="仿宋_GB2312" w:cs="Arial Narrow"/>
        </w:rPr>
        <w:t>分，评价等级为优。项目过程指标主要从业务管理、财务管理来具体评价。业务管理方面，项目单位已制定健全的业务管理制度，如文化活动中心管理工作制度，社区志愿者服务注册招募制度等；项目实施过程遵守相关法律法规和业务管理规定；项目内容没有调整，项目责任人由于人事变动有所调整，但调整手续证明材料不够完备；项目实施单位根据点位包点包片责任手册制定了相应的项目质量要求和标准，杨园街各社区把项目验收检查工作作为项目质量标准的重要内容，加强督查检查，并采取了相应的项目质量检查、验收等必需的控制措施</w:t>
      </w:r>
      <w:r>
        <w:rPr>
          <w:rFonts w:hint="eastAsia" w:ascii="Arial Narrow" w:hAnsi="Arial Narrow" w:cs="Arial Narrow"/>
          <w:lang w:eastAsia="zh-CN"/>
        </w:rPr>
        <w:t>，</w:t>
      </w:r>
      <w:r>
        <w:rPr>
          <w:rFonts w:hint="eastAsia" w:ascii="Arial Narrow" w:hAnsi="Arial Narrow" w:cs="Arial Narrow"/>
          <w:lang w:val="en-US" w:eastAsia="zh-CN"/>
        </w:rPr>
        <w:t>将</w:t>
      </w:r>
      <w:r>
        <w:rPr>
          <w:rFonts w:hint="default" w:ascii="Arial Narrow" w:hAnsi="Arial Narrow" w:eastAsia="仿宋_GB2312" w:cs="Arial Narrow"/>
        </w:rPr>
        <w:t>职责划分，责任到人</w:t>
      </w:r>
      <w:r>
        <w:rPr>
          <w:rFonts w:hint="eastAsia" w:ascii="Arial Narrow" w:hAnsi="Arial Narrow" w:cs="Arial Narrow"/>
          <w:lang w:eastAsia="zh-CN"/>
        </w:rPr>
        <w:t>。</w:t>
      </w:r>
      <w:r>
        <w:rPr>
          <w:rFonts w:hint="eastAsia" w:ascii="Arial Narrow" w:hAnsi="Arial Narrow" w:cs="Arial Narrow"/>
          <w:lang w:val="en-US" w:eastAsia="zh-CN"/>
        </w:rPr>
        <w:t>财务管理方面，</w:t>
      </w:r>
      <w:r>
        <w:rPr>
          <w:rFonts w:hint="default" w:ascii="Arial Narrow" w:hAnsi="Arial Narrow" w:eastAsia="仿宋_GB2312" w:cs="Arial Narrow"/>
        </w:rPr>
        <w:t>财务管理制度健全，</w:t>
      </w:r>
      <w:r>
        <w:rPr>
          <w:rFonts w:hint="default" w:ascii="Arial Narrow" w:hAnsi="Arial Narrow" w:eastAsia="仿宋_GB2312" w:cs="Arial Narrow"/>
          <w:lang w:eastAsia="zh-CN"/>
        </w:rPr>
        <w:t>项目单位制定了《杨园街2017年财务管理办法》对项目资金政府采购、自己审批、报销审批、票据管理等进行了具体说明，且符合相关财务会计制度的规定；但缺乏文明创建专项资金使用管理办法或未明确文明创建经费的支出方向。</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3、产出。项目产出评价得分为</w:t>
      </w:r>
      <w:r>
        <w:rPr>
          <w:rFonts w:hint="default" w:ascii="Arial Narrow" w:hAnsi="Arial Narrow" w:eastAsia="仿宋_GB2312" w:cs="Arial Narrow"/>
          <w:lang w:val="en-US" w:eastAsia="zh-CN"/>
        </w:rPr>
        <w:t>29.5</w:t>
      </w:r>
      <w:r>
        <w:rPr>
          <w:rFonts w:hint="default" w:ascii="Arial Narrow" w:hAnsi="Arial Narrow" w:eastAsia="仿宋_GB2312" w:cs="Arial Narrow"/>
        </w:rPr>
        <w:t>分，评价等级为</w:t>
      </w:r>
      <w:r>
        <w:rPr>
          <w:rFonts w:hint="default" w:ascii="Arial Narrow" w:hAnsi="Arial Narrow" w:eastAsia="仿宋_GB2312" w:cs="Arial Narrow"/>
          <w:lang w:eastAsia="zh-CN"/>
        </w:rPr>
        <w:t>良</w:t>
      </w:r>
      <w:r>
        <w:rPr>
          <w:rFonts w:hint="default" w:ascii="Arial Narrow" w:hAnsi="Arial Narrow" w:eastAsia="仿宋_GB2312" w:cs="Arial Narrow"/>
        </w:rPr>
        <w:t>。项目产出方面主要评价</w:t>
      </w:r>
      <w:r>
        <w:rPr>
          <w:rFonts w:hint="default" w:ascii="Arial Narrow" w:hAnsi="Arial Narrow" w:eastAsia="仿宋_GB2312" w:cs="Arial Narrow"/>
          <w:lang w:eastAsia="zh-CN"/>
        </w:rPr>
        <w:t>文明过马路劝导活动覆盖率</w:t>
      </w:r>
      <w:r>
        <w:rPr>
          <w:rFonts w:hint="default" w:ascii="Arial Narrow" w:hAnsi="Arial Narrow" w:eastAsia="仿宋_GB2312" w:cs="Arial Narrow"/>
        </w:rPr>
        <w:t>、</w:t>
      </w:r>
      <w:r>
        <w:rPr>
          <w:rFonts w:hint="default" w:ascii="Arial Narrow" w:hAnsi="Arial Narrow" w:eastAsia="仿宋_GB2312" w:cs="Arial Narrow"/>
          <w:lang w:eastAsia="zh-CN"/>
        </w:rPr>
        <w:t>节日</w:t>
      </w:r>
      <w:r>
        <w:rPr>
          <w:rFonts w:hint="default" w:ascii="Arial Narrow" w:hAnsi="Arial Narrow" w:eastAsia="仿宋_GB2312" w:cs="Arial Narrow"/>
        </w:rPr>
        <w:t>活动完成率、城市文明程度测评指数、志愿者注册比例、志愿者参与度、完成及时率、资金使用率。项目实施单位在友谊大道徐东大街路口、友谊大道才华街路口、铁机路路口、和四美塘公交站台4个站点开展文明过马路志愿劝导活动，文明过马路劝导活动覆盖率为26.67%</w:t>
      </w:r>
      <w:r>
        <w:rPr>
          <w:rFonts w:hint="default" w:ascii="Arial Narrow" w:hAnsi="Arial Narrow" w:eastAsia="仿宋_GB2312" w:cs="Arial Narrow"/>
          <w:lang w:eastAsia="zh-CN"/>
        </w:rPr>
        <w:t>；项目实施单位计划开展节日活动70场左右，实际开展节日活动70余场，节日活动完成率达100%；</w:t>
      </w:r>
      <w:r>
        <w:rPr>
          <w:rFonts w:hint="default" w:ascii="Arial Narrow" w:hAnsi="Arial Narrow" w:eastAsia="仿宋_GB2312" w:cs="Arial Narrow"/>
        </w:rPr>
        <w:t>2017年度武昌区文明办对街道进行了9次测评，全年平均分9</w:t>
      </w:r>
      <w:r>
        <w:rPr>
          <w:rFonts w:hint="default" w:ascii="Arial Narrow" w:hAnsi="Arial Narrow" w:eastAsia="仿宋_GB2312" w:cs="Arial Narrow"/>
          <w:lang w:val="en-US" w:eastAsia="zh-CN"/>
        </w:rPr>
        <w:t>1.89</w:t>
      </w:r>
      <w:r>
        <w:rPr>
          <w:rFonts w:hint="default" w:ascii="Arial Narrow" w:hAnsi="Arial Narrow" w:eastAsia="仿宋_GB2312" w:cs="Arial Narrow"/>
        </w:rPr>
        <w:t>；</w:t>
      </w:r>
      <w:r>
        <w:rPr>
          <w:rFonts w:hint="default" w:ascii="Arial Narrow" w:hAnsi="Arial Narrow" w:eastAsia="仿宋_GB2312" w:cs="Arial Narrow"/>
          <w:lang w:eastAsia="zh-CN"/>
        </w:rPr>
        <w:t>杨园</w:t>
      </w:r>
      <w:r>
        <w:rPr>
          <w:rFonts w:hint="default" w:ascii="Arial Narrow" w:hAnsi="Arial Narrow" w:eastAsia="仿宋_GB2312" w:cs="Arial Narrow"/>
        </w:rPr>
        <w:t>街志愿者注册比例为</w:t>
      </w:r>
      <w:r>
        <w:rPr>
          <w:rFonts w:hint="default" w:ascii="Arial Narrow" w:hAnsi="Arial Narrow" w:eastAsia="仿宋_GB2312" w:cs="Arial Narrow"/>
          <w:lang w:val="en-US" w:eastAsia="zh-CN"/>
        </w:rPr>
        <w:t>12.09%</w:t>
      </w:r>
      <w:r>
        <w:rPr>
          <w:rFonts w:hint="default" w:ascii="Arial Narrow" w:hAnsi="Arial Narrow" w:eastAsia="仿宋_GB2312" w:cs="Arial Narrow"/>
        </w:rPr>
        <w:t>，志愿者的参与度为</w:t>
      </w:r>
      <w:r>
        <w:rPr>
          <w:rFonts w:hint="default" w:ascii="Arial Narrow" w:hAnsi="Arial Narrow" w:eastAsia="仿宋_GB2312" w:cs="Arial Narrow"/>
          <w:lang w:val="en-US" w:eastAsia="zh-CN"/>
        </w:rPr>
        <w:t>132.34</w:t>
      </w:r>
      <w:r>
        <w:rPr>
          <w:rFonts w:hint="default" w:ascii="Arial Narrow" w:hAnsi="Arial Narrow" w:eastAsia="仿宋_GB2312" w:cs="Arial Narrow"/>
        </w:rPr>
        <w:t xml:space="preserve">%；资金使用率为100%，项目能按时完成。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4、效果。项目效果评价得分为3</w:t>
      </w:r>
      <w:r>
        <w:rPr>
          <w:rFonts w:hint="default" w:ascii="Arial Narrow" w:hAnsi="Arial Narrow" w:eastAsia="仿宋_GB2312" w:cs="Arial Narrow"/>
          <w:lang w:val="en-US" w:eastAsia="zh-CN"/>
        </w:rPr>
        <w:t>7</w:t>
      </w:r>
      <w:r>
        <w:rPr>
          <w:rFonts w:hint="default" w:ascii="Arial Narrow" w:hAnsi="Arial Narrow" w:eastAsia="仿宋_GB2312" w:cs="Arial Narrow"/>
        </w:rPr>
        <w:t>分，评价等级为优。该指标主要通过宣传方式多样性、群众知晓率、志愿服务活动重点与内容、可持续性、活动丰富程度和服务对象满意度六个方面反映项目实施后所产生的社会效益及服务对象的受益程度。项目实施后，文明创建活动宣传形式主要为发放宣传物资、宣传公益广告、宣传单、街道宣传栏、显示屏等，宣传方式具有多样性，群众知晓率达到</w:t>
      </w:r>
      <w:r>
        <w:rPr>
          <w:rFonts w:hint="default" w:ascii="Arial Narrow" w:hAnsi="Arial Narrow" w:eastAsia="仿宋_GB2312" w:cs="Arial Narrow"/>
          <w:lang w:val="en-US" w:eastAsia="zh-CN"/>
        </w:rPr>
        <w:t>68.33</w:t>
      </w:r>
      <w:r>
        <w:rPr>
          <w:rFonts w:hint="default" w:ascii="Arial Narrow" w:hAnsi="Arial Narrow" w:eastAsia="仿宋_GB2312" w:cs="Arial Narrow"/>
        </w:rPr>
        <w:t>%；项目实施单位主要开展了以关爱残疾人、空巢老人、困难职工、进城务工人员和留守儿童为主题的“邻里守望”志愿服务活动、志愿者义务劳动活动等，志愿服务活动丰富多样；项目实施单位下设文明创建工作办公室，项目由办公室、财务部共同负责组织实施，办公室配备充足人手进行项目跟踪管理，保障可持续性。同时，2017年区里为街道专门配备了协管员协助文明创建工作的开展；志愿者服务活动与文明创建工作相关，且活动丰富；服务对象满意度达到</w:t>
      </w:r>
      <w:r>
        <w:rPr>
          <w:rFonts w:hint="default" w:ascii="Arial Narrow" w:hAnsi="Arial Narrow" w:eastAsia="仿宋_GB2312" w:cs="Arial Narrow"/>
          <w:lang w:val="en-US" w:eastAsia="zh-CN"/>
        </w:rPr>
        <w:t>86.67</w:t>
      </w:r>
      <w:r>
        <w:rPr>
          <w:rFonts w:hint="default" w:ascii="Arial Narrow" w:hAnsi="Arial Narrow" w:eastAsia="仿宋_GB2312" w:cs="Arial Narrow"/>
        </w:rPr>
        <w:t>%。</w:t>
      </w:r>
    </w:p>
    <w:p>
      <w:pPr>
        <w:pStyle w:val="2"/>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Arial Narrow" w:hAnsi="Arial Narrow" w:eastAsia="仿宋_GB2312" w:cs="Arial Narrow"/>
          <w:kern w:val="2"/>
          <w:sz w:val="24"/>
          <w:szCs w:val="24"/>
          <w:highlight w:val="none"/>
        </w:rPr>
      </w:pPr>
      <w:bookmarkStart w:id="136" w:name="_Toc478501053"/>
      <w:bookmarkStart w:id="137" w:name="_Toc513828354"/>
      <w:r>
        <w:rPr>
          <w:rFonts w:hint="default" w:ascii="Arial Narrow" w:hAnsi="Arial Narrow" w:eastAsia="仿宋_GB2312" w:cs="Arial Narrow"/>
          <w:kern w:val="2"/>
          <w:sz w:val="24"/>
          <w:szCs w:val="24"/>
          <w:highlight w:val="none"/>
        </w:rPr>
        <w:t>五、</w:t>
      </w:r>
      <w:bookmarkEnd w:id="131"/>
      <w:bookmarkEnd w:id="132"/>
      <w:bookmarkEnd w:id="133"/>
      <w:bookmarkEnd w:id="134"/>
      <w:r>
        <w:rPr>
          <w:rFonts w:hint="default" w:ascii="Arial Narrow" w:hAnsi="Arial Narrow" w:eastAsia="仿宋_GB2312" w:cs="Arial Narrow"/>
          <w:kern w:val="2"/>
          <w:sz w:val="24"/>
          <w:szCs w:val="24"/>
          <w:highlight w:val="none"/>
        </w:rPr>
        <w:t>主要经验及做法、存在的问题和建议</w:t>
      </w:r>
      <w:bookmarkEnd w:id="135"/>
      <w:bookmarkEnd w:id="136"/>
      <w:bookmarkEnd w:id="137"/>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38" w:name="_Toc513828355"/>
      <w:bookmarkStart w:id="139" w:name="_Toc406668055"/>
      <w:bookmarkStart w:id="140" w:name="_Toc478501054"/>
      <w:bookmarkStart w:id="141" w:name="_Toc387957830"/>
      <w:bookmarkStart w:id="142" w:name="_Toc27928"/>
      <w:bookmarkStart w:id="143" w:name="_Toc361304706"/>
      <w:bookmarkStart w:id="144" w:name="_Toc406666381"/>
      <w:r>
        <w:rPr>
          <w:rFonts w:hint="default" w:ascii="Arial Narrow" w:hAnsi="Arial Narrow" w:eastAsia="仿宋_GB2312" w:cs="Arial Narrow"/>
          <w:sz w:val="24"/>
          <w:szCs w:val="24"/>
          <w:lang w:val="en-US" w:eastAsia="zh-CN"/>
        </w:rPr>
        <w:t>（一）主要经验及做法</w:t>
      </w:r>
      <w:bookmarkEnd w:id="138"/>
      <w:bookmarkEnd w:id="139"/>
      <w:bookmarkEnd w:id="140"/>
      <w:bookmarkEnd w:id="141"/>
      <w:bookmarkEnd w:id="142"/>
      <w:bookmarkEnd w:id="143"/>
      <w:bookmarkEnd w:id="144"/>
    </w:p>
    <w:p>
      <w:pPr>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firstLine="480" w:firstLineChars="200"/>
        <w:textAlignment w:val="auto"/>
        <w:outlineLvl w:val="9"/>
        <w:rPr>
          <w:rFonts w:hint="default" w:ascii="Arial Narrow" w:hAnsi="Arial Narrow" w:eastAsia="仿宋_GB2312" w:cs="Arial Narrow"/>
          <w:sz w:val="24"/>
          <w:szCs w:val="24"/>
          <w:lang w:val="en-US" w:eastAsia="zh-CN"/>
        </w:rPr>
      </w:pPr>
      <w:bookmarkStart w:id="145" w:name="_Toc16696"/>
      <w:bookmarkStart w:id="146" w:name="_Toc406668056"/>
      <w:bookmarkStart w:id="147" w:name="_Toc406666382"/>
      <w:bookmarkStart w:id="148" w:name="_Toc478501059"/>
      <w:bookmarkStart w:id="149" w:name="_Toc387957833"/>
      <w:r>
        <w:rPr>
          <w:rFonts w:hint="default" w:ascii="Arial Narrow" w:hAnsi="Arial Narrow" w:eastAsia="仿宋_GB2312" w:cs="Arial Narrow"/>
          <w:sz w:val="24"/>
          <w:szCs w:val="24"/>
        </w:rPr>
        <w:t>2017年是全国文明城市复查关键之年，</w:t>
      </w:r>
      <w:r>
        <w:rPr>
          <w:rFonts w:hint="default" w:ascii="Arial Narrow" w:hAnsi="Arial Narrow" w:eastAsia="仿宋_GB2312" w:cs="Arial Narrow"/>
          <w:sz w:val="24"/>
          <w:szCs w:val="24"/>
          <w:lang w:val="en-US" w:eastAsia="zh-CN"/>
        </w:rPr>
        <w:t>杨园</w:t>
      </w:r>
      <w:r>
        <w:rPr>
          <w:rFonts w:hint="default" w:ascii="Arial Narrow" w:hAnsi="Arial Narrow" w:eastAsia="仿宋_GB2312" w:cs="Arial Narrow"/>
          <w:sz w:val="24"/>
          <w:szCs w:val="24"/>
        </w:rPr>
        <w:t>街文明办围绕这一中心任务，</w:t>
      </w:r>
      <w:r>
        <w:rPr>
          <w:rFonts w:hint="eastAsia" w:ascii="Arial Narrow" w:hAnsi="Arial Narrow" w:cs="Arial Narrow"/>
          <w:sz w:val="24"/>
          <w:szCs w:val="24"/>
          <w:lang w:eastAsia="zh-CN"/>
        </w:rPr>
        <w:t>深入</w:t>
      </w:r>
      <w:r>
        <w:rPr>
          <w:rFonts w:hint="default" w:ascii="Arial Narrow" w:hAnsi="Arial Narrow" w:eastAsia="仿宋_GB2312" w:cs="Arial Narrow"/>
          <w:sz w:val="24"/>
          <w:szCs w:val="24"/>
        </w:rPr>
        <w:t>贯彻省、市、区各项工作要求，以问题为导向、以行动为抓手、抓重点、攻难点、开展了扎实有效的工作，较好地完成了各项工作任务。一是落实文明创建常态化工作，提高文明程度指数,迎接全国文明检查；二是深入开展“讲文明、树新风”宣传教育主题实践活动</w:t>
      </w:r>
      <w:r>
        <w:rPr>
          <w:rFonts w:hint="default" w:ascii="Arial Narrow" w:hAnsi="Arial Narrow" w:eastAsia="仿宋_GB2312" w:cs="Arial Narrow"/>
          <w:sz w:val="24"/>
          <w:szCs w:val="24"/>
          <w:lang w:eastAsia="zh-CN"/>
        </w:rPr>
        <w:t>；</w:t>
      </w:r>
      <w:r>
        <w:rPr>
          <w:rFonts w:hint="default" w:ascii="Arial Narrow" w:hAnsi="Arial Narrow" w:eastAsia="仿宋_GB2312" w:cs="Arial Narrow"/>
          <w:sz w:val="24"/>
          <w:szCs w:val="24"/>
          <w:lang w:val="en-US" w:eastAsia="zh-CN"/>
        </w:rPr>
        <w:t>三是落实文明创建重点工作。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50" w:name="_Toc513828356"/>
      <w:r>
        <w:rPr>
          <w:rFonts w:hint="default" w:ascii="Arial Narrow" w:hAnsi="Arial Narrow" w:eastAsia="仿宋_GB2312" w:cs="Arial Narrow"/>
          <w:sz w:val="24"/>
          <w:szCs w:val="24"/>
          <w:lang w:val="en-US" w:eastAsia="zh-CN"/>
        </w:rPr>
        <w:t>（二）存在的主要问题</w:t>
      </w:r>
      <w:bookmarkEnd w:id="145"/>
      <w:bookmarkEnd w:id="146"/>
      <w:bookmarkEnd w:id="147"/>
      <w:r>
        <w:rPr>
          <w:rFonts w:hint="default" w:ascii="Arial Narrow" w:hAnsi="Arial Narrow" w:eastAsia="仿宋_GB2312" w:cs="Arial Narrow"/>
          <w:sz w:val="24"/>
          <w:szCs w:val="24"/>
          <w:lang w:val="en-US" w:eastAsia="zh-CN"/>
        </w:rPr>
        <w:t>概述</w:t>
      </w:r>
      <w:bookmarkEnd w:id="148"/>
      <w:bookmarkEnd w:id="150"/>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bookmarkStart w:id="151" w:name="_Toc28128"/>
      <w:bookmarkStart w:id="152" w:name="_Toc478501063"/>
      <w:r>
        <w:rPr>
          <w:rFonts w:hint="default" w:ascii="Arial Narrow" w:hAnsi="Arial Narrow" w:eastAsia="仿宋_GB2312" w:cs="Arial Narrow"/>
          <w:sz w:val="24"/>
          <w:szCs w:val="24"/>
        </w:rPr>
        <w:t>1、</w:t>
      </w:r>
      <w:r>
        <w:rPr>
          <w:rFonts w:hint="default" w:ascii="Arial Narrow" w:hAnsi="Arial Narrow" w:eastAsia="仿宋_GB2312" w:cs="Arial Narrow"/>
          <w:sz w:val="24"/>
          <w:szCs w:val="24"/>
          <w:lang w:val="en-US" w:eastAsia="zh-CN"/>
        </w:rPr>
        <w:t>绩效指标</w:t>
      </w:r>
      <w:r>
        <w:rPr>
          <w:rFonts w:hint="default" w:ascii="Arial Narrow" w:hAnsi="Arial Narrow" w:eastAsia="仿宋_GB2312" w:cs="Arial Narrow"/>
          <w:sz w:val="24"/>
          <w:szCs w:val="24"/>
        </w:rPr>
        <w:t>体系不完善。项目实施单位虽对组织街道党员干部集中学习、开展学习活动、加强群众性精神文明创建、志愿者注册情况制定了年度总体目标任务，但未将项目目标细化成具体的绩效指标。</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lang w:val="en-US" w:eastAsia="zh-CN"/>
        </w:rPr>
      </w:pPr>
      <w:r>
        <w:rPr>
          <w:rFonts w:hint="default" w:ascii="Arial Narrow" w:hAnsi="Arial Narrow" w:eastAsia="仿宋_GB2312" w:cs="Arial Narrow"/>
        </w:rPr>
        <w:t>2、</w:t>
      </w:r>
      <w:r>
        <w:rPr>
          <w:rFonts w:hint="default" w:ascii="Arial Narrow" w:hAnsi="Arial Narrow" w:eastAsia="仿宋_GB2312" w:cs="Arial Narrow"/>
          <w:lang w:val="en-US" w:eastAsia="zh-CN"/>
        </w:rPr>
        <w:t>文明过马路劝导活动覆盖率不高</w:t>
      </w:r>
      <w:r>
        <w:rPr>
          <w:rFonts w:hint="default" w:ascii="Arial Narrow" w:hAnsi="Arial Narrow" w:eastAsia="仿宋_GB2312" w:cs="Arial Narrow"/>
        </w:rPr>
        <w:t>。杨园街志愿服务活动项目统计表显示街道、社区共15个，实际在友谊大道徐东大街路口、友谊大道才华街路口、铁机路路口、和四美塘公交站台4个站点开展文明过马路志愿劝导活动，文明过马路劝导活动覆盖率为26.67%</w:t>
      </w:r>
      <w:r>
        <w:rPr>
          <w:rFonts w:hint="default" w:ascii="Arial Narrow" w:hAnsi="Arial Narrow" w:eastAsia="仿宋_GB2312" w:cs="Arial Narrow"/>
          <w:lang w:eastAsia="zh-CN"/>
        </w:rPr>
        <w:t>，</w:t>
      </w:r>
      <w:r>
        <w:rPr>
          <w:rFonts w:hint="default" w:ascii="Arial Narrow" w:hAnsi="Arial Narrow" w:eastAsia="仿宋_GB2312" w:cs="Arial Narrow"/>
          <w:lang w:val="en-US" w:eastAsia="zh-CN"/>
        </w:rPr>
        <w:t>覆盖率不高。</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r>
        <w:rPr>
          <w:rFonts w:hint="default" w:ascii="Arial Narrow" w:hAnsi="Arial Narrow" w:eastAsia="仿宋_GB2312" w:cs="Arial Narrow"/>
        </w:rPr>
        <w:t>3、未制定具体明确的资金分配管理办法。项目主要依据《杨园街2017年财务管理办法》进行资金核算，但未制定具体的项目资金管理办法，也未明确资金分配办法，不利于保障项目资金的规范使用。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53" w:name="_Toc513828357"/>
      <w:r>
        <w:rPr>
          <w:rFonts w:hint="default" w:ascii="Arial Narrow" w:hAnsi="Arial Narrow" w:eastAsia="仿宋_GB2312" w:cs="Arial Narrow"/>
          <w:sz w:val="24"/>
          <w:szCs w:val="24"/>
          <w:lang w:val="en-US" w:eastAsia="zh-CN"/>
        </w:rPr>
        <w:t>（三）</w:t>
      </w:r>
      <w:bookmarkEnd w:id="149"/>
      <w:bookmarkEnd w:id="151"/>
      <w:bookmarkStart w:id="154" w:name="_Toc387957834"/>
      <w:r>
        <w:rPr>
          <w:rFonts w:hint="default" w:ascii="Arial Narrow" w:hAnsi="Arial Narrow" w:eastAsia="仿宋_GB2312" w:cs="Arial Narrow"/>
          <w:sz w:val="24"/>
          <w:szCs w:val="24"/>
          <w:lang w:val="en-US" w:eastAsia="zh-CN"/>
        </w:rPr>
        <w:t>管理建议概述</w:t>
      </w:r>
      <w:bookmarkEnd w:id="152"/>
      <w:bookmarkEnd w:id="153"/>
    </w:p>
    <w:bookmarkEnd w:id="154"/>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Arial Narrow" w:hAnsi="Arial Narrow" w:eastAsia="仿宋_GB2312" w:cs="Arial Narrow"/>
        </w:rPr>
      </w:pPr>
      <w:bookmarkStart w:id="155" w:name="_Toc12671"/>
      <w:bookmarkStart w:id="156" w:name="_Toc387957836"/>
      <w:bookmarkStart w:id="157" w:name="_Toc5673"/>
      <w:bookmarkStart w:id="158" w:name="_Toc406666387"/>
      <w:bookmarkStart w:id="159" w:name="_Toc478501068"/>
      <w:bookmarkStart w:id="160" w:name="_Toc406668061"/>
      <w:r>
        <w:rPr>
          <w:rFonts w:hint="default" w:ascii="Arial Narrow" w:hAnsi="Arial Narrow" w:eastAsia="仿宋_GB2312" w:cs="Arial Narrow"/>
        </w:rPr>
        <w:t xml:space="preserve"> 1、完善项目</w:t>
      </w:r>
      <w:r>
        <w:rPr>
          <w:rFonts w:hint="default" w:ascii="Arial Narrow" w:hAnsi="Arial Narrow" w:eastAsia="仿宋_GB2312" w:cs="Arial Narrow"/>
          <w:lang w:val="en-US" w:eastAsia="zh-CN"/>
        </w:rPr>
        <w:t>绩效指标</w:t>
      </w:r>
      <w:r>
        <w:rPr>
          <w:rFonts w:hint="default" w:ascii="Arial Narrow" w:hAnsi="Arial Narrow" w:eastAsia="仿宋_GB2312" w:cs="Arial Narrow"/>
        </w:rPr>
        <w:t>体系。项目实施单位应根据绩效指标体系将总体目标细化成具体的绩效指标，并根据项目实施特点与目标，探索项目个性化指标，促进绩效评价工作的规范化。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Arial Narrow" w:hAnsi="Arial Narrow" w:eastAsia="仿宋_GB2312" w:cs="Arial Narrow"/>
          <w:color w:val="000000" w:themeColor="text1"/>
          <w:lang w:val="en-US" w:eastAsia="zh-CN"/>
          <w14:textFill>
            <w14:solidFill>
              <w14:schemeClr w14:val="tx1"/>
            </w14:solidFill>
          </w14:textFill>
        </w:rPr>
      </w:pPr>
      <w:r>
        <w:rPr>
          <w:rFonts w:hint="default" w:ascii="Arial Narrow" w:hAnsi="Arial Narrow" w:eastAsia="仿宋_GB2312" w:cs="Arial Narrow"/>
        </w:rPr>
        <w:t>2、</w:t>
      </w:r>
      <w:r>
        <w:rPr>
          <w:rFonts w:hint="default" w:ascii="Arial Narrow" w:hAnsi="Arial Narrow" w:eastAsia="仿宋_GB2312" w:cs="Arial Narrow"/>
          <w:lang w:val="en-US" w:eastAsia="zh-CN"/>
        </w:rPr>
        <w:t>扩大文明过马路劝导活动的范围</w:t>
      </w:r>
      <w:r>
        <w:rPr>
          <w:rFonts w:hint="default" w:ascii="Arial Narrow" w:hAnsi="Arial Narrow" w:eastAsia="仿宋_GB2312" w:cs="Arial Narrow"/>
          <w:color w:val="000000" w:themeColor="text1"/>
          <w14:textFill>
            <w14:solidFill>
              <w14:schemeClr w14:val="tx1"/>
            </w14:solidFill>
          </w14:textFill>
        </w:rPr>
        <w:t>。</w:t>
      </w:r>
      <w:r>
        <w:rPr>
          <w:rFonts w:hint="default" w:ascii="Arial Narrow" w:hAnsi="Arial Narrow" w:eastAsia="仿宋_GB2312" w:cs="Arial Narrow"/>
          <w:color w:val="000000" w:themeColor="text1"/>
          <w:lang w:val="en-US" w:eastAsia="zh-CN"/>
          <w14:textFill>
            <w14:solidFill>
              <w14:schemeClr w14:val="tx1"/>
            </w14:solidFill>
          </w14:textFill>
        </w:rPr>
        <w:t>项目实施单位应配备充足人手尽可能在街道的辖区范围内全面的开展</w:t>
      </w:r>
      <w:r>
        <w:rPr>
          <w:rFonts w:hint="default" w:ascii="Arial Narrow" w:hAnsi="Arial Narrow" w:eastAsia="仿宋_GB2312" w:cs="Arial Narrow"/>
          <w:lang w:val="en-US" w:eastAsia="zh-CN"/>
        </w:rPr>
        <w:t>文明过马路劝导活动，将“讲文明、树新风”理念进一步落实推广。</w:t>
      </w:r>
      <w:r>
        <w:rPr>
          <w:rFonts w:hint="default" w:ascii="Arial Narrow" w:hAnsi="Arial Narrow" w:eastAsia="仿宋_GB2312" w:cs="Arial Narrow"/>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Arial Narrow" w:hAnsi="Arial Narrow" w:eastAsia="仿宋_GB2312" w:cs="Arial Narrow"/>
        </w:rPr>
      </w:pPr>
      <w:r>
        <w:rPr>
          <w:rFonts w:hint="default" w:ascii="Arial Narrow" w:hAnsi="Arial Narrow" w:eastAsia="仿宋_GB2312" w:cs="Arial Narrow"/>
        </w:rPr>
        <w:t>3、</w:t>
      </w:r>
      <w:r>
        <w:rPr>
          <w:rFonts w:hint="default" w:ascii="Arial Narrow" w:hAnsi="Arial Narrow" w:eastAsia="仿宋_GB2312" w:cs="Arial Narrow"/>
          <w:lang w:val="en-US" w:eastAsia="zh-CN"/>
        </w:rPr>
        <w:t>制定项目</w:t>
      </w:r>
      <w:r>
        <w:rPr>
          <w:rFonts w:hint="default" w:ascii="Arial Narrow" w:hAnsi="Arial Narrow" w:eastAsia="仿宋_GB2312" w:cs="Arial Narrow"/>
        </w:rPr>
        <w:t>资金管理办法。在《管理办法》中应完善资金分配办法，明确资金使用分配对象及具体资金分配标准，做到“资金谁使用，使用多少“两个方面合理化、标准化，便于进一步保障资金使用的合规性、合理性。</w:t>
      </w:r>
    </w:p>
    <w:p>
      <w:pPr>
        <w:pStyle w:val="2"/>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Arial Narrow" w:hAnsi="Arial Narrow" w:eastAsia="仿宋_GB2312" w:cs="Arial Narrow"/>
          <w:kern w:val="2"/>
          <w:sz w:val="24"/>
          <w:szCs w:val="24"/>
        </w:rPr>
      </w:pPr>
      <w:bookmarkStart w:id="161" w:name="_Toc513828358"/>
      <w:r>
        <w:rPr>
          <w:rFonts w:hint="default" w:ascii="Arial Narrow" w:hAnsi="Arial Narrow" w:eastAsia="仿宋_GB2312" w:cs="Arial Narrow"/>
          <w:kern w:val="2"/>
          <w:sz w:val="24"/>
          <w:szCs w:val="24"/>
        </w:rPr>
        <w:t>六、其他需说明的问题</w:t>
      </w:r>
      <w:bookmarkEnd w:id="155"/>
      <w:bookmarkEnd w:id="161"/>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62" w:name="_Toc6580"/>
      <w:bookmarkStart w:id="163" w:name="_Toc513828359"/>
      <w:r>
        <w:rPr>
          <w:rFonts w:hint="default" w:ascii="Arial Narrow" w:hAnsi="Arial Narrow" w:eastAsia="仿宋_GB2312" w:cs="Arial Narrow"/>
          <w:sz w:val="24"/>
          <w:szCs w:val="24"/>
          <w:lang w:val="en-US" w:eastAsia="zh-CN"/>
        </w:rPr>
        <w:t>（一）关于评价责任的说明</w:t>
      </w:r>
      <w:bookmarkEnd w:id="162"/>
      <w:bookmarkEnd w:id="163"/>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Arial Narrow" w:hAnsi="Arial Narrow" w:eastAsia="仿宋_GB2312" w:cs="Arial Narrow"/>
        </w:rPr>
      </w:pPr>
      <w:r>
        <w:rPr>
          <w:rFonts w:hint="default" w:ascii="Arial Narrow" w:hAnsi="Arial Narrow" w:eastAsia="仿宋_GB2312" w:cs="Arial Narrow"/>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ind w:left="120" w:leftChars="0" w:firstLine="482" w:firstLineChars="200"/>
        <w:textAlignment w:val="auto"/>
        <w:rPr>
          <w:rFonts w:hint="default" w:ascii="Arial Narrow" w:hAnsi="Arial Narrow" w:eastAsia="仿宋_GB2312" w:cs="Arial Narrow"/>
          <w:sz w:val="24"/>
          <w:szCs w:val="24"/>
          <w:lang w:val="en-US" w:eastAsia="zh-CN"/>
        </w:rPr>
      </w:pPr>
      <w:bookmarkStart w:id="164" w:name="_Toc17876"/>
      <w:bookmarkStart w:id="165" w:name="_Toc513828360"/>
      <w:r>
        <w:rPr>
          <w:rFonts w:hint="default" w:ascii="Arial Narrow" w:hAnsi="Arial Narrow" w:eastAsia="仿宋_GB2312" w:cs="Arial Narrow"/>
          <w:sz w:val="24"/>
          <w:szCs w:val="24"/>
          <w:lang w:val="en-US" w:eastAsia="zh-CN"/>
        </w:rPr>
        <w:t>（二）关于本项目评价中局限性的说明</w:t>
      </w:r>
      <w:bookmarkEnd w:id="164"/>
      <w:bookmarkEnd w:id="165"/>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Arial Narrow" w:hAnsi="Arial Narrow" w:eastAsia="仿宋_GB2312" w:cs="Arial Narrow"/>
        </w:rPr>
      </w:pPr>
      <w:r>
        <w:rPr>
          <w:rFonts w:hint="default" w:ascii="Arial Narrow" w:hAnsi="Arial Narrow" w:eastAsia="仿宋_GB2312" w:cs="Arial Narrow"/>
        </w:rPr>
        <w:t>1、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Arial Narrow" w:hAnsi="Arial Narrow" w:eastAsia="仿宋_GB2312" w:cs="Arial Narrow"/>
        </w:rPr>
      </w:pPr>
      <w:r>
        <w:rPr>
          <w:rFonts w:hint="default" w:ascii="Arial Narrow" w:hAnsi="Arial Narrow" w:eastAsia="仿宋_GB2312" w:cs="Arial Narrow"/>
        </w:rPr>
        <w:t>2、本项目是经常性的资金使用项目，而且专业性较强。受具体参加本次项目的评价人员的专业能力的影响，对专业指标设定的全面性以及问题、建议提出的专业性可能存在一定的局限性。</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Arial Narrow" w:hAnsi="Arial Narrow" w:eastAsia="仿宋_GB2312" w:cs="Arial Narrow"/>
        </w:rPr>
      </w:pPr>
      <w:r>
        <w:rPr>
          <w:rFonts w:hint="default" w:ascii="Arial Narrow" w:hAnsi="Arial Narrow" w:eastAsia="仿宋_GB2312" w:cs="Arial Narrow"/>
        </w:rPr>
        <w:t>3、本次评价项目数据是基于街道统计的，涉及范围较广、数据多，无法一一核实其真实性，因此可能对结果的准确性产生一定的影响。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default" w:ascii="Arial Narrow" w:hAnsi="Arial Narrow" w:eastAsia="仿宋_GB2312" w:cs="Arial Narrow"/>
        </w:rPr>
      </w:pPr>
      <w:r>
        <w:rPr>
          <w:rFonts w:hint="default" w:ascii="Arial Narrow" w:hAnsi="Arial Narrow" w:eastAsia="仿宋_GB2312" w:cs="Arial Narrow"/>
        </w:rPr>
        <w:t>4、对于绩效评价框架中的部分定性指标，无法根据量化的数据评价并得出分数，评议结果主要依据评价人员的职业判断。</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Arial Narrow" w:hAnsi="Arial Narrow" w:cs="Arial Narrow"/>
        </w:rPr>
      </w:pPr>
      <w:r>
        <w:rPr>
          <w:rFonts w:hint="default" w:ascii="Arial Narrow" w:hAnsi="Arial Narrow" w:eastAsia="仿宋_GB2312" w:cs="Arial Narrow"/>
        </w:rPr>
        <w:t>5、群众知晓率和服务对象满意度，我们主要采取发放问卷调查的方式进行的，本次绩效评价我们对</w:t>
      </w:r>
      <w:r>
        <w:rPr>
          <w:rFonts w:hint="default" w:ascii="Arial Narrow" w:hAnsi="Arial Narrow" w:eastAsia="仿宋_GB2312" w:cs="Arial Narrow"/>
          <w:lang w:eastAsia="zh-CN"/>
        </w:rPr>
        <w:t>杨园</w:t>
      </w:r>
      <w:r>
        <w:rPr>
          <w:rFonts w:hint="default" w:ascii="Arial Narrow" w:hAnsi="Arial Narrow" w:eastAsia="仿宋_GB2312" w:cs="Arial Narrow"/>
        </w:rPr>
        <w:t>街所辖社区的居民进行问卷调查，收集的信息存在一定的局限性和片面性，可能会导致统计性偏差，对评价结果产生一定的影响。</w:t>
      </w:r>
    </w:p>
    <w:p>
      <w:pPr>
        <w:pStyle w:val="2"/>
        <w:keepNext w:val="0"/>
        <w:keepLines w:val="0"/>
        <w:rPr>
          <w:rFonts w:ascii="Arial Narrow" w:hAnsi="Arial Narrow" w:cs="Arial Narrow"/>
          <w:kern w:val="2"/>
          <w:sz w:val="24"/>
          <w:szCs w:val="24"/>
        </w:rPr>
      </w:pPr>
      <w:bookmarkStart w:id="166" w:name="_Toc513828361"/>
    </w:p>
    <w:p>
      <w:pPr>
        <w:pStyle w:val="2"/>
        <w:keepNext w:val="0"/>
        <w:keepLines w:val="0"/>
        <w:rPr>
          <w:rFonts w:hint="default" w:ascii="Arial Narrow" w:hAnsi="Arial Narrow" w:eastAsia="仿宋_GB2312" w:cs="Arial Narrow"/>
          <w:kern w:val="2"/>
          <w:sz w:val="24"/>
          <w:szCs w:val="24"/>
        </w:rPr>
      </w:pPr>
      <w:r>
        <w:rPr>
          <w:rFonts w:hint="default" w:ascii="Arial Narrow" w:hAnsi="Arial Narrow" w:eastAsia="仿宋_GB2312" w:cs="Arial Narrow"/>
          <w:kern w:val="2"/>
          <w:sz w:val="24"/>
          <w:szCs w:val="24"/>
        </w:rPr>
        <w:t>附件</w:t>
      </w:r>
      <w:bookmarkEnd w:id="156"/>
      <w:r>
        <w:rPr>
          <w:rFonts w:hint="default" w:ascii="Arial Narrow" w:hAnsi="Arial Narrow" w:eastAsia="仿宋_GB2312" w:cs="Arial Narrow"/>
          <w:kern w:val="2"/>
          <w:sz w:val="24"/>
          <w:szCs w:val="24"/>
        </w:rPr>
        <w:t>：</w:t>
      </w:r>
      <w:bookmarkEnd w:id="157"/>
      <w:bookmarkEnd w:id="158"/>
      <w:bookmarkEnd w:id="159"/>
      <w:bookmarkEnd w:id="160"/>
      <w:bookmarkEnd w:id="166"/>
    </w:p>
    <w:p>
      <w:pPr>
        <w:ind w:firstLine="480"/>
        <w:jc w:val="left"/>
        <w:rPr>
          <w:rFonts w:hint="default" w:ascii="Arial Narrow" w:hAnsi="Arial Narrow" w:eastAsia="仿宋_GB2312" w:cs="Arial Narrow"/>
        </w:rPr>
      </w:pPr>
      <w:r>
        <w:rPr>
          <w:rFonts w:hint="default" w:ascii="Arial Narrow" w:hAnsi="Arial Narrow" w:eastAsia="仿宋_GB2312" w:cs="Arial Narrow"/>
        </w:rPr>
        <w:t>1：项目绩效评价评分表及说明</w:t>
      </w:r>
    </w:p>
    <w:p>
      <w:pPr>
        <w:ind w:firstLine="480"/>
        <w:jc w:val="left"/>
        <w:rPr>
          <w:rFonts w:hint="default" w:ascii="Arial Narrow" w:hAnsi="Arial Narrow" w:eastAsia="仿宋_GB2312" w:cs="Arial Narrow"/>
        </w:rPr>
      </w:pPr>
      <w:r>
        <w:rPr>
          <w:rFonts w:hint="default" w:ascii="Arial Narrow" w:hAnsi="Arial Narrow" w:eastAsia="仿宋_GB2312" w:cs="Arial Narrow"/>
        </w:rPr>
        <w:t>2：绩效目标完成情况对比表</w:t>
      </w:r>
    </w:p>
    <w:p>
      <w:pPr>
        <w:ind w:firstLine="480"/>
        <w:jc w:val="left"/>
        <w:rPr>
          <w:rFonts w:hint="default" w:ascii="Arial Narrow" w:hAnsi="Arial Narrow" w:eastAsia="仿宋_GB2312" w:cs="Arial Narrow"/>
        </w:rPr>
      </w:pPr>
      <w:r>
        <w:rPr>
          <w:rFonts w:hint="default" w:ascii="Arial Narrow" w:hAnsi="Arial Narrow" w:eastAsia="仿宋_GB2312" w:cs="Arial Narrow"/>
        </w:rPr>
        <w:t>3：基础数据表</w:t>
      </w:r>
    </w:p>
    <w:p>
      <w:pPr>
        <w:ind w:firstLine="480"/>
        <w:jc w:val="left"/>
        <w:rPr>
          <w:rFonts w:hint="default" w:ascii="Arial Narrow" w:hAnsi="Arial Narrow" w:eastAsia="仿宋_GB2312" w:cs="Arial Narrow"/>
        </w:rPr>
      </w:pPr>
      <w:r>
        <w:rPr>
          <w:rFonts w:hint="default" w:ascii="Arial Narrow" w:hAnsi="Arial Narrow" w:eastAsia="仿宋_GB2312" w:cs="Arial Narrow"/>
        </w:rPr>
        <w:t>4：访谈大纲</w:t>
      </w:r>
    </w:p>
    <w:p>
      <w:pPr>
        <w:ind w:firstLine="480"/>
        <w:jc w:val="left"/>
        <w:rPr>
          <w:rFonts w:hint="default" w:ascii="Arial Narrow" w:hAnsi="Arial Narrow" w:eastAsia="仿宋_GB2312" w:cs="Arial Narrow"/>
        </w:rPr>
      </w:pPr>
      <w:r>
        <w:rPr>
          <w:rFonts w:hint="default" w:ascii="Arial Narrow" w:hAnsi="Arial Narrow" w:eastAsia="仿宋_GB2312" w:cs="Arial Narrow"/>
        </w:rPr>
        <w:t>5：访谈记录</w:t>
      </w:r>
    </w:p>
    <w:p>
      <w:pPr>
        <w:ind w:firstLine="480"/>
        <w:jc w:val="left"/>
        <w:rPr>
          <w:rFonts w:hint="default" w:ascii="Arial Narrow" w:hAnsi="Arial Narrow" w:eastAsia="仿宋_GB2312" w:cs="Arial Narrow"/>
        </w:rPr>
      </w:pPr>
      <w:r>
        <w:rPr>
          <w:rFonts w:hint="default" w:ascii="Arial Narrow" w:hAnsi="Arial Narrow" w:eastAsia="仿宋_GB2312" w:cs="Arial Narrow"/>
        </w:rPr>
        <w:t>6：调查问卷</w:t>
      </w:r>
    </w:p>
    <w:p>
      <w:pPr>
        <w:ind w:firstLine="480"/>
        <w:jc w:val="left"/>
        <w:rPr>
          <w:rFonts w:hint="default" w:ascii="Arial Narrow" w:hAnsi="Arial Narrow" w:eastAsia="仿宋_GB2312" w:cs="Arial Narrow"/>
        </w:rPr>
      </w:pPr>
      <w:r>
        <w:rPr>
          <w:rFonts w:hint="default" w:ascii="Arial Narrow" w:hAnsi="Arial Narrow" w:eastAsia="仿宋_GB2312" w:cs="Arial Narrow"/>
        </w:rPr>
        <w:t>7：调查问卷分析</w:t>
      </w:r>
    </w:p>
    <w:p>
      <w:pPr>
        <w:ind w:firstLine="480"/>
        <w:jc w:val="left"/>
        <w:rPr>
          <w:rFonts w:hint="default" w:ascii="Arial Narrow" w:hAnsi="Arial Narrow" w:eastAsia="仿宋_GB2312" w:cs="Arial Narrow"/>
        </w:rPr>
      </w:pPr>
      <w:r>
        <w:rPr>
          <w:rFonts w:hint="default" w:ascii="Arial Narrow" w:hAnsi="Arial Narrow" w:eastAsia="仿宋_GB2312" w:cs="Arial Narrow"/>
        </w:rPr>
        <w:t>8：评价现场照片</w:t>
      </w:r>
    </w:p>
    <w:p>
      <w:pPr>
        <w:ind w:firstLine="480"/>
        <w:jc w:val="left"/>
        <w:rPr>
          <w:rFonts w:hint="default" w:ascii="Arial Narrow" w:hAnsi="Arial Narrow" w:eastAsia="仿宋_GB2312" w:cs="Arial Narrow"/>
        </w:rPr>
      </w:pPr>
      <w:r>
        <w:rPr>
          <w:rFonts w:hint="default" w:ascii="Arial Narrow" w:hAnsi="Arial Narrow" w:eastAsia="仿宋_GB2312" w:cs="Arial Narrow"/>
        </w:rPr>
        <w:t>9：绩效评价实施方案</w:t>
      </w:r>
    </w:p>
    <w:p>
      <w:pPr>
        <w:ind w:firstLine="480"/>
        <w:jc w:val="left"/>
        <w:rPr>
          <w:rFonts w:hint="default" w:ascii="Arial Narrow" w:hAnsi="Arial Narrow" w:eastAsia="仿宋_GB2312" w:cs="Arial Narrow"/>
        </w:rPr>
      </w:pPr>
      <w:r>
        <w:rPr>
          <w:rFonts w:hint="default" w:ascii="Arial Narrow" w:hAnsi="Arial Narrow" w:eastAsia="仿宋_GB2312" w:cs="Arial Narrow"/>
        </w:rPr>
        <w:t>10:</w:t>
      </w:r>
      <w:r>
        <w:rPr>
          <w:rFonts w:hint="eastAsia" w:ascii="Arial Narrow" w:hAnsi="Arial Narrow" w:cs="Arial Narrow"/>
          <w:lang w:eastAsia="zh-CN"/>
        </w:rPr>
        <w:t>：</w:t>
      </w:r>
      <w:r>
        <w:rPr>
          <w:rFonts w:hint="default" w:ascii="Arial Narrow" w:hAnsi="Arial Narrow" w:eastAsia="仿宋_GB2312" w:cs="Arial Narrow"/>
        </w:rPr>
        <w:t>其他支持评价结论的相关资料</w:t>
      </w:r>
    </w:p>
    <w:p>
      <w:pPr>
        <w:ind w:firstLine="480"/>
        <w:jc w:val="left"/>
        <w:rPr>
          <w:rFonts w:hint="default" w:ascii="Arial Narrow" w:hAnsi="Arial Narrow" w:eastAsia="仿宋_GB2312" w:cs="Arial Narrow"/>
        </w:rPr>
      </w:pPr>
      <w:r>
        <w:rPr>
          <w:rFonts w:hint="default" w:ascii="Arial Narrow" w:hAnsi="Arial Narrow" w:eastAsia="仿宋_GB2312" w:cs="Arial Narrow"/>
        </w:rPr>
        <w:t>11</w:t>
      </w:r>
      <w:r>
        <w:rPr>
          <w:rFonts w:hint="eastAsia" w:ascii="Arial Narrow" w:hAnsi="Arial Narrow" w:cs="Arial Narrow"/>
          <w:lang w:eastAsia="zh-CN"/>
        </w:rPr>
        <w:t>：</w:t>
      </w:r>
      <w:r>
        <w:rPr>
          <w:rFonts w:hint="default" w:ascii="Arial Narrow" w:hAnsi="Arial Narrow" w:eastAsia="仿宋_GB2312" w:cs="Arial Narrow"/>
        </w:rPr>
        <w:t>评价机构营业执照（复印件）</w:t>
      </w:r>
    </w:p>
    <w:p>
      <w:pPr>
        <w:ind w:firstLine="480"/>
        <w:jc w:val="left"/>
        <w:rPr>
          <w:rFonts w:hint="default" w:ascii="Arial Narrow" w:hAnsi="Arial Narrow" w:eastAsia="仿宋_GB2312" w:cs="Arial Narrow"/>
        </w:rPr>
      </w:pPr>
      <w:r>
        <w:rPr>
          <w:rFonts w:hint="default" w:ascii="Arial Narrow" w:hAnsi="Arial Narrow" w:eastAsia="仿宋_GB2312" w:cs="Arial Narrow"/>
        </w:rPr>
        <w:t>12</w:t>
      </w:r>
      <w:r>
        <w:rPr>
          <w:rFonts w:hint="eastAsia" w:ascii="Arial Narrow" w:hAnsi="Arial Narrow" w:cs="Arial Narrow"/>
          <w:lang w:eastAsia="zh-CN"/>
        </w:rPr>
        <w:t>：</w:t>
      </w:r>
      <w:r>
        <w:rPr>
          <w:rFonts w:hint="default" w:ascii="Arial Narrow" w:hAnsi="Arial Narrow" w:eastAsia="仿宋_GB2312" w:cs="Arial Narrow"/>
        </w:rPr>
        <w:t>相关评价人员执业证明文件（复印件）</w:t>
      </w:r>
    </w:p>
    <w:p>
      <w:pPr>
        <w:snapToGrid w:val="0"/>
        <w:ind w:firstLine="480"/>
        <w:rPr>
          <w:rFonts w:hint="default" w:ascii="Arial Narrow" w:hAnsi="Arial Narrow" w:eastAsia="仿宋_GB2312" w:cs="Arial Narrow"/>
          <w:color w:val="FF0000"/>
        </w:rPr>
      </w:pPr>
    </w:p>
    <w:p>
      <w:pPr>
        <w:snapToGrid w:val="0"/>
        <w:ind w:firstLine="480"/>
        <w:rPr>
          <w:rFonts w:ascii="Arial Narrow" w:hAnsi="Arial Narrow" w:cs="Arial Narrow"/>
          <w:color w:val="FF0000"/>
        </w:rPr>
      </w:pPr>
    </w:p>
    <w:p>
      <w:pPr>
        <w:snapToGrid w:val="0"/>
        <w:ind w:firstLine="480"/>
        <w:rPr>
          <w:rFonts w:ascii="Arial Narrow" w:hAnsi="Arial Narrow" w:cs="Arial Narrow"/>
          <w:color w:val="FF0000"/>
        </w:rPr>
      </w:pPr>
    </w:p>
    <w:p>
      <w:pPr>
        <w:snapToGrid w:val="0"/>
        <w:ind w:firstLine="480"/>
        <w:jc w:val="right"/>
        <w:rPr>
          <w:rFonts w:ascii="Arial Narrow" w:hAnsi="Arial Narrow" w:cs="Arial Narrow"/>
        </w:rPr>
      </w:pPr>
      <w:r>
        <w:rPr>
          <w:rFonts w:hint="eastAsia" w:ascii="Arial Narrow" w:hAnsi="Arial Narrow" w:cs="Arial Narrow"/>
        </w:rPr>
        <w:t>致同会计师事务所（特殊普通合伙）武汉分所</w:t>
      </w:r>
    </w:p>
    <w:p>
      <w:pPr>
        <w:snapToGrid w:val="0"/>
        <w:ind w:firstLine="480"/>
        <w:jc w:val="right"/>
        <w:rPr>
          <w:rFonts w:ascii="Arial Narrow" w:hAnsi="Arial Narrow" w:cs="Arial Narrow"/>
        </w:rPr>
      </w:pPr>
      <w:r>
        <w:rPr>
          <w:rFonts w:hint="eastAsia" w:ascii="Arial Narrow" w:hAnsi="Arial Narrow" w:cs="Arial Narrow"/>
        </w:rPr>
        <w:t>2018年5月25日</w:t>
      </w:r>
    </w:p>
    <w:p>
      <w:pPr>
        <w:snapToGrid w:val="0"/>
        <w:ind w:firstLine="480"/>
        <w:rPr>
          <w:rFonts w:ascii="Arial Narrow" w:hAnsi="Arial Narrow" w:cs="Arial Narrow"/>
          <w:color w:val="FF0000"/>
        </w:rPr>
      </w:pPr>
    </w:p>
    <w:p>
      <w:pPr>
        <w:snapToGrid w:val="0"/>
        <w:ind w:firstLine="480"/>
        <w:rPr>
          <w:rFonts w:ascii="Arial Narrow" w:hAnsi="Arial Narrow" w:cs="Arial Narrow"/>
          <w:color w:val="FF0000"/>
        </w:rPr>
      </w:pPr>
    </w:p>
    <w:p>
      <w:pPr>
        <w:snapToGrid w:val="0"/>
        <w:ind w:firstLine="480"/>
        <w:rPr>
          <w:rFonts w:ascii="Arial Narrow" w:hAnsi="Arial Narrow" w:cs="Arial Narrow"/>
          <w:color w:val="FF0000"/>
        </w:rPr>
      </w:pPr>
    </w:p>
    <w:p>
      <w:pPr>
        <w:snapToGrid w:val="0"/>
        <w:ind w:firstLine="6720" w:firstLineChars="2800"/>
        <w:rPr>
          <w:rFonts w:ascii="Arial Narrow" w:hAnsi="Arial Narrow" w:cs="Arial Narrow"/>
          <w:color w:val="FF0000"/>
        </w:rPr>
      </w:pPr>
    </w:p>
    <w:sectPr>
      <w:footerReference r:id="rId13" w:type="default"/>
      <w:pgSz w:w="11906" w:h="16838"/>
      <w:pgMar w:top="2835" w:right="1418" w:bottom="1418" w:left="1985" w:header="2041" w:footer="1134" w:gutter="0"/>
      <w:pgNumType w:fmt="decimal"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Arial Narrow" w:hAnsi="Arial Narrow" w:eastAsia="仿宋_GB2312" w:cs="Arial Narrow"/>
                              <w:sz w:val="20"/>
                              <w:szCs w:val="20"/>
                              <w:lang w:eastAsia="zh-CN"/>
                            </w:rPr>
                          </w:pPr>
                          <w:r>
                            <w:rPr>
                              <w:rFonts w:hint="default" w:ascii="Arial Narrow" w:hAnsi="Arial Narrow" w:cs="Arial Narrow"/>
                              <w:sz w:val="20"/>
                              <w:szCs w:val="20"/>
                              <w:lang w:eastAsia="zh-CN"/>
                            </w:rPr>
                            <w:fldChar w:fldCharType="begin"/>
                          </w:r>
                          <w:r>
                            <w:rPr>
                              <w:rFonts w:hint="default" w:ascii="Arial Narrow" w:hAnsi="Arial Narrow" w:cs="Arial Narrow"/>
                              <w:sz w:val="20"/>
                              <w:szCs w:val="20"/>
                              <w:lang w:eastAsia="zh-CN"/>
                            </w:rPr>
                            <w:instrText xml:space="preserve"> PAGE  \* MERGEFORMAT </w:instrText>
                          </w:r>
                          <w:r>
                            <w:rPr>
                              <w:rFonts w:hint="default" w:ascii="Arial Narrow" w:hAnsi="Arial Narrow" w:cs="Arial Narrow"/>
                              <w:sz w:val="20"/>
                              <w:szCs w:val="20"/>
                              <w:lang w:eastAsia="zh-CN"/>
                            </w:rPr>
                            <w:fldChar w:fldCharType="separate"/>
                          </w:r>
                          <w:r>
                            <w:rPr>
                              <w:rFonts w:hint="default" w:ascii="Arial Narrow" w:hAnsi="Arial Narrow" w:cs="Arial Narrow"/>
                              <w:sz w:val="20"/>
                              <w:szCs w:val="20"/>
                              <w:lang w:eastAsia="zh-CN"/>
                            </w:rPr>
                            <w:t>1</w:t>
                          </w:r>
                          <w:r>
                            <w:rPr>
                              <w:rFonts w:hint="default" w:ascii="Arial Narrow" w:hAnsi="Arial Narrow" w:cs="Arial Narrow"/>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ascii="Arial Narrow" w:hAnsi="Arial Narrow" w:eastAsia="仿宋_GB2312" w:cs="Arial Narrow"/>
                        <w:sz w:val="20"/>
                        <w:szCs w:val="20"/>
                        <w:lang w:eastAsia="zh-CN"/>
                      </w:rPr>
                    </w:pPr>
                    <w:r>
                      <w:rPr>
                        <w:rFonts w:hint="default" w:ascii="Arial Narrow" w:hAnsi="Arial Narrow" w:cs="Arial Narrow"/>
                        <w:sz w:val="20"/>
                        <w:szCs w:val="20"/>
                        <w:lang w:eastAsia="zh-CN"/>
                      </w:rPr>
                      <w:fldChar w:fldCharType="begin"/>
                    </w:r>
                    <w:r>
                      <w:rPr>
                        <w:rFonts w:hint="default" w:ascii="Arial Narrow" w:hAnsi="Arial Narrow" w:cs="Arial Narrow"/>
                        <w:sz w:val="20"/>
                        <w:szCs w:val="20"/>
                        <w:lang w:eastAsia="zh-CN"/>
                      </w:rPr>
                      <w:instrText xml:space="preserve"> PAGE  \* MERGEFORMAT </w:instrText>
                    </w:r>
                    <w:r>
                      <w:rPr>
                        <w:rFonts w:hint="default" w:ascii="Arial Narrow" w:hAnsi="Arial Narrow" w:cs="Arial Narrow"/>
                        <w:sz w:val="20"/>
                        <w:szCs w:val="20"/>
                        <w:lang w:eastAsia="zh-CN"/>
                      </w:rPr>
                      <w:fldChar w:fldCharType="separate"/>
                    </w:r>
                    <w:r>
                      <w:rPr>
                        <w:rFonts w:hint="default" w:ascii="Arial Narrow" w:hAnsi="Arial Narrow" w:cs="Arial Narrow"/>
                        <w:sz w:val="20"/>
                        <w:szCs w:val="20"/>
                        <w:lang w:eastAsia="zh-CN"/>
                      </w:rPr>
                      <w:t>1</w:t>
                    </w:r>
                    <w:r>
                      <w:rPr>
                        <w:rFonts w:hint="default" w:ascii="Arial Narrow" w:hAnsi="Arial Narrow" w:cs="Arial Narrow"/>
                        <w:sz w:val="20"/>
                        <w:szCs w:val="2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drawing>
        <wp:anchor distT="0" distB="0" distL="114300" distR="114300" simplePos="0" relativeHeight="251661312" behindDoc="0" locked="0" layoutInCell="1" allowOverlap="1">
          <wp:simplePos x="0" y="0"/>
          <wp:positionH relativeFrom="page">
            <wp:posOffset>1047750</wp:posOffset>
          </wp:positionH>
          <wp:positionV relativeFrom="page">
            <wp:posOffset>575310</wp:posOffset>
          </wp:positionV>
          <wp:extent cx="2200275" cy="653415"/>
          <wp:effectExtent l="0" t="0" r="9525" b="6985"/>
          <wp:wrapNone/>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
                  <a:stretch>
                    <a:fillRect/>
                  </a:stretch>
                </pic:blipFill>
                <pic:spPr>
                  <a:xfrm>
                    <a:off x="0" y="0"/>
                    <a:ext cx="2200275" cy="653415"/>
                  </a:xfrm>
                  <a:prstGeom prst="rect">
                    <a:avLst/>
                  </a:prstGeom>
                  <a:noFill/>
                  <a:ln w="9525">
                    <a:noFill/>
                  </a:ln>
                </pic:spPr>
              </pic:pic>
            </a:graphicData>
          </a:graphic>
        </wp:anchor>
      </w:drawing>
    </w:r>
    <w:r>
      <w:rPr>
        <w:rFonts w:ascii="Calibri" w:hAnsi="Calibri" w:eastAsia="黑体" w:cs="黑体"/>
        <w:b/>
        <w:sz w:val="14"/>
        <w:szCs w:val="14"/>
      </w:rPr>
      <mc:AlternateContent>
        <mc:Choice Requires="wps">
          <w:drawing>
            <wp:anchor distT="0" distB="0" distL="114300" distR="114300" simplePos="0" relativeHeight="251659264"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2" name="文本框 26"/>
              <wp:cNvGraphicFramePr/>
              <a:graphic xmlns:a="http://schemas.openxmlformats.org/drawingml/2006/main">
                <a:graphicData uri="http://schemas.microsoft.com/office/word/2010/wordprocessingShape">
                  <wps:wsp>
                    <wps:cNvSpPr/>
                    <wps:spPr>
                      <a:xfrm>
                        <a:off x="0" y="0"/>
                        <a:ext cx="1906905" cy="945515"/>
                      </a:xfrm>
                      <a:prstGeom prst="rect">
                        <a:avLst/>
                      </a:prstGeom>
                      <a:noFill/>
                      <a:ln w="9525">
                        <a:noFill/>
                      </a:ln>
                    </wps:spPr>
                    <wps:txbx>
                      <w:txbxContent>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致同会计师事务所（特殊普通合伙）</w:t>
                          </w:r>
                        </w:p>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武汉分所</w:t>
                          </w:r>
                        </w:p>
                        <w:p>
                          <w:pPr>
                            <w:spacing w:line="240" w:lineRule="auto"/>
                            <w:ind w:left="281" w:leftChars="115" w:hanging="5" w:hangingChars="4"/>
                            <w:rPr>
                              <w:rFonts w:ascii="Arial Narrow" w:hAnsi="Arial Narrow" w:eastAsia="黑体" w:cs="Arial Narrow"/>
                              <w:sz w:val="14"/>
                              <w:szCs w:val="14"/>
                            </w:rPr>
                          </w:pPr>
                          <w:r>
                            <w:rPr>
                              <w:rFonts w:ascii="Arial Narrow" w:hAnsi="Arial Narrow" w:eastAsia="黑体" w:cs="Arial Narrow"/>
                              <w:sz w:val="14"/>
                              <w:szCs w:val="14"/>
                            </w:rPr>
                            <w:t>中国武汉武昌区中北路58号汉街总部国际E座29层邮编430071</w:t>
                          </w:r>
                        </w:p>
                        <w:p>
                          <w:pPr>
                            <w:spacing w:line="240" w:lineRule="auto"/>
                            <w:ind w:firstLine="280"/>
                            <w:rPr>
                              <w:rFonts w:ascii="Arial Narrow" w:hAnsi="Arial Narrow" w:eastAsia="黑体" w:cs="Arial Narrow"/>
                              <w:sz w:val="14"/>
                              <w:szCs w:val="14"/>
                            </w:rPr>
                          </w:pPr>
                          <w:r>
                            <w:rPr>
                              <w:rFonts w:ascii="Arial Narrow" w:hAnsi="Arial Narrow" w:eastAsia="黑体" w:cs="Arial Narrow"/>
                              <w:sz w:val="14"/>
                              <w:szCs w:val="14"/>
                            </w:rPr>
                            <w:t>电话 +86 27 87819677</w:t>
                          </w:r>
                        </w:p>
                        <w:p>
                          <w:pPr>
                            <w:ind w:firstLine="280"/>
                            <w:rPr>
                              <w:rFonts w:ascii="Arial Narrow" w:hAnsi="Arial Narrow" w:eastAsia="黑体" w:cs="Arial Narrow"/>
                              <w:sz w:val="14"/>
                              <w:szCs w:val="14"/>
                            </w:rPr>
                          </w:pPr>
                          <w:r>
                            <w:rPr>
                              <w:rFonts w:ascii="Arial Narrow" w:hAnsi="Arial Narrow" w:eastAsia="黑体" w:cs="Arial Narrow"/>
                              <w:sz w:val="14"/>
                              <w:szCs w:val="14"/>
                            </w:rPr>
                            <w:t>传真 +86 27 87812377</w:t>
                          </w:r>
                        </w:p>
                        <w:p/>
                      </w:txbxContent>
                    </wps:txbx>
                    <wps:bodyPr upright="1"/>
                  </wps:wsp>
                </a:graphicData>
              </a:graphic>
            </wp:anchor>
          </w:drawing>
        </mc:Choice>
        <mc:Fallback>
          <w:pict>
            <v:rect id="文本框 26" o:spid="_x0000_s1026" o:spt="1" style="position:absolute;left:0pt;margin-left:359.05pt;margin-top:39.95pt;height:74.45pt;width:150.15pt;mso-position-horizontal-relative:page;mso-position-vertical-relative:page;z-index:251659264;mso-width-relative:page;mso-height-relative:page;" filled="f" stroked="f" coordsize="21600,21600"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MzDw2wAAAAsBAAAPAAAAAAAAAAEAIAAAACIAAABkcnMvZG93bnJldi54bWxQSwECFAAUAAAACACH&#10;TuJAOth3Aa8BAABOAwAADgAAAAAAAAABACAAAAAqAQAAZHJzL2Uyb0RvYy54bWxQSwUGAAAAAAYA&#10;BgBZAQAASwUAAAAA&#10;">
              <v:fill on="f" focussize="0,0"/>
              <v:stroke on="f"/>
              <v:imagedata o:title=""/>
              <o:lock v:ext="edit" aspectratio="f"/>
              <v:textbox>
                <w:txbxContent>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致同会计师事务所（特殊普通合伙）</w:t>
                    </w:r>
                  </w:p>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武汉分所</w:t>
                    </w:r>
                  </w:p>
                  <w:p>
                    <w:pPr>
                      <w:spacing w:line="240" w:lineRule="auto"/>
                      <w:ind w:left="281" w:leftChars="115" w:hanging="5" w:hangingChars="4"/>
                      <w:rPr>
                        <w:rFonts w:ascii="Arial Narrow" w:hAnsi="Arial Narrow" w:eastAsia="黑体" w:cs="Arial Narrow"/>
                        <w:sz w:val="14"/>
                        <w:szCs w:val="14"/>
                      </w:rPr>
                    </w:pPr>
                    <w:r>
                      <w:rPr>
                        <w:rFonts w:ascii="Arial Narrow" w:hAnsi="Arial Narrow" w:eastAsia="黑体" w:cs="Arial Narrow"/>
                        <w:sz w:val="14"/>
                        <w:szCs w:val="14"/>
                      </w:rPr>
                      <w:t>中国武汉武昌区中北路58号汉街总部国际E座29层邮编430071</w:t>
                    </w:r>
                  </w:p>
                  <w:p>
                    <w:pPr>
                      <w:spacing w:line="240" w:lineRule="auto"/>
                      <w:ind w:firstLine="280"/>
                      <w:rPr>
                        <w:rFonts w:ascii="Arial Narrow" w:hAnsi="Arial Narrow" w:eastAsia="黑体" w:cs="Arial Narrow"/>
                        <w:sz w:val="14"/>
                        <w:szCs w:val="14"/>
                      </w:rPr>
                    </w:pPr>
                    <w:r>
                      <w:rPr>
                        <w:rFonts w:ascii="Arial Narrow" w:hAnsi="Arial Narrow" w:eastAsia="黑体" w:cs="Arial Narrow"/>
                        <w:sz w:val="14"/>
                        <w:szCs w:val="14"/>
                      </w:rPr>
                      <w:t>电话 +86 27 87819677</w:t>
                    </w:r>
                  </w:p>
                  <w:p>
                    <w:pPr>
                      <w:ind w:firstLine="280"/>
                      <w:rPr>
                        <w:rFonts w:ascii="Arial Narrow" w:hAnsi="Arial Narrow" w:eastAsia="黑体" w:cs="Arial Narrow"/>
                        <w:sz w:val="14"/>
                        <w:szCs w:val="14"/>
                      </w:rPr>
                    </w:pPr>
                    <w:r>
                      <w:rPr>
                        <w:rFonts w:ascii="Arial Narrow" w:hAnsi="Arial Narrow" w:eastAsia="黑体" w:cs="Arial Narrow"/>
                        <w:sz w:val="14"/>
                        <w:szCs w:val="14"/>
                      </w:rPr>
                      <w:t>传真 +86 27 87812377</w:t>
                    </w:r>
                  </w:p>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EB94B"/>
    <w:multiLevelType w:val="singleLevel"/>
    <w:tmpl w:val="8E1EB94B"/>
    <w:lvl w:ilvl="0" w:tentative="0">
      <w:start w:val="1"/>
      <w:numFmt w:val="decimal"/>
      <w:suff w:val="nothing"/>
      <w:lvlText w:val="（%1）"/>
      <w:lvlJc w:val="left"/>
    </w:lvl>
  </w:abstractNum>
  <w:abstractNum w:abstractNumId="1">
    <w:nsid w:val="9A20A199"/>
    <w:multiLevelType w:val="singleLevel"/>
    <w:tmpl w:val="9A20A199"/>
    <w:lvl w:ilvl="0" w:tentative="0">
      <w:start w:val="1"/>
      <w:numFmt w:val="decimal"/>
      <w:suff w:val="space"/>
      <w:lvlText w:val="%1."/>
      <w:lvlJc w:val="left"/>
    </w:lvl>
  </w:abstractNum>
  <w:abstractNum w:abstractNumId="2">
    <w:nsid w:val="20E0E656"/>
    <w:multiLevelType w:val="singleLevel"/>
    <w:tmpl w:val="20E0E656"/>
    <w:lvl w:ilvl="0" w:tentative="0">
      <w:start w:val="1"/>
      <w:numFmt w:val="decimal"/>
      <w:suff w:val="nothing"/>
      <w:lvlText w:val="（%1）"/>
      <w:lvlJc w:val="left"/>
    </w:lvl>
  </w:abstractNum>
  <w:abstractNum w:abstractNumId="3">
    <w:nsid w:val="38D27136"/>
    <w:multiLevelType w:val="singleLevel"/>
    <w:tmpl w:val="38D27136"/>
    <w:lvl w:ilvl="0" w:tentative="0">
      <w:start w:val="1"/>
      <w:numFmt w:val="decimal"/>
      <w:suff w:val="nothing"/>
      <w:lvlText w:val="（%1）"/>
      <w:lvlJc w:val="left"/>
    </w:lvl>
  </w:abstractNum>
  <w:abstractNum w:abstractNumId="4">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A64C39"/>
    <w:multiLevelType w:val="singleLevel"/>
    <w:tmpl w:val="4BA64C39"/>
    <w:lvl w:ilvl="0" w:tentative="0">
      <w:start w:val="1"/>
      <w:numFmt w:val="decimal"/>
      <w:suff w:val="nothing"/>
      <w:lvlText w:val="（%1）"/>
      <w:lvlJc w:val="left"/>
    </w:lvl>
  </w:abstractNum>
  <w:abstractNum w:abstractNumId="6">
    <w:nsid w:val="7F2EE6E1"/>
    <w:multiLevelType w:val="singleLevel"/>
    <w:tmpl w:val="7F2EE6E1"/>
    <w:lvl w:ilvl="0" w:tentative="0">
      <w:start w:val="1"/>
      <w:numFmt w:val="decimal"/>
      <w:suff w:val="space"/>
      <w:lvlText w:val="%1."/>
      <w:lvlJc w:val="left"/>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OGI0N2I0ZmY2NGQyNmZlMjlmMWFmMjk5ZWYzNWEifQ=="/>
  </w:docVars>
  <w:rsids>
    <w:rsidRoot w:val="00172A27"/>
    <w:rsid w:val="00002A69"/>
    <w:rsid w:val="000076FB"/>
    <w:rsid w:val="00007D6A"/>
    <w:rsid w:val="000107B2"/>
    <w:rsid w:val="00012B09"/>
    <w:rsid w:val="000153F5"/>
    <w:rsid w:val="00016011"/>
    <w:rsid w:val="000225A4"/>
    <w:rsid w:val="000231B2"/>
    <w:rsid w:val="000235EA"/>
    <w:rsid w:val="00023A50"/>
    <w:rsid w:val="000259E5"/>
    <w:rsid w:val="00027617"/>
    <w:rsid w:val="00030459"/>
    <w:rsid w:val="00034CB1"/>
    <w:rsid w:val="000368A5"/>
    <w:rsid w:val="00037160"/>
    <w:rsid w:val="00037FDA"/>
    <w:rsid w:val="00041931"/>
    <w:rsid w:val="00041DCE"/>
    <w:rsid w:val="000435FD"/>
    <w:rsid w:val="0004766A"/>
    <w:rsid w:val="00051092"/>
    <w:rsid w:val="0005129C"/>
    <w:rsid w:val="0005263F"/>
    <w:rsid w:val="00060B99"/>
    <w:rsid w:val="000647BB"/>
    <w:rsid w:val="00065443"/>
    <w:rsid w:val="00070099"/>
    <w:rsid w:val="0007044D"/>
    <w:rsid w:val="000719AD"/>
    <w:rsid w:val="00071B04"/>
    <w:rsid w:val="00071C74"/>
    <w:rsid w:val="000721E3"/>
    <w:rsid w:val="00082AA1"/>
    <w:rsid w:val="000839C4"/>
    <w:rsid w:val="00083F0C"/>
    <w:rsid w:val="000850E9"/>
    <w:rsid w:val="00086B6B"/>
    <w:rsid w:val="00087074"/>
    <w:rsid w:val="00091EE7"/>
    <w:rsid w:val="00092652"/>
    <w:rsid w:val="00092834"/>
    <w:rsid w:val="00095860"/>
    <w:rsid w:val="00097F61"/>
    <w:rsid w:val="000A2B58"/>
    <w:rsid w:val="000A38CF"/>
    <w:rsid w:val="000A59F9"/>
    <w:rsid w:val="000B0707"/>
    <w:rsid w:val="000B351B"/>
    <w:rsid w:val="000C0AC8"/>
    <w:rsid w:val="000C1B0B"/>
    <w:rsid w:val="000C2C67"/>
    <w:rsid w:val="000C4653"/>
    <w:rsid w:val="000C4C40"/>
    <w:rsid w:val="000C7932"/>
    <w:rsid w:val="000C793B"/>
    <w:rsid w:val="000D124B"/>
    <w:rsid w:val="000D1F28"/>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1AA1"/>
    <w:rsid w:val="00107C77"/>
    <w:rsid w:val="00107E2F"/>
    <w:rsid w:val="00115891"/>
    <w:rsid w:val="00117519"/>
    <w:rsid w:val="001312DF"/>
    <w:rsid w:val="00134F95"/>
    <w:rsid w:val="00140EBD"/>
    <w:rsid w:val="00142BA0"/>
    <w:rsid w:val="00143DA4"/>
    <w:rsid w:val="001441F8"/>
    <w:rsid w:val="0014542F"/>
    <w:rsid w:val="0014635D"/>
    <w:rsid w:val="00147E31"/>
    <w:rsid w:val="00152FB6"/>
    <w:rsid w:val="001542F3"/>
    <w:rsid w:val="001548CF"/>
    <w:rsid w:val="00156601"/>
    <w:rsid w:val="00157614"/>
    <w:rsid w:val="00160113"/>
    <w:rsid w:val="0016074D"/>
    <w:rsid w:val="00164900"/>
    <w:rsid w:val="001676D8"/>
    <w:rsid w:val="00172A27"/>
    <w:rsid w:val="00173694"/>
    <w:rsid w:val="0017597C"/>
    <w:rsid w:val="0018053D"/>
    <w:rsid w:val="00180C97"/>
    <w:rsid w:val="0018363A"/>
    <w:rsid w:val="001871E1"/>
    <w:rsid w:val="001907A0"/>
    <w:rsid w:val="001907BC"/>
    <w:rsid w:val="00197977"/>
    <w:rsid w:val="001A02C6"/>
    <w:rsid w:val="001A4611"/>
    <w:rsid w:val="001A6E1D"/>
    <w:rsid w:val="001A7035"/>
    <w:rsid w:val="001A71D3"/>
    <w:rsid w:val="001A7BCC"/>
    <w:rsid w:val="001B156C"/>
    <w:rsid w:val="001B206F"/>
    <w:rsid w:val="001B2C2B"/>
    <w:rsid w:val="001B564E"/>
    <w:rsid w:val="001C1AB0"/>
    <w:rsid w:val="001C6498"/>
    <w:rsid w:val="001C7FC5"/>
    <w:rsid w:val="001D4085"/>
    <w:rsid w:val="001D50A9"/>
    <w:rsid w:val="001E1192"/>
    <w:rsid w:val="001E3766"/>
    <w:rsid w:val="001E4DD7"/>
    <w:rsid w:val="001E57AC"/>
    <w:rsid w:val="001E63EB"/>
    <w:rsid w:val="001E73FF"/>
    <w:rsid w:val="001F0DE7"/>
    <w:rsid w:val="00203E55"/>
    <w:rsid w:val="00205C9D"/>
    <w:rsid w:val="002060DB"/>
    <w:rsid w:val="00206165"/>
    <w:rsid w:val="00206B01"/>
    <w:rsid w:val="00206B46"/>
    <w:rsid w:val="0020706B"/>
    <w:rsid w:val="00210939"/>
    <w:rsid w:val="002114C2"/>
    <w:rsid w:val="00214BA4"/>
    <w:rsid w:val="00220AE1"/>
    <w:rsid w:val="00224766"/>
    <w:rsid w:val="00226CA1"/>
    <w:rsid w:val="00227F82"/>
    <w:rsid w:val="002300B8"/>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7DA6"/>
    <w:rsid w:val="002706C6"/>
    <w:rsid w:val="00273665"/>
    <w:rsid w:val="0027412C"/>
    <w:rsid w:val="00275D0D"/>
    <w:rsid w:val="00280B02"/>
    <w:rsid w:val="0028633D"/>
    <w:rsid w:val="002911A7"/>
    <w:rsid w:val="00291951"/>
    <w:rsid w:val="002953EE"/>
    <w:rsid w:val="002A0822"/>
    <w:rsid w:val="002A731C"/>
    <w:rsid w:val="002A7693"/>
    <w:rsid w:val="002B55AD"/>
    <w:rsid w:val="002C012C"/>
    <w:rsid w:val="002C05DC"/>
    <w:rsid w:val="002C21EB"/>
    <w:rsid w:val="002C34F1"/>
    <w:rsid w:val="002C439E"/>
    <w:rsid w:val="002C5757"/>
    <w:rsid w:val="002C5D77"/>
    <w:rsid w:val="002D1D84"/>
    <w:rsid w:val="002E11FA"/>
    <w:rsid w:val="002E21D6"/>
    <w:rsid w:val="002E639C"/>
    <w:rsid w:val="002F1C3F"/>
    <w:rsid w:val="002F44AB"/>
    <w:rsid w:val="002F7973"/>
    <w:rsid w:val="0031024E"/>
    <w:rsid w:val="00312F11"/>
    <w:rsid w:val="003132F6"/>
    <w:rsid w:val="00315407"/>
    <w:rsid w:val="00322C3A"/>
    <w:rsid w:val="003307EC"/>
    <w:rsid w:val="003313C3"/>
    <w:rsid w:val="003363C3"/>
    <w:rsid w:val="0034018A"/>
    <w:rsid w:val="00343216"/>
    <w:rsid w:val="00344CC3"/>
    <w:rsid w:val="0034515E"/>
    <w:rsid w:val="0034677D"/>
    <w:rsid w:val="00347FD1"/>
    <w:rsid w:val="003506E6"/>
    <w:rsid w:val="00352DF8"/>
    <w:rsid w:val="00356E00"/>
    <w:rsid w:val="00362DA6"/>
    <w:rsid w:val="00362E79"/>
    <w:rsid w:val="0036466F"/>
    <w:rsid w:val="003712A9"/>
    <w:rsid w:val="00372944"/>
    <w:rsid w:val="00374FFF"/>
    <w:rsid w:val="003750CA"/>
    <w:rsid w:val="003750CC"/>
    <w:rsid w:val="0037593E"/>
    <w:rsid w:val="00376DC7"/>
    <w:rsid w:val="0038083D"/>
    <w:rsid w:val="00387964"/>
    <w:rsid w:val="0039007B"/>
    <w:rsid w:val="00390399"/>
    <w:rsid w:val="0039079D"/>
    <w:rsid w:val="003919EC"/>
    <w:rsid w:val="003920BE"/>
    <w:rsid w:val="0039236F"/>
    <w:rsid w:val="00392AA2"/>
    <w:rsid w:val="00392F5E"/>
    <w:rsid w:val="00394FAF"/>
    <w:rsid w:val="0039690B"/>
    <w:rsid w:val="003B1278"/>
    <w:rsid w:val="003C10E7"/>
    <w:rsid w:val="003C49E8"/>
    <w:rsid w:val="003C5736"/>
    <w:rsid w:val="003C6959"/>
    <w:rsid w:val="003D37E8"/>
    <w:rsid w:val="003D5E40"/>
    <w:rsid w:val="003D6BE5"/>
    <w:rsid w:val="003D7EF3"/>
    <w:rsid w:val="003D7FF0"/>
    <w:rsid w:val="003E16C4"/>
    <w:rsid w:val="003E2919"/>
    <w:rsid w:val="003E3C53"/>
    <w:rsid w:val="003E4839"/>
    <w:rsid w:val="003E6369"/>
    <w:rsid w:val="003F0641"/>
    <w:rsid w:val="003F2581"/>
    <w:rsid w:val="003F3003"/>
    <w:rsid w:val="003F4A08"/>
    <w:rsid w:val="003F546A"/>
    <w:rsid w:val="003F640B"/>
    <w:rsid w:val="003F78E3"/>
    <w:rsid w:val="004016BF"/>
    <w:rsid w:val="00402380"/>
    <w:rsid w:val="00402A12"/>
    <w:rsid w:val="0040727E"/>
    <w:rsid w:val="004100DB"/>
    <w:rsid w:val="00412C52"/>
    <w:rsid w:val="004132AE"/>
    <w:rsid w:val="0041356F"/>
    <w:rsid w:val="00414470"/>
    <w:rsid w:val="004156F2"/>
    <w:rsid w:val="0041689F"/>
    <w:rsid w:val="00417F32"/>
    <w:rsid w:val="0042114C"/>
    <w:rsid w:val="004222D3"/>
    <w:rsid w:val="00424A8D"/>
    <w:rsid w:val="004251FE"/>
    <w:rsid w:val="00432769"/>
    <w:rsid w:val="00436630"/>
    <w:rsid w:val="00436685"/>
    <w:rsid w:val="00436978"/>
    <w:rsid w:val="00437ABF"/>
    <w:rsid w:val="0044007D"/>
    <w:rsid w:val="004406CE"/>
    <w:rsid w:val="004416B6"/>
    <w:rsid w:val="00444C92"/>
    <w:rsid w:val="00444F7A"/>
    <w:rsid w:val="00446C56"/>
    <w:rsid w:val="00446E9B"/>
    <w:rsid w:val="00447CE1"/>
    <w:rsid w:val="00456499"/>
    <w:rsid w:val="00461176"/>
    <w:rsid w:val="00462DDF"/>
    <w:rsid w:val="004637D6"/>
    <w:rsid w:val="00465728"/>
    <w:rsid w:val="004720AA"/>
    <w:rsid w:val="00472D17"/>
    <w:rsid w:val="0049123B"/>
    <w:rsid w:val="00496736"/>
    <w:rsid w:val="00497DCD"/>
    <w:rsid w:val="004A4024"/>
    <w:rsid w:val="004A4C34"/>
    <w:rsid w:val="004A5982"/>
    <w:rsid w:val="004A5CFE"/>
    <w:rsid w:val="004B0A18"/>
    <w:rsid w:val="004B2A1B"/>
    <w:rsid w:val="004B2DE5"/>
    <w:rsid w:val="004B331B"/>
    <w:rsid w:val="004B6F1C"/>
    <w:rsid w:val="004C2F4D"/>
    <w:rsid w:val="004C3638"/>
    <w:rsid w:val="004C39A4"/>
    <w:rsid w:val="004C52FF"/>
    <w:rsid w:val="004D33DF"/>
    <w:rsid w:val="004D749D"/>
    <w:rsid w:val="004D7DEA"/>
    <w:rsid w:val="004E04DA"/>
    <w:rsid w:val="004E1D06"/>
    <w:rsid w:val="004E1FA4"/>
    <w:rsid w:val="004E20B1"/>
    <w:rsid w:val="004E3DAA"/>
    <w:rsid w:val="004E6203"/>
    <w:rsid w:val="004F42A1"/>
    <w:rsid w:val="004F5FA6"/>
    <w:rsid w:val="00500581"/>
    <w:rsid w:val="005041BE"/>
    <w:rsid w:val="00505DB9"/>
    <w:rsid w:val="005134B0"/>
    <w:rsid w:val="0051441E"/>
    <w:rsid w:val="005155D3"/>
    <w:rsid w:val="005233AC"/>
    <w:rsid w:val="00525692"/>
    <w:rsid w:val="00525914"/>
    <w:rsid w:val="00527E66"/>
    <w:rsid w:val="005322D0"/>
    <w:rsid w:val="00534945"/>
    <w:rsid w:val="005360A1"/>
    <w:rsid w:val="00537C3E"/>
    <w:rsid w:val="0054431F"/>
    <w:rsid w:val="00544890"/>
    <w:rsid w:val="00547FC6"/>
    <w:rsid w:val="00552615"/>
    <w:rsid w:val="005567B3"/>
    <w:rsid w:val="005632D3"/>
    <w:rsid w:val="005655D1"/>
    <w:rsid w:val="005658C9"/>
    <w:rsid w:val="00565929"/>
    <w:rsid w:val="005659EE"/>
    <w:rsid w:val="00565D9A"/>
    <w:rsid w:val="00566498"/>
    <w:rsid w:val="005708E6"/>
    <w:rsid w:val="00576B07"/>
    <w:rsid w:val="00580DF4"/>
    <w:rsid w:val="005812C2"/>
    <w:rsid w:val="00583F95"/>
    <w:rsid w:val="00596AF0"/>
    <w:rsid w:val="00597947"/>
    <w:rsid w:val="005A0AF1"/>
    <w:rsid w:val="005A1CDB"/>
    <w:rsid w:val="005A21FC"/>
    <w:rsid w:val="005A38C6"/>
    <w:rsid w:val="005A3DED"/>
    <w:rsid w:val="005B1178"/>
    <w:rsid w:val="005B159F"/>
    <w:rsid w:val="005C35AC"/>
    <w:rsid w:val="005C7BB8"/>
    <w:rsid w:val="005D07B5"/>
    <w:rsid w:val="005D24E1"/>
    <w:rsid w:val="005D2793"/>
    <w:rsid w:val="005D42EE"/>
    <w:rsid w:val="005D7826"/>
    <w:rsid w:val="005E016C"/>
    <w:rsid w:val="005E0E0C"/>
    <w:rsid w:val="005E38D2"/>
    <w:rsid w:val="005E4DF6"/>
    <w:rsid w:val="005E6A5B"/>
    <w:rsid w:val="005E6BB1"/>
    <w:rsid w:val="005E7290"/>
    <w:rsid w:val="005F072F"/>
    <w:rsid w:val="005F0A83"/>
    <w:rsid w:val="005F234F"/>
    <w:rsid w:val="005F3C50"/>
    <w:rsid w:val="0060371D"/>
    <w:rsid w:val="006047F8"/>
    <w:rsid w:val="006066A6"/>
    <w:rsid w:val="00606CC4"/>
    <w:rsid w:val="00613898"/>
    <w:rsid w:val="006138EE"/>
    <w:rsid w:val="0061452E"/>
    <w:rsid w:val="00615D9E"/>
    <w:rsid w:val="00621643"/>
    <w:rsid w:val="00624274"/>
    <w:rsid w:val="00626CD9"/>
    <w:rsid w:val="00630956"/>
    <w:rsid w:val="00636115"/>
    <w:rsid w:val="00640016"/>
    <w:rsid w:val="00641EED"/>
    <w:rsid w:val="00642106"/>
    <w:rsid w:val="00646876"/>
    <w:rsid w:val="00650DEF"/>
    <w:rsid w:val="00651741"/>
    <w:rsid w:val="00656BC8"/>
    <w:rsid w:val="0066273D"/>
    <w:rsid w:val="00662D0D"/>
    <w:rsid w:val="006642D3"/>
    <w:rsid w:val="00670803"/>
    <w:rsid w:val="006711A5"/>
    <w:rsid w:val="00676441"/>
    <w:rsid w:val="00677567"/>
    <w:rsid w:val="0068021B"/>
    <w:rsid w:val="00682BA7"/>
    <w:rsid w:val="00687B7B"/>
    <w:rsid w:val="00690E57"/>
    <w:rsid w:val="00691499"/>
    <w:rsid w:val="00692356"/>
    <w:rsid w:val="0069340D"/>
    <w:rsid w:val="006945C6"/>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31A"/>
    <w:rsid w:val="006D6DB9"/>
    <w:rsid w:val="006E149F"/>
    <w:rsid w:val="006E4514"/>
    <w:rsid w:val="006E5C42"/>
    <w:rsid w:val="006F581B"/>
    <w:rsid w:val="006F74F7"/>
    <w:rsid w:val="006F7E68"/>
    <w:rsid w:val="0070267D"/>
    <w:rsid w:val="00702AE3"/>
    <w:rsid w:val="0070567E"/>
    <w:rsid w:val="00705ADC"/>
    <w:rsid w:val="0070659F"/>
    <w:rsid w:val="0070670E"/>
    <w:rsid w:val="007148E9"/>
    <w:rsid w:val="0071663F"/>
    <w:rsid w:val="00721C9B"/>
    <w:rsid w:val="0072285B"/>
    <w:rsid w:val="00722909"/>
    <w:rsid w:val="00723249"/>
    <w:rsid w:val="00725D6A"/>
    <w:rsid w:val="007260DC"/>
    <w:rsid w:val="00726E74"/>
    <w:rsid w:val="00727EF2"/>
    <w:rsid w:val="00731661"/>
    <w:rsid w:val="0073218C"/>
    <w:rsid w:val="00733038"/>
    <w:rsid w:val="0073421A"/>
    <w:rsid w:val="00734A92"/>
    <w:rsid w:val="00734F3C"/>
    <w:rsid w:val="00737E3E"/>
    <w:rsid w:val="00740D03"/>
    <w:rsid w:val="007455A5"/>
    <w:rsid w:val="00747C3E"/>
    <w:rsid w:val="00750C7B"/>
    <w:rsid w:val="007539C1"/>
    <w:rsid w:val="00753FB8"/>
    <w:rsid w:val="007540B6"/>
    <w:rsid w:val="00756213"/>
    <w:rsid w:val="00757369"/>
    <w:rsid w:val="00760264"/>
    <w:rsid w:val="0076125E"/>
    <w:rsid w:val="007614A0"/>
    <w:rsid w:val="00766CC5"/>
    <w:rsid w:val="0076789B"/>
    <w:rsid w:val="00771519"/>
    <w:rsid w:val="0077612D"/>
    <w:rsid w:val="0078403F"/>
    <w:rsid w:val="007857C2"/>
    <w:rsid w:val="00790FEB"/>
    <w:rsid w:val="007951AE"/>
    <w:rsid w:val="007960FC"/>
    <w:rsid w:val="00796BB7"/>
    <w:rsid w:val="007A0719"/>
    <w:rsid w:val="007A1325"/>
    <w:rsid w:val="007A260C"/>
    <w:rsid w:val="007A4561"/>
    <w:rsid w:val="007B096A"/>
    <w:rsid w:val="007B59CF"/>
    <w:rsid w:val="007B5BCC"/>
    <w:rsid w:val="007B63BA"/>
    <w:rsid w:val="007B648C"/>
    <w:rsid w:val="007C0582"/>
    <w:rsid w:val="007C2929"/>
    <w:rsid w:val="007C428C"/>
    <w:rsid w:val="007C5815"/>
    <w:rsid w:val="007D0A9C"/>
    <w:rsid w:val="007D12ED"/>
    <w:rsid w:val="007D518A"/>
    <w:rsid w:val="007D6002"/>
    <w:rsid w:val="007D6060"/>
    <w:rsid w:val="007D6F8A"/>
    <w:rsid w:val="007E062F"/>
    <w:rsid w:val="007E5FF6"/>
    <w:rsid w:val="007F0CD4"/>
    <w:rsid w:val="007F15F0"/>
    <w:rsid w:val="007F3EA6"/>
    <w:rsid w:val="007F581B"/>
    <w:rsid w:val="00800E4A"/>
    <w:rsid w:val="008015DF"/>
    <w:rsid w:val="00801640"/>
    <w:rsid w:val="0080288E"/>
    <w:rsid w:val="008053EB"/>
    <w:rsid w:val="00805A0A"/>
    <w:rsid w:val="0081201D"/>
    <w:rsid w:val="00812500"/>
    <w:rsid w:val="00812ECD"/>
    <w:rsid w:val="0081473D"/>
    <w:rsid w:val="008157AE"/>
    <w:rsid w:val="008167AB"/>
    <w:rsid w:val="00820A25"/>
    <w:rsid w:val="0082440D"/>
    <w:rsid w:val="008325FA"/>
    <w:rsid w:val="00832611"/>
    <w:rsid w:val="00835356"/>
    <w:rsid w:val="00844F4F"/>
    <w:rsid w:val="008453B8"/>
    <w:rsid w:val="0084547F"/>
    <w:rsid w:val="008468CD"/>
    <w:rsid w:val="00847827"/>
    <w:rsid w:val="0085148F"/>
    <w:rsid w:val="00854541"/>
    <w:rsid w:val="008615A6"/>
    <w:rsid w:val="008616A6"/>
    <w:rsid w:val="00862075"/>
    <w:rsid w:val="00864EB1"/>
    <w:rsid w:val="008662A2"/>
    <w:rsid w:val="0087108E"/>
    <w:rsid w:val="00871DE9"/>
    <w:rsid w:val="00872E3E"/>
    <w:rsid w:val="0087340C"/>
    <w:rsid w:val="00881818"/>
    <w:rsid w:val="00885CF7"/>
    <w:rsid w:val="00886E69"/>
    <w:rsid w:val="008934FA"/>
    <w:rsid w:val="008A0F83"/>
    <w:rsid w:val="008A175E"/>
    <w:rsid w:val="008A2E40"/>
    <w:rsid w:val="008A50AE"/>
    <w:rsid w:val="008A78E2"/>
    <w:rsid w:val="008B15BE"/>
    <w:rsid w:val="008B7645"/>
    <w:rsid w:val="008C5857"/>
    <w:rsid w:val="008D0512"/>
    <w:rsid w:val="008D1468"/>
    <w:rsid w:val="008D33D6"/>
    <w:rsid w:val="008D5A00"/>
    <w:rsid w:val="008D7FE2"/>
    <w:rsid w:val="008E0EA8"/>
    <w:rsid w:val="008E32C0"/>
    <w:rsid w:val="008E5D34"/>
    <w:rsid w:val="008E5FB9"/>
    <w:rsid w:val="008F29E4"/>
    <w:rsid w:val="008F3451"/>
    <w:rsid w:val="008F5689"/>
    <w:rsid w:val="008F69BF"/>
    <w:rsid w:val="009003B0"/>
    <w:rsid w:val="009015AD"/>
    <w:rsid w:val="00903210"/>
    <w:rsid w:val="009036DE"/>
    <w:rsid w:val="0090416C"/>
    <w:rsid w:val="009043EF"/>
    <w:rsid w:val="00907956"/>
    <w:rsid w:val="0091079F"/>
    <w:rsid w:val="009153E3"/>
    <w:rsid w:val="0091597F"/>
    <w:rsid w:val="00915C75"/>
    <w:rsid w:val="009177D8"/>
    <w:rsid w:val="00921DCF"/>
    <w:rsid w:val="00923D59"/>
    <w:rsid w:val="0092464E"/>
    <w:rsid w:val="00924F4C"/>
    <w:rsid w:val="009337F2"/>
    <w:rsid w:val="00934B5A"/>
    <w:rsid w:val="00935EF8"/>
    <w:rsid w:val="0094138A"/>
    <w:rsid w:val="00946554"/>
    <w:rsid w:val="00953385"/>
    <w:rsid w:val="009536E4"/>
    <w:rsid w:val="009553EB"/>
    <w:rsid w:val="009556E8"/>
    <w:rsid w:val="00960332"/>
    <w:rsid w:val="00963C82"/>
    <w:rsid w:val="009754A1"/>
    <w:rsid w:val="00977B6C"/>
    <w:rsid w:val="00981B94"/>
    <w:rsid w:val="009850DD"/>
    <w:rsid w:val="009852EE"/>
    <w:rsid w:val="009918A8"/>
    <w:rsid w:val="00995CC6"/>
    <w:rsid w:val="009964F7"/>
    <w:rsid w:val="009A07B6"/>
    <w:rsid w:val="009A15C2"/>
    <w:rsid w:val="009A2934"/>
    <w:rsid w:val="009A3167"/>
    <w:rsid w:val="009A488C"/>
    <w:rsid w:val="009A6B01"/>
    <w:rsid w:val="009B0E77"/>
    <w:rsid w:val="009B103E"/>
    <w:rsid w:val="009B7C3D"/>
    <w:rsid w:val="009C21D3"/>
    <w:rsid w:val="009C3BDF"/>
    <w:rsid w:val="009C6399"/>
    <w:rsid w:val="009C6431"/>
    <w:rsid w:val="009C700D"/>
    <w:rsid w:val="009D117E"/>
    <w:rsid w:val="009D2C81"/>
    <w:rsid w:val="009D3BCE"/>
    <w:rsid w:val="009D4762"/>
    <w:rsid w:val="009D5648"/>
    <w:rsid w:val="009D61D3"/>
    <w:rsid w:val="009D6895"/>
    <w:rsid w:val="009D6FD8"/>
    <w:rsid w:val="009E0181"/>
    <w:rsid w:val="009E1ED3"/>
    <w:rsid w:val="009E3A09"/>
    <w:rsid w:val="009F0897"/>
    <w:rsid w:val="009F4E7B"/>
    <w:rsid w:val="009F5345"/>
    <w:rsid w:val="009F53C2"/>
    <w:rsid w:val="009F58A2"/>
    <w:rsid w:val="009F6F50"/>
    <w:rsid w:val="00A00406"/>
    <w:rsid w:val="00A0057C"/>
    <w:rsid w:val="00A0210F"/>
    <w:rsid w:val="00A036EA"/>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4428"/>
    <w:rsid w:val="00A44C1F"/>
    <w:rsid w:val="00A46DAF"/>
    <w:rsid w:val="00A47C58"/>
    <w:rsid w:val="00A529A1"/>
    <w:rsid w:val="00A52BA6"/>
    <w:rsid w:val="00A52F2C"/>
    <w:rsid w:val="00A54B3F"/>
    <w:rsid w:val="00A61261"/>
    <w:rsid w:val="00A61FD4"/>
    <w:rsid w:val="00A63AA9"/>
    <w:rsid w:val="00A64142"/>
    <w:rsid w:val="00A669E9"/>
    <w:rsid w:val="00A67D0F"/>
    <w:rsid w:val="00A70F97"/>
    <w:rsid w:val="00A86542"/>
    <w:rsid w:val="00A87F7C"/>
    <w:rsid w:val="00A908A5"/>
    <w:rsid w:val="00A90F0B"/>
    <w:rsid w:val="00A91DAE"/>
    <w:rsid w:val="00A935D7"/>
    <w:rsid w:val="00A9633A"/>
    <w:rsid w:val="00AA46EA"/>
    <w:rsid w:val="00AA559B"/>
    <w:rsid w:val="00AA69B9"/>
    <w:rsid w:val="00AB29C4"/>
    <w:rsid w:val="00AB60C4"/>
    <w:rsid w:val="00AC14F0"/>
    <w:rsid w:val="00AC27C5"/>
    <w:rsid w:val="00AC2DF7"/>
    <w:rsid w:val="00AC548A"/>
    <w:rsid w:val="00AD5C59"/>
    <w:rsid w:val="00AE270B"/>
    <w:rsid w:val="00AE2DEB"/>
    <w:rsid w:val="00AE5064"/>
    <w:rsid w:val="00AE5365"/>
    <w:rsid w:val="00AE55CB"/>
    <w:rsid w:val="00AF3FDF"/>
    <w:rsid w:val="00AF5069"/>
    <w:rsid w:val="00AF564E"/>
    <w:rsid w:val="00B01326"/>
    <w:rsid w:val="00B0164D"/>
    <w:rsid w:val="00B019F5"/>
    <w:rsid w:val="00B02152"/>
    <w:rsid w:val="00B04B7A"/>
    <w:rsid w:val="00B04CC4"/>
    <w:rsid w:val="00B04F4E"/>
    <w:rsid w:val="00B052BC"/>
    <w:rsid w:val="00B05BCA"/>
    <w:rsid w:val="00B05CB2"/>
    <w:rsid w:val="00B222AE"/>
    <w:rsid w:val="00B22D6C"/>
    <w:rsid w:val="00B33B98"/>
    <w:rsid w:val="00B349F7"/>
    <w:rsid w:val="00B3578A"/>
    <w:rsid w:val="00B408C0"/>
    <w:rsid w:val="00B408F5"/>
    <w:rsid w:val="00B431EF"/>
    <w:rsid w:val="00B51899"/>
    <w:rsid w:val="00B51ADD"/>
    <w:rsid w:val="00B553D8"/>
    <w:rsid w:val="00B56864"/>
    <w:rsid w:val="00B569AD"/>
    <w:rsid w:val="00B56E34"/>
    <w:rsid w:val="00B57039"/>
    <w:rsid w:val="00B57555"/>
    <w:rsid w:val="00B6093A"/>
    <w:rsid w:val="00B668D2"/>
    <w:rsid w:val="00B72C1F"/>
    <w:rsid w:val="00B73C5F"/>
    <w:rsid w:val="00B74177"/>
    <w:rsid w:val="00B76D53"/>
    <w:rsid w:val="00B82656"/>
    <w:rsid w:val="00B83704"/>
    <w:rsid w:val="00B90CC2"/>
    <w:rsid w:val="00B93330"/>
    <w:rsid w:val="00B96017"/>
    <w:rsid w:val="00B96778"/>
    <w:rsid w:val="00BA2BEC"/>
    <w:rsid w:val="00BA4E80"/>
    <w:rsid w:val="00BA56B6"/>
    <w:rsid w:val="00BB54DC"/>
    <w:rsid w:val="00BB60A8"/>
    <w:rsid w:val="00BC1EB2"/>
    <w:rsid w:val="00BC3E88"/>
    <w:rsid w:val="00BC3FD5"/>
    <w:rsid w:val="00BD0BA4"/>
    <w:rsid w:val="00BD1F78"/>
    <w:rsid w:val="00BD1FC3"/>
    <w:rsid w:val="00BE10B5"/>
    <w:rsid w:val="00BE1259"/>
    <w:rsid w:val="00BE2D5F"/>
    <w:rsid w:val="00BE530C"/>
    <w:rsid w:val="00BE7246"/>
    <w:rsid w:val="00BE73A7"/>
    <w:rsid w:val="00BF0647"/>
    <w:rsid w:val="00BF33D3"/>
    <w:rsid w:val="00BF59DC"/>
    <w:rsid w:val="00C00CEE"/>
    <w:rsid w:val="00C06624"/>
    <w:rsid w:val="00C10B17"/>
    <w:rsid w:val="00C1144C"/>
    <w:rsid w:val="00C117C2"/>
    <w:rsid w:val="00C11868"/>
    <w:rsid w:val="00C16188"/>
    <w:rsid w:val="00C203DB"/>
    <w:rsid w:val="00C22374"/>
    <w:rsid w:val="00C2276F"/>
    <w:rsid w:val="00C23FFB"/>
    <w:rsid w:val="00C2698A"/>
    <w:rsid w:val="00C27352"/>
    <w:rsid w:val="00C308CC"/>
    <w:rsid w:val="00C30A7C"/>
    <w:rsid w:val="00C30E54"/>
    <w:rsid w:val="00C32BC8"/>
    <w:rsid w:val="00C34157"/>
    <w:rsid w:val="00C348C3"/>
    <w:rsid w:val="00C41CE3"/>
    <w:rsid w:val="00C44CDE"/>
    <w:rsid w:val="00C515F8"/>
    <w:rsid w:val="00C5195C"/>
    <w:rsid w:val="00C52063"/>
    <w:rsid w:val="00C60D35"/>
    <w:rsid w:val="00C61427"/>
    <w:rsid w:val="00C6411B"/>
    <w:rsid w:val="00C6699A"/>
    <w:rsid w:val="00C66CD2"/>
    <w:rsid w:val="00C72429"/>
    <w:rsid w:val="00C75D95"/>
    <w:rsid w:val="00C76049"/>
    <w:rsid w:val="00C770DB"/>
    <w:rsid w:val="00C80786"/>
    <w:rsid w:val="00C807F9"/>
    <w:rsid w:val="00C81852"/>
    <w:rsid w:val="00C81D03"/>
    <w:rsid w:val="00C830AA"/>
    <w:rsid w:val="00C83E2E"/>
    <w:rsid w:val="00C853F1"/>
    <w:rsid w:val="00C8640F"/>
    <w:rsid w:val="00C92A41"/>
    <w:rsid w:val="00C95198"/>
    <w:rsid w:val="00CB0887"/>
    <w:rsid w:val="00CB155F"/>
    <w:rsid w:val="00CC1988"/>
    <w:rsid w:val="00CC19AA"/>
    <w:rsid w:val="00CC3865"/>
    <w:rsid w:val="00CC5C28"/>
    <w:rsid w:val="00CC6A6D"/>
    <w:rsid w:val="00CC798D"/>
    <w:rsid w:val="00CD01A6"/>
    <w:rsid w:val="00CD314C"/>
    <w:rsid w:val="00CD4E1A"/>
    <w:rsid w:val="00CD5D7A"/>
    <w:rsid w:val="00CD740C"/>
    <w:rsid w:val="00CE1BE6"/>
    <w:rsid w:val="00CE36B8"/>
    <w:rsid w:val="00CE4D5D"/>
    <w:rsid w:val="00CE6E37"/>
    <w:rsid w:val="00CE7334"/>
    <w:rsid w:val="00CF01EE"/>
    <w:rsid w:val="00CF161B"/>
    <w:rsid w:val="00CF4907"/>
    <w:rsid w:val="00CF7BA7"/>
    <w:rsid w:val="00D00EA8"/>
    <w:rsid w:val="00D01135"/>
    <w:rsid w:val="00D015C5"/>
    <w:rsid w:val="00D03455"/>
    <w:rsid w:val="00D05BF5"/>
    <w:rsid w:val="00D0705D"/>
    <w:rsid w:val="00D10173"/>
    <w:rsid w:val="00D14C73"/>
    <w:rsid w:val="00D17159"/>
    <w:rsid w:val="00D23BBE"/>
    <w:rsid w:val="00D24EFB"/>
    <w:rsid w:val="00D27AF2"/>
    <w:rsid w:val="00D32D8D"/>
    <w:rsid w:val="00D33266"/>
    <w:rsid w:val="00D33644"/>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54CB"/>
    <w:rsid w:val="00D60680"/>
    <w:rsid w:val="00D61B4E"/>
    <w:rsid w:val="00D65B54"/>
    <w:rsid w:val="00D726C9"/>
    <w:rsid w:val="00D77B55"/>
    <w:rsid w:val="00D77F22"/>
    <w:rsid w:val="00D800EA"/>
    <w:rsid w:val="00D83991"/>
    <w:rsid w:val="00D83A75"/>
    <w:rsid w:val="00D848FF"/>
    <w:rsid w:val="00D86515"/>
    <w:rsid w:val="00D92DBF"/>
    <w:rsid w:val="00D942F0"/>
    <w:rsid w:val="00D9704A"/>
    <w:rsid w:val="00DA2837"/>
    <w:rsid w:val="00DA2C69"/>
    <w:rsid w:val="00DA3DE8"/>
    <w:rsid w:val="00DB0341"/>
    <w:rsid w:val="00DB1144"/>
    <w:rsid w:val="00DB1A6E"/>
    <w:rsid w:val="00DB3373"/>
    <w:rsid w:val="00DB3ACE"/>
    <w:rsid w:val="00DB4415"/>
    <w:rsid w:val="00DB662D"/>
    <w:rsid w:val="00DB6793"/>
    <w:rsid w:val="00DC4310"/>
    <w:rsid w:val="00DC5070"/>
    <w:rsid w:val="00DC69A7"/>
    <w:rsid w:val="00DC7A45"/>
    <w:rsid w:val="00DC7E56"/>
    <w:rsid w:val="00DD07D3"/>
    <w:rsid w:val="00DD19A1"/>
    <w:rsid w:val="00DD2557"/>
    <w:rsid w:val="00DE0934"/>
    <w:rsid w:val="00DE105F"/>
    <w:rsid w:val="00DE24D1"/>
    <w:rsid w:val="00DE658A"/>
    <w:rsid w:val="00DE6720"/>
    <w:rsid w:val="00DF0BEC"/>
    <w:rsid w:val="00DF47DD"/>
    <w:rsid w:val="00DF73FE"/>
    <w:rsid w:val="00E01478"/>
    <w:rsid w:val="00E01655"/>
    <w:rsid w:val="00E01E5D"/>
    <w:rsid w:val="00E03920"/>
    <w:rsid w:val="00E04274"/>
    <w:rsid w:val="00E0530F"/>
    <w:rsid w:val="00E11DC5"/>
    <w:rsid w:val="00E12295"/>
    <w:rsid w:val="00E20C05"/>
    <w:rsid w:val="00E22B62"/>
    <w:rsid w:val="00E258E3"/>
    <w:rsid w:val="00E2632C"/>
    <w:rsid w:val="00E31C4A"/>
    <w:rsid w:val="00E377AB"/>
    <w:rsid w:val="00E40AE7"/>
    <w:rsid w:val="00E42612"/>
    <w:rsid w:val="00E53A1D"/>
    <w:rsid w:val="00E560DE"/>
    <w:rsid w:val="00E56786"/>
    <w:rsid w:val="00E63C72"/>
    <w:rsid w:val="00E67CC2"/>
    <w:rsid w:val="00E720E0"/>
    <w:rsid w:val="00E735DF"/>
    <w:rsid w:val="00E7554E"/>
    <w:rsid w:val="00E77782"/>
    <w:rsid w:val="00E77DC4"/>
    <w:rsid w:val="00E84161"/>
    <w:rsid w:val="00E854ED"/>
    <w:rsid w:val="00E8595D"/>
    <w:rsid w:val="00E94946"/>
    <w:rsid w:val="00E957DC"/>
    <w:rsid w:val="00E960A1"/>
    <w:rsid w:val="00E96F22"/>
    <w:rsid w:val="00EA2BEB"/>
    <w:rsid w:val="00EA35ED"/>
    <w:rsid w:val="00EA7259"/>
    <w:rsid w:val="00EA7F9E"/>
    <w:rsid w:val="00EB1926"/>
    <w:rsid w:val="00EB2560"/>
    <w:rsid w:val="00EB44D6"/>
    <w:rsid w:val="00EB5268"/>
    <w:rsid w:val="00EB5CE9"/>
    <w:rsid w:val="00EB69EC"/>
    <w:rsid w:val="00EB7D02"/>
    <w:rsid w:val="00EC0D33"/>
    <w:rsid w:val="00EC243C"/>
    <w:rsid w:val="00EC3D5E"/>
    <w:rsid w:val="00EC5C8F"/>
    <w:rsid w:val="00EC6487"/>
    <w:rsid w:val="00ED1038"/>
    <w:rsid w:val="00ED3252"/>
    <w:rsid w:val="00ED625C"/>
    <w:rsid w:val="00EE3359"/>
    <w:rsid w:val="00EE6CEB"/>
    <w:rsid w:val="00EF2329"/>
    <w:rsid w:val="00EF3750"/>
    <w:rsid w:val="00EF3AD0"/>
    <w:rsid w:val="00EF4330"/>
    <w:rsid w:val="00EF51D9"/>
    <w:rsid w:val="00EF6670"/>
    <w:rsid w:val="00EF7867"/>
    <w:rsid w:val="00F0064B"/>
    <w:rsid w:val="00F007F5"/>
    <w:rsid w:val="00F02189"/>
    <w:rsid w:val="00F034DE"/>
    <w:rsid w:val="00F07932"/>
    <w:rsid w:val="00F105BB"/>
    <w:rsid w:val="00F11D13"/>
    <w:rsid w:val="00F121C5"/>
    <w:rsid w:val="00F15BC0"/>
    <w:rsid w:val="00F22E11"/>
    <w:rsid w:val="00F245AA"/>
    <w:rsid w:val="00F32201"/>
    <w:rsid w:val="00F346F0"/>
    <w:rsid w:val="00F34780"/>
    <w:rsid w:val="00F42462"/>
    <w:rsid w:val="00F42C07"/>
    <w:rsid w:val="00F43025"/>
    <w:rsid w:val="00F43CA0"/>
    <w:rsid w:val="00F479AC"/>
    <w:rsid w:val="00F47AC0"/>
    <w:rsid w:val="00F50C5F"/>
    <w:rsid w:val="00F537E6"/>
    <w:rsid w:val="00F54C72"/>
    <w:rsid w:val="00F5586D"/>
    <w:rsid w:val="00F56F36"/>
    <w:rsid w:val="00F579C1"/>
    <w:rsid w:val="00F61705"/>
    <w:rsid w:val="00F75A94"/>
    <w:rsid w:val="00F7643C"/>
    <w:rsid w:val="00F866DF"/>
    <w:rsid w:val="00F87BB1"/>
    <w:rsid w:val="00F91449"/>
    <w:rsid w:val="00F91525"/>
    <w:rsid w:val="00F93A2D"/>
    <w:rsid w:val="00F945F2"/>
    <w:rsid w:val="00F9606C"/>
    <w:rsid w:val="00F96E1E"/>
    <w:rsid w:val="00F973C9"/>
    <w:rsid w:val="00FA017F"/>
    <w:rsid w:val="00FA614A"/>
    <w:rsid w:val="00FA66DE"/>
    <w:rsid w:val="00FB12A3"/>
    <w:rsid w:val="00FB2DEF"/>
    <w:rsid w:val="00FB4149"/>
    <w:rsid w:val="00FB57F6"/>
    <w:rsid w:val="00FB7D78"/>
    <w:rsid w:val="00FC429A"/>
    <w:rsid w:val="00FC451B"/>
    <w:rsid w:val="00FC4EB6"/>
    <w:rsid w:val="00FC52B0"/>
    <w:rsid w:val="00FC69D4"/>
    <w:rsid w:val="00FD1348"/>
    <w:rsid w:val="00FD4B23"/>
    <w:rsid w:val="00FE15C5"/>
    <w:rsid w:val="00FE1DB5"/>
    <w:rsid w:val="00FE1F54"/>
    <w:rsid w:val="00FE5BA5"/>
    <w:rsid w:val="00FE7174"/>
    <w:rsid w:val="00FF018C"/>
    <w:rsid w:val="00FF0713"/>
    <w:rsid w:val="00FF128E"/>
    <w:rsid w:val="00FF1DC6"/>
    <w:rsid w:val="00FF6F97"/>
    <w:rsid w:val="00FF7089"/>
    <w:rsid w:val="01072884"/>
    <w:rsid w:val="0140002A"/>
    <w:rsid w:val="014F3FFD"/>
    <w:rsid w:val="016A49C8"/>
    <w:rsid w:val="021B38D9"/>
    <w:rsid w:val="02572AE5"/>
    <w:rsid w:val="03263548"/>
    <w:rsid w:val="04D725FA"/>
    <w:rsid w:val="05144A85"/>
    <w:rsid w:val="052B2866"/>
    <w:rsid w:val="077F0FFB"/>
    <w:rsid w:val="07875DA5"/>
    <w:rsid w:val="08494BC1"/>
    <w:rsid w:val="08B11FCE"/>
    <w:rsid w:val="0AF34614"/>
    <w:rsid w:val="0C1A083C"/>
    <w:rsid w:val="0CA968CB"/>
    <w:rsid w:val="0CE33DE8"/>
    <w:rsid w:val="0CFF4703"/>
    <w:rsid w:val="0D692317"/>
    <w:rsid w:val="0D8E567C"/>
    <w:rsid w:val="0D967F93"/>
    <w:rsid w:val="0DC23EC1"/>
    <w:rsid w:val="0DFE5671"/>
    <w:rsid w:val="0E11448B"/>
    <w:rsid w:val="0E49086B"/>
    <w:rsid w:val="0EE00D39"/>
    <w:rsid w:val="0FC92103"/>
    <w:rsid w:val="0FF16BE1"/>
    <w:rsid w:val="12472422"/>
    <w:rsid w:val="124A7E3B"/>
    <w:rsid w:val="12C104F8"/>
    <w:rsid w:val="12C35A26"/>
    <w:rsid w:val="12DF7C4D"/>
    <w:rsid w:val="143C6524"/>
    <w:rsid w:val="14C416CA"/>
    <w:rsid w:val="15901399"/>
    <w:rsid w:val="17860518"/>
    <w:rsid w:val="183910BA"/>
    <w:rsid w:val="19222741"/>
    <w:rsid w:val="1A5B1AED"/>
    <w:rsid w:val="1A62166B"/>
    <w:rsid w:val="1BCB0186"/>
    <w:rsid w:val="1BE703FC"/>
    <w:rsid w:val="1CC72CD0"/>
    <w:rsid w:val="1DA3378D"/>
    <w:rsid w:val="1DCB07A5"/>
    <w:rsid w:val="1E6C494B"/>
    <w:rsid w:val="1F6A11A0"/>
    <w:rsid w:val="1FE94AFE"/>
    <w:rsid w:val="207C701D"/>
    <w:rsid w:val="21FB5A75"/>
    <w:rsid w:val="23227FA1"/>
    <w:rsid w:val="23984675"/>
    <w:rsid w:val="23D55286"/>
    <w:rsid w:val="23D93E28"/>
    <w:rsid w:val="24291A31"/>
    <w:rsid w:val="244838A8"/>
    <w:rsid w:val="244B1200"/>
    <w:rsid w:val="248C7187"/>
    <w:rsid w:val="24C315C2"/>
    <w:rsid w:val="25DA030F"/>
    <w:rsid w:val="28707F6D"/>
    <w:rsid w:val="287858C2"/>
    <w:rsid w:val="28F01A9F"/>
    <w:rsid w:val="294705F8"/>
    <w:rsid w:val="2AFB4772"/>
    <w:rsid w:val="2B3871EA"/>
    <w:rsid w:val="2C7C7347"/>
    <w:rsid w:val="30747B28"/>
    <w:rsid w:val="30904486"/>
    <w:rsid w:val="30CC22FD"/>
    <w:rsid w:val="31965CD9"/>
    <w:rsid w:val="31B7450E"/>
    <w:rsid w:val="32872329"/>
    <w:rsid w:val="3296200A"/>
    <w:rsid w:val="32C00097"/>
    <w:rsid w:val="330E18FE"/>
    <w:rsid w:val="335F124C"/>
    <w:rsid w:val="33BE503C"/>
    <w:rsid w:val="33EF463C"/>
    <w:rsid w:val="341F230C"/>
    <w:rsid w:val="350B46C3"/>
    <w:rsid w:val="35B055D1"/>
    <w:rsid w:val="372D56FA"/>
    <w:rsid w:val="375F2888"/>
    <w:rsid w:val="377E509F"/>
    <w:rsid w:val="380469E4"/>
    <w:rsid w:val="38967B3D"/>
    <w:rsid w:val="392A119E"/>
    <w:rsid w:val="397E7406"/>
    <w:rsid w:val="39A124DA"/>
    <w:rsid w:val="3A257B17"/>
    <w:rsid w:val="3A2A1B78"/>
    <w:rsid w:val="3ABD2587"/>
    <w:rsid w:val="3AC577F8"/>
    <w:rsid w:val="3C8E5F28"/>
    <w:rsid w:val="3CA26FCD"/>
    <w:rsid w:val="3CEF6264"/>
    <w:rsid w:val="3DD93F7A"/>
    <w:rsid w:val="3E0E5B23"/>
    <w:rsid w:val="3E180AC7"/>
    <w:rsid w:val="3F4A51C7"/>
    <w:rsid w:val="3FA7571A"/>
    <w:rsid w:val="3FE83E99"/>
    <w:rsid w:val="40411E81"/>
    <w:rsid w:val="4098302E"/>
    <w:rsid w:val="414F6E4F"/>
    <w:rsid w:val="43310504"/>
    <w:rsid w:val="43F23883"/>
    <w:rsid w:val="4507114A"/>
    <w:rsid w:val="45264A9C"/>
    <w:rsid w:val="45846106"/>
    <w:rsid w:val="467D05DE"/>
    <w:rsid w:val="46E51991"/>
    <w:rsid w:val="475B394B"/>
    <w:rsid w:val="479E278F"/>
    <w:rsid w:val="48F45FD4"/>
    <w:rsid w:val="49F6254D"/>
    <w:rsid w:val="4B1C37F2"/>
    <w:rsid w:val="4B2F5A15"/>
    <w:rsid w:val="4D3A2E0A"/>
    <w:rsid w:val="4E0C1ED3"/>
    <w:rsid w:val="4EA76924"/>
    <w:rsid w:val="4F1C7465"/>
    <w:rsid w:val="4FB87E3A"/>
    <w:rsid w:val="501A24D8"/>
    <w:rsid w:val="502A18B4"/>
    <w:rsid w:val="50BE7376"/>
    <w:rsid w:val="517E0914"/>
    <w:rsid w:val="52696DFA"/>
    <w:rsid w:val="528A6F24"/>
    <w:rsid w:val="52AD592F"/>
    <w:rsid w:val="52FE3FA9"/>
    <w:rsid w:val="533A10E6"/>
    <w:rsid w:val="5348237F"/>
    <w:rsid w:val="5500767C"/>
    <w:rsid w:val="569A2606"/>
    <w:rsid w:val="56C03105"/>
    <w:rsid w:val="584026E3"/>
    <w:rsid w:val="585C327B"/>
    <w:rsid w:val="59516050"/>
    <w:rsid w:val="59CD35CA"/>
    <w:rsid w:val="5A09165C"/>
    <w:rsid w:val="5A420848"/>
    <w:rsid w:val="5C82651C"/>
    <w:rsid w:val="5D366592"/>
    <w:rsid w:val="5D426C88"/>
    <w:rsid w:val="5D920762"/>
    <w:rsid w:val="5E184A5B"/>
    <w:rsid w:val="5F1928BC"/>
    <w:rsid w:val="603929FE"/>
    <w:rsid w:val="61637828"/>
    <w:rsid w:val="61EF415F"/>
    <w:rsid w:val="62360821"/>
    <w:rsid w:val="63431350"/>
    <w:rsid w:val="63BC7ED3"/>
    <w:rsid w:val="6445567A"/>
    <w:rsid w:val="64C373BF"/>
    <w:rsid w:val="655B5E5A"/>
    <w:rsid w:val="65797135"/>
    <w:rsid w:val="65867206"/>
    <w:rsid w:val="66324BD8"/>
    <w:rsid w:val="663A3A26"/>
    <w:rsid w:val="669A057F"/>
    <w:rsid w:val="66FE5FAC"/>
    <w:rsid w:val="67456055"/>
    <w:rsid w:val="67C67D0B"/>
    <w:rsid w:val="68DE7331"/>
    <w:rsid w:val="6A116624"/>
    <w:rsid w:val="6AE44013"/>
    <w:rsid w:val="6AE502E9"/>
    <w:rsid w:val="6AF223C3"/>
    <w:rsid w:val="6B691FEF"/>
    <w:rsid w:val="6B7F6124"/>
    <w:rsid w:val="6D514182"/>
    <w:rsid w:val="6D8D2669"/>
    <w:rsid w:val="6E0E09AF"/>
    <w:rsid w:val="6E111B7B"/>
    <w:rsid w:val="700356EA"/>
    <w:rsid w:val="70344EA3"/>
    <w:rsid w:val="71105248"/>
    <w:rsid w:val="71C852BA"/>
    <w:rsid w:val="726A2F7B"/>
    <w:rsid w:val="729B7520"/>
    <w:rsid w:val="72B97B25"/>
    <w:rsid w:val="75FB6629"/>
    <w:rsid w:val="76495701"/>
    <w:rsid w:val="78C14F56"/>
    <w:rsid w:val="79410493"/>
    <w:rsid w:val="794B41C3"/>
    <w:rsid w:val="794E5013"/>
    <w:rsid w:val="79DE17A5"/>
    <w:rsid w:val="7A9D19E3"/>
    <w:rsid w:val="7B672112"/>
    <w:rsid w:val="7B770591"/>
    <w:rsid w:val="7BE66B9F"/>
    <w:rsid w:val="7CF10867"/>
    <w:rsid w:val="7DDF5E0F"/>
    <w:rsid w:val="7DF3633A"/>
    <w:rsid w:val="7E256F02"/>
    <w:rsid w:val="7E376352"/>
    <w:rsid w:val="7E4454D7"/>
    <w:rsid w:val="7E5A3FB1"/>
    <w:rsid w:val="7EBF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7"/>
    <w:next w:val="7"/>
    <w:link w:val="34"/>
    <w:unhideWhenUsed/>
    <w:qFormat/>
    <w:uiPriority w:val="99"/>
    <w:rPr>
      <w:b/>
      <w:bCs/>
    </w:r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annotation reference"/>
    <w:basedOn w:val="23"/>
    <w:unhideWhenUsed/>
    <w:qFormat/>
    <w:uiPriority w:val="99"/>
    <w:rPr>
      <w:sz w:val="21"/>
      <w:szCs w:val="21"/>
    </w:rPr>
  </w:style>
  <w:style w:type="character" w:customStyle="1" w:styleId="28">
    <w:name w:val="标题 Char"/>
    <w:basedOn w:val="23"/>
    <w:link w:val="20"/>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3"/>
    <w:qFormat/>
    <w:uiPriority w:val="0"/>
  </w:style>
  <w:style w:type="character" w:customStyle="1" w:styleId="32">
    <w:name w:val="批注文字 Char"/>
    <w:basedOn w:val="23"/>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3"/>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customStyle="1" w:styleId="37">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customStyle="1" w:styleId="40">
    <w:name w:val="列出段落2"/>
    <w:basedOn w:val="1"/>
    <w:qFormat/>
    <w:uiPriority w:val="34"/>
    <w:pPr>
      <w:ind w:firstLine="420"/>
    </w:pPr>
  </w:style>
  <w:style w:type="paragraph" w:customStyle="1" w:styleId="41">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2">
    <w:name w:val="TOC 标题2"/>
    <w:basedOn w:val="2"/>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Cs w:val="28"/>
    </w:rPr>
  </w:style>
  <w:style w:type="paragraph" w:customStyle="1" w:styleId="43">
    <w:name w:val="TOC 标题3"/>
    <w:basedOn w:val="2"/>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Cs w:val="28"/>
    </w:rPr>
  </w:style>
  <w:style w:type="character" w:customStyle="1" w:styleId="44">
    <w:name w:val="font71"/>
    <w:basedOn w:val="23"/>
    <w:qFormat/>
    <w:uiPriority w:val="0"/>
    <w:rPr>
      <w:rFonts w:ascii="楷体" w:hAnsi="楷体" w:eastAsia="楷体" w:cs="楷体"/>
      <w:color w:val="auto"/>
      <w:sz w:val="20"/>
      <w:szCs w:val="20"/>
      <w:u w:val="none"/>
    </w:rPr>
  </w:style>
  <w:style w:type="character" w:customStyle="1" w:styleId="45">
    <w:name w:val="font61"/>
    <w:basedOn w:val="23"/>
    <w:qFormat/>
    <w:uiPriority w:val="0"/>
    <w:rPr>
      <w:rFonts w:hint="default" w:ascii="楷体_GB2312" w:eastAsia="楷体_GB2312" w:cs="楷体_GB2312"/>
      <w:color w:val="auto"/>
      <w:sz w:val="20"/>
      <w:szCs w:val="20"/>
      <w:u w:val="none"/>
    </w:rPr>
  </w:style>
  <w:style w:type="character" w:customStyle="1" w:styleId="46">
    <w:name w:val="font31"/>
    <w:basedOn w:val="23"/>
    <w:qFormat/>
    <w:uiPriority w:val="0"/>
    <w:rPr>
      <w:rFonts w:hint="default" w:ascii="楷体_GB2312" w:eastAsia="楷体_GB2312" w:cs="楷体_GB2312"/>
      <w:color w:val="000000"/>
      <w:sz w:val="20"/>
      <w:szCs w:val="20"/>
      <w:u w:val="none"/>
    </w:rPr>
  </w:style>
  <w:style w:type="character" w:customStyle="1" w:styleId="47">
    <w:name w:val="font1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hart" Target="charts/chart6.xml"/><Relationship Id="rId30" Type="http://schemas.openxmlformats.org/officeDocument/2006/relationships/chart" Target="charts/chart5.xml"/><Relationship Id="rId3" Type="http://schemas.openxmlformats.org/officeDocument/2006/relationships/footnotes" Target="footnotes.xml"/><Relationship Id="rId29" Type="http://schemas.openxmlformats.org/officeDocument/2006/relationships/chart" Target="charts/chart4.xml"/><Relationship Id="rId28" Type="http://schemas.openxmlformats.org/officeDocument/2006/relationships/chart" Target="charts/chart3.xml"/><Relationship Id="rId27" Type="http://schemas.openxmlformats.org/officeDocument/2006/relationships/chart" Target="charts/chart2.xml"/><Relationship Id="rId26" Type="http://schemas.openxmlformats.org/officeDocument/2006/relationships/image" Target="media/image2.png"/><Relationship Id="rId25" Type="http://schemas.microsoft.com/office/2007/relationships/diagramDrawing" Target="diagrams/drawing2.xml"/><Relationship Id="rId24" Type="http://schemas.openxmlformats.org/officeDocument/2006/relationships/diagramColors" Target="diagrams/colors2.xml"/><Relationship Id="rId23" Type="http://schemas.openxmlformats.org/officeDocument/2006/relationships/diagramQuickStyle" Target="diagrams/quickStyle2.xml"/><Relationship Id="rId22" Type="http://schemas.openxmlformats.org/officeDocument/2006/relationships/diagramLayout" Target="diagrams/layout2.xml"/><Relationship Id="rId21" Type="http://schemas.openxmlformats.org/officeDocument/2006/relationships/diagramData" Target="diagrams/data2.xml"/><Relationship Id="rId20" Type="http://schemas.microsoft.com/office/2007/relationships/diagramDrawing" Target="diagrams/drawing1.xml"/><Relationship Id="rId2" Type="http://schemas.openxmlformats.org/officeDocument/2006/relationships/settings" Target="settings.xml"/><Relationship Id="rId19" Type="http://schemas.openxmlformats.org/officeDocument/2006/relationships/diagramColors" Target="diagrams/colors1.xml"/><Relationship Id="rId18" Type="http://schemas.openxmlformats.org/officeDocument/2006/relationships/diagramQuickStyle" Target="diagrams/quickStyle1.xml"/><Relationship Id="rId17" Type="http://schemas.openxmlformats.org/officeDocument/2006/relationships/diagramLayout" Target="diagrams/layout1.xml"/><Relationship Id="rId16" Type="http://schemas.openxmlformats.org/officeDocument/2006/relationships/diagramData" Target="diagrams/data1.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5991;&#26126;&#21019;&#24314;\&#26472;&#22253;&#34903;\&#22270;&#34920;&#65288;&#25991;&#26126;&#21019;&#24314;&#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5991;&#26126;&#21019;&#24314;\&#26472;&#22253;&#34903;\&#22270;&#34920;&#65288;&#25991;&#26126;&#21019;&#24314;&#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5991;&#26126;&#21019;&#24314;\&#26472;&#22253;&#34903;\&#22270;&#34920;&#65288;&#25991;&#26126;&#21019;&#24314;&#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5991;&#26126;&#21019;&#24314;\&#26472;&#22253;&#34903;\&#22270;&#34920;&#65288;&#25991;&#26126;&#21019;&#24314;&#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5991;&#26126;&#21019;&#24314;\&#26472;&#22253;&#34903;\&#22270;&#34920;&#65288;&#25991;&#26126;&#21019;&#24314;&#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5991;&#26126;&#21019;&#24314;\&#26472;&#22253;&#34903;\&#22270;&#34920;&#65288;&#25991;&#26126;&#21019;&#24314;&#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'[图表（文明创建）.xlsx]图表'!$C$17:$C$20</c:f>
              <c:strCache>
                <c:ptCount val="4"/>
                <c:pt idx="0">
                  <c:v>宣传费</c:v>
                </c:pt>
                <c:pt idx="1">
                  <c:v>文明过马路志愿者</c:v>
                </c:pt>
                <c:pt idx="2">
                  <c:v>支付物资管理费</c:v>
                </c:pt>
                <c:pt idx="3">
                  <c:v>其他</c:v>
                </c:pt>
              </c:strCache>
            </c:strRef>
          </c:cat>
          <c:val>
            <c:numRef>
              <c:f>'[图表（文明创建）.xlsx]图表'!$D$17:$D$20</c:f>
              <c:numCache>
                <c:formatCode>0%</c:formatCode>
                <c:ptCount val="4"/>
                <c:pt idx="0">
                  <c:v>0.502242039130435</c:v>
                </c:pt>
                <c:pt idx="1">
                  <c:v>0.290208695652174</c:v>
                </c:pt>
                <c:pt idx="2">
                  <c:v>0.127591786956522</c:v>
                </c:pt>
                <c:pt idx="3">
                  <c:v>0.0799574782608696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投入</a:t>
            </a:r>
          </a:p>
        </c:rich>
      </c:tx>
      <c:layout/>
      <c:overlay val="0"/>
      <c:spPr>
        <a:noFill/>
        <a:ln>
          <a:noFill/>
        </a:ln>
        <a:effectLst/>
      </c:spPr>
    </c:title>
    <c:autoTitleDeleted val="0"/>
    <c:plotArea>
      <c:layout/>
      <c:barChart>
        <c:barDir val="col"/>
        <c:grouping val="clustered"/>
        <c:varyColors val="0"/>
        <c:ser>
          <c:idx val="0"/>
          <c:order val="0"/>
          <c:tx>
            <c:strRef>
              <c:f>'[图表（文明创建）.xlsx]图表'!$B$37</c:f>
              <c:strCache>
                <c:ptCount val="1"/>
                <c:pt idx="0">
                  <c:v>指标分值</c:v>
                </c:pt>
              </c:strCache>
            </c:strRef>
          </c:tx>
          <c:spPr>
            <a:solidFill>
              <a:schemeClr val="accent1"/>
            </a:solidFill>
            <a:ln>
              <a:noFill/>
            </a:ln>
            <a:effectLst/>
          </c:spPr>
          <c:invertIfNegative val="0"/>
          <c:dLbls>
            <c:delete val="1"/>
          </c:dLbls>
          <c:cat>
            <c:strRef>
              <c:f>'[图表（文明创建）.xlsx]图表'!$A$38:$A$41</c:f>
              <c:strCache>
                <c:ptCount val="4"/>
                <c:pt idx="0">
                  <c:v>项目立项规范性</c:v>
                </c:pt>
                <c:pt idx="1">
                  <c:v>绩效目标合理性</c:v>
                </c:pt>
                <c:pt idx="2">
                  <c:v>资金到位率</c:v>
                </c:pt>
                <c:pt idx="3">
                  <c:v>到位及时率</c:v>
                </c:pt>
              </c:strCache>
            </c:strRef>
          </c:cat>
          <c:val>
            <c:numRef>
              <c:f>'[图表（文明创建）.xlsx]图表'!$B$38:$B$41</c:f>
              <c:numCache>
                <c:formatCode>General</c:formatCode>
                <c:ptCount val="4"/>
                <c:pt idx="0">
                  <c:v>3</c:v>
                </c:pt>
                <c:pt idx="1">
                  <c:v>3</c:v>
                </c:pt>
                <c:pt idx="2">
                  <c:v>2</c:v>
                </c:pt>
                <c:pt idx="3">
                  <c:v>2</c:v>
                </c:pt>
              </c:numCache>
            </c:numRef>
          </c:val>
        </c:ser>
        <c:dLbls>
          <c:showLegendKey val="0"/>
          <c:showVal val="0"/>
          <c:showCatName val="0"/>
          <c:showSerName val="0"/>
          <c:showPercent val="0"/>
          <c:showBubbleSize val="0"/>
        </c:dLbls>
        <c:gapWidth val="219"/>
        <c:overlap val="-27"/>
        <c:axId val="351029921"/>
        <c:axId val="917162646"/>
      </c:barChart>
      <c:lineChart>
        <c:grouping val="standard"/>
        <c:varyColors val="0"/>
        <c:ser>
          <c:idx val="1"/>
          <c:order val="1"/>
          <c:tx>
            <c:strRef>
              <c:f>'[图表（文明创建）.xlsx]图表'!$C$37</c:f>
              <c:strCache>
                <c:ptCount val="1"/>
                <c:pt idx="0">
                  <c:v>指标评分</c:v>
                </c:pt>
              </c:strCache>
            </c:strRef>
          </c:tx>
          <c:spPr>
            <a:ln w="28575" cap="rnd">
              <a:solidFill>
                <a:schemeClr val="accent2"/>
              </a:solidFill>
              <a:round/>
            </a:ln>
            <a:effectLst/>
          </c:spPr>
          <c:marker>
            <c:symbol val="none"/>
          </c:marker>
          <c:dLbls>
            <c:delete val="1"/>
          </c:dLbls>
          <c:cat>
            <c:strRef>
              <c:f>'[图表（文明创建）.xlsx]图表'!$A$38:$A$41</c:f>
              <c:strCache>
                <c:ptCount val="4"/>
                <c:pt idx="0">
                  <c:v>项目立项规范性</c:v>
                </c:pt>
                <c:pt idx="1">
                  <c:v>绩效目标合理性</c:v>
                </c:pt>
                <c:pt idx="2">
                  <c:v>资金到位率</c:v>
                </c:pt>
                <c:pt idx="3">
                  <c:v>到位及时率</c:v>
                </c:pt>
              </c:strCache>
            </c:strRef>
          </c:cat>
          <c:val>
            <c:numRef>
              <c:f>'[图表（文明创建）.xlsx]图表'!$C$38:$C$41</c:f>
              <c:numCache>
                <c:formatCode>General</c:formatCode>
                <c:ptCount val="4"/>
                <c:pt idx="0">
                  <c:v>3</c:v>
                </c:pt>
                <c:pt idx="1">
                  <c:v>2</c:v>
                </c:pt>
                <c:pt idx="2">
                  <c:v>2</c:v>
                </c:pt>
                <c:pt idx="3">
                  <c:v>2</c:v>
                </c:pt>
              </c:numCache>
            </c:numRef>
          </c:val>
          <c:smooth val="0"/>
        </c:ser>
        <c:dLbls>
          <c:showLegendKey val="0"/>
          <c:showVal val="0"/>
          <c:showCatName val="0"/>
          <c:showSerName val="0"/>
          <c:showPercent val="0"/>
          <c:showBubbleSize val="0"/>
        </c:dLbls>
        <c:marker val="0"/>
        <c:smooth val="0"/>
        <c:axId val="351029921"/>
        <c:axId val="917162646"/>
      </c:lineChart>
      <c:catAx>
        <c:axId val="3510299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162646"/>
        <c:crosses val="autoZero"/>
        <c:auto val="1"/>
        <c:lblAlgn val="ctr"/>
        <c:lblOffset val="100"/>
        <c:noMultiLvlLbl val="0"/>
      </c:catAx>
      <c:valAx>
        <c:axId val="9171626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0299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过程</a:t>
            </a:r>
          </a:p>
        </c:rich>
      </c:tx>
      <c:layout/>
      <c:overlay val="0"/>
      <c:spPr>
        <a:noFill/>
        <a:ln>
          <a:noFill/>
        </a:ln>
        <a:effectLst/>
      </c:spPr>
    </c:title>
    <c:autoTitleDeleted val="0"/>
    <c:plotArea>
      <c:layout/>
      <c:barChart>
        <c:barDir val="col"/>
        <c:grouping val="clustered"/>
        <c:varyColors val="0"/>
        <c:ser>
          <c:idx val="0"/>
          <c:order val="0"/>
          <c:tx>
            <c:strRef>
              <c:f>'[图表（文明创建）.xlsx]图表'!$B$43</c:f>
              <c:strCache>
                <c:ptCount val="1"/>
                <c:pt idx="0">
                  <c:v>指标分值</c:v>
                </c:pt>
              </c:strCache>
            </c:strRef>
          </c:tx>
          <c:spPr>
            <a:solidFill>
              <a:srgbClr val="92D050"/>
            </a:solidFill>
            <a:ln>
              <a:noFill/>
            </a:ln>
            <a:effectLst/>
          </c:spPr>
          <c:invertIfNegative val="0"/>
          <c:dLbls>
            <c:delete val="1"/>
          </c:dLbls>
          <c:cat>
            <c:strRef>
              <c:f>'[图表（文明创建）.xlsx]图表'!$A$44:$A$49</c:f>
              <c:strCache>
                <c:ptCount val="6"/>
                <c:pt idx="0">
                  <c:v>业务制度健全性</c:v>
                </c:pt>
                <c:pt idx="1">
                  <c:v>制度执行有效性</c:v>
                </c:pt>
                <c:pt idx="2">
                  <c:v>项目质量可控性</c:v>
                </c:pt>
                <c:pt idx="3">
                  <c:v>财务制度健全性</c:v>
                </c:pt>
                <c:pt idx="4">
                  <c:v>资金使用合规性</c:v>
                </c:pt>
                <c:pt idx="5">
                  <c:v>财务监控有效性</c:v>
                </c:pt>
              </c:strCache>
            </c:strRef>
          </c:cat>
          <c:val>
            <c:numRef>
              <c:f>'[图表（文明创建）.xlsx]图表'!$B$44:$B$49</c:f>
              <c:numCache>
                <c:formatCode>General</c:formatCode>
                <c:ptCount val="6"/>
                <c:pt idx="0">
                  <c:v>3</c:v>
                </c:pt>
                <c:pt idx="1">
                  <c:v>3</c:v>
                </c:pt>
                <c:pt idx="2">
                  <c:v>4</c:v>
                </c:pt>
                <c:pt idx="3">
                  <c:v>3</c:v>
                </c:pt>
                <c:pt idx="4">
                  <c:v>3</c:v>
                </c:pt>
                <c:pt idx="5">
                  <c:v>4</c:v>
                </c:pt>
              </c:numCache>
            </c:numRef>
          </c:val>
        </c:ser>
        <c:dLbls>
          <c:showLegendKey val="0"/>
          <c:showVal val="0"/>
          <c:showCatName val="0"/>
          <c:showSerName val="0"/>
          <c:showPercent val="0"/>
          <c:showBubbleSize val="0"/>
        </c:dLbls>
        <c:gapWidth val="219"/>
        <c:overlap val="-27"/>
        <c:axId val="106472549"/>
        <c:axId val="890646468"/>
      </c:barChart>
      <c:lineChart>
        <c:grouping val="standard"/>
        <c:varyColors val="0"/>
        <c:ser>
          <c:idx val="1"/>
          <c:order val="1"/>
          <c:tx>
            <c:strRef>
              <c:f>'[图表（文明创建）.xlsx]图表'!$C$43</c:f>
              <c:strCache>
                <c:ptCount val="1"/>
                <c:pt idx="0">
                  <c:v>指标评分</c:v>
                </c:pt>
              </c:strCache>
            </c:strRef>
          </c:tx>
          <c:spPr>
            <a:ln w="28575" cap="rnd">
              <a:solidFill>
                <a:schemeClr val="accent2"/>
              </a:solidFill>
              <a:round/>
            </a:ln>
            <a:effectLst/>
          </c:spPr>
          <c:marker>
            <c:symbol val="none"/>
          </c:marker>
          <c:dLbls>
            <c:delete val="1"/>
          </c:dLbls>
          <c:cat>
            <c:strRef>
              <c:f>'[图表（文明创建）.xlsx]图表'!$A$44:$A$49</c:f>
              <c:strCache>
                <c:ptCount val="6"/>
                <c:pt idx="0">
                  <c:v>业务制度健全性</c:v>
                </c:pt>
                <c:pt idx="1">
                  <c:v>制度执行有效性</c:v>
                </c:pt>
                <c:pt idx="2">
                  <c:v>项目质量可控性</c:v>
                </c:pt>
                <c:pt idx="3">
                  <c:v>财务制度健全性</c:v>
                </c:pt>
                <c:pt idx="4">
                  <c:v>资金使用合规性</c:v>
                </c:pt>
                <c:pt idx="5">
                  <c:v>财务监控有效性</c:v>
                </c:pt>
              </c:strCache>
            </c:strRef>
          </c:cat>
          <c:val>
            <c:numRef>
              <c:f>'[图表（文明创建）.xlsx]图表'!$C$44:$C$49</c:f>
              <c:numCache>
                <c:formatCode>General</c:formatCode>
                <c:ptCount val="6"/>
                <c:pt idx="0">
                  <c:v>3</c:v>
                </c:pt>
                <c:pt idx="1">
                  <c:v>2.5</c:v>
                </c:pt>
                <c:pt idx="2">
                  <c:v>4</c:v>
                </c:pt>
                <c:pt idx="3">
                  <c:v>2</c:v>
                </c:pt>
                <c:pt idx="4">
                  <c:v>3</c:v>
                </c:pt>
                <c:pt idx="5">
                  <c:v>4</c:v>
                </c:pt>
              </c:numCache>
            </c:numRef>
          </c:val>
          <c:smooth val="0"/>
        </c:ser>
        <c:dLbls>
          <c:showLegendKey val="0"/>
          <c:showVal val="0"/>
          <c:showCatName val="0"/>
          <c:showSerName val="0"/>
          <c:showPercent val="0"/>
          <c:showBubbleSize val="0"/>
        </c:dLbls>
        <c:marker val="0"/>
        <c:smooth val="0"/>
        <c:axId val="106472549"/>
        <c:axId val="890646468"/>
      </c:lineChart>
      <c:catAx>
        <c:axId val="1064725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0646468"/>
        <c:crosses val="autoZero"/>
        <c:auto val="1"/>
        <c:lblAlgn val="ctr"/>
        <c:lblOffset val="100"/>
        <c:noMultiLvlLbl val="0"/>
      </c:catAx>
      <c:valAx>
        <c:axId val="8906464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4725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产出</a:t>
            </a:r>
          </a:p>
        </c:rich>
      </c:tx>
      <c:layout/>
      <c:overlay val="0"/>
      <c:spPr>
        <a:noFill/>
        <a:ln>
          <a:noFill/>
        </a:ln>
        <a:effectLst/>
      </c:spPr>
    </c:title>
    <c:autoTitleDeleted val="0"/>
    <c:plotArea>
      <c:layout/>
      <c:barChart>
        <c:barDir val="col"/>
        <c:grouping val="clustered"/>
        <c:varyColors val="0"/>
        <c:ser>
          <c:idx val="0"/>
          <c:order val="0"/>
          <c:tx>
            <c:strRef>
              <c:f>'[图表（文明创建）.xlsx]图表'!$B$53</c:f>
              <c:strCache>
                <c:ptCount val="1"/>
                <c:pt idx="0">
                  <c:v>指标分值</c:v>
                </c:pt>
              </c:strCache>
            </c:strRef>
          </c:tx>
          <c:spPr>
            <a:solidFill>
              <a:srgbClr val="FFFF00"/>
            </a:solidFill>
            <a:ln>
              <a:noFill/>
            </a:ln>
            <a:effectLst/>
          </c:spPr>
          <c:invertIfNegative val="0"/>
          <c:dLbls>
            <c:delete val="1"/>
          </c:dLbls>
          <c:cat>
            <c:strRef>
              <c:f>'[图表（文明创建）.xlsx]图表'!$A$54:$A$60</c:f>
              <c:strCache>
                <c:ptCount val="7"/>
                <c:pt idx="0">
                  <c:v>文明过马路劝导活动覆盖率</c:v>
                </c:pt>
                <c:pt idx="1">
                  <c:v>节日活动完成率</c:v>
                </c:pt>
                <c:pt idx="2">
                  <c:v>城市文明程度测评指数</c:v>
                </c:pt>
                <c:pt idx="3">
                  <c:v>志愿者注册比例</c:v>
                </c:pt>
                <c:pt idx="4">
                  <c:v>志愿者参与度</c:v>
                </c:pt>
                <c:pt idx="5">
                  <c:v>完成及时率</c:v>
                </c:pt>
                <c:pt idx="6">
                  <c:v>资金使用率</c:v>
                </c:pt>
              </c:strCache>
            </c:strRef>
          </c:cat>
          <c:val>
            <c:numRef>
              <c:f>'[图表（文明创建）.xlsx]图表'!$B$54:$B$60</c:f>
              <c:numCache>
                <c:formatCode>General</c:formatCode>
                <c:ptCount val="7"/>
                <c:pt idx="0">
                  <c:v>5</c:v>
                </c:pt>
                <c:pt idx="1">
                  <c:v>5</c:v>
                </c:pt>
                <c:pt idx="2">
                  <c:v>4</c:v>
                </c:pt>
                <c:pt idx="3">
                  <c:v>4</c:v>
                </c:pt>
                <c:pt idx="4">
                  <c:v>5</c:v>
                </c:pt>
                <c:pt idx="5">
                  <c:v>5</c:v>
                </c:pt>
                <c:pt idx="6">
                  <c:v>5</c:v>
                </c:pt>
              </c:numCache>
            </c:numRef>
          </c:val>
        </c:ser>
        <c:dLbls>
          <c:showLegendKey val="0"/>
          <c:showVal val="0"/>
          <c:showCatName val="0"/>
          <c:showSerName val="0"/>
          <c:showPercent val="0"/>
          <c:showBubbleSize val="0"/>
        </c:dLbls>
        <c:gapWidth val="219"/>
        <c:overlap val="-27"/>
        <c:axId val="712872281"/>
        <c:axId val="285646963"/>
      </c:barChart>
      <c:lineChart>
        <c:grouping val="standard"/>
        <c:varyColors val="0"/>
        <c:ser>
          <c:idx val="1"/>
          <c:order val="1"/>
          <c:tx>
            <c:strRef>
              <c:f>'[图表（文明创建）.xlsx]图表'!$C$53</c:f>
              <c:strCache>
                <c:ptCount val="1"/>
                <c:pt idx="0">
                  <c:v>指标评分</c:v>
                </c:pt>
              </c:strCache>
            </c:strRef>
          </c:tx>
          <c:spPr>
            <a:ln w="28575" cap="rnd">
              <a:solidFill>
                <a:schemeClr val="accent2"/>
              </a:solidFill>
              <a:round/>
            </a:ln>
            <a:effectLst/>
          </c:spPr>
          <c:marker>
            <c:symbol val="none"/>
          </c:marker>
          <c:dLbls>
            <c:delete val="1"/>
          </c:dLbls>
          <c:cat>
            <c:strRef>
              <c:f>'[图表（文明创建）.xlsx]图表'!$A$54:$A$60</c:f>
              <c:strCache>
                <c:ptCount val="7"/>
                <c:pt idx="0">
                  <c:v>文明过马路劝导活动覆盖率</c:v>
                </c:pt>
                <c:pt idx="1">
                  <c:v>节日活动完成率</c:v>
                </c:pt>
                <c:pt idx="2">
                  <c:v>城市文明程度测评指数</c:v>
                </c:pt>
                <c:pt idx="3">
                  <c:v>志愿者注册比例</c:v>
                </c:pt>
                <c:pt idx="4">
                  <c:v>志愿者参与度</c:v>
                </c:pt>
                <c:pt idx="5">
                  <c:v>完成及时率</c:v>
                </c:pt>
                <c:pt idx="6">
                  <c:v>资金使用率</c:v>
                </c:pt>
              </c:strCache>
            </c:strRef>
          </c:cat>
          <c:val>
            <c:numRef>
              <c:f>'[图表（文明创建）.xlsx]图表'!$C$54:$C$60</c:f>
              <c:numCache>
                <c:formatCode>General</c:formatCode>
                <c:ptCount val="7"/>
                <c:pt idx="0">
                  <c:v>2.5</c:v>
                </c:pt>
                <c:pt idx="1">
                  <c:v>5</c:v>
                </c:pt>
                <c:pt idx="2">
                  <c:v>3</c:v>
                </c:pt>
                <c:pt idx="3">
                  <c:v>4</c:v>
                </c:pt>
                <c:pt idx="4">
                  <c:v>5</c:v>
                </c:pt>
                <c:pt idx="5">
                  <c:v>5</c:v>
                </c:pt>
                <c:pt idx="6">
                  <c:v>5</c:v>
                </c:pt>
              </c:numCache>
            </c:numRef>
          </c:val>
          <c:smooth val="0"/>
        </c:ser>
        <c:dLbls>
          <c:showLegendKey val="0"/>
          <c:showVal val="0"/>
          <c:showCatName val="0"/>
          <c:showSerName val="0"/>
          <c:showPercent val="0"/>
          <c:showBubbleSize val="0"/>
        </c:dLbls>
        <c:marker val="0"/>
        <c:smooth val="0"/>
        <c:axId val="712872281"/>
        <c:axId val="285646963"/>
      </c:lineChart>
      <c:catAx>
        <c:axId val="7128722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646963"/>
        <c:crosses val="autoZero"/>
        <c:auto val="1"/>
        <c:lblAlgn val="ctr"/>
        <c:lblOffset val="100"/>
        <c:noMultiLvlLbl val="0"/>
      </c:catAx>
      <c:valAx>
        <c:axId val="2856469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28722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效果</a:t>
            </a:r>
          </a:p>
        </c:rich>
      </c:tx>
      <c:layout/>
      <c:overlay val="0"/>
      <c:spPr>
        <a:noFill/>
        <a:ln>
          <a:noFill/>
        </a:ln>
        <a:effectLst/>
      </c:spPr>
    </c:title>
    <c:autoTitleDeleted val="0"/>
    <c:plotArea>
      <c:layout/>
      <c:barChart>
        <c:barDir val="col"/>
        <c:grouping val="clustered"/>
        <c:varyColors val="0"/>
        <c:ser>
          <c:idx val="0"/>
          <c:order val="0"/>
          <c:tx>
            <c:strRef>
              <c:f>'[图表（文明创建）.xlsx]图表'!$B$61</c:f>
              <c:strCache>
                <c:ptCount val="1"/>
                <c:pt idx="0">
                  <c:v>指标分值</c:v>
                </c:pt>
              </c:strCache>
            </c:strRef>
          </c:tx>
          <c:spPr>
            <a:solidFill>
              <a:schemeClr val="accent4"/>
            </a:solidFill>
            <a:ln>
              <a:noFill/>
            </a:ln>
            <a:effectLst/>
          </c:spPr>
          <c:invertIfNegative val="0"/>
          <c:dLbls>
            <c:delete val="1"/>
          </c:dLbls>
          <c:cat>
            <c:strRef>
              <c:f>'[图表（文明创建）.xlsx]图表'!$A$62:$A$67</c:f>
              <c:strCache>
                <c:ptCount val="6"/>
                <c:pt idx="0">
                  <c:v>宣传方式多样性</c:v>
                </c:pt>
                <c:pt idx="1">
                  <c:v>群众知晓率</c:v>
                </c:pt>
                <c:pt idx="2">
                  <c:v>志愿服务活动重点与内容</c:v>
                </c:pt>
                <c:pt idx="3">
                  <c:v>可持续性</c:v>
                </c:pt>
                <c:pt idx="4">
                  <c:v>活动丰富程度</c:v>
                </c:pt>
                <c:pt idx="5">
                  <c:v>服务对象满意度</c:v>
                </c:pt>
              </c:strCache>
            </c:strRef>
          </c:cat>
          <c:val>
            <c:numRef>
              <c:f>'[图表（文明创建）.xlsx]图表'!$B$62:$B$67</c:f>
              <c:numCache>
                <c:formatCode>General</c:formatCode>
                <c:ptCount val="6"/>
                <c:pt idx="0">
                  <c:v>6</c:v>
                </c:pt>
                <c:pt idx="1">
                  <c:v>6</c:v>
                </c:pt>
                <c:pt idx="2">
                  <c:v>6</c:v>
                </c:pt>
                <c:pt idx="3">
                  <c:v>5</c:v>
                </c:pt>
                <c:pt idx="4">
                  <c:v>6</c:v>
                </c:pt>
                <c:pt idx="5">
                  <c:v>8</c:v>
                </c:pt>
              </c:numCache>
            </c:numRef>
          </c:val>
        </c:ser>
        <c:dLbls>
          <c:showLegendKey val="0"/>
          <c:showVal val="0"/>
          <c:showCatName val="0"/>
          <c:showSerName val="0"/>
          <c:showPercent val="0"/>
          <c:showBubbleSize val="0"/>
        </c:dLbls>
        <c:gapWidth val="219"/>
        <c:overlap val="-27"/>
        <c:axId val="295768838"/>
        <c:axId val="819809556"/>
      </c:barChart>
      <c:lineChart>
        <c:grouping val="standard"/>
        <c:varyColors val="0"/>
        <c:ser>
          <c:idx val="1"/>
          <c:order val="1"/>
          <c:tx>
            <c:strRef>
              <c:f>'[图表（文明创建）.xlsx]图表'!$C$61</c:f>
              <c:strCache>
                <c:ptCount val="1"/>
                <c:pt idx="0">
                  <c:v>指标评分</c:v>
                </c:pt>
              </c:strCache>
            </c:strRef>
          </c:tx>
          <c:spPr>
            <a:ln w="28575" cap="rnd">
              <a:solidFill>
                <a:schemeClr val="accent2"/>
              </a:solidFill>
              <a:round/>
            </a:ln>
            <a:effectLst/>
          </c:spPr>
          <c:marker>
            <c:symbol val="none"/>
          </c:marker>
          <c:dLbls>
            <c:delete val="1"/>
          </c:dLbls>
          <c:cat>
            <c:strRef>
              <c:f>'[图表（文明创建）.xlsx]图表'!$A$62:$A$67</c:f>
              <c:strCache>
                <c:ptCount val="6"/>
                <c:pt idx="0">
                  <c:v>宣传方式多样性</c:v>
                </c:pt>
                <c:pt idx="1">
                  <c:v>群众知晓率</c:v>
                </c:pt>
                <c:pt idx="2">
                  <c:v>志愿服务活动重点与内容</c:v>
                </c:pt>
                <c:pt idx="3">
                  <c:v>可持续性</c:v>
                </c:pt>
                <c:pt idx="4">
                  <c:v>活动丰富程度</c:v>
                </c:pt>
                <c:pt idx="5">
                  <c:v>服务对象满意度</c:v>
                </c:pt>
              </c:strCache>
            </c:strRef>
          </c:cat>
          <c:val>
            <c:numRef>
              <c:f>'[图表（文明创建）.xlsx]图表'!$C$62:$C$67</c:f>
              <c:numCache>
                <c:formatCode>General</c:formatCode>
                <c:ptCount val="6"/>
                <c:pt idx="0">
                  <c:v>6</c:v>
                </c:pt>
                <c:pt idx="1">
                  <c:v>6</c:v>
                </c:pt>
                <c:pt idx="2">
                  <c:v>6</c:v>
                </c:pt>
                <c:pt idx="3">
                  <c:v>5</c:v>
                </c:pt>
                <c:pt idx="4">
                  <c:v>6</c:v>
                </c:pt>
                <c:pt idx="5">
                  <c:v>8</c:v>
                </c:pt>
              </c:numCache>
            </c:numRef>
          </c:val>
          <c:smooth val="0"/>
        </c:ser>
        <c:dLbls>
          <c:showLegendKey val="0"/>
          <c:showVal val="0"/>
          <c:showCatName val="0"/>
          <c:showSerName val="0"/>
          <c:showPercent val="0"/>
          <c:showBubbleSize val="0"/>
        </c:dLbls>
        <c:marker val="0"/>
        <c:smooth val="0"/>
        <c:axId val="295768838"/>
        <c:axId val="819809556"/>
      </c:lineChart>
      <c:catAx>
        <c:axId val="295768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809556"/>
        <c:crosses val="autoZero"/>
        <c:auto val="1"/>
        <c:lblAlgn val="ctr"/>
        <c:lblOffset val="100"/>
        <c:noMultiLvlLbl val="0"/>
      </c:catAx>
      <c:valAx>
        <c:axId val="8198095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7688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文明创建工作经费项目评分情况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'[图表（文明创建）.xlsx]图表'!$B$1</c:f>
              <c:strCache>
                <c:ptCount val="1"/>
                <c:pt idx="0">
                  <c:v>总分</c:v>
                </c:pt>
              </c:strCache>
            </c:strRef>
          </c:tx>
          <c:spPr>
            <a:solidFill>
              <a:schemeClr val="accent1"/>
            </a:solidFill>
            <a:ln>
              <a:noFill/>
            </a:ln>
            <a:effectLst/>
          </c:spPr>
          <c:invertIfNegative val="0"/>
          <c:dLbls>
            <c:delete val="1"/>
          </c:dLbls>
          <c:cat>
            <c:strRef>
              <c:f>'[图表（文明创建）.xlsx]图表'!$A$2:$A$5</c:f>
              <c:strCache>
                <c:ptCount val="4"/>
                <c:pt idx="0">
                  <c:v>投入</c:v>
                </c:pt>
                <c:pt idx="1">
                  <c:v>过程</c:v>
                </c:pt>
                <c:pt idx="2">
                  <c:v>产出</c:v>
                </c:pt>
                <c:pt idx="3">
                  <c:v>效果</c:v>
                </c:pt>
              </c:strCache>
            </c:strRef>
          </c:cat>
          <c:val>
            <c:numRef>
              <c:f>'[图表（文明创建）.xlsx]图表'!$B$2:$B$5</c:f>
              <c:numCache>
                <c:formatCode>General</c:formatCode>
                <c:ptCount val="4"/>
                <c:pt idx="0">
                  <c:v>10</c:v>
                </c:pt>
                <c:pt idx="1">
                  <c:v>20</c:v>
                </c:pt>
                <c:pt idx="2">
                  <c:v>33</c:v>
                </c:pt>
                <c:pt idx="3">
                  <c:v>37</c:v>
                </c:pt>
              </c:numCache>
            </c:numRef>
          </c:val>
        </c:ser>
        <c:ser>
          <c:idx val="1"/>
          <c:order val="1"/>
          <c:tx>
            <c:strRef>
              <c:f>'[图表（文明创建）.xlsx]图表'!$C$1</c:f>
              <c:strCache>
                <c:ptCount val="1"/>
                <c:pt idx="0">
                  <c:v>实际得分</c:v>
                </c:pt>
              </c:strCache>
            </c:strRef>
          </c:tx>
          <c:spPr>
            <a:solidFill>
              <a:schemeClr val="accent2"/>
            </a:solidFill>
            <a:ln>
              <a:noFill/>
            </a:ln>
            <a:effectLst/>
          </c:spPr>
          <c:invertIfNegative val="0"/>
          <c:dLbls>
            <c:delete val="1"/>
          </c:dLbls>
          <c:cat>
            <c:strRef>
              <c:f>'[图表（文明创建）.xlsx]图表'!$A$2:$A$5</c:f>
              <c:strCache>
                <c:ptCount val="4"/>
                <c:pt idx="0">
                  <c:v>投入</c:v>
                </c:pt>
                <c:pt idx="1">
                  <c:v>过程</c:v>
                </c:pt>
                <c:pt idx="2">
                  <c:v>产出</c:v>
                </c:pt>
                <c:pt idx="3">
                  <c:v>效果</c:v>
                </c:pt>
              </c:strCache>
            </c:strRef>
          </c:cat>
          <c:val>
            <c:numRef>
              <c:f>'[图表（文明创建）.xlsx]图表'!$C$2:$C$5</c:f>
              <c:numCache>
                <c:formatCode>General</c:formatCode>
                <c:ptCount val="4"/>
                <c:pt idx="0">
                  <c:v>9</c:v>
                </c:pt>
                <c:pt idx="1">
                  <c:v>18.5</c:v>
                </c:pt>
                <c:pt idx="2">
                  <c:v>29.5</c:v>
                </c:pt>
                <c:pt idx="3">
                  <c:v>37</c:v>
                </c:pt>
              </c:numCache>
            </c:numRef>
          </c:val>
        </c:ser>
        <c:dLbls>
          <c:showLegendKey val="0"/>
          <c:showVal val="0"/>
          <c:showCatName val="0"/>
          <c:showSerName val="0"/>
          <c:showPercent val="0"/>
          <c:showBubbleSize val="0"/>
        </c:dLbls>
        <c:gapWidth val="182"/>
        <c:overlap val="0"/>
        <c:axId val="136633962"/>
        <c:axId val="681938423"/>
      </c:barChart>
      <c:catAx>
        <c:axId val="1366339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1938423"/>
        <c:crosses val="autoZero"/>
        <c:auto val="1"/>
        <c:lblAlgn val="ctr"/>
        <c:lblOffset val="100"/>
        <c:noMultiLvlLbl val="0"/>
      </c:catAx>
      <c:valAx>
        <c:axId val="681938423"/>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63396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1">
  <dgm:title val=""/>
  <dgm:desc val=""/>
  <dgm:catLst>
    <dgm:cat type="mainScheme" pri="10300"/>
  </dgm:catLst>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alignNode1">
    <dgm:fillClrLst meth="repeat">
      <a:schemeClr val="dk2"/>
    </dgm:fillClrLst>
    <dgm:linClrLst meth="repeat">
      <a:schemeClr val="dk2"/>
    </dgm:linClrLst>
    <dgm:effectClrLst/>
    <dgm:txLinClrLst/>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node0">
    <dgm:fillClrLst meth="repeat">
      <a:schemeClr val="dk2"/>
    </dgm:fillClrLst>
    <dgm:linClrLst meth="repeat">
      <a:schemeClr val="lt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6D050DC-E937-4AC5-B3F5-E7544CFD3F54}" type="doc">
      <dgm:prSet loTypeId="urn:microsoft.com/office/officeart/2005/8/layout/vList5" loCatId="list" qsTypeId="urn:microsoft.com/office/officeart/2005/8/quickstyle/simple2#1" qsCatId="simple" csTypeId="urn:microsoft.com/office/officeart/2005/8/colors/accent0_3#1" csCatId="mainScheme" phldr="1"/>
      <dgm:spPr/>
      <dgm:t>
        <a:bodyPr/>
        <a:p>
          <a:endParaRPr lang="zh-CN" altLang="en-US"/>
        </a:p>
      </dgm:t>
    </dgm:pt>
    <dgm:pt modelId="{C7C97B4B-8F6D-464C-9BA4-3B5557FB6B16}">
      <dgm:prSet phldrT="[文本]"/>
      <dgm:spPr>
        <a:xfrm>
          <a:off x="0" y="83704"/>
          <a:ext cx="1547024" cy="587142"/>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p>
          <a:r>
            <a:rPr lang="zh-CN" altLang="en-US"/>
            <a:t>前期准备工作</a:t>
          </a:r>
        </a:p>
      </dgm:t>
    </dgm:pt>
    <dgm:pt modelId="{B7EAC3B6-971F-4212-91C1-B5002455DDC4}" cxnId="{39BE7998-7DA7-49EC-948D-6F00DAC5AE37}" type="parTrans">
      <dgm:prSet/>
      <dgm:spPr/>
      <dgm:t>
        <a:bodyPr/>
        <a:p>
          <a:endParaRPr lang="zh-CN" altLang="en-US"/>
        </a:p>
      </dgm:t>
    </dgm:pt>
    <dgm:pt modelId="{9B0669B7-E863-4374-BA23-E65B4F044C22}" cxnId="{39BE7998-7DA7-49EC-948D-6F00DAC5AE37}" type="sibTrans">
      <dgm:prSet/>
      <dgm:spPr/>
      <dgm:t>
        <a:bodyPr/>
        <a:p>
          <a:endParaRPr lang="zh-CN" altLang="en-US"/>
        </a:p>
      </dgm:t>
    </dgm:pt>
    <dgm:pt modelId="{02BCC3E2-F04F-4036-AA9C-74980D7984C2}">
      <dgm:prSet phldrT="[文本]"/>
      <dgm:spPr>
        <a:xfrm rot="5400000">
          <a:off x="2545528" y="-997857"/>
          <a:ext cx="753256" cy="2750265"/>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成立绩效评价小组</a:t>
          </a:r>
        </a:p>
      </dgm:t>
    </dgm:pt>
    <dgm:pt modelId="{7E75C50F-88E1-4DF1-AAE1-8D7084611458}" cxnId="{96903CD4-827D-4B9D-BCAA-787B7A69625D}" type="parTrans">
      <dgm:prSet/>
      <dgm:spPr/>
      <dgm:t>
        <a:bodyPr/>
        <a:p>
          <a:endParaRPr lang="zh-CN" altLang="en-US"/>
        </a:p>
      </dgm:t>
    </dgm:pt>
    <dgm:pt modelId="{DF5F1FD6-6127-48A7-AEA2-4F25CC02D2D9}" cxnId="{96903CD4-827D-4B9D-BCAA-787B7A69625D}" type="sibTrans">
      <dgm:prSet/>
      <dgm:spPr/>
      <dgm:t>
        <a:bodyPr/>
        <a:p>
          <a:endParaRPr lang="zh-CN" altLang="en-US"/>
        </a:p>
      </dgm:t>
    </dgm:pt>
    <dgm:pt modelId="{AFB99C2F-C804-49FD-88CC-A9486951C397}">
      <dgm:prSet phldrT="[文本]"/>
      <dgm:spPr>
        <a:xfrm>
          <a:off x="0" y="783260"/>
          <a:ext cx="1548536" cy="587142"/>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p>
          <a:r>
            <a:rPr lang="zh-CN" altLang="en-US"/>
            <a:t>组织实施过程</a:t>
          </a:r>
        </a:p>
      </dgm:t>
    </dgm:pt>
    <dgm:pt modelId="{C19FCC98-D904-415D-93CF-C7643BF4B483}" cxnId="{80A083F2-2792-4AFC-B8C9-12B336F38B3B}" type="parTrans">
      <dgm:prSet/>
      <dgm:spPr/>
      <dgm:t>
        <a:bodyPr/>
        <a:p>
          <a:endParaRPr lang="zh-CN" altLang="en-US"/>
        </a:p>
      </dgm:t>
    </dgm:pt>
    <dgm:pt modelId="{F5EC3CE6-1B0E-4CCB-BFCC-3C886950733D}" cxnId="{80A083F2-2792-4AFC-B8C9-12B336F38B3B}" type="sibTrans">
      <dgm:prSet/>
      <dgm:spPr/>
      <dgm:t>
        <a:bodyPr/>
        <a:p>
          <a:endParaRPr lang="zh-CN" altLang="en-US"/>
        </a:p>
      </dgm:t>
    </dgm:pt>
    <dgm:pt modelId="{3400C617-4496-4D61-AFF1-743847C2A495}">
      <dgm:prSet phldrT="[文本]"/>
      <dgm:spPr>
        <a:xfrm rot="5400000">
          <a:off x="2690156" y="-29964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收集、审核基础资料</a:t>
          </a:r>
        </a:p>
      </dgm:t>
    </dgm:pt>
    <dgm:pt modelId="{C8698BD0-54FE-4D68-8D9E-F1DF2D1D1DB7}" cxnId="{CDB6ABAD-D02A-47DA-A821-B407A990B3B3}" type="parTrans">
      <dgm:prSet/>
      <dgm:spPr/>
      <dgm:t>
        <a:bodyPr/>
        <a:p>
          <a:endParaRPr lang="zh-CN" altLang="en-US"/>
        </a:p>
      </dgm:t>
    </dgm:pt>
    <dgm:pt modelId="{90A71D9F-AD4A-471E-9CA5-69285E04C08E}" cxnId="{CDB6ABAD-D02A-47DA-A821-B407A990B3B3}" type="sibTrans">
      <dgm:prSet/>
      <dgm:spPr/>
      <dgm:t>
        <a:bodyPr/>
        <a:p>
          <a:endParaRPr lang="zh-CN" altLang="en-US"/>
        </a:p>
      </dgm:t>
    </dgm:pt>
    <dgm:pt modelId="{440E748A-529A-47E1-A280-396CF60E16AA}">
      <dgm:prSet phldrT="[文本]"/>
      <dgm:spPr>
        <a:xfrm>
          <a:off x="0" y="1399760"/>
          <a:ext cx="1548536" cy="587142"/>
        </a:xfr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gm:spPr>
      <dgm:t>
        <a:bodyPr/>
        <a:p>
          <a:r>
            <a:rPr lang="zh-CN" altLang="en-US"/>
            <a:t>分析评价工作</a:t>
          </a:r>
        </a:p>
      </dgm:t>
    </dgm:pt>
    <dgm:pt modelId="{A84A3C92-8768-46B8-9FA4-049B3F5CA41C}" cxnId="{546E164E-5A41-4CF9-A21F-40635B967C1A}" type="parTrans">
      <dgm:prSet/>
      <dgm:spPr/>
      <dgm:t>
        <a:bodyPr/>
        <a:p>
          <a:endParaRPr lang="zh-CN" altLang="en-US"/>
        </a:p>
      </dgm:t>
    </dgm:pt>
    <dgm:pt modelId="{6A009E18-0E02-4EAB-B542-765F88F43722}" cxnId="{546E164E-5A41-4CF9-A21F-40635B967C1A}" type="sibTrans">
      <dgm:prSet/>
      <dgm:spPr/>
      <dgm:t>
        <a:bodyPr/>
        <a:p>
          <a:endParaRPr lang="zh-CN" altLang="en-US"/>
        </a:p>
      </dgm:t>
    </dgm:pt>
    <dgm:pt modelId="{E3E4778B-EDA9-4D8D-A462-3434A29C877B}">
      <dgm:prSet phldrT="[文本]"/>
      <dgm:spPr>
        <a:xfrm rot="5400000">
          <a:off x="2690156" y="31685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根据分析情况评分</a:t>
          </a:r>
        </a:p>
      </dgm:t>
    </dgm:pt>
    <dgm:pt modelId="{4D2E43F7-1ADA-4AF4-99ED-DCD5BB3902FD}" cxnId="{60CC4E97-9563-4596-A870-DCAB61DBBE88}" type="parTrans">
      <dgm:prSet/>
      <dgm:spPr/>
      <dgm:t>
        <a:bodyPr/>
        <a:p>
          <a:endParaRPr lang="zh-CN" altLang="en-US"/>
        </a:p>
      </dgm:t>
    </dgm:pt>
    <dgm:pt modelId="{1AEF9893-6964-480B-92A6-339C1AFAEC34}" cxnId="{60CC4E97-9563-4596-A870-DCAB61DBBE88}" type="sibTrans">
      <dgm:prSet/>
      <dgm:spPr/>
      <dgm:t>
        <a:bodyPr/>
        <a:p>
          <a:endParaRPr lang="zh-CN" altLang="en-US"/>
        </a:p>
      </dgm:t>
    </dgm:pt>
    <dgm:pt modelId="{FFD474D6-68D5-4566-B688-F579A8783C36}">
      <dgm:prSet/>
      <dgm:spPr>
        <a:xfrm rot="5400000">
          <a:off x="2545528" y="-997857"/>
          <a:ext cx="753256" cy="2750265"/>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查阅项目文件</a:t>
          </a:r>
        </a:p>
      </dgm:t>
    </dgm:pt>
    <dgm:pt modelId="{0DEFE821-987D-4ED9-9B82-3D4A9C538C38}" cxnId="{02DF9F50-6098-498F-8657-963120B67AAC}" type="parTrans">
      <dgm:prSet/>
      <dgm:spPr/>
      <dgm:t>
        <a:bodyPr/>
        <a:p>
          <a:endParaRPr lang="zh-CN" altLang="en-US"/>
        </a:p>
      </dgm:t>
    </dgm:pt>
    <dgm:pt modelId="{C17C6BDA-6425-4747-BA4D-802987DA21E3}" cxnId="{02DF9F50-6098-498F-8657-963120B67AAC}" type="sibTrans">
      <dgm:prSet/>
      <dgm:spPr/>
      <dgm:t>
        <a:bodyPr/>
        <a:p>
          <a:endParaRPr lang="zh-CN" altLang="en-US"/>
        </a:p>
      </dgm:t>
    </dgm:pt>
    <dgm:pt modelId="{1CD4CCDE-A77E-44BE-83BA-44BD146F904A}">
      <dgm:prSet/>
      <dgm:spPr>
        <a:xfrm rot="5400000">
          <a:off x="2545528" y="-997857"/>
          <a:ext cx="753256" cy="2750265"/>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设计绩效评价指标体系</a:t>
          </a:r>
        </a:p>
      </dgm:t>
    </dgm:pt>
    <dgm:pt modelId="{AA19DFC7-2FFD-4E23-968E-8CDB4B7CDE93}" cxnId="{31B1B489-7205-4D55-93EF-934A96FA4A45}" type="parTrans">
      <dgm:prSet/>
      <dgm:spPr/>
      <dgm:t>
        <a:bodyPr/>
        <a:p>
          <a:endParaRPr lang="zh-CN" altLang="en-US"/>
        </a:p>
      </dgm:t>
    </dgm:pt>
    <dgm:pt modelId="{33C73412-D103-4A7F-AAD5-67A71A850E25}" cxnId="{31B1B489-7205-4D55-93EF-934A96FA4A45}" type="sibTrans">
      <dgm:prSet/>
      <dgm:spPr/>
      <dgm:t>
        <a:bodyPr/>
        <a:p>
          <a:endParaRPr lang="zh-CN" altLang="en-US"/>
        </a:p>
      </dgm:t>
    </dgm:pt>
    <dgm:pt modelId="{651FAC3A-D90B-44DC-A1D5-170950BA15DB}">
      <dgm:prSet/>
      <dgm:spPr>
        <a:xfrm rot="5400000">
          <a:off x="2545528" y="-997857"/>
          <a:ext cx="753256" cy="2750265"/>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制定项目实施方案</a:t>
          </a:r>
        </a:p>
      </dgm:t>
    </dgm:pt>
    <dgm:pt modelId="{32BDB1AF-38B4-474E-B3F2-EBCC3B52E628}" cxnId="{2667CDB7-C7A2-4BDB-9929-652A0073A2D2}" type="parTrans">
      <dgm:prSet/>
      <dgm:spPr/>
      <dgm:t>
        <a:bodyPr/>
        <a:p>
          <a:endParaRPr lang="zh-CN" altLang="en-US"/>
        </a:p>
      </dgm:t>
    </dgm:pt>
    <dgm:pt modelId="{3CFF5C37-2A44-4D78-8A5B-F9F84E3D3E0D}" cxnId="{2667CDB7-C7A2-4BDB-9929-652A0073A2D2}" type="sibTrans">
      <dgm:prSet/>
      <dgm:spPr/>
      <dgm:t>
        <a:bodyPr/>
        <a:p>
          <a:endParaRPr lang="zh-CN" altLang="en-US"/>
        </a:p>
      </dgm:t>
    </dgm:pt>
    <dgm:pt modelId="{0A143249-EAF0-4428-AAEA-40E0125E4D5A}">
      <dgm:prSet/>
      <dgm:spPr>
        <a:xfrm rot="5400000">
          <a:off x="2690156" y="-29964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开展现场核查</a:t>
          </a:r>
        </a:p>
      </dgm:t>
    </dgm:pt>
    <dgm:pt modelId="{D74D3FE1-B77B-4DA8-ADCE-BE5A18B3C863}" cxnId="{3F2E3981-B4AF-4B8A-B48F-2AC1BB670F79}" type="parTrans">
      <dgm:prSet/>
      <dgm:spPr/>
      <dgm:t>
        <a:bodyPr/>
        <a:p>
          <a:endParaRPr lang="zh-CN" altLang="en-US"/>
        </a:p>
      </dgm:t>
    </dgm:pt>
    <dgm:pt modelId="{697F655B-D0AF-4A61-81BD-58DE023DB626}" cxnId="{3F2E3981-B4AF-4B8A-B48F-2AC1BB670F79}" type="sibTrans">
      <dgm:prSet/>
      <dgm:spPr/>
      <dgm:t>
        <a:bodyPr/>
        <a:p>
          <a:endParaRPr lang="zh-CN" altLang="en-US"/>
        </a:p>
      </dgm:t>
    </dgm:pt>
    <dgm:pt modelId="{528F9774-07D0-4B57-94A5-36B2D31A0894}">
      <dgm:prSet/>
      <dgm:spPr>
        <a:xfrm rot="5400000">
          <a:off x="2690156" y="-29964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进行问卷调查</a:t>
          </a:r>
        </a:p>
      </dgm:t>
    </dgm:pt>
    <dgm:pt modelId="{C9E7A78C-659D-40A1-98F3-9C27A1159F4B}" cxnId="{953FDB37-EEB7-4B4E-886D-F4C4141E8172}" type="parTrans">
      <dgm:prSet/>
      <dgm:spPr/>
      <dgm:t>
        <a:bodyPr/>
        <a:p>
          <a:endParaRPr lang="zh-CN" altLang="en-US"/>
        </a:p>
      </dgm:t>
    </dgm:pt>
    <dgm:pt modelId="{544F110B-6095-4685-B95C-3F2E36D14DD2}" cxnId="{953FDB37-EEB7-4B4E-886D-F4C4141E8172}" type="sibTrans">
      <dgm:prSet/>
      <dgm:spPr/>
      <dgm:t>
        <a:bodyPr/>
        <a:p>
          <a:endParaRPr lang="zh-CN" altLang="en-US"/>
        </a:p>
      </dgm:t>
    </dgm:pt>
    <dgm:pt modelId="{B8E4FAD1-04C7-4BF5-958C-BC480B3A62C9}">
      <dgm:prSet/>
      <dgm:spPr>
        <a:xfrm rot="5400000">
          <a:off x="2690156" y="31685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对评价工作进行总结</a:t>
          </a:r>
        </a:p>
      </dgm:t>
    </dgm:pt>
    <dgm:pt modelId="{2C6FCE98-D9E8-43E5-B3C1-1D847E52F371}" cxnId="{5FFA0AAF-0BB0-4A04-A712-E54BD94A1FCB}" type="parTrans">
      <dgm:prSet/>
      <dgm:spPr/>
      <dgm:t>
        <a:bodyPr/>
        <a:p>
          <a:endParaRPr lang="zh-CN" altLang="en-US"/>
        </a:p>
      </dgm:t>
    </dgm:pt>
    <dgm:pt modelId="{105BFADF-0FDC-42F5-825C-351C9BA34CD9}" cxnId="{5FFA0AAF-0BB0-4A04-A712-E54BD94A1FCB}" type="sibTrans">
      <dgm:prSet/>
      <dgm:spPr/>
      <dgm:t>
        <a:bodyPr/>
        <a:p>
          <a:endParaRPr lang="zh-CN" altLang="en-US"/>
        </a:p>
      </dgm:t>
    </dgm:pt>
    <dgm:pt modelId="{0199592B-07F8-4618-8B1F-F748BC3259E6}">
      <dgm:prSet/>
      <dgm:spPr>
        <a:xfrm rot="5400000">
          <a:off x="2690156" y="316854"/>
          <a:ext cx="469713" cy="2752953"/>
        </a:xfr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gm:spPr>
      <dgm:t>
        <a:bodyPr/>
        <a:p>
          <a:r>
            <a:rPr lang="zh-CN" altLang="en-US"/>
            <a:t>撰写评价报告</a:t>
          </a:r>
        </a:p>
      </dgm:t>
    </dgm:pt>
    <dgm:pt modelId="{40607EA4-5ADC-4820-8BAC-539892C67A2B}" cxnId="{12F17772-8C2C-4820-A10E-6FA367200AEB}" type="parTrans">
      <dgm:prSet/>
      <dgm:spPr/>
      <dgm:t>
        <a:bodyPr/>
        <a:p>
          <a:endParaRPr lang="zh-CN" altLang="en-US"/>
        </a:p>
      </dgm:t>
    </dgm:pt>
    <dgm:pt modelId="{2D81BDBE-8698-41FC-839F-7971D7B35EE5}" cxnId="{12F17772-8C2C-4820-A10E-6FA367200AEB}" type="sibTrans">
      <dgm:prSet/>
      <dgm:spPr/>
      <dgm:t>
        <a:bodyPr/>
        <a:p>
          <a:endParaRPr lang="zh-CN" altLang="en-US"/>
        </a:p>
      </dgm:t>
    </dgm:pt>
    <dgm:pt modelId="{5DEAED43-17A9-4A09-9EC9-83C9C7984816}" type="pres">
      <dgm:prSet presAssocID="{06D050DC-E937-4AC5-B3F5-E7544CFD3F54}" presName="Name0" presStyleCnt="0">
        <dgm:presLayoutVars>
          <dgm:dir/>
          <dgm:animLvl val="lvl"/>
          <dgm:resizeHandles val="exact"/>
        </dgm:presLayoutVars>
      </dgm:prSet>
      <dgm:spPr/>
      <dgm:t>
        <a:bodyPr/>
        <a:p>
          <a:endParaRPr lang="zh-CN" altLang="en-US"/>
        </a:p>
      </dgm:t>
    </dgm:pt>
    <dgm:pt modelId="{07D64F48-3B3D-4A6E-9B44-595C89E40955}" type="pres">
      <dgm:prSet presAssocID="{C7C97B4B-8F6D-464C-9BA4-3B5557FB6B16}" presName="linNode" presStyleCnt="0"/>
      <dgm:spPr/>
    </dgm:pt>
    <dgm:pt modelId="{CA5BFA6A-1FCE-4D4F-8CC0-A4C1FB3E3AEB}" type="pres">
      <dgm:prSet presAssocID="{C7C97B4B-8F6D-464C-9BA4-3B5557FB6B16}" presName="parentText" presStyleLbl="node1" presStyleIdx="0" presStyleCnt="3">
        <dgm:presLayoutVars>
          <dgm:chMax val="1"/>
          <dgm:bulletEnabled val="1"/>
        </dgm:presLayoutVars>
      </dgm:prSet>
      <dgm:spPr>
        <a:prstGeom prst="roundRect">
          <a:avLst/>
        </a:prstGeom>
      </dgm:spPr>
      <dgm:t>
        <a:bodyPr/>
        <a:p>
          <a:endParaRPr lang="zh-CN" altLang="en-US"/>
        </a:p>
      </dgm:t>
    </dgm:pt>
    <dgm:pt modelId="{32D43BA0-E529-42F7-A45C-C368E59B95B0}" type="pres">
      <dgm:prSet presAssocID="{C7C97B4B-8F6D-464C-9BA4-3B5557FB6B16}" presName="descendantText" presStyleLbl="alignAccFollowNode1" presStyleIdx="0" presStyleCnt="3" custScaleY="160365">
        <dgm:presLayoutVars>
          <dgm:bulletEnabled val="1"/>
        </dgm:presLayoutVars>
      </dgm:prSet>
      <dgm:spPr>
        <a:prstGeom prst="round2SameRect">
          <a:avLst/>
        </a:prstGeom>
      </dgm:spPr>
      <dgm:t>
        <a:bodyPr/>
        <a:p>
          <a:endParaRPr lang="zh-CN" altLang="en-US"/>
        </a:p>
      </dgm:t>
    </dgm:pt>
    <dgm:pt modelId="{32A7A3BC-5B46-4B5A-ACCE-EE806B7CDC89}" type="pres">
      <dgm:prSet presAssocID="{9B0669B7-E863-4374-BA23-E65B4F044C22}" presName="sp" presStyleCnt="0"/>
      <dgm:spPr/>
    </dgm:pt>
    <dgm:pt modelId="{72832E43-56C6-4AF3-A1F8-7672161F66DF}" type="pres">
      <dgm:prSet presAssocID="{AFB99C2F-C804-49FD-88CC-A9486951C397}" presName="linNode" presStyleCnt="0"/>
      <dgm:spPr/>
    </dgm:pt>
    <dgm:pt modelId="{DB869CED-DDF2-4FE1-B196-4020FE97503E}" type="pres">
      <dgm:prSet presAssocID="{AFB99C2F-C804-49FD-88CC-A9486951C397}" presName="parentText" presStyleLbl="node1" presStyleIdx="1" presStyleCnt="3">
        <dgm:presLayoutVars>
          <dgm:chMax val="1"/>
          <dgm:bulletEnabled val="1"/>
        </dgm:presLayoutVars>
      </dgm:prSet>
      <dgm:spPr>
        <a:prstGeom prst="roundRect">
          <a:avLst/>
        </a:prstGeom>
      </dgm:spPr>
      <dgm:t>
        <a:bodyPr/>
        <a:p>
          <a:endParaRPr lang="zh-CN" altLang="en-US"/>
        </a:p>
      </dgm:t>
    </dgm:pt>
    <dgm:pt modelId="{64D94034-E6FB-436D-84C9-4236F5BB4833}" type="pres">
      <dgm:prSet presAssocID="{AFB99C2F-C804-49FD-88CC-A9486951C397}" presName="descendantText" presStyleLbl="alignAccFollowNode1" presStyleIdx="1" presStyleCnt="3">
        <dgm:presLayoutVars>
          <dgm:bulletEnabled val="1"/>
        </dgm:presLayoutVars>
      </dgm:prSet>
      <dgm:spPr>
        <a:prstGeom prst="round2SameRect">
          <a:avLst/>
        </a:prstGeom>
      </dgm:spPr>
      <dgm:t>
        <a:bodyPr/>
        <a:p>
          <a:endParaRPr lang="zh-CN" altLang="en-US"/>
        </a:p>
      </dgm:t>
    </dgm:pt>
    <dgm:pt modelId="{123BC47F-FF00-46AD-96EC-000EC8680B75}" type="pres">
      <dgm:prSet presAssocID="{F5EC3CE6-1B0E-4CCB-BFCC-3C886950733D}" presName="sp" presStyleCnt="0"/>
      <dgm:spPr/>
    </dgm:pt>
    <dgm:pt modelId="{85221835-0F19-41AB-AE1A-7EE0FD5A7C74}" type="pres">
      <dgm:prSet presAssocID="{440E748A-529A-47E1-A280-396CF60E16AA}" presName="linNode" presStyleCnt="0"/>
      <dgm:spPr/>
    </dgm:pt>
    <dgm:pt modelId="{9CBAF141-1A13-4CEE-821C-063B25200AE1}" type="pres">
      <dgm:prSet presAssocID="{440E748A-529A-47E1-A280-396CF60E16AA}" presName="parentText" presStyleLbl="node1" presStyleIdx="2" presStyleCnt="3">
        <dgm:presLayoutVars>
          <dgm:chMax val="1"/>
          <dgm:bulletEnabled val="1"/>
        </dgm:presLayoutVars>
      </dgm:prSet>
      <dgm:spPr>
        <a:prstGeom prst="roundRect">
          <a:avLst/>
        </a:prstGeom>
      </dgm:spPr>
      <dgm:t>
        <a:bodyPr/>
        <a:p>
          <a:endParaRPr lang="zh-CN" altLang="en-US"/>
        </a:p>
      </dgm:t>
    </dgm:pt>
    <dgm:pt modelId="{09586263-89E5-40F2-B644-C997472BBB1C}" type="pres">
      <dgm:prSet presAssocID="{440E748A-529A-47E1-A280-396CF60E16AA}" presName="descendantText" presStyleLbl="alignAccFollowNode1" presStyleIdx="2" presStyleCnt="3">
        <dgm:presLayoutVars>
          <dgm:bulletEnabled val="1"/>
        </dgm:presLayoutVars>
      </dgm:prSet>
      <dgm:spPr>
        <a:prstGeom prst="round2SameRect">
          <a:avLst/>
        </a:prstGeom>
      </dgm:spPr>
      <dgm:t>
        <a:bodyPr/>
        <a:p>
          <a:endParaRPr lang="zh-CN" altLang="en-US"/>
        </a:p>
      </dgm:t>
    </dgm:pt>
  </dgm:ptLst>
  <dgm:cxnLst>
    <dgm:cxn modelId="{60CC4E97-9563-4596-A870-DCAB61DBBE88}" srcId="{440E748A-529A-47E1-A280-396CF60E16AA}" destId="{E3E4778B-EDA9-4D8D-A462-3434A29C877B}" srcOrd="0" destOrd="0" parTransId="{4D2E43F7-1ADA-4AF4-99ED-DCD5BB3902FD}" sibTransId="{1AEF9893-6964-480B-92A6-339C1AFAEC34}"/>
    <dgm:cxn modelId="{7DA75B2B-65B5-4476-831A-75D6C81226A2}" type="presOf" srcId="{440E748A-529A-47E1-A280-396CF60E16AA}" destId="{9CBAF141-1A13-4CEE-821C-063B25200AE1}" srcOrd="0" destOrd="0" presId="urn:microsoft.com/office/officeart/2005/8/layout/vList5"/>
    <dgm:cxn modelId="{BB768380-0344-4CE0-830C-5A8C56DDC644}" type="presOf" srcId="{E3E4778B-EDA9-4D8D-A462-3434A29C877B}" destId="{09586263-89E5-40F2-B644-C997472BBB1C}" srcOrd="0" destOrd="0" presId="urn:microsoft.com/office/officeart/2005/8/layout/vList5"/>
    <dgm:cxn modelId="{86B9A99E-0616-47EA-8DD6-11C1D1841C40}" type="presOf" srcId="{3400C617-4496-4D61-AFF1-743847C2A495}" destId="{64D94034-E6FB-436D-84C9-4236F5BB4833}" srcOrd="0" destOrd="0" presId="urn:microsoft.com/office/officeart/2005/8/layout/vList5"/>
    <dgm:cxn modelId="{C8133FC0-D54E-450E-86F6-638A100F1944}" type="presOf" srcId="{AFB99C2F-C804-49FD-88CC-A9486951C397}" destId="{DB869CED-DDF2-4FE1-B196-4020FE97503E}" srcOrd="0" destOrd="0" presId="urn:microsoft.com/office/officeart/2005/8/layout/vList5"/>
    <dgm:cxn modelId="{79978373-DCD5-4150-91E6-78286A5AFEB3}" type="presOf" srcId="{0A143249-EAF0-4428-AAEA-40E0125E4D5A}" destId="{64D94034-E6FB-436D-84C9-4236F5BB4833}" srcOrd="0" destOrd="1" presId="urn:microsoft.com/office/officeart/2005/8/layout/vList5"/>
    <dgm:cxn modelId="{31B1B489-7205-4D55-93EF-934A96FA4A45}" srcId="{C7C97B4B-8F6D-464C-9BA4-3B5557FB6B16}" destId="{1CD4CCDE-A77E-44BE-83BA-44BD146F904A}" srcOrd="2" destOrd="0" parTransId="{AA19DFC7-2FFD-4E23-968E-8CDB4B7CDE93}" sibTransId="{33C73412-D103-4A7F-AAD5-67A71A850E25}"/>
    <dgm:cxn modelId="{5FFA0AAF-0BB0-4A04-A712-E54BD94A1FCB}" srcId="{440E748A-529A-47E1-A280-396CF60E16AA}" destId="{B8E4FAD1-04C7-4BF5-958C-BC480B3A62C9}" srcOrd="1" destOrd="0" parTransId="{2C6FCE98-D9E8-43E5-B3C1-1D847E52F371}" sibTransId="{105BFADF-0FDC-42F5-825C-351C9BA34CD9}"/>
    <dgm:cxn modelId="{12F17772-8C2C-4820-A10E-6FA367200AEB}" srcId="{440E748A-529A-47E1-A280-396CF60E16AA}" destId="{0199592B-07F8-4618-8B1F-F748BC3259E6}" srcOrd="2" destOrd="0" parTransId="{40607EA4-5ADC-4820-8BAC-539892C67A2B}" sibTransId="{2D81BDBE-8698-41FC-839F-7971D7B35EE5}"/>
    <dgm:cxn modelId="{5D118404-E631-4BB3-83EB-073F82EBC85F}" type="presOf" srcId="{02BCC3E2-F04F-4036-AA9C-74980D7984C2}" destId="{32D43BA0-E529-42F7-A45C-C368E59B95B0}" srcOrd="0" destOrd="0" presId="urn:microsoft.com/office/officeart/2005/8/layout/vList5"/>
    <dgm:cxn modelId="{2667CDB7-C7A2-4BDB-9929-652A0073A2D2}" srcId="{C7C97B4B-8F6D-464C-9BA4-3B5557FB6B16}" destId="{651FAC3A-D90B-44DC-A1D5-170950BA15DB}" srcOrd="3" destOrd="0" parTransId="{32BDB1AF-38B4-474E-B3F2-EBCC3B52E628}" sibTransId="{3CFF5C37-2A44-4D78-8A5B-F9F84E3D3E0D}"/>
    <dgm:cxn modelId="{953FDB37-EEB7-4B4E-886D-F4C4141E8172}" srcId="{AFB99C2F-C804-49FD-88CC-A9486951C397}" destId="{528F9774-07D0-4B57-94A5-36B2D31A0894}" srcOrd="2" destOrd="0" parTransId="{C9E7A78C-659D-40A1-98F3-9C27A1159F4B}" sibTransId="{544F110B-6095-4685-B95C-3F2E36D14DD2}"/>
    <dgm:cxn modelId="{546E164E-5A41-4CF9-A21F-40635B967C1A}" srcId="{06D050DC-E937-4AC5-B3F5-E7544CFD3F54}" destId="{440E748A-529A-47E1-A280-396CF60E16AA}" srcOrd="2" destOrd="0" parTransId="{A84A3C92-8768-46B8-9FA4-049B3F5CA41C}" sibTransId="{6A009E18-0E02-4EAB-B542-765F88F43722}"/>
    <dgm:cxn modelId="{068AD61C-5EF8-4A74-BE66-8BB0A98BE7C1}" type="presOf" srcId="{0199592B-07F8-4618-8B1F-F748BC3259E6}" destId="{09586263-89E5-40F2-B644-C997472BBB1C}" srcOrd="0" destOrd="2" presId="urn:microsoft.com/office/officeart/2005/8/layout/vList5"/>
    <dgm:cxn modelId="{9E2185A9-1D0D-496F-A6AC-17AE25DAFB5E}" type="presOf" srcId="{06D050DC-E937-4AC5-B3F5-E7544CFD3F54}" destId="{5DEAED43-17A9-4A09-9EC9-83C9C7984816}" srcOrd="0" destOrd="0" presId="urn:microsoft.com/office/officeart/2005/8/layout/vList5"/>
    <dgm:cxn modelId="{32189844-5A33-4A66-A3F8-1242DD5D0BAF}" type="presOf" srcId="{651FAC3A-D90B-44DC-A1D5-170950BA15DB}" destId="{32D43BA0-E529-42F7-A45C-C368E59B95B0}" srcOrd="0" destOrd="3" presId="urn:microsoft.com/office/officeart/2005/8/layout/vList5"/>
    <dgm:cxn modelId="{9B7A5DE3-ABF5-4067-9D32-00B417871BA7}" type="presOf" srcId="{528F9774-07D0-4B57-94A5-36B2D31A0894}" destId="{64D94034-E6FB-436D-84C9-4236F5BB4833}" srcOrd="0" destOrd="2" presId="urn:microsoft.com/office/officeart/2005/8/layout/vList5"/>
    <dgm:cxn modelId="{469127FA-7F26-4908-802E-82BDF2EDDD41}" type="presOf" srcId="{B8E4FAD1-04C7-4BF5-958C-BC480B3A62C9}" destId="{09586263-89E5-40F2-B644-C997472BBB1C}" srcOrd="0" destOrd="1" presId="urn:microsoft.com/office/officeart/2005/8/layout/vList5"/>
    <dgm:cxn modelId="{0EEFBE1F-9244-441D-ACEF-8F6D6CFFAEE9}" type="presOf" srcId="{FFD474D6-68D5-4566-B688-F579A8783C36}" destId="{32D43BA0-E529-42F7-A45C-C368E59B95B0}" srcOrd="0" destOrd="1" presId="urn:microsoft.com/office/officeart/2005/8/layout/vList5"/>
    <dgm:cxn modelId="{CD351347-7F88-4814-B5F5-8BCBA92E1F6F}" type="presOf" srcId="{C7C97B4B-8F6D-464C-9BA4-3B5557FB6B16}" destId="{CA5BFA6A-1FCE-4D4F-8CC0-A4C1FB3E3AEB}" srcOrd="0" destOrd="0" presId="urn:microsoft.com/office/officeart/2005/8/layout/vList5"/>
    <dgm:cxn modelId="{80A083F2-2792-4AFC-B8C9-12B336F38B3B}" srcId="{06D050DC-E937-4AC5-B3F5-E7544CFD3F54}" destId="{AFB99C2F-C804-49FD-88CC-A9486951C397}" srcOrd="1" destOrd="0" parTransId="{C19FCC98-D904-415D-93CF-C7643BF4B483}" sibTransId="{F5EC3CE6-1B0E-4CCB-BFCC-3C886950733D}"/>
    <dgm:cxn modelId="{96903CD4-827D-4B9D-BCAA-787B7A69625D}" srcId="{C7C97B4B-8F6D-464C-9BA4-3B5557FB6B16}" destId="{02BCC3E2-F04F-4036-AA9C-74980D7984C2}" srcOrd="0" destOrd="0" parTransId="{7E75C50F-88E1-4DF1-AAE1-8D7084611458}" sibTransId="{DF5F1FD6-6127-48A7-AEA2-4F25CC02D2D9}"/>
    <dgm:cxn modelId="{02DF9F50-6098-498F-8657-963120B67AAC}" srcId="{C7C97B4B-8F6D-464C-9BA4-3B5557FB6B16}" destId="{FFD474D6-68D5-4566-B688-F579A8783C36}" srcOrd="1" destOrd="0" parTransId="{0DEFE821-987D-4ED9-9B82-3D4A9C538C38}" sibTransId="{C17C6BDA-6425-4747-BA4D-802987DA21E3}"/>
    <dgm:cxn modelId="{96477544-3832-44FC-ABFB-31DCD35873CE}" type="presOf" srcId="{1CD4CCDE-A77E-44BE-83BA-44BD146F904A}" destId="{32D43BA0-E529-42F7-A45C-C368E59B95B0}" srcOrd="0" destOrd="2" presId="urn:microsoft.com/office/officeart/2005/8/layout/vList5"/>
    <dgm:cxn modelId="{CDB6ABAD-D02A-47DA-A821-B407A990B3B3}" srcId="{AFB99C2F-C804-49FD-88CC-A9486951C397}" destId="{3400C617-4496-4D61-AFF1-743847C2A495}" srcOrd="0" destOrd="0" parTransId="{C8698BD0-54FE-4D68-8D9E-F1DF2D1D1DB7}" sibTransId="{90A71D9F-AD4A-471E-9CA5-69285E04C08E}"/>
    <dgm:cxn modelId="{3F2E3981-B4AF-4B8A-B48F-2AC1BB670F79}" srcId="{AFB99C2F-C804-49FD-88CC-A9486951C397}" destId="{0A143249-EAF0-4428-AAEA-40E0125E4D5A}" srcOrd="1" destOrd="0" parTransId="{D74D3FE1-B77B-4DA8-ADCE-BE5A18B3C863}" sibTransId="{697F655B-D0AF-4A61-81BD-58DE023DB626}"/>
    <dgm:cxn modelId="{39BE7998-7DA7-49EC-948D-6F00DAC5AE37}" srcId="{06D050DC-E937-4AC5-B3F5-E7544CFD3F54}" destId="{C7C97B4B-8F6D-464C-9BA4-3B5557FB6B16}" srcOrd="0" destOrd="0" parTransId="{B7EAC3B6-971F-4212-91C1-B5002455DDC4}" sibTransId="{9B0669B7-E863-4374-BA23-E65B4F044C22}"/>
    <dgm:cxn modelId="{7447D38B-56E6-4626-A4B7-39C7DE8921A0}" type="presParOf" srcId="{5DEAED43-17A9-4A09-9EC9-83C9C7984816}" destId="{07D64F48-3B3D-4A6E-9B44-595C89E40955}" srcOrd="0" destOrd="0" presId="urn:microsoft.com/office/officeart/2005/8/layout/vList5"/>
    <dgm:cxn modelId="{A7849F62-A757-4CBB-BD66-626BB4C1B41C}" type="presParOf" srcId="{07D64F48-3B3D-4A6E-9B44-595C89E40955}" destId="{CA5BFA6A-1FCE-4D4F-8CC0-A4C1FB3E3AEB}" srcOrd="0" destOrd="0" presId="urn:microsoft.com/office/officeart/2005/8/layout/vList5"/>
    <dgm:cxn modelId="{367758F9-387C-4ED1-A7CB-5839A89DA1C2}" type="presParOf" srcId="{07D64F48-3B3D-4A6E-9B44-595C89E40955}" destId="{32D43BA0-E529-42F7-A45C-C368E59B95B0}" srcOrd="1" destOrd="0" presId="urn:microsoft.com/office/officeart/2005/8/layout/vList5"/>
    <dgm:cxn modelId="{67428FD3-1D88-489D-86E9-3CCE9D2B5C39}" type="presParOf" srcId="{5DEAED43-17A9-4A09-9EC9-83C9C7984816}" destId="{32A7A3BC-5B46-4B5A-ACCE-EE806B7CDC89}" srcOrd="1" destOrd="0" presId="urn:microsoft.com/office/officeart/2005/8/layout/vList5"/>
    <dgm:cxn modelId="{006F35A3-32EC-4C0F-A24E-49BEC141F6AC}" type="presParOf" srcId="{5DEAED43-17A9-4A09-9EC9-83C9C7984816}" destId="{72832E43-56C6-4AF3-A1F8-7672161F66DF}" srcOrd="2" destOrd="0" presId="urn:microsoft.com/office/officeart/2005/8/layout/vList5"/>
    <dgm:cxn modelId="{B159FF45-057E-4983-BD7B-1F2D3C6F0B5D}" type="presParOf" srcId="{72832E43-56C6-4AF3-A1F8-7672161F66DF}" destId="{DB869CED-DDF2-4FE1-B196-4020FE97503E}" srcOrd="0" destOrd="0" presId="urn:microsoft.com/office/officeart/2005/8/layout/vList5"/>
    <dgm:cxn modelId="{3EC545C4-ECFA-446C-9DA0-0BB1942E519B}" type="presParOf" srcId="{72832E43-56C6-4AF3-A1F8-7672161F66DF}" destId="{64D94034-E6FB-436D-84C9-4236F5BB4833}" srcOrd="1" destOrd="0" presId="urn:microsoft.com/office/officeart/2005/8/layout/vList5"/>
    <dgm:cxn modelId="{DEE78BE1-51F3-4922-96ED-3630733B7114}" type="presParOf" srcId="{5DEAED43-17A9-4A09-9EC9-83C9C7984816}" destId="{123BC47F-FF00-46AD-96EC-000EC8680B75}" srcOrd="3" destOrd="0" presId="urn:microsoft.com/office/officeart/2005/8/layout/vList5"/>
    <dgm:cxn modelId="{A59835BD-726A-4282-8142-079093D19A9D}" type="presParOf" srcId="{5DEAED43-17A9-4A09-9EC9-83C9C7984816}" destId="{85221835-0F19-41AB-AE1A-7EE0FD5A7C74}" srcOrd="4" destOrd="0" presId="urn:microsoft.com/office/officeart/2005/8/layout/vList5"/>
    <dgm:cxn modelId="{18980904-D2FF-4A8E-9D48-C05CF5DEB77D}" type="presParOf" srcId="{85221835-0F19-41AB-AE1A-7EE0FD5A7C74}" destId="{9CBAF141-1A13-4CEE-821C-063B25200AE1}" srcOrd="0" destOrd="0" presId="urn:microsoft.com/office/officeart/2005/8/layout/vList5"/>
    <dgm:cxn modelId="{047BC89E-DFFA-43C2-BDC6-2A9015C220B5}" type="presParOf" srcId="{85221835-0F19-41AB-AE1A-7EE0FD5A7C74}" destId="{09586263-89E5-40F2-B644-C997472BBB1C}"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7C27DC-5868-4F38-A9F2-056BB1C2E427}" type="doc">
      <dgm:prSet loTypeId="urn:microsoft.com/office/officeart/2005/8/layout/chevron2"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custT="1"/>
      <dgm:spPr>
        <a:xfrm rot="5400000">
          <a:off x="1076033" y="362342"/>
          <a:ext cx="1299487" cy="909641"/>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sz="1000">
              <a:solidFill>
                <a:sysClr val="window" lastClr="FFFFFF"/>
              </a:solidFill>
              <a:latin typeface="华文细黑" panose="02010600040101010101" pitchFamily="2" charset="-122"/>
              <a:ea typeface="华文细黑" panose="02010600040101010101" pitchFamily="2" charset="-122"/>
              <a:cs typeface="+mn-cs"/>
            </a:rPr>
            <a:t>绩效评价的</a:t>
          </a:r>
          <a:endParaRPr lang="en-US" altLang="zh-CN" sz="1000">
            <a:solidFill>
              <a:sysClr val="window" lastClr="FFFFFF"/>
            </a:solidFill>
            <a:latin typeface="华文细黑" panose="02010600040101010101" pitchFamily="2" charset="-122"/>
            <a:ea typeface="华文细黑" panose="02010600040101010101" pitchFamily="2" charset="-122"/>
            <a:cs typeface="+mn-cs"/>
          </a:endParaRPr>
        </a:p>
        <a:p>
          <a:r>
            <a:rPr lang="zh-CN" altLang="en-US" sz="1000">
              <a:solidFill>
                <a:sysClr val="window" lastClr="FFFFFF"/>
              </a:solidFill>
              <a:latin typeface="华文细黑" panose="02010600040101010101" pitchFamily="2" charset="-122"/>
              <a:ea typeface="华文细黑" panose="02010600040101010101" pitchFamily="2" charset="-122"/>
              <a:cs typeface="+mn-cs"/>
            </a:rPr>
            <a:t>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dgm:spPr>
        <a:xfrm rot="5400000">
          <a:off x="2198412" y="124795"/>
          <a:ext cx="1288549" cy="129974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dgm:spPr>
        <a:xfrm rot="5400000">
          <a:off x="2198412" y="124795"/>
          <a:ext cx="1288549" cy="129974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dgm:spPr>
        <a:xfrm rot="5400000">
          <a:off x="2198412" y="124795"/>
          <a:ext cx="1288549" cy="129974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dgm:spPr>
        <a:xfrm rot="5400000">
          <a:off x="2198412" y="124795"/>
          <a:ext cx="1288549" cy="1299747"/>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59D1F855-295C-4C11-A157-F68CD0C40511}" type="pres">
      <dgm:prSet presAssocID="{4B7C27DC-5868-4F38-A9F2-056BB1C2E427}" presName="linearFlow" presStyleCnt="0">
        <dgm:presLayoutVars>
          <dgm:dir/>
          <dgm:animLvl val="lvl"/>
          <dgm:resizeHandles val="exact"/>
        </dgm:presLayoutVars>
      </dgm:prSet>
      <dgm:spPr/>
      <dgm:t>
        <a:bodyPr/>
        <a:p>
          <a:endParaRPr lang="zh-CN" altLang="en-US"/>
        </a:p>
      </dgm:t>
    </dgm:pt>
    <dgm:pt modelId="{A816408A-7D99-4664-BE7B-F71BE878017F}" type="pres">
      <dgm:prSet presAssocID="{AE44D3A4-6643-4157-86EA-2E0899415F11}" presName="composite" presStyleCnt="0"/>
      <dgm:spPr/>
      <dgm:t>
        <a:bodyPr/>
        <a:p>
          <a:endParaRPr lang="zh-CN" altLang="en-US"/>
        </a:p>
      </dgm:t>
    </dgm:pt>
    <dgm:pt modelId="{6FCA6E69-3FF6-49C8-A5E8-34C818E36251}" type="pres">
      <dgm:prSet presAssocID="{AE44D3A4-6643-4157-86EA-2E0899415F11}" presName="parentText" presStyleLbl="alignNode1" presStyleIdx="0" presStyleCnt="1" custLinFactNeighborX="25510" custLinFactNeighborY="-4286">
        <dgm:presLayoutVars>
          <dgm:chMax val="1"/>
          <dgm:bulletEnabled val="1"/>
        </dgm:presLayoutVars>
      </dgm:prSet>
      <dgm:spPr>
        <a:prstGeom prst="chevron">
          <a:avLst/>
        </a:prstGeom>
      </dgm:spPr>
      <dgm:t>
        <a:bodyPr/>
        <a:p>
          <a:endParaRPr lang="zh-CN" altLang="en-US"/>
        </a:p>
      </dgm:t>
    </dgm:pt>
    <dgm:pt modelId="{21371BE3-4D1B-4FCD-93F0-83D79DE9ED80}" type="pres">
      <dgm:prSet presAssocID="{AE44D3A4-6643-4157-86EA-2E0899415F11}" presName="descendantText" presStyleLbl="alignAcc1" presStyleIdx="0" presStyleCnt="1" custScaleX="51508" custScaleY="152471" custLinFactNeighborX="-14566" custLinFactNeighborY="15264">
        <dgm:presLayoutVars>
          <dgm:bulletEnabled val="1"/>
        </dgm:presLayoutVars>
      </dgm:prSet>
      <dgm:spPr>
        <a:prstGeom prst="round2SameRect">
          <a:avLst/>
        </a:prstGeom>
      </dgm:spPr>
      <dgm:t>
        <a:bodyPr/>
        <a:p>
          <a:endParaRPr lang="zh-CN" altLang="en-US"/>
        </a:p>
      </dgm:t>
    </dgm:pt>
  </dgm:ptLst>
  <dgm:cxnLst>
    <dgm:cxn modelId="{3581D17C-5EDA-4D8C-AB18-D1D45A55DEA2}" type="presOf" srcId="{15882016-B55C-44E9-8F1F-2EA976ABCA60}" destId="{21371BE3-4D1B-4FCD-93F0-83D79DE9ED80}" srcOrd="0" destOrd="0" presId="urn:microsoft.com/office/officeart/2005/8/layout/chevron2"/>
    <dgm:cxn modelId="{23359911-A397-4EA0-9427-1431D1DEF937}" type="presOf" srcId="{AE44D3A4-6643-4157-86EA-2E0899415F11}" destId="{6FCA6E69-3FF6-49C8-A5E8-34C818E36251}" srcOrd="0" destOrd="0" presId="urn:microsoft.com/office/officeart/2005/8/layout/chevron2"/>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C14EB5EA-53F3-46A1-B228-6D57BB79EA00}" srcId="{AE44D3A4-6643-4157-86EA-2E0899415F11}" destId="{0CB1D884-927A-4CD8-ADA4-973A535D4546}" srcOrd="2" destOrd="0" parTransId="{C9A3DF1B-B75E-48F3-ADBD-D866FE005DD2}" sibTransId="{6A1C25AB-A71C-4D3F-82EB-94D27A4562CA}"/>
    <dgm:cxn modelId="{464593AD-907F-4F91-948F-C7AABE9CAB85}" type="presOf" srcId="{4B7C27DC-5868-4F38-A9F2-056BB1C2E427}" destId="{59D1F855-295C-4C11-A157-F68CD0C40511}" srcOrd="0" destOrd="0" presId="urn:microsoft.com/office/officeart/2005/8/layout/chevron2"/>
    <dgm:cxn modelId="{C24ADC57-E4D4-4CFD-8AA4-8AF9378520A6}" srcId="{AE44D3A4-6643-4157-86EA-2E0899415F11}" destId="{ED222693-D855-4D4D-BFDE-6812A6E41E9C}" srcOrd="1" destOrd="0" parTransId="{ADEAD72F-D2CF-4287-9279-C31D0DCB7910}" sibTransId="{8EACE757-831E-4655-8450-6C7DC2935722}"/>
    <dgm:cxn modelId="{646836D6-B5FF-45ED-96B0-A9055A7B4AD8}" srcId="{AE44D3A4-6643-4157-86EA-2E0899415F11}" destId="{15882016-B55C-44E9-8F1F-2EA976ABCA60}" srcOrd="0" destOrd="0" parTransId="{2FB28D79-3636-4821-82E3-476D88957CAC}" sibTransId="{80A89C0F-3ACD-4F85-903F-9949EB715D51}"/>
    <dgm:cxn modelId="{4A5D9A02-236E-4495-9F75-B197C5C14D30}" type="presOf" srcId="{0CB1D884-927A-4CD8-ADA4-973A535D4546}" destId="{21371BE3-4D1B-4FCD-93F0-83D79DE9ED80}" srcOrd="0" destOrd="2" presId="urn:microsoft.com/office/officeart/2005/8/layout/chevron2"/>
    <dgm:cxn modelId="{FD7E65ED-2EA0-4A4A-8516-7BE0F9FC74AF}" type="presOf" srcId="{42B1CAFA-34EB-45A3-9248-7D2EFA1D06C6}" destId="{21371BE3-4D1B-4FCD-93F0-83D79DE9ED80}" srcOrd="0" destOrd="3" presId="urn:microsoft.com/office/officeart/2005/8/layout/chevron2"/>
    <dgm:cxn modelId="{664B3747-382D-4DD8-A8D3-D53BA6E19060}" type="presOf" srcId="{ED222693-D855-4D4D-BFDE-6812A6E41E9C}" destId="{21371BE3-4D1B-4FCD-93F0-83D79DE9ED80}" srcOrd="0" destOrd="1" presId="urn:microsoft.com/office/officeart/2005/8/layout/chevron2"/>
    <dgm:cxn modelId="{6421D74C-42B3-4261-9210-7135D322FCF8}" type="presParOf" srcId="{59D1F855-295C-4C11-A157-F68CD0C40511}" destId="{A816408A-7D99-4664-BE7B-F71BE878017F}" srcOrd="0" destOrd="0" presId="urn:microsoft.com/office/officeart/2005/8/layout/chevron2"/>
    <dgm:cxn modelId="{52FAC27C-07C5-445C-9841-9D991793827F}" type="presParOf" srcId="{A816408A-7D99-4664-BE7B-F71BE878017F}" destId="{6FCA6E69-3FF6-49C8-A5E8-34C818E36251}" srcOrd="0" destOrd="0" presId="urn:microsoft.com/office/officeart/2005/8/layout/chevron2"/>
    <dgm:cxn modelId="{867DBBA2-E521-4800-9FF4-1F6EE738CA55}" type="presParOf" srcId="{A816408A-7D99-4664-BE7B-F71BE878017F}" destId="{21371BE3-4D1B-4FCD-93F0-83D79DE9ED80}" srcOrd="1" destOrd="0" presId="urn:microsoft.com/office/officeart/2005/8/layout/chevro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301490" cy="1987550"/>
        <a:chOff x="0" y="0"/>
        <a:chExt cx="4301490" cy="1987550"/>
      </a:xfrm>
    </dsp:grpSpPr>
    <dsp:sp modelId="{32D43BA0-E529-42F7-A45C-C368E59B95B0}">
      <dsp:nvSpPr>
        <dsp:cNvPr id="4" name="同侧圆角矩形 3"/>
        <dsp:cNvSpPr/>
      </dsp:nvSpPr>
      <dsp:spPr bwMode="white">
        <a:xfrm rot="5400000">
          <a:off x="2548139" y="-999603"/>
          <a:ext cx="753748" cy="2752954"/>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hemeClr val="dk2">
            <a:alpha val="90000"/>
            <a:tint val="40000"/>
          </a:schemeClr>
        </a:lnRef>
        <a:fillRef idx="1">
          <a:schemeClr val="dk2">
            <a:alpha val="90000"/>
            <a:tint val="40000"/>
          </a:schemeClr>
        </a:fillRef>
        <a:effectRef idx="0">
          <a:scrgbClr r="0" g="0" b="0"/>
        </a:effectRef>
        <a:fontRef idx="minor"/>
      </dsp:style>
      <dsp:txBody>
        <a:bodyPr rot="-5400000" lIns="26670" tIns="13335" rIns="26670" bIns="13335" anchor="ctr"/>
        <a:lstStyle>
          <a:lvl1pPr algn="l">
            <a:defRPr sz="7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1">
            <a:lnSpc>
              <a:spcPct val="100000"/>
            </a:lnSpc>
            <a:spcBef>
              <a:spcPct val="0"/>
            </a:spcBef>
            <a:spcAft>
              <a:spcPct val="15000"/>
            </a:spcAft>
            <a:buChar char="•"/>
          </a:pPr>
          <a:r>
            <a:rPr lang="zh-CN" altLang="en-US">
              <a:solidFill>
                <a:schemeClr val="dk1"/>
              </a:solidFill>
            </a:rPr>
            <a:t>成立绩效评价小组</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查阅项目文件</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设计绩效评价指标体系</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制定项目实施方案</a:t>
          </a:r>
          <a:endParaRPr>
            <a:solidFill>
              <a:schemeClr val="dk1"/>
            </a:solidFill>
          </a:endParaRPr>
        </a:p>
      </dsp:txBody>
      <dsp:txXfrm rot="5400000">
        <a:off x="2548139" y="-999603"/>
        <a:ext cx="753748" cy="2752954"/>
      </dsp:txXfrm>
    </dsp:sp>
    <dsp:sp modelId="{CA5BFA6A-1FCE-4D4F-8CC0-A4C1FB3E3AEB}">
      <dsp:nvSpPr>
        <dsp:cNvPr id="3" name="圆角矩形 2"/>
        <dsp:cNvSpPr/>
      </dsp:nvSpPr>
      <dsp:spPr bwMode="white">
        <a:xfrm>
          <a:off x="0" y="83111"/>
          <a:ext cx="1548536" cy="587525"/>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hemeClr val="lt2"/>
        </a:lnRef>
        <a:fillRef idx="1">
          <a:schemeClr val="dk2"/>
        </a:fillRef>
        <a:effectRef idx="1">
          <a:scrgbClr r="0" g="0" b="0"/>
        </a:effectRef>
        <a:fontRef idx="minor">
          <a:schemeClr val="lt1"/>
        </a:fontRef>
      </dsp:style>
      <dsp:txBody>
        <a:bodyPr lIns="64769" tIns="32384" rIns="64769" bIns="32384"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前期准备工作</a:t>
          </a:r>
        </a:p>
      </dsp:txBody>
      <dsp:txXfrm>
        <a:off x="0" y="83111"/>
        <a:ext cx="1548536" cy="587525"/>
      </dsp:txXfrm>
    </dsp:sp>
    <dsp:sp modelId="{64D94034-E6FB-436D-84C9-4236F5BB4833}">
      <dsp:nvSpPr>
        <dsp:cNvPr id="6" name="同侧圆角矩形 5"/>
        <dsp:cNvSpPr/>
      </dsp:nvSpPr>
      <dsp:spPr bwMode="white">
        <a:xfrm rot="5400000">
          <a:off x="2690003" y="-299591"/>
          <a:ext cx="470020" cy="2752954"/>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hemeClr val="dk2">
            <a:alpha val="90000"/>
            <a:tint val="40000"/>
          </a:schemeClr>
        </a:lnRef>
        <a:fillRef idx="1">
          <a:schemeClr val="dk2">
            <a:alpha val="90000"/>
            <a:tint val="40000"/>
          </a:schemeClr>
        </a:fillRef>
        <a:effectRef idx="0">
          <a:scrgbClr r="0" g="0" b="0"/>
        </a:effectRef>
        <a:fontRef idx="minor"/>
      </dsp:style>
      <dsp:txBody>
        <a:bodyPr rot="-5400000" lIns="26670" tIns="13335" rIns="26670" bIns="13335" anchor="ctr"/>
        <a:lstStyle>
          <a:lvl1pPr algn="l">
            <a:defRPr sz="7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1">
            <a:lnSpc>
              <a:spcPct val="100000"/>
            </a:lnSpc>
            <a:spcBef>
              <a:spcPct val="0"/>
            </a:spcBef>
            <a:spcAft>
              <a:spcPct val="15000"/>
            </a:spcAft>
            <a:buChar char="•"/>
          </a:pPr>
          <a:r>
            <a:rPr lang="zh-CN" altLang="en-US">
              <a:solidFill>
                <a:schemeClr val="dk1"/>
              </a:solidFill>
            </a:rPr>
            <a:t>收集、审核基础资料</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开展现场核查</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进行问卷调查</a:t>
          </a:r>
          <a:endParaRPr>
            <a:solidFill>
              <a:schemeClr val="dk1"/>
            </a:solidFill>
          </a:endParaRPr>
        </a:p>
      </dsp:txBody>
      <dsp:txXfrm rot="5400000">
        <a:off x="2690003" y="-299591"/>
        <a:ext cx="470020" cy="2752954"/>
      </dsp:txXfrm>
    </dsp:sp>
    <dsp:sp modelId="{DB869CED-DDF2-4FE1-B196-4020FE97503E}">
      <dsp:nvSpPr>
        <dsp:cNvPr id="5" name="圆角矩形 4"/>
        <dsp:cNvSpPr/>
      </dsp:nvSpPr>
      <dsp:spPr bwMode="white">
        <a:xfrm>
          <a:off x="0" y="783124"/>
          <a:ext cx="1548536" cy="587525"/>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hemeClr val="lt2"/>
        </a:lnRef>
        <a:fillRef idx="1">
          <a:schemeClr val="dk2"/>
        </a:fillRef>
        <a:effectRef idx="1">
          <a:scrgbClr r="0" g="0" b="0"/>
        </a:effectRef>
        <a:fontRef idx="minor">
          <a:schemeClr val="lt1"/>
        </a:fontRef>
      </dsp:style>
      <dsp:txBody>
        <a:bodyPr lIns="64769" tIns="32384" rIns="64769" bIns="32384"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组织实施过程</a:t>
          </a:r>
        </a:p>
      </dsp:txBody>
      <dsp:txXfrm>
        <a:off x="0" y="783124"/>
        <a:ext cx="1548536" cy="587525"/>
      </dsp:txXfrm>
    </dsp:sp>
    <dsp:sp modelId="{09586263-89E5-40F2-B644-C997472BBB1C}">
      <dsp:nvSpPr>
        <dsp:cNvPr id="8" name="同侧圆角矩形 7"/>
        <dsp:cNvSpPr/>
      </dsp:nvSpPr>
      <dsp:spPr bwMode="white">
        <a:xfrm rot="5400000">
          <a:off x="2690003" y="317311"/>
          <a:ext cx="470020" cy="2752954"/>
        </a:xfrm>
        <a:prstGeom prst="round2SameRect">
          <a:avLst/>
        </a:prstGeom>
        <a:solidFill>
          <a:srgbClr val="1F497D">
            <a:alpha val="90000"/>
            <a:tint val="40000"/>
            <a:hueOff val="0"/>
            <a:satOff val="0"/>
            <a:lumOff val="0"/>
            <a:alphaOff val="0"/>
          </a:srgbClr>
        </a:solidFill>
        <a:ln w="25400" cap="flat" cmpd="sng" algn="ctr">
          <a:solidFill>
            <a:srgbClr val="1F497D">
              <a:alpha val="90000"/>
              <a:tint val="40000"/>
              <a:hueOff val="0"/>
              <a:satOff val="0"/>
              <a:lumOff val="0"/>
              <a:alphaOff val="0"/>
            </a:srgbClr>
          </a:solidFill>
          <a:prstDash val="solid"/>
        </a:ln>
        <a:effectLst/>
      </dsp:spPr>
      <dsp:style>
        <a:lnRef idx="2">
          <a:schemeClr val="dk2">
            <a:alpha val="90000"/>
            <a:tint val="40000"/>
          </a:schemeClr>
        </a:lnRef>
        <a:fillRef idx="1">
          <a:schemeClr val="dk2">
            <a:alpha val="90000"/>
            <a:tint val="40000"/>
          </a:schemeClr>
        </a:fillRef>
        <a:effectRef idx="0">
          <a:scrgbClr r="0" g="0" b="0"/>
        </a:effectRef>
        <a:fontRef idx="minor"/>
      </dsp:style>
      <dsp:txBody>
        <a:bodyPr rot="-5400000" lIns="26670" tIns="13335" rIns="26670" bIns="13335" anchor="ctr"/>
        <a:lstStyle>
          <a:lvl1pPr algn="l">
            <a:defRPr sz="700"/>
          </a:lvl1pPr>
          <a:lvl2pPr marL="57150" indent="-57150" algn="l">
            <a:defRPr sz="700"/>
          </a:lvl2pPr>
          <a:lvl3pPr marL="114300" indent="-57150" algn="l">
            <a:defRPr sz="700"/>
          </a:lvl3pPr>
          <a:lvl4pPr marL="171450" indent="-57150" algn="l">
            <a:defRPr sz="700"/>
          </a:lvl4pPr>
          <a:lvl5pPr marL="228600" indent="-57150" algn="l">
            <a:defRPr sz="700"/>
          </a:lvl5pPr>
          <a:lvl6pPr marL="285750" indent="-57150" algn="l">
            <a:defRPr sz="700"/>
          </a:lvl6pPr>
          <a:lvl7pPr marL="342900" indent="-57150" algn="l">
            <a:defRPr sz="700"/>
          </a:lvl7pPr>
          <a:lvl8pPr marL="400050" indent="-57150" algn="l">
            <a:defRPr sz="700"/>
          </a:lvl8pPr>
          <a:lvl9pPr marL="457200" indent="-57150" algn="l">
            <a:defRPr sz="700"/>
          </a:lvl9pPr>
        </a:lstStyle>
        <a:p>
          <a:pPr lvl="1">
            <a:lnSpc>
              <a:spcPct val="100000"/>
            </a:lnSpc>
            <a:spcBef>
              <a:spcPct val="0"/>
            </a:spcBef>
            <a:spcAft>
              <a:spcPct val="15000"/>
            </a:spcAft>
            <a:buChar char="•"/>
          </a:pPr>
          <a:r>
            <a:rPr lang="zh-CN" altLang="en-US">
              <a:solidFill>
                <a:schemeClr val="dk1"/>
              </a:solidFill>
            </a:rPr>
            <a:t>根据分析情况评分</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对评价工作进行总结</a:t>
          </a:r>
          <a:endParaRPr lang="zh-CN" altLang="en-US">
            <a:solidFill>
              <a:schemeClr val="dk1"/>
            </a:solidFill>
          </a:endParaRPr>
        </a:p>
        <a:p>
          <a:pPr lvl="1">
            <a:lnSpc>
              <a:spcPct val="100000"/>
            </a:lnSpc>
            <a:spcBef>
              <a:spcPct val="0"/>
            </a:spcBef>
            <a:spcAft>
              <a:spcPct val="15000"/>
            </a:spcAft>
            <a:buChar char="•"/>
          </a:pPr>
          <a:r>
            <a:rPr lang="zh-CN" altLang="en-US">
              <a:solidFill>
                <a:schemeClr val="dk1"/>
              </a:solidFill>
            </a:rPr>
            <a:t>撰写评价报告</a:t>
          </a:r>
          <a:endParaRPr>
            <a:solidFill>
              <a:schemeClr val="dk1"/>
            </a:solidFill>
          </a:endParaRPr>
        </a:p>
      </dsp:txBody>
      <dsp:txXfrm rot="5400000">
        <a:off x="2690003" y="317311"/>
        <a:ext cx="470020" cy="2752954"/>
      </dsp:txXfrm>
    </dsp:sp>
    <dsp:sp modelId="{9CBAF141-1A13-4CEE-821C-063B25200AE1}">
      <dsp:nvSpPr>
        <dsp:cNvPr id="7" name="圆角矩形 6"/>
        <dsp:cNvSpPr/>
      </dsp:nvSpPr>
      <dsp:spPr bwMode="white">
        <a:xfrm>
          <a:off x="0" y="1400025"/>
          <a:ext cx="1548536" cy="587525"/>
        </a:xfrm>
        <a:prstGeom prst="roundRect">
          <a:avLst/>
        </a:prstGeom>
        <a:solidFill>
          <a:srgbClr val="1F497D">
            <a:hueOff val="0"/>
            <a:satOff val="0"/>
            <a:lumOff val="0"/>
            <a:alphaOff val="0"/>
          </a:srgbClr>
        </a:solidFill>
        <a:ln w="38100" cap="flat" cmpd="sng" algn="ctr">
          <a:solidFill>
            <a:srgbClr val="EEECE1">
              <a:hueOff val="0"/>
              <a:satOff val="0"/>
              <a:lumOff val="0"/>
              <a:alphaOff val="0"/>
            </a:srgbClr>
          </a:solidFill>
          <a:prstDash val="solid"/>
        </a:ln>
        <a:effectLst>
          <a:outerShdw blurRad="40000" dist="20000" dir="5400000" rotWithShape="0">
            <a:srgbClr val="000000">
              <a:alpha val="38000"/>
            </a:srgbClr>
          </a:outerShdw>
        </a:effectLst>
      </dsp:spPr>
      <dsp:style>
        <a:lnRef idx="3">
          <a:schemeClr val="lt2"/>
        </a:lnRef>
        <a:fillRef idx="1">
          <a:schemeClr val="dk2"/>
        </a:fillRef>
        <a:effectRef idx="1">
          <a:scrgbClr r="0" g="0" b="0"/>
        </a:effectRef>
        <a:fontRef idx="minor">
          <a:schemeClr val="lt1"/>
        </a:fontRef>
      </dsp:style>
      <dsp:txBody>
        <a:bodyPr lIns="64769" tIns="32384" rIns="64769" bIns="32384" anchor="ctr"/>
        <a:lstStyle>
          <a:lvl1pPr algn="ctr">
            <a:defRPr sz="1700"/>
          </a:lvl1pPr>
          <a:lvl2pPr marL="114300" indent="-114300" algn="ctr">
            <a:defRPr sz="1300"/>
          </a:lvl2pPr>
          <a:lvl3pPr marL="228600" indent="-114300" algn="ctr">
            <a:defRPr sz="1300"/>
          </a:lvl3pPr>
          <a:lvl4pPr marL="342900" indent="-114300" algn="ctr">
            <a:defRPr sz="1300"/>
          </a:lvl4pPr>
          <a:lvl5pPr marL="457200" indent="-114300" algn="ctr">
            <a:defRPr sz="1300"/>
          </a:lvl5pPr>
          <a:lvl6pPr marL="571500" indent="-114300" algn="ctr">
            <a:defRPr sz="1300"/>
          </a:lvl6pPr>
          <a:lvl7pPr marL="685800" indent="-114300" algn="ctr">
            <a:defRPr sz="1300"/>
          </a:lvl7pPr>
          <a:lvl8pPr marL="800100" indent="-114300" algn="ctr">
            <a:defRPr sz="1300"/>
          </a:lvl8pPr>
          <a:lvl9pPr marL="914400" indent="-114300" algn="ctr">
            <a:defRPr sz="1300"/>
          </a:lvl9pPr>
        </a:lstStyle>
        <a:p>
          <a:pPr lvl="0">
            <a:lnSpc>
              <a:spcPct val="100000"/>
            </a:lnSpc>
            <a:spcBef>
              <a:spcPct val="0"/>
            </a:spcBef>
            <a:spcAft>
              <a:spcPct val="35000"/>
            </a:spcAft>
          </a:pPr>
          <a:r>
            <a:rPr lang="zh-CN" altLang="en-US"/>
            <a:t>分析评价工作</a:t>
          </a:r>
        </a:p>
      </dsp:txBody>
      <dsp:txXfrm>
        <a:off x="0" y="1400025"/>
        <a:ext cx="1548536" cy="5875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99025" cy="1524000"/>
        <a:chOff x="0" y="0"/>
        <a:chExt cx="4899025" cy="1524000"/>
      </a:xfrm>
    </dsp:grpSpPr>
    <dsp:sp modelId="{6FCA6E69-3FF6-49C8-A5E8-34C818E36251}">
      <dsp:nvSpPr>
        <dsp:cNvPr id="3" name="燕尾形 2"/>
        <dsp:cNvSpPr/>
      </dsp:nvSpPr>
      <dsp:spPr bwMode="white">
        <a:xfrm rot="5400000">
          <a:off x="43541" y="228600"/>
          <a:ext cx="1524000" cy="1066800"/>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hemeClr val="accent4"/>
        </a:lnRef>
        <a:fillRef idx="3">
          <a:schemeClr val="accent4"/>
        </a:fillRef>
        <a:effectRef idx="3">
          <a:scrgbClr r="0" g="0" b="0"/>
        </a:effectRef>
        <a:fontRef idx="minor">
          <a:schemeClr val="lt1"/>
        </a:fontRef>
      </dsp:style>
      <dsp:txBody>
        <a:bodyPr rot="-5400000" lIns="6350" tIns="6350" rIns="6350" bIns="635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a:solidFill>
                <a:sysClr val="window" lastClr="FFFFFF"/>
              </a:solidFill>
              <a:latin typeface="华文细黑" panose="02010600040101010101" pitchFamily="2" charset="-122"/>
              <a:ea typeface="华文细黑" panose="02010600040101010101" pitchFamily="2" charset="-122"/>
              <a:cs typeface="+mn-cs"/>
            </a:rPr>
            <a:t>绩效评价的</a:t>
          </a:r>
          <a:endParaRPr lang="en-US" altLang="zh-CN" sz="1000">
            <a:solidFill>
              <a:sysClr val="window" lastClr="FFFFFF"/>
            </a:solidFill>
            <a:latin typeface="华文细黑" panose="02010600040101010101" pitchFamily="2" charset="-122"/>
            <a:ea typeface="华文细黑" panose="02010600040101010101" pitchFamily="2" charset="-122"/>
            <a:cs typeface="+mn-cs"/>
          </a:endParaRPr>
        </a:p>
        <a:p>
          <a:pPr lvl="0">
            <a:lnSpc>
              <a:spcPct val="100000"/>
            </a:lnSpc>
            <a:spcBef>
              <a:spcPct val="0"/>
            </a:spcBef>
            <a:spcAft>
              <a:spcPct val="35000"/>
            </a:spcAft>
          </a:pPr>
          <a:r>
            <a:rPr lang="zh-CN" altLang="en-US" sz="1000">
              <a:solidFill>
                <a:sysClr val="window" lastClr="FFFFFF"/>
              </a:solidFill>
              <a:latin typeface="华文细黑" panose="02010600040101010101" pitchFamily="2" charset="-122"/>
              <a:ea typeface="华文细黑" panose="02010600040101010101" pitchFamily="2" charset="-122"/>
              <a:cs typeface="+mn-cs"/>
            </a:rPr>
            <a:t>评价原则</a:t>
          </a:r>
        </a:p>
      </dsp:txBody>
      <dsp:txXfrm rot="5400000">
        <a:off x="43541" y="228600"/>
        <a:ext cx="1524000" cy="1066800"/>
      </dsp:txXfrm>
    </dsp:sp>
    <dsp:sp modelId="{21371BE3-4D1B-4FCD-93F0-83D79DE9ED80}">
      <dsp:nvSpPr>
        <dsp:cNvPr id="4" name="同侧圆角矩形 3"/>
        <dsp:cNvSpPr/>
      </dsp:nvSpPr>
      <dsp:spPr bwMode="white">
        <a:xfrm rot="5400000">
          <a:off x="1420813" y="-1321643"/>
          <a:ext cx="990600" cy="3832225"/>
        </a:xfrm>
        <a:prstGeom prst="round2Same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hemeClr val="accent4"/>
        </a:lnRef>
        <a:fillRef idx="1">
          <a:schemeClr val="lt1">
            <a:alpha val="90000"/>
          </a:schemeClr>
        </a:fillRef>
        <a:effectRef idx="2">
          <a:scrgbClr r="0" g="0" b="0"/>
        </a:effectRef>
        <a:fontRef idx="minor"/>
      </dsp:style>
      <dsp:txBody>
        <a:bodyPr rot="-5400000" lIns="85344" tIns="7620" rIns="7620" bIns="7620" anchor="ctr"/>
        <a:lstStyle>
          <a:lvl1pPr algn="l">
            <a:defRPr sz="1200"/>
          </a:lvl1pPr>
          <a:lvl2pPr marL="114300" indent="-114300" algn="l">
            <a:defRPr sz="1200"/>
          </a:lvl2pPr>
          <a:lvl3pPr marL="228600" indent="-114300" algn="l">
            <a:defRPr sz="1200"/>
          </a:lvl3pPr>
          <a:lvl4pPr marL="342900" indent="-114300" algn="l">
            <a:defRPr sz="1200"/>
          </a:lvl4pPr>
          <a:lvl5pPr marL="457200" indent="-114300" algn="l">
            <a:defRPr sz="1200"/>
          </a:lvl5pPr>
          <a:lvl6pPr marL="571500" indent="-114300" algn="l">
            <a:defRPr sz="1200"/>
          </a:lvl6pPr>
          <a:lvl7pPr marL="685800" indent="-114300" algn="l">
            <a:defRPr sz="1200"/>
          </a:lvl7pPr>
          <a:lvl8pPr marL="800100" indent="-114300" algn="l">
            <a:defRPr sz="1200"/>
          </a:lvl8pPr>
          <a:lvl9pPr marL="914400" indent="-114300" algn="l">
            <a:defRPr sz="1200"/>
          </a:lvl9pPr>
        </a:lstStyle>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endPar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endParaRPr>
        </a:p>
        <a:p>
          <a:pPr lvl="1">
            <a:lnSpc>
              <a:spcPct val="100000"/>
            </a:lnSpc>
            <a:spcBef>
              <a:spcPct val="0"/>
            </a:spcBef>
            <a:spcAft>
              <a:spcPct val="15000"/>
            </a:spcAft>
            <a:buChar char="•"/>
          </a:pPr>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endParaRPr>
            <a:solidFill>
              <a:schemeClr val="dk1"/>
            </a:solidFill>
          </a:endParaRPr>
        </a:p>
      </dsp:txBody>
      <dsp:txXfrm rot="5400000">
        <a:off x="1420813" y="-1321643"/>
        <a:ext cx="990600" cy="383222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type="round2SameRect" r:blip="" rot="90">
                    <dgm:adjLst/>
                  </dgm:shape>
                </dgm:if>
                <dgm:else name="Name12">
                  <dgm:shape xmlns:r="http://schemas.openxmlformats.org/officeDocument/2006/relationships" type="round2SameRect" r:blip="" rot="-90">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
  <dgm:desc val=""/>
  <dgm:catLst>
    <dgm:cat type="simple" pri="102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3">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2E706-A32A-4BDA-AE53-30263D3387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3667</Words>
  <Characters>20908</Characters>
  <Lines>174</Lines>
  <Paragraphs>49</Paragraphs>
  <TotalTime>116</TotalTime>
  <ScaleCrop>false</ScaleCrop>
  <LinksUpToDate>false</LinksUpToDate>
  <CharactersWithSpaces>24526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Administrator</cp:lastModifiedBy>
  <cp:lastPrinted>2015-12-10T09:13:00Z</cp:lastPrinted>
  <dcterms:modified xsi:type="dcterms:W3CDTF">2023-11-29T08:00:25Z</dcterms:modified>
  <dc:title>财政支出绩效评价报告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95D88816C9C44577AC83FACE7DC04697</vt:lpwstr>
  </property>
</Properties>
</file>