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55A35">
      <w:pPr>
        <w:widowControl w:val="0"/>
        <w:snapToGrid w:val="0"/>
        <w:spacing w:line="360" w:lineRule="auto"/>
        <w:jc w:val="center"/>
        <w:outlineLvl w:val="1"/>
        <w:rPr>
          <w:rFonts w:ascii="华文中宋" w:hAnsi="华文中宋" w:eastAsia="华文中宋"/>
          <w:b/>
          <w:sz w:val="44"/>
          <w:szCs w:val="44"/>
        </w:rPr>
      </w:pPr>
      <w:bookmarkStart w:id="0" w:name="_Toc27928"/>
      <w:bookmarkStart w:id="1" w:name="_Toc406666381"/>
      <w:bookmarkStart w:id="2" w:name="_Toc387957830"/>
      <w:bookmarkStart w:id="3" w:name="_Toc361304706"/>
      <w:bookmarkStart w:id="4" w:name="_Toc19857"/>
      <w:bookmarkStart w:id="5" w:name="_Toc406668055"/>
      <w:bookmarkStart w:id="6" w:name="_Toc514245510"/>
      <w:r>
        <w:rPr>
          <w:rFonts w:hint="eastAsia" w:ascii="华文中宋" w:hAnsi="华文中宋" w:eastAsia="华文中宋"/>
          <w:b/>
          <w:color w:val="000000"/>
          <w:sz w:val="44"/>
          <w:szCs w:val="44"/>
        </w:rPr>
        <w:t>工作经费</w:t>
      </w:r>
      <w:r>
        <w:rPr>
          <w:rFonts w:hint="eastAsia" w:ascii="华文中宋" w:hAnsi="华文中宋" w:eastAsia="华文中宋"/>
          <w:b/>
          <w:sz w:val="44"/>
          <w:szCs w:val="44"/>
        </w:rPr>
        <w:t>项目支出绩效自评报告</w:t>
      </w:r>
      <w:bookmarkEnd w:id="0"/>
      <w:bookmarkEnd w:id="1"/>
      <w:bookmarkEnd w:id="2"/>
      <w:bookmarkEnd w:id="3"/>
      <w:bookmarkEnd w:id="4"/>
      <w:bookmarkEnd w:id="5"/>
      <w:bookmarkEnd w:id="6"/>
      <w:bookmarkStart w:id="7" w:name="_Toc16846"/>
    </w:p>
    <w:p w14:paraId="75433BDF">
      <w:pPr>
        <w:widowControl w:val="0"/>
        <w:snapToGrid w:val="0"/>
        <w:spacing w:line="360" w:lineRule="auto"/>
        <w:outlineLvl w:val="1"/>
        <w:rPr>
          <w:rFonts w:ascii="仿宋" w:hAnsi="仿宋" w:eastAsia="仿宋" w:cs="仿宋_GB2312"/>
          <w:sz w:val="32"/>
          <w:szCs w:val="32"/>
        </w:rPr>
      </w:pPr>
    </w:p>
    <w:p w14:paraId="2269BD08">
      <w:pPr>
        <w:widowControl w:val="0"/>
        <w:snapToGrid w:val="0"/>
        <w:spacing w:line="360" w:lineRule="auto"/>
        <w:ind w:firstLine="643" w:firstLineChars="200"/>
        <w:outlineLvl w:val="1"/>
        <w:rPr>
          <w:rFonts w:ascii="华文中宋" w:hAnsi="华文中宋" w:eastAsia="华文中宋" w:cs="仿宋_GB2312"/>
          <w:b/>
          <w:sz w:val="32"/>
          <w:szCs w:val="32"/>
        </w:rPr>
      </w:pPr>
      <w:r>
        <w:rPr>
          <w:rFonts w:hint="eastAsia" w:ascii="华文中宋" w:hAnsi="华文中宋" w:eastAsia="华文中宋" w:cs="仿宋_GB2312"/>
          <w:b/>
          <w:sz w:val="32"/>
          <w:szCs w:val="32"/>
        </w:rPr>
        <w:t>一、经验做法</w:t>
      </w:r>
    </w:p>
    <w:p w14:paraId="4C6F76C6">
      <w:pPr>
        <w:snapToGrid w:val="0"/>
        <w:spacing w:before="100" w:beforeAutospacing="1" w:after="100" w:afterAutospacing="1" w:line="580" w:lineRule="atLeast"/>
        <w:ind w:firstLine="640" w:firstLineChars="200"/>
        <w:rPr>
          <w:rFonts w:ascii="仿宋_GB2312" w:hAnsi="仿宋_GB2312" w:cs="仿宋_GB2312"/>
          <w:sz w:val="32"/>
          <w:szCs w:val="32"/>
          <w:highlight w:val="yellow"/>
        </w:rPr>
      </w:pPr>
      <w:r>
        <w:rPr>
          <w:rFonts w:hint="eastAsia" w:ascii="仿宋" w:hAnsi="仿宋" w:eastAsia="仿宋" w:cs="仿宋_GB2312"/>
          <w:sz w:val="32"/>
          <w:szCs w:val="32"/>
        </w:rPr>
        <w:t>武昌区城市网格化指挥中心</w:t>
      </w:r>
      <w:bookmarkStart w:id="8" w:name="_Toc514245511"/>
      <w:r>
        <w:rPr>
          <w:rFonts w:hint="eastAsia" w:ascii="仿宋" w:hAnsi="仿宋" w:eastAsia="仿宋" w:cs="仿宋"/>
          <w:sz w:val="32"/>
          <w:szCs w:val="32"/>
        </w:rPr>
        <w:t>根据市委和区委关于提升社会综合治理水平的要求，</w:t>
      </w:r>
      <w:r>
        <w:rPr>
          <w:rFonts w:hint="eastAsia" w:ascii="仿宋" w:hAnsi="仿宋" w:eastAsia="仿宋"/>
          <w:sz w:val="32"/>
          <w:szCs w:val="32"/>
        </w:rPr>
        <w:t>坚持以人民为中心的发展思想，以自我革命的精神推进城市网格化综合管理平台建设，全力构建“两级指挥、三级管理、四级联动”的城市网格化管理服务体系，初步形成网格化综合管理平台与基层网格管理员线上线下双线互补的“互联网+政务”为民服务新格局。</w:t>
      </w:r>
    </w:p>
    <w:p w14:paraId="4A33DC9C">
      <w:pPr>
        <w:widowControl w:val="0"/>
        <w:snapToGrid w:val="0"/>
        <w:spacing w:line="360" w:lineRule="auto"/>
        <w:ind w:firstLine="643" w:firstLineChars="200"/>
        <w:outlineLvl w:val="1"/>
        <w:rPr>
          <w:rFonts w:ascii="华文中宋" w:hAnsi="华文中宋" w:eastAsia="华文中宋" w:cs="Arial Narrow"/>
          <w:b/>
          <w:bCs/>
          <w:sz w:val="32"/>
          <w:szCs w:val="32"/>
        </w:rPr>
      </w:pPr>
      <w:r>
        <w:rPr>
          <w:rFonts w:hint="eastAsia" w:ascii="华文中宋" w:hAnsi="华文中宋" w:eastAsia="华文中宋" w:cs="仿宋_GB2312"/>
          <w:b/>
          <w:sz w:val="32"/>
          <w:szCs w:val="32"/>
        </w:rPr>
        <w:t>二、</w:t>
      </w:r>
      <w:r>
        <w:rPr>
          <w:rFonts w:hint="eastAsia" w:ascii="华文中宋" w:hAnsi="华文中宋" w:eastAsia="华文中宋" w:cs="Arial Narrow"/>
          <w:b/>
          <w:bCs/>
          <w:sz w:val="32"/>
          <w:szCs w:val="32"/>
        </w:rPr>
        <w:t>存在问题</w:t>
      </w:r>
      <w:bookmarkEnd w:id="7"/>
      <w:bookmarkEnd w:id="8"/>
    </w:p>
    <w:p w14:paraId="05046B93">
      <w:pPr>
        <w:widowControl w:val="0"/>
        <w:spacing w:line="360" w:lineRule="auto"/>
        <w:ind w:firstLine="640" w:firstLineChars="200"/>
        <w:rPr>
          <w:rFonts w:ascii="仿宋" w:hAnsi="仿宋" w:eastAsia="仿宋" w:cs="Arial Narrow"/>
          <w:bCs/>
          <w:sz w:val="32"/>
          <w:szCs w:val="32"/>
        </w:rPr>
      </w:pPr>
      <w:r>
        <w:rPr>
          <w:rFonts w:hint="eastAsia" w:ascii="仿宋" w:hAnsi="仿宋" w:eastAsia="仿宋" w:cs="Arial Narrow"/>
          <w:bCs/>
          <w:sz w:val="32"/>
          <w:szCs w:val="32"/>
        </w:rPr>
        <w:t>1．</w:t>
      </w:r>
      <w:r>
        <w:rPr>
          <w:rFonts w:hint="eastAsia" w:ascii="仿宋_GB2312" w:hAnsi="仿宋_GB2312" w:cs="仿宋_GB2312"/>
          <w:sz w:val="32"/>
          <w:szCs w:val="32"/>
        </w:rPr>
        <w:t>一是项目预算编制还不够科学合理</w:t>
      </w:r>
      <w:r>
        <w:rPr>
          <w:rFonts w:hint="eastAsia" w:ascii="仿宋" w:hAnsi="仿宋" w:eastAsia="仿宋" w:cs="Arial Narrow"/>
          <w:bCs/>
          <w:sz w:val="32"/>
          <w:szCs w:val="32"/>
        </w:rPr>
        <w:t>。中心为新成立不久单位，在职人员和聘用人员缺口较大，人员的增加情况不明确，造成在项目预算编制方面还不够好，存在有些预算没考虑周全。</w:t>
      </w:r>
    </w:p>
    <w:p w14:paraId="636D2C4B">
      <w:pPr>
        <w:widowControl w:val="0"/>
        <w:spacing w:line="360" w:lineRule="auto"/>
        <w:ind w:firstLine="640" w:firstLineChars="200"/>
        <w:rPr>
          <w:rFonts w:ascii="仿宋" w:hAnsi="仿宋" w:eastAsia="仿宋" w:cs="Arial Narrow"/>
          <w:bCs/>
          <w:sz w:val="32"/>
          <w:szCs w:val="32"/>
        </w:rPr>
      </w:pPr>
      <w:r>
        <w:rPr>
          <w:rFonts w:hint="eastAsia" w:ascii="仿宋" w:hAnsi="仿宋" w:eastAsia="仿宋" w:cs="Arial Narrow"/>
          <w:bCs/>
          <w:sz w:val="32"/>
          <w:szCs w:val="32"/>
        </w:rPr>
        <w:t>2．</w:t>
      </w:r>
      <w:r>
        <w:rPr>
          <w:rFonts w:hint="eastAsia" w:ascii="仿宋_GB2312" w:hAnsi="仿宋_GB2312" w:cs="仿宋_GB2312"/>
          <w:sz w:val="32"/>
          <w:szCs w:val="32"/>
        </w:rPr>
        <w:t>财务人员素质有待进一步提高</w:t>
      </w:r>
      <w:r>
        <w:rPr>
          <w:rFonts w:hint="eastAsia" w:ascii="仿宋" w:hAnsi="仿宋" w:eastAsia="仿宋" w:cs="Arial Narrow"/>
          <w:bCs/>
          <w:sz w:val="32"/>
          <w:szCs w:val="32"/>
        </w:rPr>
        <w:t>。中心财务主要由区机关事务服务中心代管，中心只设置1名报帐员，主要负责日常支出的计划拟定和</w:t>
      </w:r>
      <w:r>
        <w:rPr>
          <w:rFonts w:hint="eastAsia" w:ascii="仿宋" w:hAnsi="仿宋" w:eastAsia="仿宋" w:cs="Arial Narrow"/>
          <w:bCs/>
          <w:sz w:val="32"/>
          <w:szCs w:val="32"/>
          <w:lang w:val="en-US" w:eastAsia="zh-CN"/>
        </w:rPr>
        <w:t>账</w:t>
      </w:r>
      <w:bookmarkStart w:id="10" w:name="_GoBack"/>
      <w:bookmarkEnd w:id="10"/>
      <w:r>
        <w:rPr>
          <w:rFonts w:hint="eastAsia" w:ascii="仿宋" w:hAnsi="仿宋" w:eastAsia="仿宋" w:cs="Arial Narrow"/>
          <w:bCs/>
          <w:sz w:val="32"/>
          <w:szCs w:val="32"/>
        </w:rPr>
        <w:t>务报销，报帐员是非财务专业人员担任，财务底子较弱，与财务要求还有一定差距。</w:t>
      </w:r>
    </w:p>
    <w:p w14:paraId="006775DF">
      <w:pPr>
        <w:widowControl w:val="0"/>
        <w:spacing w:line="360" w:lineRule="auto"/>
        <w:ind w:firstLine="643" w:firstLineChars="200"/>
        <w:outlineLvl w:val="1"/>
        <w:rPr>
          <w:rFonts w:ascii="华文中宋" w:hAnsi="华文中宋" w:eastAsia="华文中宋" w:cs="Arial Narrow"/>
          <w:b/>
          <w:bCs/>
          <w:sz w:val="32"/>
          <w:szCs w:val="32"/>
        </w:rPr>
      </w:pPr>
      <w:bookmarkStart w:id="9" w:name="_Toc514245512"/>
      <w:r>
        <w:rPr>
          <w:rFonts w:hint="eastAsia" w:ascii="华文中宋" w:hAnsi="华文中宋" w:eastAsia="华文中宋" w:cs="Arial Narrow"/>
          <w:b/>
          <w:bCs/>
          <w:sz w:val="32"/>
          <w:szCs w:val="32"/>
        </w:rPr>
        <w:t>三、下步措施</w:t>
      </w:r>
      <w:bookmarkEnd w:id="9"/>
    </w:p>
    <w:p w14:paraId="46EC0A80">
      <w:pPr>
        <w:widowControl w:val="0"/>
        <w:spacing w:line="360" w:lineRule="auto"/>
        <w:ind w:firstLine="640" w:firstLineChars="200"/>
        <w:rPr>
          <w:rFonts w:hint="eastAsia" w:ascii="仿宋" w:hAnsi="仿宋" w:eastAsia="仿宋" w:cs="Arial Narrow"/>
          <w:bCs/>
          <w:sz w:val="32"/>
          <w:szCs w:val="32"/>
        </w:rPr>
      </w:pPr>
      <w:r>
        <w:rPr>
          <w:rFonts w:hint="eastAsia" w:ascii="仿宋" w:hAnsi="仿宋" w:eastAsia="仿宋" w:cs="Arial Narrow"/>
          <w:bCs/>
          <w:sz w:val="32"/>
          <w:szCs w:val="32"/>
        </w:rPr>
        <w:t>1．进一步加强项目预算编制论证。在项目预算编制时，广泛充分征求各科室的意见，在借鉴往年编制情况的同时，充分考虑可能出现的各种情况，尤其是聘用人员可能增加或减少的情况，对能够精确的一定精确，对不能精确的尽可能估算准确，做到既保持节俭，又能较好保障工作顺利开展。</w:t>
      </w:r>
    </w:p>
    <w:p w14:paraId="78B851B4">
      <w:pPr>
        <w:widowControl w:val="0"/>
        <w:spacing w:line="360" w:lineRule="auto"/>
        <w:ind w:firstLine="640" w:firstLineChars="200"/>
        <w:rPr>
          <w:rFonts w:ascii="仿宋" w:hAnsi="仿宋" w:eastAsia="仿宋" w:cs="Arial Narrow"/>
          <w:bCs/>
          <w:sz w:val="32"/>
          <w:szCs w:val="32"/>
        </w:rPr>
      </w:pPr>
      <w:r>
        <w:rPr>
          <w:rFonts w:hint="eastAsia" w:ascii="仿宋" w:hAnsi="仿宋" w:eastAsia="仿宋" w:cs="Arial Narrow"/>
          <w:bCs/>
          <w:sz w:val="32"/>
          <w:szCs w:val="32"/>
        </w:rPr>
        <w:t>2．加强财务人员业务培训学习。负责中心财务工作的领导和工作人员，利用在工作中的机会，主动学习相关财务政策规定，对不懂的方面，及时向区财政局和机关事务服务中心人员请教，确保财务工作不出漏洞。积极参加上级部门组织的业务培训活动，进一步提高个人财务能力素养。</w:t>
      </w:r>
    </w:p>
    <w:p w14:paraId="2DB45D09">
      <w:pPr>
        <w:rPr>
          <w:rFonts w:ascii="仿宋" w:hAnsi="仿宋" w:eastAsia="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Arial Narrow">
    <w:altName w:val="Arial"/>
    <w:panose1 w:val="020B0606020202030204"/>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889157"/>
      <w:docPartObj>
        <w:docPartGallery w:val="AutoText"/>
      </w:docPartObj>
    </w:sdtPr>
    <w:sdtContent>
      <w:p w14:paraId="1D50F18F">
        <w:pPr>
          <w:pStyle w:val="3"/>
          <w:jc w:val="center"/>
        </w:pPr>
        <w:r>
          <w:fldChar w:fldCharType="begin"/>
        </w:r>
        <w:r>
          <w:instrText xml:space="preserve">PAGE   \* MERGEFORMAT</w:instrText>
        </w:r>
        <w:r>
          <w:fldChar w:fldCharType="separate"/>
        </w:r>
        <w:r>
          <w:rPr>
            <w:lang w:val="zh-CN"/>
          </w:rPr>
          <w:t>1</w:t>
        </w:r>
        <w:r>
          <w:fldChar w:fldCharType="end"/>
        </w:r>
      </w:p>
    </w:sdtContent>
  </w:sdt>
  <w:p w14:paraId="6062AA9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877"/>
    <w:rsid w:val="00037624"/>
    <w:rsid w:val="00042B2E"/>
    <w:rsid w:val="00076B66"/>
    <w:rsid w:val="000A6CA3"/>
    <w:rsid w:val="000D0EF6"/>
    <w:rsid w:val="000F52DE"/>
    <w:rsid w:val="00123F33"/>
    <w:rsid w:val="00126278"/>
    <w:rsid w:val="0014670D"/>
    <w:rsid w:val="00160799"/>
    <w:rsid w:val="00187D9B"/>
    <w:rsid w:val="001A71C9"/>
    <w:rsid w:val="001C236F"/>
    <w:rsid w:val="00220080"/>
    <w:rsid w:val="00236A38"/>
    <w:rsid w:val="00240539"/>
    <w:rsid w:val="00252468"/>
    <w:rsid w:val="00285D40"/>
    <w:rsid w:val="00296E30"/>
    <w:rsid w:val="002A7C9C"/>
    <w:rsid w:val="002B1571"/>
    <w:rsid w:val="002B4C4D"/>
    <w:rsid w:val="002F133D"/>
    <w:rsid w:val="002F69B1"/>
    <w:rsid w:val="003015BB"/>
    <w:rsid w:val="00330877"/>
    <w:rsid w:val="00337374"/>
    <w:rsid w:val="003441D3"/>
    <w:rsid w:val="00355D0C"/>
    <w:rsid w:val="003659C7"/>
    <w:rsid w:val="0039045F"/>
    <w:rsid w:val="003A261A"/>
    <w:rsid w:val="003F4857"/>
    <w:rsid w:val="003F4E15"/>
    <w:rsid w:val="00402D55"/>
    <w:rsid w:val="00461E6E"/>
    <w:rsid w:val="004620DC"/>
    <w:rsid w:val="00463E61"/>
    <w:rsid w:val="00486E99"/>
    <w:rsid w:val="00492BCC"/>
    <w:rsid w:val="00494D37"/>
    <w:rsid w:val="004B1B86"/>
    <w:rsid w:val="004B2ED4"/>
    <w:rsid w:val="004B3AB9"/>
    <w:rsid w:val="004C6582"/>
    <w:rsid w:val="004D3945"/>
    <w:rsid w:val="004F551A"/>
    <w:rsid w:val="0052113D"/>
    <w:rsid w:val="0057619C"/>
    <w:rsid w:val="005842C3"/>
    <w:rsid w:val="005A09E8"/>
    <w:rsid w:val="005A1F03"/>
    <w:rsid w:val="005A232D"/>
    <w:rsid w:val="005A5C3C"/>
    <w:rsid w:val="005B7061"/>
    <w:rsid w:val="005C403D"/>
    <w:rsid w:val="005D041E"/>
    <w:rsid w:val="005E452B"/>
    <w:rsid w:val="006053D5"/>
    <w:rsid w:val="006143B7"/>
    <w:rsid w:val="00631D44"/>
    <w:rsid w:val="00637E5E"/>
    <w:rsid w:val="006804FF"/>
    <w:rsid w:val="00686CF4"/>
    <w:rsid w:val="00692D85"/>
    <w:rsid w:val="006A44FF"/>
    <w:rsid w:val="006B45B6"/>
    <w:rsid w:val="006C3E6D"/>
    <w:rsid w:val="006E3447"/>
    <w:rsid w:val="007004D5"/>
    <w:rsid w:val="00707249"/>
    <w:rsid w:val="00715ED8"/>
    <w:rsid w:val="0072287D"/>
    <w:rsid w:val="0072788C"/>
    <w:rsid w:val="007422F8"/>
    <w:rsid w:val="007535C6"/>
    <w:rsid w:val="00765EA4"/>
    <w:rsid w:val="007D6959"/>
    <w:rsid w:val="007E7FC9"/>
    <w:rsid w:val="00827B5B"/>
    <w:rsid w:val="008500B8"/>
    <w:rsid w:val="0086227F"/>
    <w:rsid w:val="0088774D"/>
    <w:rsid w:val="008A5FA5"/>
    <w:rsid w:val="008A7E48"/>
    <w:rsid w:val="008B531E"/>
    <w:rsid w:val="008C5BD4"/>
    <w:rsid w:val="008D5249"/>
    <w:rsid w:val="008D7B70"/>
    <w:rsid w:val="008E31B8"/>
    <w:rsid w:val="00915D65"/>
    <w:rsid w:val="009328FA"/>
    <w:rsid w:val="009400EB"/>
    <w:rsid w:val="009423C2"/>
    <w:rsid w:val="00946A39"/>
    <w:rsid w:val="00976C53"/>
    <w:rsid w:val="009811F4"/>
    <w:rsid w:val="0098696B"/>
    <w:rsid w:val="009A28DC"/>
    <w:rsid w:val="009E03DF"/>
    <w:rsid w:val="00A10A21"/>
    <w:rsid w:val="00A16C73"/>
    <w:rsid w:val="00A31B79"/>
    <w:rsid w:val="00A33948"/>
    <w:rsid w:val="00A44635"/>
    <w:rsid w:val="00A4714A"/>
    <w:rsid w:val="00A77E8A"/>
    <w:rsid w:val="00A93B34"/>
    <w:rsid w:val="00AC444D"/>
    <w:rsid w:val="00B20362"/>
    <w:rsid w:val="00B66EFF"/>
    <w:rsid w:val="00B700C2"/>
    <w:rsid w:val="00BA5A97"/>
    <w:rsid w:val="00BC1F46"/>
    <w:rsid w:val="00BD3175"/>
    <w:rsid w:val="00BE6A81"/>
    <w:rsid w:val="00BE7B77"/>
    <w:rsid w:val="00BF0CE3"/>
    <w:rsid w:val="00BF625E"/>
    <w:rsid w:val="00C060CB"/>
    <w:rsid w:val="00C13B7E"/>
    <w:rsid w:val="00C24EF4"/>
    <w:rsid w:val="00C324EB"/>
    <w:rsid w:val="00C8170A"/>
    <w:rsid w:val="00C86900"/>
    <w:rsid w:val="00C93AF2"/>
    <w:rsid w:val="00CB3E19"/>
    <w:rsid w:val="00CB6E5D"/>
    <w:rsid w:val="00CE2CED"/>
    <w:rsid w:val="00CF62CB"/>
    <w:rsid w:val="00D32898"/>
    <w:rsid w:val="00D61D70"/>
    <w:rsid w:val="00D811FF"/>
    <w:rsid w:val="00DA239E"/>
    <w:rsid w:val="00DE23EC"/>
    <w:rsid w:val="00DE493D"/>
    <w:rsid w:val="00E06595"/>
    <w:rsid w:val="00E2164F"/>
    <w:rsid w:val="00E315C5"/>
    <w:rsid w:val="00E322A8"/>
    <w:rsid w:val="00E61CB2"/>
    <w:rsid w:val="00F42241"/>
    <w:rsid w:val="00F503E0"/>
    <w:rsid w:val="00F510BC"/>
    <w:rsid w:val="00F646AE"/>
    <w:rsid w:val="00F672B6"/>
    <w:rsid w:val="00F748C6"/>
    <w:rsid w:val="00F836EE"/>
    <w:rsid w:val="00FC0425"/>
    <w:rsid w:val="00FD1FD0"/>
    <w:rsid w:val="00FD54A9"/>
    <w:rsid w:val="00FD7472"/>
    <w:rsid w:val="00FE36FE"/>
    <w:rsid w:val="00FE4D7D"/>
    <w:rsid w:val="00FF1727"/>
    <w:rsid w:val="00FF50AA"/>
    <w:rsid w:val="00FF7169"/>
    <w:rsid w:val="73DD3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仿宋_GB2312" w:cs="Times New Roman"/>
      <w:kern w:val="2"/>
      <w:sz w:val="30"/>
      <w:szCs w:val="30"/>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11"/>
    <w:unhideWhenUsed/>
    <w:uiPriority w:val="99"/>
    <w:pPr>
      <w:widowControl w:val="0"/>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uiPriority w:val="99"/>
    <w:pPr>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character" w:customStyle="1" w:styleId="9">
    <w:name w:val="批注框文本 Char"/>
    <w:basedOn w:val="7"/>
    <w:link w:val="2"/>
    <w:semiHidden/>
    <w:uiPriority w:val="99"/>
    <w:rPr>
      <w:sz w:val="18"/>
      <w:szCs w:val="18"/>
    </w:rPr>
  </w:style>
  <w:style w:type="character" w:customStyle="1" w:styleId="10">
    <w:name w:val="页眉 Char"/>
    <w:basedOn w:val="7"/>
    <w:link w:val="4"/>
    <w:uiPriority w:val="99"/>
    <w:rPr>
      <w:sz w:val="18"/>
      <w:szCs w:val="18"/>
    </w:rPr>
  </w:style>
  <w:style w:type="character" w:customStyle="1" w:styleId="11">
    <w:name w:val="页脚 Char"/>
    <w:basedOn w:val="7"/>
    <w:link w:val="3"/>
    <w:uiPriority w:val="99"/>
    <w:rPr>
      <w:sz w:val="18"/>
      <w:szCs w:val="18"/>
    </w:rPr>
  </w:style>
  <w:style w:type="paragraph" w:customStyle="1" w:styleId="12">
    <w:name w:val="reader-word-layer"/>
    <w:basedOn w:val="1"/>
    <w:uiPriority w:val="0"/>
    <w:pPr>
      <w:spacing w:before="100" w:beforeAutospacing="1" w:after="100" w:afterAutospacing="1"/>
      <w:jc w:val="left"/>
    </w:pPr>
    <w:rPr>
      <w:rFonts w:ascii="宋体" w:hAnsi="宋体" w:eastAsia="宋体" w:cs="宋体"/>
      <w:kern w:val="0"/>
      <w:sz w:val="24"/>
      <w:szCs w:val="24"/>
    </w:rPr>
  </w:style>
  <w:style w:type="paragraph" w:styleId="13">
    <w:name w:val="List Paragraph"/>
    <w:basedOn w:val="1"/>
    <w:qFormat/>
    <w:uiPriority w:val="34"/>
    <w:pPr>
      <w:ind w:firstLine="420" w:firstLineChars="2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619</Words>
  <Characters>619</Characters>
  <Lines>4</Lines>
  <Paragraphs>1</Paragraphs>
  <TotalTime>489</TotalTime>
  <ScaleCrop>false</ScaleCrop>
  <LinksUpToDate>false</LinksUpToDate>
  <CharactersWithSpaces>619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2018-01-19T07:33:00Z</dcterms:created>
  <dc:creator>dell</dc:creator>
  <cp:lastModifiedBy>门澈欠疽脱</cp:lastModifiedBy>
  <cp:lastPrinted>2018-04-25T09:28:00Z</cp:lastPrinted>
  <dcterms:modified xsi:type="dcterms:W3CDTF">2025-03-19T09:59:11Z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eyJoZGlkIjoiNzNlMWI5MTM2Y2YzYzRhNGUxNzAwYmQ5OTEzZThhZjAiLCJ1c2VySWQiOiIxNjcxMTkwMjE4In0=</vt:lpwstr>
  </property>
  <property fmtid="{D5CDD505-2E9C-101B-9397-08002B2CF9AE}" pid="3" name="KSOProductBuildVer">
    <vt:lpwstr>2052-12.1.0.20305</vt:lpwstr>
  </property>
  <property fmtid="{D5CDD505-2E9C-101B-9397-08002B2CF9AE}" pid="4" name="ICV">
    <vt:lpwstr>45B2FDC7D86748858A26B80829E0D40E_12</vt:lpwstr>
  </property>
</Properties>
</file>