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1CD654">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对在运输建筑垃圾过程中沿途丢弃遗撒建筑垃圾的行政处罚办事指南表（基本信息表）</w:t>
      </w:r>
    </w:p>
    <w:tbl>
      <w:tblPr>
        <w:tblStyle w:val="2"/>
        <w:tblW w:w="8718" w:type="dxa"/>
        <w:tblInd w:w="0" w:type="dxa"/>
        <w:tblLayout w:type="fixed"/>
        <w:tblCellMar>
          <w:top w:w="0" w:type="dxa"/>
          <w:left w:w="108" w:type="dxa"/>
          <w:bottom w:w="0" w:type="dxa"/>
          <w:right w:w="108" w:type="dxa"/>
        </w:tblCellMar>
      </w:tblPr>
      <w:tblGrid>
        <w:gridCol w:w="1998"/>
        <w:gridCol w:w="6720"/>
      </w:tblGrid>
      <w:tr w14:paraId="7C02A363">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14:paraId="5D71BF76">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职权名称</w:t>
            </w:r>
          </w:p>
        </w:tc>
        <w:tc>
          <w:tcPr>
            <w:tcW w:w="6720" w:type="dxa"/>
            <w:tcBorders>
              <w:top w:val="single" w:color="auto" w:sz="4" w:space="0"/>
              <w:left w:val="nil"/>
              <w:bottom w:val="single" w:color="auto" w:sz="4" w:space="0"/>
              <w:right w:val="single" w:color="auto" w:sz="4" w:space="0"/>
            </w:tcBorders>
            <w:noWrap w:val="0"/>
            <w:vAlign w:val="center"/>
          </w:tcPr>
          <w:p w14:paraId="42E655EC">
            <w:pPr>
              <w:widowControl/>
              <w:spacing w:line="400" w:lineRule="exact"/>
              <w:jc w:val="left"/>
              <w:rPr>
                <w:rFonts w:hint="default" w:ascii="仿宋_GB2312" w:hAnsi="仿宋" w:eastAsia="仿宋_GB2312" w:cs="Verdana"/>
                <w:kern w:val="0"/>
                <w:sz w:val="18"/>
                <w:szCs w:val="18"/>
                <w:lang w:val="en-US"/>
              </w:rPr>
            </w:pPr>
            <w:r>
              <w:rPr>
                <w:rFonts w:hint="eastAsia" w:ascii="仿宋_GB2312" w:hAnsi="仿宋" w:eastAsia="仿宋_GB2312" w:cs="Verdana"/>
                <w:kern w:val="0"/>
                <w:sz w:val="18"/>
                <w:szCs w:val="18"/>
                <w:lang w:val="en-US" w:eastAsia="zh-CN"/>
              </w:rPr>
              <w:t>在运输建筑垃圾过程中沿途丢弃遗撒建筑垃圾</w:t>
            </w:r>
          </w:p>
        </w:tc>
      </w:tr>
      <w:tr w14:paraId="36C735DC">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14:paraId="0A0C8109">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实施机关</w:t>
            </w:r>
          </w:p>
        </w:tc>
        <w:tc>
          <w:tcPr>
            <w:tcW w:w="6720" w:type="dxa"/>
            <w:tcBorders>
              <w:top w:val="single" w:color="auto" w:sz="4" w:space="0"/>
              <w:left w:val="nil"/>
              <w:bottom w:val="single" w:color="auto" w:sz="4" w:space="0"/>
              <w:right w:val="single" w:color="auto" w:sz="4" w:space="0"/>
            </w:tcBorders>
            <w:noWrap w:val="0"/>
            <w:vAlign w:val="center"/>
          </w:tcPr>
          <w:p w14:paraId="0091B5E8">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宋体"/>
                <w:kern w:val="0"/>
                <w:sz w:val="18"/>
                <w:szCs w:val="18"/>
                <w:lang w:eastAsia="zh-CN"/>
              </w:rPr>
              <w:t>武汉市武昌区城市管理执法局</w:t>
            </w:r>
          </w:p>
        </w:tc>
      </w:tr>
      <w:tr w14:paraId="2BEE423B">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28A2B3DC">
            <w:pPr>
              <w:widowControl/>
              <w:spacing w:line="400" w:lineRule="exact"/>
              <w:jc w:val="center"/>
              <w:rPr>
                <w:rFonts w:hint="eastAsia" w:ascii="仿宋_GB2312" w:hAnsi="仿宋" w:eastAsia="仿宋_GB2312" w:cs="宋体"/>
                <w:kern w:val="0"/>
                <w:sz w:val="18"/>
                <w:szCs w:val="18"/>
                <w:lang w:eastAsia="zh-CN"/>
              </w:rPr>
            </w:pPr>
            <w:r>
              <w:rPr>
                <w:rFonts w:hint="eastAsia" w:ascii="黑体" w:hAnsi="宋体" w:eastAsia="黑体" w:cs="宋体"/>
                <w:kern w:val="0"/>
                <w:sz w:val="18"/>
                <w:szCs w:val="18"/>
                <w:lang w:eastAsia="zh-CN"/>
              </w:rPr>
              <w:t>职权依据</w:t>
            </w:r>
          </w:p>
        </w:tc>
        <w:tc>
          <w:tcPr>
            <w:tcW w:w="6720" w:type="dxa"/>
            <w:tcBorders>
              <w:top w:val="nil"/>
              <w:left w:val="nil"/>
              <w:bottom w:val="single" w:color="auto" w:sz="4" w:space="0"/>
              <w:right w:val="single" w:color="auto" w:sz="4" w:space="0"/>
            </w:tcBorders>
            <w:noWrap w:val="0"/>
            <w:vAlign w:val="center"/>
          </w:tcPr>
          <w:p w14:paraId="2948FB3A">
            <w:pPr>
              <w:widowControl/>
              <w:spacing w:line="400" w:lineRule="exact"/>
              <w:jc w:val="left"/>
              <w:rPr>
                <w:rFonts w:hint="default" w:ascii="仿宋_GB2312" w:hAnsi="仿宋" w:eastAsia="仿宋_GB2312" w:cs="宋体"/>
                <w:kern w:val="0"/>
                <w:sz w:val="18"/>
                <w:szCs w:val="18"/>
                <w:lang w:val="en-US" w:eastAsia="zh-CN"/>
              </w:rPr>
            </w:pPr>
            <w:r>
              <w:rPr>
                <w:rFonts w:hint="eastAsia" w:ascii="仿宋_GB2312" w:hAnsi="仿宋" w:eastAsia="仿宋_GB2312" w:cs="Verdana"/>
                <w:kern w:val="0"/>
                <w:sz w:val="18"/>
                <w:szCs w:val="18"/>
                <w:lang w:val="en-US" w:eastAsia="zh-CN"/>
              </w:rPr>
              <w:t xml:space="preserve">  《城市建筑垃圾管理规定》（建设部令第139号）　第十四条</w:t>
            </w:r>
          </w:p>
        </w:tc>
      </w:tr>
      <w:tr w14:paraId="0D99E435">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5033D5EF">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违法违规行为</w:t>
            </w:r>
          </w:p>
        </w:tc>
        <w:tc>
          <w:tcPr>
            <w:tcW w:w="6720" w:type="dxa"/>
            <w:tcBorders>
              <w:top w:val="single" w:color="auto" w:sz="4" w:space="0"/>
              <w:left w:val="nil"/>
              <w:bottom w:val="nil"/>
              <w:right w:val="single" w:color="auto" w:sz="4" w:space="0"/>
            </w:tcBorders>
            <w:noWrap w:val="0"/>
            <w:vAlign w:val="center"/>
          </w:tcPr>
          <w:p w14:paraId="7F9FE0E1">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Verdana"/>
                <w:kern w:val="0"/>
                <w:sz w:val="18"/>
                <w:szCs w:val="18"/>
                <w:lang w:val="en-US" w:eastAsia="zh-CN"/>
              </w:rPr>
              <w:t>在运输建筑垃圾过程中沿途丢弃遗撒建筑垃圾</w:t>
            </w:r>
          </w:p>
        </w:tc>
      </w:tr>
      <w:tr w14:paraId="0E703C35">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4A867EF6">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处罚种类</w:t>
            </w:r>
          </w:p>
        </w:tc>
        <w:tc>
          <w:tcPr>
            <w:tcW w:w="6720" w:type="dxa"/>
            <w:tcBorders>
              <w:top w:val="single" w:color="auto" w:sz="4" w:space="0"/>
              <w:left w:val="nil"/>
              <w:bottom w:val="single" w:color="auto" w:sz="4" w:space="0"/>
              <w:right w:val="single" w:color="auto" w:sz="4" w:space="0"/>
            </w:tcBorders>
            <w:noWrap w:val="0"/>
            <w:vAlign w:val="center"/>
          </w:tcPr>
          <w:p w14:paraId="25FA4585">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宋体"/>
                <w:kern w:val="0"/>
                <w:sz w:val="18"/>
                <w:szCs w:val="18"/>
                <w:lang w:eastAsia="zh-CN"/>
              </w:rPr>
              <w:t>罚款</w:t>
            </w:r>
          </w:p>
        </w:tc>
      </w:tr>
      <w:tr w14:paraId="4AEDB1CD">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6223078B">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细化量化自由裁量权标准</w:t>
            </w:r>
          </w:p>
        </w:tc>
        <w:tc>
          <w:tcPr>
            <w:tcW w:w="6720" w:type="dxa"/>
            <w:tcBorders>
              <w:top w:val="nil"/>
              <w:left w:val="nil"/>
              <w:bottom w:val="single" w:color="auto" w:sz="4" w:space="0"/>
              <w:right w:val="single" w:color="auto" w:sz="4" w:space="0"/>
            </w:tcBorders>
            <w:noWrap w:val="0"/>
            <w:vAlign w:val="center"/>
          </w:tcPr>
          <w:p w14:paraId="07856212">
            <w:pPr>
              <w:widowControl/>
              <w:spacing w:line="400" w:lineRule="exact"/>
              <w:jc w:val="left"/>
              <w:rPr>
                <w:rFonts w:hint="default"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实际建筑垃圾丢弃遗撒量（以体积论），责令限期改正，给予警告，按照实际建筑垃圾丢弃遗撒量，十立方米以下处5000元罚款，超过十立方米的，每立方米增加1000元罚款，罚款总额不超过5万元。</w:t>
            </w:r>
          </w:p>
        </w:tc>
      </w:tr>
      <w:tr w14:paraId="0F1F3C4B">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23F80559">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职权运行流程</w:t>
            </w:r>
          </w:p>
        </w:tc>
        <w:tc>
          <w:tcPr>
            <w:tcW w:w="6720" w:type="dxa"/>
            <w:tcBorders>
              <w:top w:val="nil"/>
              <w:left w:val="nil"/>
              <w:bottom w:val="single" w:color="auto" w:sz="4" w:space="0"/>
              <w:right w:val="single" w:color="auto" w:sz="4" w:space="0"/>
            </w:tcBorders>
            <w:noWrap w:val="0"/>
            <w:vAlign w:val="center"/>
          </w:tcPr>
          <w:p w14:paraId="24EF933B">
            <w:pPr>
              <w:widowControl/>
              <w:spacing w:line="400" w:lineRule="exact"/>
              <w:jc w:val="left"/>
              <w:rPr>
                <w:rFonts w:ascii="仿宋_GB2312" w:hAnsi="仿宋" w:eastAsia="仿宋_GB2312" w:cs="宋体"/>
                <w:kern w:val="0"/>
                <w:sz w:val="18"/>
                <w:szCs w:val="18"/>
              </w:rPr>
            </w:pPr>
            <w:r>
              <w:rPr>
                <w:rFonts w:hint="eastAsia" w:ascii="仿宋_GB2312" w:hAnsi="宋体" w:eastAsia="仿宋_GB2312" w:cs="宋体"/>
                <w:color w:val="000000"/>
                <w:kern w:val="0"/>
                <w:sz w:val="18"/>
                <w:szCs w:val="18"/>
              </w:rPr>
              <w:t>立案→调查→审查→告知→决定→送达→执行</w:t>
            </w:r>
          </w:p>
        </w:tc>
      </w:tr>
      <w:tr w14:paraId="705898CC">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5B0AAAAE">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w:t>
            </w:r>
          </w:p>
        </w:tc>
        <w:tc>
          <w:tcPr>
            <w:tcW w:w="6720" w:type="dxa"/>
            <w:tcBorders>
              <w:top w:val="nil"/>
              <w:left w:val="nil"/>
              <w:bottom w:val="single" w:color="auto" w:sz="4" w:space="0"/>
              <w:right w:val="single" w:color="auto" w:sz="4" w:space="0"/>
            </w:tcBorders>
            <w:noWrap w:val="0"/>
            <w:vAlign w:val="center"/>
          </w:tcPr>
          <w:p w14:paraId="664BCF14">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1、</w:t>
            </w:r>
            <w:r>
              <w:rPr>
                <w:rFonts w:hint="eastAsia" w:ascii="仿宋_GB2312" w:hAnsi="宋体" w:eastAsia="仿宋_GB2312" w:cs="宋体"/>
                <w:color w:val="000000"/>
                <w:kern w:val="0"/>
                <w:sz w:val="18"/>
                <w:szCs w:val="18"/>
              </w:rPr>
              <w:t xml:space="preserve">立案责任                                                            </w:t>
            </w:r>
          </w:p>
          <w:p w14:paraId="5C2EA088">
            <w:pPr>
              <w:widowControl/>
              <w:ind w:firstLine="360" w:firstLineChars="20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对于日常监督检查，群众来信来访及交办、转办中发现的问题及投诉举报的情况，进行审查核实，符合立案条件的予以立案。</w:t>
            </w:r>
          </w:p>
          <w:p w14:paraId="0B02DA59">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调查取证责任</w:t>
            </w:r>
          </w:p>
          <w:p w14:paraId="10C6A84E">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（1）行政执法人员不得少于两人，出示证件、表明身份；执法人员与当事人有直接利害关系的，应当回避。</w:t>
            </w:r>
          </w:p>
          <w:p w14:paraId="6C30629C">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（2）通过搜集证据、现场了解核实情况等进行调查，并制作笔录。</w:t>
            </w:r>
          </w:p>
          <w:p w14:paraId="17B6F4D4">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  审查责任</w:t>
            </w:r>
          </w:p>
          <w:p w14:paraId="0502464A">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（1）单位负责人审查决定。</w:t>
            </w:r>
          </w:p>
          <w:p w14:paraId="47179E3D">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（2）对于情节复杂的，应当集体讨论决定。</w:t>
            </w:r>
          </w:p>
          <w:p w14:paraId="6EE73FB4">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（3）制作处罚决定书。</w:t>
            </w:r>
          </w:p>
          <w:p w14:paraId="7C2E4F76">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  告知责任</w:t>
            </w:r>
          </w:p>
          <w:p w14:paraId="497BC565">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（1）行政机关在作出行政处罚决定之前，应当告知当事人作出行政处罚决定的事实、理由及依据，并告知当事人依法享有的权利。</w:t>
            </w:r>
          </w:p>
          <w:p w14:paraId="05C91545">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（2）行政机关作出责令停产停业、吊销许可证或者执照、较大数额罚款等行政处罚决定之前，应当告知当事人有要求举行听证的权利；当事人要求听证的，行政机关应当组织听证。</w:t>
            </w:r>
          </w:p>
          <w:p w14:paraId="21C23BD6">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5.决定责任</w:t>
            </w:r>
          </w:p>
          <w:p w14:paraId="21CE3B24">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制作行政处罚决定书，载明行政处罚告知、当事人陈述申辩或者听证情况以及行政处罚的种类和依据、履行方式和期限、救济途径等内容。</w:t>
            </w:r>
          </w:p>
          <w:p w14:paraId="0DFAC629">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6.送达责任</w:t>
            </w:r>
          </w:p>
          <w:p w14:paraId="1C415CDB">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当场交付当事人，当事人不在场的，行政机关应在7日内，将行政处罚决定书送达当事人。</w:t>
            </w:r>
          </w:p>
          <w:p w14:paraId="7A5FE4E7">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7.执行责任</w:t>
            </w:r>
          </w:p>
          <w:p w14:paraId="64DD019C">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（1）当事人自觉履行。</w:t>
            </w:r>
          </w:p>
          <w:p w14:paraId="62C1F48C">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（2）强制执行。</w:t>
            </w:r>
          </w:p>
          <w:p w14:paraId="6FC44C34">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8.其他法律法规规章文件规定应履行的责任</w:t>
            </w:r>
          </w:p>
        </w:tc>
      </w:tr>
      <w:tr w14:paraId="7D89FB35">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78B57768">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责任事项依据</w:t>
            </w:r>
          </w:p>
        </w:tc>
        <w:tc>
          <w:tcPr>
            <w:tcW w:w="6720" w:type="dxa"/>
            <w:tcBorders>
              <w:top w:val="nil"/>
              <w:left w:val="nil"/>
              <w:bottom w:val="single" w:color="auto" w:sz="4" w:space="0"/>
              <w:right w:val="single" w:color="auto" w:sz="4" w:space="0"/>
            </w:tcBorders>
            <w:noWrap w:val="0"/>
            <w:vAlign w:val="center"/>
          </w:tcPr>
          <w:p w14:paraId="2D6E6C98">
            <w:pPr>
              <w:widowControl/>
              <w:rPr>
                <w:rFonts w:hint="eastAsia" w:ascii="仿宋_GB2312" w:hAnsi="仿宋" w:eastAsia="仿宋_GB2312" w:cs="Verdana"/>
                <w:kern w:val="0"/>
                <w:sz w:val="18"/>
                <w:szCs w:val="18"/>
                <w:lang w:val="en-US" w:eastAsia="zh-CN"/>
              </w:rPr>
            </w:pPr>
            <w:r>
              <w:rPr>
                <w:rFonts w:hint="eastAsia" w:ascii="仿宋_GB2312" w:hAnsi="宋体" w:eastAsia="仿宋_GB2312" w:cs="宋体"/>
                <w:color w:val="000000"/>
                <w:kern w:val="0"/>
                <w:sz w:val="18"/>
                <w:szCs w:val="18"/>
              </w:rPr>
              <w:t>1.</w:t>
            </w:r>
            <w:r>
              <w:rPr>
                <w:rFonts w:hint="eastAsia" w:ascii="仿宋_GB2312" w:hAnsi="仿宋" w:eastAsia="仿宋_GB2312" w:cs="Verdana"/>
                <w:kern w:val="0"/>
                <w:sz w:val="18"/>
                <w:szCs w:val="18"/>
                <w:lang w:val="en-US" w:eastAsia="zh-CN"/>
              </w:rPr>
              <w:t>《城市建筑垃圾管理规定》（建设部令第139号）　第十四条  处置建筑垃圾的单位在运输建筑垃圾时，应当随车携带建筑垃圾处置核准文件，按照城市人民政府有关部门规定的运输路线、时间运行，不得丢弃、遗撒建筑垃圾，不得超出核准范围承运建筑垃圾。</w:t>
            </w:r>
            <w:bookmarkStart w:id="0" w:name="_GoBack"/>
            <w:bookmarkEnd w:id="0"/>
          </w:p>
          <w:p w14:paraId="4D2C2F3E">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557BD4E6">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3.《</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p>
          <w:p w14:paraId="7D105FF3">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4.《</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第四十四条　行政机关在作出行政处罚决定之前，应当告知当事人拟作出的行政处罚内容及事实、理由、依据，并告知当事人依法享有的陈述、申辩、要求听证等权利。第四十五条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0945DD4D">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5.《</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2C054220">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6.《</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第六十一条　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14:paraId="1A854F2B">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7.《</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第六十六条　行政处罚决定依法作出后，当事人应当在行政处罚决定书载明的期限内，予以履行。当事人确有经济困难，需要延期或者分期缴纳罚款的，经当事人申请和行政机关批准，可以暂缓或者分期缴纳。第七十二条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p w14:paraId="46C56C6D">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8.《</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第四十六条　证据包括：（一）书证；（二）物证；（三）视听资料；（四）电子数据；（五）证人证言；（六）当事人的陈述；（七）鉴定意见；（八）勘验笔录、现场笔录。证据必须经查证属实，方可作为认定案件事实的根据。以非法手段取得的证据，不得作为认定案件事实的根据。</w:t>
            </w:r>
          </w:p>
          <w:p w14:paraId="5CA5DC54">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第四十七条　行政机关应当依法以文字、音像等形式，对行政处罚的启动、调查取证、审核、决定、送达、执行等进行全过程记录，归档保存。</w:t>
            </w:r>
          </w:p>
          <w:p w14:paraId="1FC15900">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第四十八条　具有一定社会影响的行政处罚决定应当依法公开。开的行政处罚决定被依法变更、撤销、确认违法或者确认无效的，行政机关应当在三日内撤回行政处罚决定信息并公开说明理由。</w:t>
            </w:r>
          </w:p>
          <w:p w14:paraId="45A123AE">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第四十九条　发生重大传染病疫情等突发事件，为了控制、减轻和消除突发事件引起的社会危害，行政机关对违反突发事件应对措施的行为，依法快速、从重处罚。</w:t>
            </w:r>
          </w:p>
          <w:p w14:paraId="343D109B">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第五十条　行政机关及其工作人员对实施行政处罚过程中知悉的国家秘密、商业秘密或者个人隐私，应当依法予以保密。</w:t>
            </w:r>
          </w:p>
          <w:p w14:paraId="08F7AD27">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第六十条　行政机关应当自行政处罚案件立案之日起九十日内作出行政处罚决定。法律、法规、规章另有规定的，从其规定。</w:t>
            </w:r>
          </w:p>
          <w:p w14:paraId="39859CCA">
            <w:pPr>
              <w:widowControl/>
              <w:rPr>
                <w:rFonts w:ascii="仿宋_GB2312" w:hAnsi="宋体" w:eastAsia="仿宋_GB2312" w:cs="宋体"/>
                <w:color w:val="000000"/>
                <w:kern w:val="0"/>
                <w:sz w:val="18"/>
                <w:szCs w:val="18"/>
              </w:rPr>
            </w:pPr>
          </w:p>
        </w:tc>
      </w:tr>
      <w:tr w14:paraId="652271E0">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0757EA9B">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职责边界</w:t>
            </w:r>
          </w:p>
        </w:tc>
        <w:tc>
          <w:tcPr>
            <w:tcW w:w="6720" w:type="dxa"/>
            <w:tcBorders>
              <w:top w:val="nil"/>
              <w:left w:val="nil"/>
              <w:bottom w:val="single" w:color="auto" w:sz="4" w:space="0"/>
              <w:right w:val="single" w:color="auto" w:sz="4" w:space="0"/>
            </w:tcBorders>
            <w:noWrap w:val="0"/>
            <w:vAlign w:val="center"/>
          </w:tcPr>
          <w:p w14:paraId="3439BCB0">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无</w:t>
            </w:r>
          </w:p>
        </w:tc>
      </w:tr>
      <w:tr w14:paraId="020258DB">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4F72F6FA">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承办机构</w:t>
            </w:r>
          </w:p>
        </w:tc>
        <w:tc>
          <w:tcPr>
            <w:tcW w:w="6720" w:type="dxa"/>
            <w:tcBorders>
              <w:top w:val="nil"/>
              <w:left w:val="nil"/>
              <w:bottom w:val="single" w:color="auto" w:sz="4" w:space="0"/>
              <w:right w:val="single" w:color="auto" w:sz="4" w:space="0"/>
            </w:tcBorders>
            <w:noWrap w:val="0"/>
            <w:vAlign w:val="center"/>
          </w:tcPr>
          <w:p w14:paraId="2C4DFC9D">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武汉市武昌区城市管理执法局执法大队;</w:t>
            </w:r>
          </w:p>
        </w:tc>
      </w:tr>
      <w:tr w14:paraId="4E86CBA4">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01D9606C">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咨询方式</w:t>
            </w:r>
          </w:p>
        </w:tc>
        <w:tc>
          <w:tcPr>
            <w:tcW w:w="6720" w:type="dxa"/>
            <w:tcBorders>
              <w:top w:val="nil"/>
              <w:left w:val="nil"/>
              <w:bottom w:val="single" w:color="auto" w:sz="4" w:space="0"/>
              <w:right w:val="single" w:color="auto" w:sz="4" w:space="0"/>
            </w:tcBorders>
            <w:noWrap w:val="0"/>
            <w:vAlign w:val="center"/>
          </w:tcPr>
          <w:p w14:paraId="5581C138">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联系电话：027-8893</w:t>
            </w:r>
            <w:r>
              <w:rPr>
                <w:rFonts w:hint="eastAsia" w:ascii="仿宋_GB2312" w:hAnsi="宋体" w:eastAsia="仿宋_GB2312" w:cs="宋体"/>
                <w:color w:val="000000"/>
                <w:kern w:val="0"/>
                <w:sz w:val="18"/>
                <w:szCs w:val="18"/>
                <w:lang w:val="en-US" w:eastAsia="zh-CN"/>
              </w:rPr>
              <w:t>3551</w:t>
            </w:r>
            <w:r>
              <w:rPr>
                <w:rFonts w:hint="eastAsia" w:ascii="仿宋_GB2312" w:hAnsi="宋体" w:eastAsia="仿宋_GB2312" w:cs="宋体"/>
                <w:color w:val="000000"/>
                <w:kern w:val="0"/>
                <w:sz w:val="18"/>
                <w:szCs w:val="18"/>
              </w:rPr>
              <w:t>；</w:t>
            </w:r>
          </w:p>
          <w:p w14:paraId="00E86CDC">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办公地址：武汉市武昌区胭脂路荆南街14号；</w:t>
            </w:r>
          </w:p>
          <w:p w14:paraId="52C113A6">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电子邮箱：wcqcgzfjxzcf@qq.com。</w:t>
            </w:r>
          </w:p>
        </w:tc>
      </w:tr>
      <w:tr w14:paraId="39867A7B">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06263B37">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监督投诉方式</w:t>
            </w:r>
          </w:p>
        </w:tc>
        <w:tc>
          <w:tcPr>
            <w:tcW w:w="6720" w:type="dxa"/>
            <w:tcBorders>
              <w:top w:val="nil"/>
              <w:left w:val="nil"/>
              <w:bottom w:val="single" w:color="auto" w:sz="4" w:space="0"/>
              <w:right w:val="single" w:color="auto" w:sz="4" w:space="0"/>
            </w:tcBorders>
            <w:noWrap w:val="0"/>
            <w:vAlign w:val="center"/>
          </w:tcPr>
          <w:p w14:paraId="3E81D009">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市长热线：027-12345；</w:t>
            </w:r>
          </w:p>
        </w:tc>
      </w:tr>
      <w:tr w14:paraId="44C77E8B">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531276FB">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备注</w:t>
            </w:r>
          </w:p>
        </w:tc>
        <w:tc>
          <w:tcPr>
            <w:tcW w:w="6720" w:type="dxa"/>
            <w:tcBorders>
              <w:top w:val="nil"/>
              <w:left w:val="nil"/>
              <w:bottom w:val="single" w:color="auto" w:sz="4" w:space="0"/>
              <w:right w:val="single" w:color="auto" w:sz="4" w:space="0"/>
            </w:tcBorders>
            <w:noWrap w:val="0"/>
            <w:vAlign w:val="center"/>
          </w:tcPr>
          <w:p w14:paraId="00D8F051">
            <w:pPr>
              <w:widowControl/>
              <w:rPr>
                <w:rFonts w:ascii="仿宋_GB2312" w:hAnsi="宋体" w:eastAsia="仿宋_GB2312" w:cs="宋体"/>
                <w:color w:val="000000"/>
                <w:kern w:val="0"/>
                <w:sz w:val="18"/>
                <w:szCs w:val="18"/>
              </w:rPr>
            </w:pPr>
          </w:p>
        </w:tc>
      </w:tr>
    </w:tbl>
    <w:p w14:paraId="0A1B4508">
      <w:pPr>
        <w:jc w:val="center"/>
        <w:rPr>
          <w:rFonts w:hint="eastAsia" w:ascii="华文中宋" w:hAnsi="华文中宋" w:eastAsia="华文中宋" w:cs="宋体"/>
          <w:kern w:val="0"/>
          <w:sz w:val="32"/>
          <w:szCs w:val="32"/>
        </w:rPr>
      </w:pPr>
    </w:p>
    <w:p w14:paraId="1BACB4B2">
      <w:pPr>
        <w:jc w:val="center"/>
        <w:rPr>
          <w:rFonts w:hint="eastAsia" w:ascii="华文中宋" w:hAnsi="华文中宋" w:eastAsia="华文中宋" w:cs="宋体"/>
          <w:kern w:val="0"/>
          <w:sz w:val="32"/>
          <w:szCs w:val="32"/>
        </w:rPr>
      </w:pPr>
    </w:p>
    <w:p w14:paraId="4C078B5E">
      <w:pPr>
        <w:jc w:val="center"/>
        <w:rPr>
          <w:rFonts w:hint="eastAsia" w:ascii="华文中宋" w:hAnsi="华文中宋" w:eastAsia="华文中宋" w:cs="宋体"/>
          <w:kern w:val="0"/>
          <w:sz w:val="32"/>
          <w:szCs w:val="32"/>
        </w:rPr>
      </w:pPr>
    </w:p>
    <w:p w14:paraId="06F2275E">
      <w:pPr>
        <w:jc w:val="center"/>
        <w:rPr>
          <w:rFonts w:hint="eastAsia" w:ascii="华文中宋" w:hAnsi="华文中宋" w:eastAsia="华文中宋" w:cs="宋体"/>
          <w:kern w:val="0"/>
          <w:sz w:val="32"/>
          <w:szCs w:val="32"/>
        </w:rPr>
      </w:pPr>
    </w:p>
    <w:p w14:paraId="4594AEE6">
      <w:pPr>
        <w:jc w:val="center"/>
        <w:rPr>
          <w:rFonts w:hint="eastAsia" w:ascii="华文中宋" w:hAnsi="华文中宋" w:eastAsia="华文中宋" w:cs="宋体"/>
          <w:kern w:val="0"/>
          <w:sz w:val="32"/>
          <w:szCs w:val="32"/>
        </w:rPr>
      </w:pPr>
    </w:p>
    <w:p w14:paraId="5ACAF806">
      <w:pPr>
        <w:jc w:val="center"/>
        <w:rPr>
          <w:rFonts w:hint="eastAsia" w:ascii="华文中宋" w:hAnsi="华文中宋" w:eastAsia="华文中宋" w:cs="宋体"/>
          <w:kern w:val="0"/>
          <w:sz w:val="32"/>
          <w:szCs w:val="32"/>
        </w:rPr>
      </w:pPr>
      <w:r>
        <w:rPr>
          <w:rFonts w:hint="eastAsia" w:ascii="华文中宋" w:hAnsi="华文中宋" w:eastAsia="华文中宋" w:cs="宋体"/>
          <w:kern w:val="0"/>
          <w:sz w:val="32"/>
          <w:szCs w:val="32"/>
        </w:rPr>
        <w:t>行政处罚外部流程图</w:t>
      </w:r>
    </w:p>
    <w:p w14:paraId="0D7B8257">
      <w:pPr>
        <w:jc w:val="center"/>
        <w:rPr>
          <w:rFonts w:hint="eastAsia" w:ascii="华文中宋" w:hAnsi="华文中宋" w:eastAsia="华文中宋" w:cs="宋体"/>
          <w:kern w:val="0"/>
          <w:sz w:val="32"/>
          <w:szCs w:val="32"/>
        </w:rPr>
      </w:pPr>
      <w:r>
        <w:object>
          <v:shape id="_x0000_i1025" o:spt="75" type="#_x0000_t75" style="height:618.75pt;width:411.2pt;" o:ole="t" filled="f" o:preferrelative="t" stroked="f" coordsize="21600,21600">
            <v:path/>
            <v:fill on="f" focussize="0,0"/>
            <v:stroke on="f"/>
            <v:imagedata r:id="rId5" o:title=""/>
            <o:lock v:ext="edit" aspectratio="t"/>
            <w10:wrap type="none"/>
            <w10:anchorlock/>
          </v:shape>
          <o:OLEObject Type="Embed" ProgID="Visio.Drawing.15" ShapeID="_x0000_i1025" DrawAspect="Content" ObjectID="_1468075725" r:id="rId4">
            <o:LockedField>false</o:LockedField>
          </o:OLEObject>
        </w:object>
      </w:r>
    </w:p>
    <w:p w14:paraId="6CB5821C">
      <w:pPr>
        <w:jc w:val="center"/>
        <w:rPr>
          <w:rFonts w:hint="eastAsia"/>
        </w:rPr>
      </w:pPr>
    </w:p>
    <w:p w14:paraId="0C63CE3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3703AB"/>
    <w:rsid w:val="01A530E7"/>
    <w:rsid w:val="03E27F04"/>
    <w:rsid w:val="04DD11EF"/>
    <w:rsid w:val="066B2D8A"/>
    <w:rsid w:val="06A21A1D"/>
    <w:rsid w:val="07C7422E"/>
    <w:rsid w:val="09A80C7B"/>
    <w:rsid w:val="0C60017F"/>
    <w:rsid w:val="0E7729C3"/>
    <w:rsid w:val="122F3018"/>
    <w:rsid w:val="13BB1490"/>
    <w:rsid w:val="193703AB"/>
    <w:rsid w:val="220C1982"/>
    <w:rsid w:val="23C96CF5"/>
    <w:rsid w:val="25AC2049"/>
    <w:rsid w:val="2B984D80"/>
    <w:rsid w:val="31CD7356"/>
    <w:rsid w:val="355F2BEC"/>
    <w:rsid w:val="3EFB5137"/>
    <w:rsid w:val="3F0B58E4"/>
    <w:rsid w:val="3F890145"/>
    <w:rsid w:val="40212FAE"/>
    <w:rsid w:val="433A4C90"/>
    <w:rsid w:val="469A348A"/>
    <w:rsid w:val="4B3A115B"/>
    <w:rsid w:val="4B981B36"/>
    <w:rsid w:val="4BA83D98"/>
    <w:rsid w:val="4E693FF0"/>
    <w:rsid w:val="54F20DCE"/>
    <w:rsid w:val="5629178B"/>
    <w:rsid w:val="5E793590"/>
    <w:rsid w:val="5FA36AB1"/>
    <w:rsid w:val="60034669"/>
    <w:rsid w:val="611C2FBF"/>
    <w:rsid w:val="614568A9"/>
    <w:rsid w:val="618F658B"/>
    <w:rsid w:val="63C9199B"/>
    <w:rsid w:val="67B026C9"/>
    <w:rsid w:val="68227285"/>
    <w:rsid w:val="6DE0074F"/>
    <w:rsid w:val="6EE1466E"/>
    <w:rsid w:val="703B362B"/>
    <w:rsid w:val="70B05581"/>
    <w:rsid w:val="7678652D"/>
    <w:rsid w:val="79553815"/>
    <w:rsid w:val="796E1394"/>
    <w:rsid w:val="7A7F7C34"/>
    <w:rsid w:val="7AF472D8"/>
    <w:rsid w:val="7C263D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2902</Words>
  <Characters>2961</Characters>
  <Lines>0</Lines>
  <Paragraphs>0</Paragraphs>
  <TotalTime>5</TotalTime>
  <ScaleCrop>false</ScaleCrop>
  <LinksUpToDate>false</LinksUpToDate>
  <CharactersWithSpaces>3048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2021-07-09T03:05:00Z</dcterms:created>
  <dc:creator>夏夏</dc:creator>
  <cp:lastModifiedBy>夏夏</cp:lastModifiedBy>
  <dcterms:modified xsi:type="dcterms:W3CDTF">2024-11-20T02:45:28Z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16D98FECA8B64CA082F2B16FFE6A833B</vt:lpwstr>
  </property>
  <property fmtid="{D5CDD505-2E9C-101B-9397-08002B2CF9AE}" pid="4" name="KSOSaveFontToCloudKey">
    <vt:lpwstr>818107661_cloud</vt:lpwstr>
  </property>
</Properties>
</file>