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59B92">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未按规定时间完成配套绿化工程</w:t>
      </w:r>
    </w:p>
    <w:p w14:paraId="1E2E10EB">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对违反未按规定时间完成配套绿化工程行政处罚办事指南表（基本信息表）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381D65A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22F129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7BD15FD">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对违反未按规定时间完成配套绿化工程行政处罚</w:t>
            </w:r>
          </w:p>
        </w:tc>
      </w:tr>
      <w:tr w14:paraId="7A1E71D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C28A0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61B3BC8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0D08983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34102145">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14:paraId="7313A3A2">
            <w:pPr>
              <w:widowControl/>
              <w:spacing w:line="400" w:lineRule="exact"/>
              <w:ind w:firstLine="36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 xml:space="preserve">    《武汉市城市绿化条例》（2021修正）</w:t>
            </w:r>
          </w:p>
          <w:p w14:paraId="58282B7F">
            <w:pPr>
              <w:widowControl/>
              <w:spacing w:line="400" w:lineRule="exact"/>
              <w:ind w:firstLine="36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第二十二条   第五十五条第二项 </w:t>
            </w:r>
          </w:p>
        </w:tc>
      </w:tr>
      <w:tr w14:paraId="4E9D7BBE">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94CC6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0776A647">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未按规定时间完成配套绿化工程</w:t>
            </w:r>
          </w:p>
        </w:tc>
      </w:tr>
      <w:tr w14:paraId="59DEF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B043EC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51B09F9A">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处罚</w:t>
            </w:r>
          </w:p>
        </w:tc>
      </w:tr>
      <w:tr w14:paraId="62EF7C0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0425E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191822AC">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配套绿化工程晚于主体工程竣工超过6至8个月</w:t>
            </w:r>
            <w:r>
              <w:rPr>
                <w:rFonts w:hint="eastAsia" w:ascii="仿宋_GB2312" w:hAnsi="仿宋" w:eastAsia="仿宋_GB2312" w:cs="Verdana"/>
                <w:kern w:val="0"/>
                <w:sz w:val="18"/>
                <w:szCs w:val="18"/>
                <w:lang w:val="en-US" w:eastAsia="zh-CN"/>
              </w:rPr>
              <w:t>，责令限期改正，并按照未完成的绿地面积，处以每日每平方米10元以上17元以下罚款；</w:t>
            </w:r>
          </w:p>
          <w:p w14:paraId="531A2A1B">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配套绿化工程晚于主体工程竣工超过8至12个月</w:t>
            </w:r>
            <w:r>
              <w:rPr>
                <w:rFonts w:hint="eastAsia" w:ascii="仿宋_GB2312" w:hAnsi="仿宋" w:eastAsia="仿宋_GB2312" w:cs="Verdana"/>
                <w:kern w:val="0"/>
                <w:sz w:val="18"/>
                <w:szCs w:val="18"/>
                <w:lang w:val="en-US" w:eastAsia="zh-CN"/>
              </w:rPr>
              <w:t>，责令限期改正，并按照未完成的绿地面积，处以每日每平方米17元以上23元以下罚款；</w:t>
            </w:r>
          </w:p>
          <w:p w14:paraId="31115266">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配套绿化工程晚于主体工程竣工超过12个月以上</w:t>
            </w:r>
            <w:r>
              <w:rPr>
                <w:rFonts w:hint="eastAsia" w:ascii="仿宋_GB2312" w:hAnsi="仿宋" w:eastAsia="仿宋_GB2312" w:cs="Verdana"/>
                <w:kern w:val="0"/>
                <w:sz w:val="18"/>
                <w:szCs w:val="18"/>
                <w:lang w:val="en-US" w:eastAsia="zh-CN"/>
              </w:rPr>
              <w:t>，责令限期改正，并按照未完成的绿地面积，处以每日每平方米23元以上30元以下罚款。</w:t>
            </w:r>
          </w:p>
        </w:tc>
      </w:tr>
      <w:tr w14:paraId="3B17B582">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0050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4D49CC85">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6BE02CD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865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4C0B0AFE">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6FA5E7E6">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158C1306">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2C65311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40AB945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5E45540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83DC46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5A4E269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436B1E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0B6E6C8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5ED3A54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13EB5A0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5B355F2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7F2A71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48D4699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649EA1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5489A0D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355F95F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50357E1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147DDBF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201A4DD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E8B6CCD">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1FCE29E8">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《武汉市城市绿化条例》（2021修正）</w:t>
            </w:r>
          </w:p>
          <w:p w14:paraId="53E05DC9">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第二十二条  建设工程项目配套绿化工程应当与主体工程同步规划、同步设计、同步交付使用；确因季节等原因不能同时完成的，配套绿化工程完成的时间不得迟于主体工程竣工  《武汉市城市绿化条例》（2021修正）</w:t>
            </w:r>
          </w:p>
          <w:p w14:paraId="1C1D5269">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第五十五条第二项  违反本条例规定，有下列情形之一的，由城管执法部门予以处罚：</w:t>
            </w:r>
          </w:p>
          <w:p w14:paraId="073212C4">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（二）主体工程竣工后未按照第二十二条的规定完成配套绿化工程的，责令限期改正，并按照未完成的绿地面积，处以每日每平方米十元以上三十元以下的罚款；</w:t>
            </w:r>
            <w:bookmarkStart w:id="0" w:name="_GoBack"/>
            <w:bookmarkEnd w:id="0"/>
            <w:r>
              <w:rPr>
                <w:rFonts w:hint="eastAsia" w:ascii="仿宋_GB2312" w:hAnsi="宋体" w:eastAsia="仿宋_GB2312" w:cs="宋体"/>
                <w:color w:val="000000"/>
                <w:kern w:val="0"/>
                <w:sz w:val="18"/>
                <w:szCs w:val="18"/>
              </w:rPr>
              <w:t>后六个月。</w:t>
            </w:r>
          </w:p>
          <w:p w14:paraId="2AE0D80D">
            <w:pPr>
              <w:widowControl/>
              <w:ind w:firstLine="360"/>
              <w:rPr>
                <w:rFonts w:hint="eastAsia" w:ascii="仿宋_GB2312" w:hAnsi="宋体" w:eastAsia="仿宋_GB2312" w:cs="宋体"/>
                <w:color w:val="000000"/>
                <w:kern w:val="0"/>
                <w:sz w:val="18"/>
                <w:szCs w:val="18"/>
                <w:lang w:eastAsia="zh-CN"/>
              </w:rPr>
            </w:pPr>
          </w:p>
          <w:p w14:paraId="4FA7008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757360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04DE1CF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4EA3B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7D8691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02E89BB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7743666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4F6022C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5B00F8A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3B13A1B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4C45078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AA654B5">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r w14:paraId="20323F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D0F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274BBF5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3796C78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A6FD4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0BEB43A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05EBF02A">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5F412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0A0080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5A28F4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05E7B8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65FCFCE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C170E94">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AED676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04076CC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1015B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2BEF4A25">
            <w:pPr>
              <w:widowControl/>
              <w:rPr>
                <w:rFonts w:ascii="仿宋_GB2312" w:hAnsi="宋体" w:eastAsia="仿宋_GB2312" w:cs="宋体"/>
                <w:color w:val="000000"/>
                <w:kern w:val="0"/>
                <w:sz w:val="18"/>
                <w:szCs w:val="18"/>
              </w:rPr>
            </w:pPr>
          </w:p>
        </w:tc>
      </w:tr>
    </w:tbl>
    <w:p w14:paraId="18DB8841">
      <w:pPr>
        <w:rPr>
          <w:rFonts w:hint="eastAsia"/>
        </w:rPr>
      </w:pPr>
    </w:p>
    <w:p w14:paraId="35C1ACF5">
      <w:pPr>
        <w:jc w:val="center"/>
        <w:rPr>
          <w:rFonts w:hint="eastAsia" w:ascii="华文中宋" w:hAnsi="华文中宋" w:eastAsia="华文中宋" w:cs="宋体"/>
          <w:kern w:val="0"/>
          <w:sz w:val="32"/>
          <w:szCs w:val="32"/>
        </w:rPr>
      </w:pPr>
    </w:p>
    <w:p w14:paraId="5DA5CF34">
      <w:pPr>
        <w:jc w:val="center"/>
        <w:rPr>
          <w:rFonts w:hint="eastAsia"/>
        </w:rPr>
      </w:pPr>
    </w:p>
    <w:p w14:paraId="22275181">
      <w:pPr>
        <w:jc w:val="center"/>
        <w:rPr>
          <w:rFonts w:hint="eastAsia"/>
        </w:rPr>
      </w:pPr>
    </w:p>
    <w:p w14:paraId="12F29655">
      <w:pPr>
        <w:jc w:val="center"/>
        <w:rPr>
          <w:rFonts w:hint="eastAsia"/>
        </w:rPr>
      </w:pPr>
    </w:p>
    <w:p w14:paraId="7789231A">
      <w:pPr>
        <w:jc w:val="center"/>
        <w:rPr>
          <w:rFonts w:hint="eastAsia"/>
        </w:rPr>
      </w:pPr>
    </w:p>
    <w:p w14:paraId="3C1ECA90">
      <w:pPr>
        <w:jc w:val="center"/>
        <w:rPr>
          <w:rFonts w:hint="eastAsia"/>
        </w:rPr>
      </w:pPr>
    </w:p>
    <w:p w14:paraId="4A39CC3B">
      <w:pPr>
        <w:jc w:val="center"/>
        <w:rPr>
          <w:rFonts w:hint="eastAsia"/>
        </w:rPr>
      </w:pPr>
    </w:p>
    <w:p w14:paraId="2C35212B">
      <w:pPr>
        <w:jc w:val="center"/>
        <w:rPr>
          <w:rFonts w:hint="eastAsia"/>
        </w:rPr>
      </w:pPr>
    </w:p>
    <w:p w14:paraId="15675C63">
      <w:pPr>
        <w:jc w:val="center"/>
        <w:rPr>
          <w:rFonts w:hint="eastAsia"/>
        </w:rPr>
      </w:pPr>
    </w:p>
    <w:p w14:paraId="48A0BD70">
      <w:pPr>
        <w:jc w:val="center"/>
        <w:rPr>
          <w:rFonts w:hint="eastAsia"/>
        </w:rPr>
      </w:pPr>
    </w:p>
    <w:p w14:paraId="7868046E">
      <w:pPr>
        <w:jc w:val="center"/>
        <w:rPr>
          <w:rFonts w:hint="eastAsia" w:ascii="华文中宋" w:hAnsi="华文中宋" w:eastAsia="华文中宋" w:cs="宋体"/>
          <w:kern w:val="0"/>
          <w:sz w:val="32"/>
          <w:szCs w:val="32"/>
        </w:rPr>
      </w:pPr>
    </w:p>
    <w:p w14:paraId="03B99551">
      <w:pPr>
        <w:jc w:val="center"/>
        <w:rPr>
          <w:rFonts w:hint="eastAsia" w:ascii="华文中宋" w:hAnsi="华文中宋" w:eastAsia="华文中宋" w:cs="宋体"/>
          <w:kern w:val="0"/>
          <w:sz w:val="32"/>
          <w:szCs w:val="32"/>
        </w:rPr>
      </w:pPr>
    </w:p>
    <w:p w14:paraId="5261179B">
      <w:pPr>
        <w:jc w:val="center"/>
        <w:rPr>
          <w:rFonts w:hint="eastAsia" w:ascii="华文中宋" w:hAnsi="华文中宋" w:eastAsia="华文中宋" w:cs="宋体"/>
          <w:kern w:val="0"/>
          <w:sz w:val="32"/>
          <w:szCs w:val="32"/>
        </w:rPr>
      </w:pPr>
    </w:p>
    <w:p w14:paraId="08D0BA1B">
      <w:pPr>
        <w:jc w:val="center"/>
        <w:rPr>
          <w:rFonts w:hint="eastAsia" w:ascii="华文中宋" w:hAnsi="华文中宋" w:eastAsia="华文中宋" w:cs="宋体"/>
          <w:kern w:val="0"/>
          <w:sz w:val="32"/>
          <w:szCs w:val="32"/>
        </w:rPr>
      </w:pPr>
    </w:p>
    <w:p w14:paraId="2A0989BB">
      <w:pPr>
        <w:jc w:val="center"/>
        <w:rPr>
          <w:rFonts w:hint="eastAsia" w:ascii="华文中宋" w:hAnsi="华文中宋" w:eastAsia="华文中宋" w:cs="宋体"/>
          <w:kern w:val="0"/>
          <w:sz w:val="32"/>
          <w:szCs w:val="32"/>
        </w:rPr>
      </w:pPr>
    </w:p>
    <w:p w14:paraId="1AB268F9">
      <w:pPr>
        <w:jc w:val="center"/>
        <w:rPr>
          <w:rFonts w:hint="eastAsia" w:ascii="华文中宋" w:hAnsi="华文中宋" w:eastAsia="华文中宋" w:cs="宋体"/>
          <w:kern w:val="0"/>
          <w:sz w:val="32"/>
          <w:szCs w:val="32"/>
        </w:rPr>
      </w:pPr>
    </w:p>
    <w:p w14:paraId="61A77DF9">
      <w:pPr>
        <w:jc w:val="center"/>
        <w:rPr>
          <w:rFonts w:hint="eastAsia" w:ascii="华文中宋" w:hAnsi="华文中宋" w:eastAsia="华文中宋" w:cs="宋体"/>
          <w:kern w:val="0"/>
          <w:sz w:val="32"/>
          <w:szCs w:val="32"/>
        </w:rPr>
      </w:pPr>
    </w:p>
    <w:p w14:paraId="16087636">
      <w:pPr>
        <w:jc w:val="center"/>
        <w:rPr>
          <w:rFonts w:hint="eastAsia" w:ascii="华文中宋" w:hAnsi="华文中宋" w:eastAsia="华文中宋" w:cs="宋体"/>
          <w:kern w:val="0"/>
          <w:sz w:val="32"/>
          <w:szCs w:val="32"/>
        </w:rPr>
      </w:pPr>
    </w:p>
    <w:p w14:paraId="1661E4A7">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6A331F6E">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FE4D553">
      <w:pPr>
        <w:jc w:val="center"/>
        <w:rPr>
          <w:rFonts w:hint="eastAsia" w:ascii="华文中宋" w:hAnsi="华文中宋" w:eastAsia="华文中宋" w:cs="宋体"/>
          <w:kern w:val="0"/>
          <w:sz w:val="32"/>
          <w:szCs w:val="32"/>
        </w:rPr>
      </w:pPr>
    </w:p>
    <w:p w14:paraId="67B02CAD">
      <w:pPr>
        <w:jc w:val="center"/>
        <w:rPr>
          <w:rFonts w:hint="eastAsia"/>
        </w:rPr>
      </w:pPr>
    </w:p>
    <w:p w14:paraId="6BD89D79"/>
    <w:p w14:paraId="12A6C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5E8AC"/>
    <w:multiLevelType w:val="singleLevel"/>
    <w:tmpl w:val="DD55E8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32A9"/>
    <w:rsid w:val="09E032A9"/>
    <w:rsid w:val="404F33C4"/>
    <w:rsid w:val="789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3664</Words>
  <Characters>3751</Characters>
  <Lines>0</Lines>
  <Paragraphs>0</Paragraphs>
  <TotalTime>3</TotalTime>
  <ScaleCrop>false</ScaleCrop>
  <LinksUpToDate>false</LinksUpToDate>
  <CharactersWithSpaces>3902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2024-11-20T01:00:00Z</dcterms:created>
  <dc:creator>高珊</dc:creator>
  <cp:lastModifiedBy>高珊</cp:lastModifiedBy>
  <dcterms:modified xsi:type="dcterms:W3CDTF">2024-11-20T01:13:38Z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B662A73CB2F443DDB418BA6FD1060388_11</vt:lpwstr>
  </property>
</Properties>
</file>