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2021年度城市综合管理工作经费项目</w:t>
      </w:r>
      <w:r>
        <w:rPr>
          <w:rFonts w:hint="eastAsia" w:ascii="华文中宋" w:hAnsi="华文中宋" w:eastAsia="华文中宋" w:cs="华文中宋"/>
          <w:sz w:val="36"/>
          <w:szCs w:val="36"/>
        </w:rPr>
        <w:t>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单位名称：武汉市武昌区人民政府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eastAsia="zh-CN"/>
        </w:rPr>
        <w:t>首义路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街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eastAsia="zh-CN"/>
        </w:rPr>
        <w:t>道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办事处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>2022年11月8日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816"/>
        <w:gridCol w:w="650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城市综合管理工作经费</w:t>
            </w:r>
            <w:r>
              <w:rPr>
                <w:rFonts w:hint="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武汉市武昌区人民政府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首义路</w:t>
            </w:r>
            <w:r>
              <w:rPr>
                <w:rFonts w:hint="eastAsia"/>
                <w:kern w:val="0"/>
                <w:sz w:val="21"/>
                <w:szCs w:val="21"/>
              </w:rPr>
              <w:t>街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道</w:t>
            </w:r>
            <w:r>
              <w:rPr>
                <w:rFonts w:hint="eastAsia"/>
                <w:kern w:val="0"/>
                <w:sz w:val="21"/>
                <w:szCs w:val="21"/>
              </w:rPr>
              <w:t>办事处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首义路</w:t>
            </w:r>
            <w:r>
              <w:rPr>
                <w:rFonts w:hint="eastAsia"/>
                <w:kern w:val="0"/>
                <w:sz w:val="21"/>
                <w:szCs w:val="21"/>
              </w:rPr>
              <w:t>街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道</w:t>
            </w:r>
            <w:r>
              <w:rPr>
                <w:rFonts w:hint="eastAsia"/>
                <w:kern w:val="0"/>
                <w:sz w:val="21"/>
                <w:szCs w:val="21"/>
              </w:rPr>
              <w:t>办事处公共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kern w:val="0"/>
                <w:sz w:val="21"/>
                <w:szCs w:val="21"/>
              </w:rPr>
              <w:t>办公室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2、市直专项   □  3、市对下转移支付项目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预算执行情况(万元)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(20分)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预算数(A)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执行数(B)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执行率(B/A)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(20分*执行率)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(XX分)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年初目标值(A)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清理共享单车完成率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违法占道处理完成率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维修完成率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拆除违建建筑完成率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生活垃圾分类覆盖</w:t>
            </w:r>
            <w:r>
              <w:rPr>
                <w:rFonts w:hint="eastAsia"/>
                <w:kern w:val="0"/>
                <w:sz w:val="21"/>
                <w:szCs w:val="21"/>
              </w:rPr>
              <w:t>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小型维修及时性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5天内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5天内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城市综合排名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前26名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前26名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宣传多样性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≥3种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偏差大或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目标未完成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违法占道处理完成率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还需提高。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改进措施及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强</w:t>
            </w:r>
            <w:r>
              <w:rPr>
                <w:rFonts w:hint="default"/>
                <w:kern w:val="0"/>
                <w:sz w:val="22"/>
                <w:szCs w:val="22"/>
              </w:rPr>
              <w:t>化综合执法机制，总结既有经验，深化综合执法机制，集中力量解决占道经营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default"/>
                <w:kern w:val="0"/>
                <w:sz w:val="22"/>
                <w:szCs w:val="22"/>
              </w:rPr>
              <w:t>问题。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改进并加强宣传方式，加强线上宣传，多层面提高社会公众的环保安全意识。</w:t>
            </w:r>
          </w:p>
        </w:tc>
      </w:tr>
    </w:tbl>
    <w:p>
      <w:pPr>
        <w:widowControl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1.预算执行情况口径：预算数为调整后财政资金总额(包括上年结余结转)，执行数为资金使用单位财政资金实际支出数。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.定性指标计分原则：达成预期指标、部分达成预期指标、未达成预期指标三档，分别按照该指标对应分值区间100%-80%(≥80%)、80%-50%(≥50%，＜80%)、50%-0%(＜50%)合理确定分值。汇总时，以资金额度为权重，对分值进行加权平均计算。</w:t>
      </w:r>
    </w:p>
    <w:p>
      <w:r>
        <w:rPr>
          <w:rFonts w:hint="eastAsia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WQzNDBiYjU2ODBlOTc2NDA5MmFkZDU1OTBhNmYifQ=="/>
  </w:docVars>
  <w:rsids>
    <w:rsidRoot w:val="022D5EE6"/>
    <w:rsid w:val="022D5EE6"/>
    <w:rsid w:val="0C5C1C12"/>
    <w:rsid w:val="142C45C0"/>
    <w:rsid w:val="2F396DA4"/>
    <w:rsid w:val="36D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28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935</Characters>
  <Lines>0</Lines>
  <Paragraphs>0</Paragraphs>
  <TotalTime>14</TotalTime>
  <ScaleCrop>false</ScaleCrop>
  <LinksUpToDate>false</LinksUpToDate>
  <CharactersWithSpaces>977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2022-11-07T08:40:00Z</dcterms:created>
  <dc:creator>hoy</dc:creator>
  <cp:lastModifiedBy>hoy</cp:lastModifiedBy>
  <dcterms:modified xsi:type="dcterms:W3CDTF">2022-11-08T01:43:17Z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11B3E493CF794B229F8C7D16C10202DA</vt:lpwstr>
  </property>
</Properties>
</file>