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2020年度武汉市武昌区人民政府首义路街办事处         部门整体绩效自评表</w:t>
      </w:r>
    </w:p>
    <w:p>
      <w:pPr>
        <w:tabs>
          <w:tab w:val="left" w:pos="5027"/>
        </w:tabs>
        <w:spacing w:before="70" w:after="21"/>
        <w:ind w:left="408" w:right="0" w:firstLine="0"/>
        <w:jc w:val="left"/>
        <w:rPr>
          <w:rFonts w:hint="default" w:eastAsia="宋体"/>
          <w:sz w:val="21"/>
          <w:lang w:val="en-US" w:eastAsia="zh-CN"/>
        </w:rPr>
      </w:pPr>
      <w:r>
        <w:rPr>
          <w:sz w:val="21"/>
        </w:rPr>
        <w:t>单位名称：</w:t>
      </w:r>
      <w:r>
        <w:rPr>
          <w:rFonts w:hint="eastAsia" w:ascii="Arial" w:eastAsia="宋体"/>
          <w:color w:val="231F20"/>
          <w:spacing w:val="22"/>
          <w:lang w:eastAsia="zh-CN"/>
        </w:rPr>
        <w:t>武汉市武昌区</w:t>
      </w:r>
      <w:r>
        <w:rPr>
          <w:rFonts w:hint="eastAsia" w:ascii="Arial"/>
          <w:color w:val="231F20"/>
          <w:spacing w:val="22"/>
          <w:lang w:val="en-US" w:eastAsia="zh-CN"/>
        </w:rPr>
        <w:t>人民政府首义路街办事处</w:t>
      </w:r>
      <w:r>
        <w:rPr>
          <w:sz w:val="21"/>
        </w:rPr>
        <w:tab/>
      </w:r>
      <w:r>
        <w:rPr>
          <w:sz w:val="21"/>
        </w:rPr>
        <w:t>填报日期：</w:t>
      </w:r>
      <w:r>
        <w:rPr>
          <w:rFonts w:hint="eastAsia"/>
          <w:sz w:val="21"/>
          <w:lang w:val="en-US" w:eastAsia="zh-CN"/>
        </w:rPr>
        <w:t>2020.10.15</w:t>
      </w:r>
    </w:p>
    <w:tbl>
      <w:tblPr>
        <w:tblStyle w:val="3"/>
        <w:tblW w:w="8948" w:type="dxa"/>
        <w:tblInd w:w="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1528" w:type="dxa"/>
            <w:gridSpan w:val="2"/>
          </w:tcPr>
          <w:p>
            <w:pPr>
              <w:pStyle w:val="5"/>
              <w:spacing w:before="134"/>
              <w:ind w:left="344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Arial" w:eastAsia="宋体"/>
                <w:color w:val="231F20"/>
                <w:spacing w:val="22"/>
                <w:lang w:eastAsia="zh-CN"/>
              </w:rPr>
              <w:t>武汉市武昌区</w:t>
            </w:r>
            <w:r>
              <w:rPr>
                <w:rFonts w:hint="eastAsia" w:ascii="Arial"/>
                <w:color w:val="231F20"/>
                <w:spacing w:val="22"/>
                <w:lang w:val="en-US" w:eastAsia="zh-CN"/>
              </w:rPr>
              <w:t>人民政府首义路街办事处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28" w:type="dxa"/>
            <w:gridSpan w:val="2"/>
          </w:tcPr>
          <w:p>
            <w:pPr>
              <w:pStyle w:val="5"/>
              <w:spacing w:before="135"/>
              <w:ind w:left="133"/>
              <w:rPr>
                <w:sz w:val="21"/>
              </w:rPr>
            </w:pPr>
            <w:r>
              <w:rPr>
                <w:sz w:val="21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1727.34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Style w:val="5"/>
              <w:spacing w:before="135"/>
              <w:ind w:left="628"/>
              <w:jc w:val="center"/>
              <w:rPr>
                <w:sz w:val="21"/>
              </w:rPr>
            </w:pPr>
            <w:r>
              <w:rPr>
                <w:sz w:val="21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5742.01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vMerge w:val="restart"/>
          </w:tcPr>
          <w:p>
            <w:pPr>
              <w:pStyle w:val="5"/>
              <w:spacing w:before="1"/>
              <w:rPr>
                <w:sz w:val="14"/>
              </w:rPr>
            </w:pPr>
          </w:p>
          <w:p>
            <w:pPr>
              <w:pStyle w:val="5"/>
              <w:spacing w:before="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预算执行情况</w:t>
            </w:r>
          </w:p>
          <w:p>
            <w:pPr>
              <w:pStyle w:val="5"/>
              <w:spacing w:before="40"/>
              <w:ind w:left="88" w:right="8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(万元)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sz w:val="21"/>
              </w:rPr>
              <w:t>0</w:t>
            </w:r>
            <w:r>
              <w:rPr>
                <w:spacing w:val="-18"/>
                <w:sz w:val="21"/>
              </w:rPr>
              <w:t xml:space="preserve"> 分)</w:t>
            </w:r>
          </w:p>
        </w:tc>
        <w:tc>
          <w:tcPr>
            <w:tcW w:w="1122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5"/>
              <w:spacing w:before="174"/>
              <w:ind w:left="185"/>
              <w:rPr>
                <w:sz w:val="21"/>
              </w:rPr>
            </w:pPr>
            <w:r>
              <w:rPr>
                <w:sz w:val="21"/>
              </w:rPr>
              <w:t>预算数(A)</w:t>
            </w:r>
          </w:p>
        </w:tc>
        <w:tc>
          <w:tcPr>
            <w:tcW w:w="1317" w:type="dxa"/>
            <w:gridSpan w:val="2"/>
          </w:tcPr>
          <w:p>
            <w:pPr>
              <w:pStyle w:val="5"/>
              <w:spacing w:before="174"/>
              <w:ind w:left="183"/>
              <w:rPr>
                <w:sz w:val="21"/>
              </w:rPr>
            </w:pPr>
            <w:r>
              <w:rPr>
                <w:sz w:val="21"/>
              </w:rPr>
              <w:t>执行数(B)</w:t>
            </w:r>
          </w:p>
        </w:tc>
        <w:tc>
          <w:tcPr>
            <w:tcW w:w="1466" w:type="dxa"/>
          </w:tcPr>
          <w:p>
            <w:pPr>
              <w:pStyle w:val="5"/>
              <w:spacing w:before="174"/>
              <w:ind w:left="152"/>
              <w:rPr>
                <w:sz w:val="21"/>
              </w:rPr>
            </w:pPr>
            <w:r>
              <w:rPr>
                <w:sz w:val="21"/>
              </w:rPr>
              <w:t>执行率(B/A)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pStyle w:val="5"/>
              <w:spacing w:before="20"/>
              <w:ind w:left="340" w:right="334"/>
              <w:jc w:val="center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5"/>
              <w:spacing w:before="19"/>
              <w:ind w:left="14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部门整体</w:t>
            </w:r>
          </w:p>
          <w:p>
            <w:pPr>
              <w:pStyle w:val="5"/>
              <w:spacing w:before="43" w:line="269" w:lineRule="exact"/>
              <w:ind w:left="14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支出总额</w:t>
            </w:r>
          </w:p>
        </w:tc>
        <w:tc>
          <w:tcPr>
            <w:tcW w:w="1319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4376.35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7469.35</w:t>
            </w:r>
          </w:p>
        </w:tc>
        <w:tc>
          <w:tcPr>
            <w:tcW w:w="1466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170.68%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</w:tcPr>
          <w:p>
            <w:pPr>
              <w:pStyle w:val="5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年度目标 1：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15</w:t>
            </w:r>
            <w:r>
              <w:rPr>
                <w:sz w:val="21"/>
              </w:rPr>
              <w:t xml:space="preserve">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5"/>
              <w:ind w:firstLine="240" w:firstLineChars="100"/>
              <w:jc w:val="left"/>
              <w:rPr>
                <w:rFonts w:ascii="Times New Roman"/>
                <w:sz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齐心协力，筑牢战疫“安全墙”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</w:tcPr>
          <w:p>
            <w:pPr>
              <w:pStyle w:val="5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5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</w:tcPr>
          <w:p>
            <w:pPr>
              <w:pStyle w:val="5"/>
              <w:spacing w:before="175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</w:tcPr>
          <w:p>
            <w:pPr>
              <w:pStyle w:val="5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>
            <w:pPr>
              <w:pStyle w:val="5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5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>
            <w:pPr>
              <w:pStyle w:val="5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5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>
            <w:pPr>
              <w:pStyle w:val="5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数量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转运病人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根据实际需求执行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数量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防疫宣传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全覆盖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数量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卡口封控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根据防控要求实施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8个社区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数量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消杀工作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居民居住环境全覆盖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全覆盖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数量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来（返）汉人员管理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根据防控要求实施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根据防控要求实施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成本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经费支出是否严格按照预算执行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按照预算对照执行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按照预算对照执行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质量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≥95%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时效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》0.95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推动街道防疫工作顺利开展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推动街道防疫工作顺利开展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服务对象对项目实施效果的满意程度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≥95%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528" w:type="dxa"/>
            <w:gridSpan w:val="2"/>
            <w:tcBorders>
              <w:bottom w:val="single" w:color="auto" w:sz="4" w:space="0"/>
            </w:tcBorders>
          </w:tcPr>
          <w:p>
            <w:pPr>
              <w:pStyle w:val="5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年度目标 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：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15</w:t>
            </w:r>
            <w:r>
              <w:rPr>
                <w:sz w:val="21"/>
              </w:rPr>
              <w:t xml:space="preserve">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5"/>
              <w:ind w:firstLine="240" w:firstLineChars="100"/>
              <w:jc w:val="left"/>
              <w:rPr>
                <w:rFonts w:ascii="Times New Roman"/>
                <w:sz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深化主动服务，建设产业发展“优环境”。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5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  <w:tcBorders>
              <w:left w:val="single" w:color="auto" w:sz="4" w:space="0"/>
            </w:tcBorders>
          </w:tcPr>
          <w:p>
            <w:pPr>
              <w:pStyle w:val="5"/>
              <w:spacing w:before="175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</w:tcPr>
          <w:p>
            <w:pPr>
              <w:pStyle w:val="5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>
            <w:pPr>
              <w:pStyle w:val="5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5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>
            <w:pPr>
              <w:pStyle w:val="5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5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>
            <w:pPr>
              <w:pStyle w:val="5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房屋征收工作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2个项目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2个项目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招商引资目标值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≥9</w:t>
            </w: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按计划完成100%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按计划完成100%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经费支出是否严格按照预算执行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按照预算对照执行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按照预算对照执行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做好辖区营商环境的治理，营造良好经济发展环境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做好辖区营商环境的治理，营造良好经济发展环境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招商引资平稳增长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招商引资平稳增长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highlight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2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做好重大项目和辖区企业的服务工作，促进街道与企业良性关系，推动辖区经济持续健康发展</w:t>
            </w:r>
          </w:p>
        </w:tc>
        <w:tc>
          <w:tcPr>
            <w:tcW w:w="131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做好重大项目和辖区企业的服务工作，促进街道与企业良性关系，推动辖区经济持续健康发展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528" w:type="dxa"/>
            <w:gridSpan w:val="2"/>
          </w:tcPr>
          <w:p>
            <w:pPr>
              <w:pStyle w:val="5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年度目标 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：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15</w:t>
            </w:r>
            <w:r>
              <w:rPr>
                <w:sz w:val="21"/>
              </w:rPr>
              <w:t xml:space="preserve">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5"/>
              <w:ind w:firstLine="240" w:firstLineChars="100"/>
              <w:jc w:val="left"/>
              <w:rPr>
                <w:rFonts w:ascii="Times New Roman"/>
                <w:sz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深化精细管理，着眼古城环境“微品质”。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  <w:tcBorders>
              <w:top w:val="single" w:color="auto" w:sz="4" w:space="0"/>
            </w:tcBorders>
          </w:tcPr>
          <w:p>
            <w:pPr>
              <w:pStyle w:val="5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5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175"/>
              <w:ind w:left="120" w:right="11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二级指标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>
            <w:pPr>
              <w:pStyle w:val="5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5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>
            <w:pPr>
              <w:pStyle w:val="5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5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>
            <w:pPr>
              <w:pStyle w:val="5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路段巡查控管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项目完成率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老旧小区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长效管理机制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长效管理机制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生活垃圾分类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经费执行率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经费支出是否严格按照预算执行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按照预算执行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居民生活质量提高率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根据问卷结果统计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有所提高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环境效益指标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提升辖区环境卫生水平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根据问卷结果统计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有所提升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根据问卷结果统计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≥9</w:t>
            </w: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528" w:type="dxa"/>
            <w:gridSpan w:val="2"/>
          </w:tcPr>
          <w:p>
            <w:pPr>
              <w:pStyle w:val="5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年度目标 </w:t>
            </w:r>
            <w:r>
              <w:rPr>
                <w:rFonts w:hint="eastAsia"/>
                <w:sz w:val="21"/>
                <w:lang w:val="en-US" w:eastAsia="zh-CN"/>
              </w:rPr>
              <w:t>4</w:t>
            </w:r>
            <w:r>
              <w:rPr>
                <w:sz w:val="21"/>
              </w:rPr>
              <w:t>：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15</w:t>
            </w:r>
            <w:r>
              <w:rPr>
                <w:sz w:val="21"/>
              </w:rPr>
              <w:t xml:space="preserve">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5"/>
              <w:ind w:firstLine="240" w:firstLineChars="100"/>
              <w:jc w:val="left"/>
              <w:rPr>
                <w:rFonts w:ascii="Times New Roman"/>
                <w:sz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深化依法治理，实现安全“严防范”。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  <w:tcBorders>
              <w:top w:val="single" w:color="auto" w:sz="4" w:space="0"/>
            </w:tcBorders>
          </w:tcPr>
          <w:p>
            <w:pPr>
              <w:pStyle w:val="5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5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175"/>
              <w:ind w:left="120" w:right="11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二级指标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>
            <w:pPr>
              <w:pStyle w:val="5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5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>
            <w:pPr>
              <w:pStyle w:val="5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5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>
            <w:pPr>
              <w:pStyle w:val="5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应急演练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智慧平安小区建设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出租屋的走访巡察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火车站周边治理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集中清查行动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经费执行率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经费支出是否严格按照预算执行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按照预算执行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降低安全隐患事故发生率。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安全隐患事故发生率降低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1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6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提高人民群众安全感和营造和谐稳定的社会环境。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提高人民群众安全感和营造和谐稳定的社会环境。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≥9</w:t>
            </w: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528" w:type="dxa"/>
            <w:gridSpan w:val="2"/>
          </w:tcPr>
          <w:p>
            <w:pPr>
              <w:pStyle w:val="5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年度目标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：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15</w:t>
            </w:r>
            <w:r>
              <w:rPr>
                <w:sz w:val="21"/>
              </w:rPr>
              <w:t xml:space="preserve">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5"/>
              <w:ind w:firstLine="240" w:firstLineChars="100"/>
              <w:jc w:val="left"/>
              <w:rPr>
                <w:rFonts w:ascii="Times New Roman"/>
                <w:sz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深化智慧服务，打造惠民“快车道”。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</w:tcPr>
          <w:p>
            <w:pPr>
              <w:pStyle w:val="5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5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</w:tcPr>
          <w:p>
            <w:pPr>
              <w:pStyle w:val="5"/>
              <w:spacing w:before="175"/>
              <w:ind w:left="120" w:right="11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二级指标</w:t>
            </w:r>
          </w:p>
        </w:tc>
        <w:tc>
          <w:tcPr>
            <w:tcW w:w="2636" w:type="dxa"/>
            <w:gridSpan w:val="3"/>
          </w:tcPr>
          <w:p>
            <w:pPr>
              <w:pStyle w:val="5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>
            <w:pPr>
              <w:pStyle w:val="5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5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>
            <w:pPr>
              <w:pStyle w:val="5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5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>
            <w:pPr>
              <w:pStyle w:val="5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幸福驿站建设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健康养老服务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老旧小区微治理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“三微”改造建设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经费执行率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经费支出是否严格按照预算执行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按照预算执行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居民生活质量提高率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居民生活质量提高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提高人民群众安全感和营造和谐稳定的社会环境。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提高人民群众安全感和营造和谐稳定的社会环境。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  <w:t>≥9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528" w:type="dxa"/>
            <w:gridSpan w:val="2"/>
            <w:tcBorders>
              <w:bottom w:val="single" w:color="auto" w:sz="4" w:space="0"/>
            </w:tcBorders>
          </w:tcPr>
          <w:p>
            <w:pPr>
              <w:pStyle w:val="5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年度目标 </w:t>
            </w:r>
            <w:r>
              <w:rPr>
                <w:rFonts w:hint="eastAsia"/>
                <w:sz w:val="21"/>
                <w:lang w:val="en-US" w:eastAsia="zh-CN"/>
              </w:rPr>
              <w:t>6</w:t>
            </w:r>
            <w:r>
              <w:rPr>
                <w:sz w:val="21"/>
              </w:rPr>
              <w:t>：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15</w:t>
            </w:r>
            <w:r>
              <w:rPr>
                <w:sz w:val="21"/>
              </w:rPr>
              <w:t xml:space="preserve"> 分)</w:t>
            </w:r>
          </w:p>
        </w:tc>
        <w:tc>
          <w:tcPr>
            <w:tcW w:w="742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240" w:firstLineChars="100"/>
              <w:jc w:val="left"/>
              <w:rPr>
                <w:rFonts w:ascii="Times New Roman"/>
                <w:sz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深化改革创新，助推基层治理“高效能”。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  <w:tcBorders>
              <w:top w:val="single" w:color="auto" w:sz="4" w:space="0"/>
            </w:tcBorders>
          </w:tcPr>
          <w:p>
            <w:pPr>
              <w:pStyle w:val="5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5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  <w:tcBorders>
              <w:top w:val="single" w:color="auto" w:sz="4" w:space="0"/>
            </w:tcBorders>
          </w:tcPr>
          <w:p>
            <w:pPr>
              <w:pStyle w:val="5"/>
              <w:spacing w:before="175"/>
              <w:ind w:left="120" w:right="11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二级指标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</w:tcBorders>
          </w:tcPr>
          <w:p>
            <w:pPr>
              <w:pStyle w:val="5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  <w:tcBorders>
              <w:top w:val="single" w:color="auto" w:sz="4" w:space="0"/>
            </w:tcBorders>
          </w:tcPr>
          <w:p>
            <w:pPr>
              <w:pStyle w:val="5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5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</w:tcBorders>
          </w:tcPr>
          <w:p>
            <w:pPr>
              <w:pStyle w:val="5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5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推广“一网通办”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经费执行率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经费支出是否严格按照预算执行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按照预算执行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居民生活质量提高率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居民生活质量提高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提高人民群众安全感和营造和谐稳定的社会环境。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提高人民群众安全感和营造和谐稳定的社会环境。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≥9</w:t>
            </w: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%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bookmarkStart w:id="0" w:name="_GoBack"/>
            <w:r>
              <w:rPr>
                <w:rFonts w:hint="eastAsia" w:ascii="Times New Roman"/>
                <w:sz w:val="22"/>
                <w:highlight w:val="none"/>
                <w:lang w:val="en-US" w:eastAsia="zh-CN"/>
              </w:rPr>
              <w:t>1.5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eastAsia="宋体"/>
                <w:sz w:val="2"/>
                <w:szCs w:val="2"/>
                <w:lang w:val="en-US" w:eastAsia="zh-CN"/>
              </w:rPr>
            </w:pPr>
            <w:r>
              <w:rPr>
                <w:sz w:val="21"/>
              </w:rPr>
              <w:t>总分</w:t>
            </w:r>
          </w:p>
        </w:tc>
        <w:tc>
          <w:tcPr>
            <w:tcW w:w="812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97.5分</w:t>
            </w:r>
          </w:p>
        </w:tc>
      </w:tr>
    </w:tbl>
    <w:p/>
    <w:tbl>
      <w:tblPr>
        <w:tblStyle w:val="3"/>
        <w:tblW w:w="0" w:type="auto"/>
        <w:tblInd w:w="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7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0" w:hRule="atLeast"/>
        </w:trPr>
        <w:tc>
          <w:tcPr>
            <w:tcW w:w="1528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4"/>
              <w:rPr>
                <w:sz w:val="15"/>
              </w:rPr>
            </w:pPr>
          </w:p>
          <w:p>
            <w:pPr>
              <w:pStyle w:val="5"/>
              <w:spacing w:line="278" w:lineRule="auto"/>
              <w:ind w:left="239" w:right="2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偏差大或 </w:t>
            </w:r>
            <w:r>
              <w:rPr>
                <w:spacing w:val="-4"/>
                <w:sz w:val="21"/>
              </w:rPr>
              <w:t>目标未完成</w:t>
            </w:r>
            <w:r>
              <w:rPr>
                <w:sz w:val="21"/>
              </w:rPr>
              <w:t>原因分析</w:t>
            </w:r>
          </w:p>
        </w:tc>
        <w:tc>
          <w:tcPr>
            <w:tcW w:w="7419" w:type="dxa"/>
            <w:vAlign w:val="center"/>
          </w:tcPr>
          <w:p>
            <w:pPr>
              <w:pStyle w:val="5"/>
              <w:ind w:firstLine="440" w:firstLineChars="200"/>
              <w:jc w:val="both"/>
              <w:rPr>
                <w:rFonts w:hint="eastAsia" w:ascii="Arial Narrow" w:hAnsi="Arial Narrow" w:cs="Arial Narrow"/>
                <w:bCs/>
                <w:lang w:eastAsia="zh-CN"/>
              </w:rPr>
            </w:pPr>
            <w:r>
              <w:rPr>
                <w:rFonts w:hint="eastAsia" w:ascii="Arial Narrow" w:hAnsi="Arial Narrow" w:cs="Arial Narrow"/>
                <w:bCs/>
                <w:lang w:eastAsia="zh-CN"/>
              </w:rPr>
              <w:t>预算绩效管理工作有待继续推进，覆盖面有待提高，预算绩效考评体系还需继续完善。评价指标体系和标准的规范性和一致性还需要提高，要继续推动形成适用于本</w:t>
            </w:r>
            <w:r>
              <w:rPr>
                <w:rFonts w:hint="eastAsia" w:ascii="Arial Narrow" w:hAnsi="Arial Narrow" w:cs="Arial Narrow"/>
                <w:bCs/>
                <w:lang w:val="en-US" w:eastAsia="zh-CN"/>
              </w:rPr>
              <w:t>单位</w:t>
            </w:r>
            <w:r>
              <w:rPr>
                <w:rFonts w:hint="eastAsia" w:ascii="Arial Narrow" w:hAnsi="Arial Narrow" w:cs="Arial Narrow"/>
                <w:bCs/>
                <w:lang w:eastAsia="zh-CN"/>
              </w:rPr>
              <w:t>的、</w:t>
            </w:r>
            <w:r>
              <w:rPr>
                <w:rFonts w:hint="eastAsia" w:ascii="Arial Narrow" w:hAnsi="Arial Narrow" w:cs="Arial Narrow"/>
                <w:bCs/>
                <w:lang w:val="en-US" w:eastAsia="zh-CN"/>
              </w:rPr>
              <w:t>更为</w:t>
            </w:r>
            <w:r>
              <w:rPr>
                <w:rFonts w:hint="eastAsia" w:ascii="Arial Narrow" w:hAnsi="Arial Narrow" w:cs="Arial Narrow"/>
                <w:bCs/>
                <w:lang w:eastAsia="zh-CN"/>
              </w:rPr>
              <w:t>细化的指标体系和评价标准。</w:t>
            </w:r>
          </w:p>
          <w:p>
            <w:pPr>
              <w:pStyle w:val="5"/>
              <w:ind w:firstLine="440" w:firstLineChars="200"/>
              <w:jc w:val="both"/>
              <w:rPr>
                <w:rFonts w:hint="eastAsia" w:ascii="Arial Narrow" w:hAnsi="Arial Narrow" w:eastAsia="宋体" w:cs="Arial Narrow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 w:hRule="atLeast"/>
        </w:trPr>
        <w:tc>
          <w:tcPr>
            <w:tcW w:w="1528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15"/>
              </w:rPr>
            </w:pPr>
          </w:p>
          <w:p>
            <w:pPr>
              <w:pStyle w:val="5"/>
              <w:spacing w:line="278" w:lineRule="auto"/>
              <w:ind w:left="133" w:right="124" w:firstLine="105"/>
              <w:rPr>
                <w:sz w:val="21"/>
              </w:rPr>
            </w:pPr>
            <w:r>
              <w:rPr>
                <w:sz w:val="21"/>
              </w:rPr>
              <w:t>改进措施及结果应用方案</w:t>
            </w:r>
          </w:p>
        </w:tc>
        <w:tc>
          <w:tcPr>
            <w:tcW w:w="7419" w:type="dxa"/>
            <w:vAlign w:val="center"/>
          </w:tcPr>
          <w:p>
            <w:pPr>
              <w:pStyle w:val="5"/>
              <w:ind w:firstLine="440" w:firstLineChars="200"/>
              <w:jc w:val="both"/>
              <w:rPr>
                <w:rFonts w:hint="default" w:ascii="Arial Narrow" w:hAnsi="Arial Narrow" w:eastAsia="宋体" w:cs="Arial Narrow"/>
                <w:bCs/>
                <w:lang w:val="en-US" w:eastAsia="zh-CN"/>
              </w:rPr>
            </w:pPr>
            <w:r>
              <w:rPr>
                <w:rFonts w:hint="eastAsia" w:ascii="Arial Narrow" w:hAnsi="Arial Narrow" w:cs="Arial Narrow"/>
                <w:bCs/>
              </w:rPr>
              <w:t>一是</w:t>
            </w:r>
            <w:r>
              <w:rPr>
                <w:rFonts w:hint="eastAsia" w:ascii="Arial Narrow" w:hAnsi="Arial Narrow" w:cs="Arial Narrow"/>
                <w:bCs/>
                <w:lang w:val="en-US" w:eastAsia="zh-CN"/>
              </w:rPr>
              <w:t>加强</w:t>
            </w:r>
            <w:r>
              <w:rPr>
                <w:rFonts w:hint="eastAsia" w:ascii="Arial Narrow" w:hAnsi="Arial Narrow" w:cs="Arial Narrow"/>
                <w:bCs/>
              </w:rPr>
              <w:t>绩效管理</w:t>
            </w:r>
            <w:r>
              <w:rPr>
                <w:rFonts w:hint="eastAsia" w:ascii="Arial Narrow" w:hAnsi="Arial Narrow" w:cs="Arial Narrow"/>
                <w:bCs/>
                <w:lang w:eastAsia="zh-CN"/>
              </w:rPr>
              <w:t>，</w:t>
            </w:r>
            <w:r>
              <w:rPr>
                <w:rFonts w:hint="eastAsia" w:ascii="Arial Narrow" w:hAnsi="Arial Narrow" w:cs="Arial Narrow"/>
                <w:bCs/>
              </w:rPr>
              <w:t>强化结果应用</w:t>
            </w:r>
            <w:r>
              <w:rPr>
                <w:rFonts w:hint="eastAsia" w:ascii="Arial Narrow" w:hAnsi="Arial Narrow" w:cs="Arial Narrow"/>
                <w:bCs/>
                <w:lang w:eastAsia="zh-CN"/>
              </w:rPr>
              <w:t>，</w:t>
            </w:r>
            <w:r>
              <w:rPr>
                <w:rFonts w:hint="eastAsia" w:ascii="Arial Narrow" w:hAnsi="Arial Narrow" w:cs="Arial Narrow"/>
                <w:bCs/>
                <w:lang w:val="en-US" w:eastAsia="zh-CN"/>
              </w:rPr>
              <w:t>推进各项工作提质增效。</w:t>
            </w:r>
            <w:r>
              <w:rPr>
                <w:rFonts w:hint="eastAsia" w:ascii="Arial Narrow" w:hAnsi="Arial Narrow" w:cs="Arial Narrow"/>
                <w:bCs/>
              </w:rPr>
              <w:t>严格落实事前绩效评估，加强绩效目标管理，积极开展绩效运行监控，深入开展绩效评价，强化结果应用，切实提高财政资金使用效益。二是</w:t>
            </w:r>
            <w:r>
              <w:rPr>
                <w:rFonts w:hint="eastAsia" w:ascii="Arial Narrow" w:hAnsi="Arial Narrow" w:cs="Arial Narrow"/>
                <w:bCs/>
                <w:lang w:val="en-US" w:eastAsia="zh-CN"/>
              </w:rPr>
              <w:t>完善</w:t>
            </w:r>
            <w:r>
              <w:rPr>
                <w:rFonts w:hint="eastAsia" w:ascii="Arial Narrow" w:hAnsi="Arial Narrow" w:cs="Arial Narrow"/>
                <w:bCs/>
              </w:rPr>
              <w:t>绩效管理制度体系。研究制定部门整体绩效评价、政策评价办法，以及政府购买服务、政府债务项目等绩效管理办法。研究制定第三方机构参与绩效管理办法及配套制度，促进第三方机构执业水平提升。</w:t>
            </w:r>
          </w:p>
        </w:tc>
      </w:tr>
    </w:tbl>
    <w:p>
      <w:pPr>
        <w:spacing w:before="11"/>
        <w:ind w:left="408" w:right="0" w:firstLine="0"/>
        <w:jc w:val="left"/>
        <w:rPr>
          <w:sz w:val="21"/>
        </w:rPr>
      </w:pPr>
      <w:r>
        <w:rPr>
          <w:sz w:val="21"/>
        </w:rPr>
        <w:t>备注：</w:t>
      </w:r>
    </w:p>
    <w:p>
      <w:pPr>
        <w:pStyle w:val="8"/>
        <w:numPr>
          <w:ilvl w:val="0"/>
          <w:numId w:val="1"/>
        </w:numPr>
        <w:tabs>
          <w:tab w:val="left" w:pos="1040"/>
        </w:tabs>
        <w:spacing w:before="0" w:after="0" w:line="276" w:lineRule="auto"/>
        <w:ind w:left="408" w:right="302" w:firstLine="420"/>
        <w:jc w:val="left"/>
        <w:rPr>
          <w:spacing w:val="-7"/>
          <w:sz w:val="21"/>
        </w:rPr>
      </w:pPr>
      <w:r>
        <w:rPr>
          <w:spacing w:val="-7"/>
          <w:sz w:val="21"/>
        </w:rPr>
        <w:t>预算执行情况口径：预算数为调整后财政资金总额(包括上年结余结转)，执行数为资金使用单位财政资金实际支出数。</w:t>
      </w:r>
    </w:p>
    <w:p>
      <w:pPr>
        <w:pStyle w:val="8"/>
        <w:numPr>
          <w:ilvl w:val="0"/>
          <w:numId w:val="1"/>
        </w:numPr>
        <w:tabs>
          <w:tab w:val="left" w:pos="1040"/>
        </w:tabs>
        <w:spacing w:before="0" w:after="0" w:line="276" w:lineRule="auto"/>
        <w:ind w:left="408" w:right="302" w:firstLine="420"/>
        <w:jc w:val="left"/>
        <w:rPr>
          <w:spacing w:val="-7"/>
          <w:sz w:val="21"/>
        </w:rPr>
      </w:pPr>
      <w:r>
        <w:rPr>
          <w:spacing w:val="-7"/>
          <w:sz w:val="21"/>
        </w:rPr>
        <w:t>定量指标完成数汇总原则：绝对值直接累加计算，相对值按照资金额度加权平均计算。定量指标计分原则：正向指标(即目标值为≥X,得分=权重*B/A)，反向指标(即目标值为≤X，得分=权重*A/B)，得分不得突破权重总额。定量指标先汇总完成数，再计算得分。</w:t>
      </w:r>
    </w:p>
    <w:p>
      <w:pPr>
        <w:pStyle w:val="8"/>
        <w:numPr>
          <w:ilvl w:val="0"/>
          <w:numId w:val="1"/>
        </w:numPr>
        <w:tabs>
          <w:tab w:val="left" w:pos="1040"/>
        </w:tabs>
        <w:spacing w:before="0" w:after="0" w:line="276" w:lineRule="auto"/>
        <w:ind w:left="408" w:right="302" w:firstLine="420"/>
        <w:jc w:val="left"/>
        <w:rPr>
          <w:spacing w:val="-7"/>
          <w:sz w:val="21"/>
        </w:rPr>
      </w:pPr>
      <w:r>
        <w:rPr>
          <w:spacing w:val="-7"/>
          <w:sz w:val="21"/>
        </w:rPr>
        <w:t>定性指标计分原则：达成预期指标、部分达成预期指标、未达成预期指标三档，分别按照该指标对应分值区间 100%-80%(≥80%)、80%-50%(≥50%，＜80%)、50%-0%(＜50%)合理确定分值。汇总时，以资金额度为权重，对分值进行加权平均计算。</w:t>
      </w:r>
    </w:p>
    <w:p>
      <w:pPr>
        <w:pStyle w:val="8"/>
        <w:numPr>
          <w:ilvl w:val="0"/>
          <w:numId w:val="1"/>
        </w:numPr>
        <w:tabs>
          <w:tab w:val="left" w:pos="1040"/>
        </w:tabs>
        <w:spacing w:before="0" w:after="0" w:line="276" w:lineRule="auto"/>
        <w:ind w:left="408" w:right="302" w:firstLine="420"/>
        <w:jc w:val="left"/>
        <w:rPr>
          <w:spacing w:val="-7"/>
          <w:sz w:val="21"/>
        </w:rPr>
      </w:pPr>
      <w:r>
        <w:rPr>
          <w:spacing w:val="-7"/>
          <w:sz w:val="21"/>
        </w:rPr>
        <w:t>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408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</w:rPr>
    </w:lvl>
    <w:lvl w:ilvl="1" w:tentative="0">
      <w:start w:val="1"/>
      <w:numFmt w:val="decimal"/>
      <w:lvlText w:val="%2."/>
      <w:lvlJc w:val="left"/>
      <w:pPr>
        <w:ind w:left="1270" w:hanging="280"/>
        <w:jc w:val="left"/>
      </w:pPr>
      <w:rPr>
        <w:rFonts w:hint="default" w:ascii="Arial" w:hAnsi="Arial" w:eastAsia="Arial" w:cs="Arial"/>
        <w:color w:val="231F20"/>
        <w:w w:val="88"/>
        <w:sz w:val="32"/>
        <w:szCs w:val="32"/>
      </w:rPr>
    </w:lvl>
    <w:lvl w:ilvl="2" w:tentative="0">
      <w:start w:val="0"/>
      <w:numFmt w:val="bullet"/>
      <w:lvlText w:val="•"/>
      <w:lvlJc w:val="left"/>
      <w:pPr>
        <w:ind w:left="2198" w:hanging="28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16" w:hanging="28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35" w:hanging="28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53" w:hanging="28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71" w:hanging="28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90" w:hanging="28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08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F2024"/>
    <w:rsid w:val="704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8">
    <w:name w:val="List Paragraph"/>
    <w:basedOn w:val="1"/>
    <w:qFormat/>
    <w:uiPriority w:val="1"/>
    <w:pPr>
      <w:spacing w:before="171"/>
      <w:ind w:left="350" w:hanging="28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2021-12-10T03:49:00Z</dcterms:created>
  <dc:creator>♪小艺</dc:creator>
  <cp:lastModifiedBy>♪小艺</cp:lastModifiedBy>
  <dcterms:modified xsi:type="dcterms:W3CDTF">2021-12-10T03:52:24Z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98A4F44762564C71B469C6BC01826B5D</vt:lpwstr>
  </property>
</Properties>
</file>