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武昌区201</w:t>
      </w:r>
      <w:r>
        <w:rPr>
          <w:rFonts w:hint="eastAsia" w:ascii="Arial Narrow" w:hAnsi="Arial Narrow" w:cs="仿宋_GB2312"/>
          <w:b/>
          <w:color w:val="000000"/>
          <w:sz w:val="44"/>
          <w:szCs w:val="44"/>
          <w:lang w:val="en-US" w:eastAsia="zh-CN"/>
        </w:rPr>
        <w:t>9</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首义路</w:t>
      </w:r>
      <w:r>
        <w:rPr>
          <w:rFonts w:ascii="Arial Narrow" w:hAnsi="Arial Narrow" w:cs="仿宋_GB2312"/>
          <w:b/>
          <w:bCs/>
          <w:kern w:val="32"/>
          <w:sz w:val="32"/>
          <w:lang w:bidi="he-IL"/>
        </w:rPr>
        <w:t>街办事处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首义路</w:t>
      </w:r>
      <w:r>
        <w:rPr>
          <w:rFonts w:hint="eastAsia" w:ascii="仿宋_GB2312" w:hAnsi="仿宋_GB2312" w:cs="仿宋_GB2312"/>
          <w:b/>
          <w:bCs/>
          <w:kern w:val="32"/>
          <w:sz w:val="32"/>
          <w:lang w:bidi="he-IL"/>
        </w:rPr>
        <w:t>街办事处公共服务办公室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w:t>
      </w:r>
      <w:r>
        <w:rPr>
          <w:rFonts w:hint="eastAsia" w:ascii="仿宋_GB2312" w:hAnsi="仿宋_GB2312" w:cs="仿宋_GB2312"/>
          <w:b/>
          <w:bCs/>
          <w:sz w:val="32"/>
          <w:szCs w:val="32"/>
          <w:lang w:eastAsia="zh-CN"/>
        </w:rPr>
        <w:t>二零</w:t>
      </w:r>
      <w:r>
        <w:rPr>
          <w:rFonts w:hint="eastAsia" w:ascii="仿宋_GB2312" w:hAnsi="仿宋_GB2312" w:cs="仿宋_GB2312"/>
          <w:b/>
          <w:bCs/>
          <w:sz w:val="32"/>
          <w:szCs w:val="32"/>
        </w:rPr>
        <w:t>年十月</w:t>
      </w:r>
    </w:p>
    <w:p/>
    <w:p/>
    <w:p/>
    <w:p/>
    <w:p/>
    <w:p>
      <w:pPr>
        <w:pStyle w:val="9"/>
        <w:numPr>
          <w:ilvl w:val="0"/>
          <w:numId w:val="1"/>
        </w:numPr>
        <w:spacing w:after="0" w:line="360" w:lineRule="auto"/>
        <w:ind w:firstLineChars="0"/>
        <w:jc w:val="both"/>
        <w:rPr>
          <w:rStyle w:val="10"/>
          <w:rFonts w:ascii="仿宋_GB2312" w:hAnsi="仿宋_GB2312" w:eastAsia="仿宋_GB2312" w:cs="仿宋_GB2312"/>
          <w:b/>
          <w:bCs/>
        </w:rPr>
      </w:pPr>
      <w:r>
        <w:rPr>
          <w:rStyle w:val="10"/>
          <w:rFonts w:hint="eastAsia" w:ascii="仿宋_GB2312" w:hAnsi="仿宋_GB2312" w:eastAsia="仿宋_GB2312" w:cs="仿宋_GB2312"/>
          <w:b/>
          <w:bCs/>
        </w:rPr>
        <w:t>项目基本情况</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项目概况</w:t>
      </w:r>
    </w:p>
    <w:p>
      <w:pPr>
        <w:pStyle w:val="9"/>
        <w:spacing w:after="0" w:line="360" w:lineRule="auto"/>
        <w:ind w:firstLine="700" w:firstLineChars="250"/>
        <w:rPr>
          <w:rStyle w:val="10"/>
          <w:rFonts w:ascii="仿宋_GB2312" w:hAnsi="仿宋_GB2312" w:eastAsia="仿宋_GB2312" w:cs="仿宋_GB2312"/>
        </w:rPr>
      </w:pPr>
      <w:r>
        <w:rPr>
          <w:rStyle w:val="10"/>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项目立项背景和依据</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（三）项目预算绩效目标</w:t>
      </w:r>
    </w:p>
    <w:p>
      <w:pPr>
        <w:pStyle w:val="9"/>
        <w:spacing w:after="0" w:line="360" w:lineRule="auto"/>
        <w:ind w:firstLine="440"/>
        <w:jc w:val="both"/>
        <w:rPr>
          <w:rStyle w:val="10"/>
          <w:rFonts w:hint="eastAsia" w:ascii="仿宋_GB2312" w:hAnsi="仿宋_GB2312" w:eastAsia="仿宋_GB2312" w:cs="仿宋_GB2312"/>
        </w:rPr>
      </w:pPr>
      <w:r>
        <w:rPr>
          <w:rFonts w:hint="eastAsia"/>
        </w:rPr>
        <w:t xml:space="preserve">  </w:t>
      </w:r>
      <w:r>
        <w:rPr>
          <w:rStyle w:val="10"/>
          <w:rFonts w:hint="eastAsia" w:ascii="仿宋_GB2312" w:hAnsi="仿宋_GB2312" w:eastAsia="仿宋_GB2312" w:cs="仿宋_GB2312"/>
        </w:rPr>
        <w:t>切实解决社区居民群众最关心、最直接、最现实的各类民生问题。提高居民的幸福指数。</w:t>
      </w:r>
    </w:p>
    <w:p>
      <w:pPr>
        <w:pStyle w:val="9"/>
        <w:numPr>
          <w:ilvl w:val="0"/>
          <w:numId w:val="0"/>
        </w:numPr>
        <w:spacing w:after="0" w:line="360" w:lineRule="auto"/>
        <w:ind w:left="560" w:leftChars="0"/>
        <w:jc w:val="both"/>
        <w:rPr>
          <w:rStyle w:val="10"/>
          <w:rFonts w:hint="eastAsia" w:ascii="仿宋_GB2312" w:hAnsi="仿宋_GB2312" w:eastAsia="仿宋_GB2312" w:cs="仿宋_GB2312"/>
          <w:lang w:eastAsia="zh-CN"/>
        </w:rPr>
      </w:pPr>
      <w:r>
        <w:rPr>
          <w:rStyle w:val="10"/>
          <w:rFonts w:hint="eastAsia" w:ascii="仿宋_GB2312" w:hAnsi="仿宋_GB2312" w:eastAsia="仿宋_GB2312" w:cs="仿宋_GB2312"/>
          <w:lang w:eastAsia="zh-CN"/>
        </w:rPr>
        <w:t>（四）主要评价方法概述</w:t>
      </w:r>
    </w:p>
    <w:p>
      <w:pPr>
        <w:pStyle w:val="9"/>
        <w:spacing w:after="0" w:line="360" w:lineRule="auto"/>
        <w:ind w:firstLine="440"/>
        <w:jc w:val="both"/>
        <w:rPr>
          <w:rStyle w:val="10"/>
          <w:rFonts w:hint="eastAsia" w:ascii="仿宋_GB2312" w:hAnsi="仿宋_GB2312" w:eastAsia="仿宋_GB2312" w:cs="仿宋_GB2312"/>
        </w:rPr>
      </w:pPr>
      <w:r>
        <w:rPr>
          <w:rStyle w:val="10"/>
          <w:rFonts w:hint="eastAsia" w:ascii="仿宋_GB2312" w:hAnsi="仿宋_GB2312" w:eastAsia="仿宋_GB2312" w:cs="仿宋_GB2312"/>
        </w:rPr>
        <w:t>“惠民资金项目工作经费”绩效评价采用比较法、公众评判法、统计计算法、实地考察等方法进行评价分析，调阅相关凭证、单据进行分析研究。</w:t>
      </w:r>
    </w:p>
    <w:p>
      <w:pPr>
        <w:pStyle w:val="9"/>
        <w:numPr>
          <w:ilvl w:val="0"/>
          <w:numId w:val="0"/>
        </w:numPr>
        <w:spacing w:after="0" w:line="360" w:lineRule="auto"/>
        <w:ind w:left="560" w:leftChars="0"/>
        <w:jc w:val="both"/>
        <w:rPr>
          <w:rStyle w:val="10"/>
          <w:rFonts w:hint="eastAsia" w:ascii="仿宋_GB2312" w:hAnsi="仿宋_GB2312" w:eastAsia="仿宋_GB2312" w:cs="仿宋_GB2312"/>
          <w:lang w:eastAsia="zh-CN"/>
        </w:rPr>
      </w:pPr>
    </w:p>
    <w:p>
      <w:pPr>
        <w:pStyle w:val="9"/>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（一）项目概况</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1、项目所属领域</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项目性质与特点</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3、</w:t>
      </w:r>
      <w:r>
        <w:rPr>
          <w:rStyle w:val="10"/>
          <w:rFonts w:ascii="仿宋_GB2312" w:hAnsi="仿宋_GB2312" w:eastAsia="仿宋_GB2312" w:cs="仿宋_GB2312"/>
        </w:rPr>
        <w:t>项目实施情况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（1）项目实施单位：武昌区人民政府</w:t>
      </w:r>
      <w:r>
        <w:rPr>
          <w:rStyle w:val="10"/>
          <w:rFonts w:hint="eastAsia" w:ascii="仿宋_GB2312" w:hAnsi="仿宋_GB2312" w:eastAsia="仿宋_GB2312" w:cs="仿宋_GB2312"/>
          <w:lang w:eastAsia="zh-CN"/>
        </w:rPr>
        <w:t>首义路</w:t>
      </w:r>
      <w:r>
        <w:rPr>
          <w:rStyle w:val="10"/>
          <w:rFonts w:ascii="仿宋_GB2312" w:hAnsi="仿宋_GB2312" w:eastAsia="仿宋_GB2312" w:cs="仿宋_GB2312"/>
        </w:rPr>
        <w:t>街办事处</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（2）项目实施</w:t>
      </w:r>
      <w:r>
        <w:rPr>
          <w:rStyle w:val="10"/>
          <w:rFonts w:hint="eastAsia" w:ascii="仿宋_GB2312" w:hAnsi="仿宋_GB2312" w:eastAsia="仿宋_GB2312" w:cs="仿宋_GB2312"/>
        </w:rPr>
        <w:t>机构</w:t>
      </w: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首义路</w:t>
      </w:r>
      <w:r>
        <w:rPr>
          <w:rStyle w:val="10"/>
          <w:rFonts w:ascii="仿宋_GB2312" w:hAnsi="仿宋_GB2312" w:eastAsia="仿宋_GB2312" w:cs="仿宋_GB2312"/>
        </w:rPr>
        <w:t>街</w:t>
      </w:r>
      <w:r>
        <w:rPr>
          <w:rStyle w:val="10"/>
          <w:rFonts w:hint="eastAsia" w:ascii="仿宋_GB2312" w:hAnsi="仿宋_GB2312" w:eastAsia="仿宋_GB2312" w:cs="仿宋_GB2312"/>
          <w:lang w:val="en-US" w:eastAsia="zh-CN"/>
        </w:rPr>
        <w:t>8</w:t>
      </w:r>
      <w:r>
        <w:rPr>
          <w:rStyle w:val="10"/>
          <w:rFonts w:ascii="仿宋_GB2312" w:hAnsi="仿宋_GB2312" w:eastAsia="仿宋_GB2312" w:cs="仿宋_GB2312"/>
        </w:rPr>
        <w:t>个社</w:t>
      </w:r>
      <w:r>
        <w:rPr>
          <w:rStyle w:val="10"/>
          <w:rFonts w:hint="eastAsia" w:ascii="仿宋_GB2312" w:hAnsi="仿宋_GB2312" w:eastAsia="仿宋_GB2312" w:cs="仿宋_GB2312"/>
        </w:rPr>
        <w:t>区</w:t>
      </w:r>
      <w:r>
        <w:rPr>
          <w:rStyle w:val="10"/>
          <w:rFonts w:ascii="仿宋_GB2312" w:hAnsi="仿宋_GB2312" w:eastAsia="仿宋_GB2312" w:cs="仿宋_GB2312"/>
        </w:rPr>
        <w:t>。</w:t>
      </w:r>
    </w:p>
    <w:p>
      <w:pPr>
        <w:pStyle w:val="9"/>
        <w:spacing w:after="0" w:line="360" w:lineRule="auto"/>
        <w:ind w:firstLine="700" w:firstLineChars="250"/>
        <w:jc w:val="both"/>
        <w:rPr>
          <w:rFonts w:hint="eastAsia" w:ascii="仿宋" w:hAnsi="仿宋" w:eastAsia="仿宋_GB2312" w:cs="仿宋"/>
          <w:sz w:val="28"/>
          <w:szCs w:val="28"/>
          <w:lang w:eastAsia="zh-CN"/>
        </w:rPr>
      </w:pPr>
      <w:r>
        <w:rPr>
          <w:rStyle w:val="10"/>
          <w:rFonts w:ascii="仿宋_GB2312" w:hAnsi="仿宋_GB2312" w:eastAsia="仿宋_GB2312" w:cs="仿宋_GB2312"/>
        </w:rPr>
        <w:t>（3）</w:t>
      </w:r>
      <w:r>
        <w:rPr>
          <w:rStyle w:val="10"/>
          <w:rFonts w:hint="eastAsia" w:ascii="仿宋_GB2312" w:hAnsi="仿宋_GB2312" w:eastAsia="仿宋_GB2312" w:cs="仿宋_GB2312"/>
        </w:rPr>
        <w:t>项目立项设定绩效目标：</w:t>
      </w:r>
      <w:r>
        <w:rPr>
          <w:rFonts w:hint="eastAsia" w:ascii="仿宋" w:hAnsi="仿宋" w:eastAsia="仿宋" w:cs="仿宋"/>
          <w:sz w:val="28"/>
          <w:szCs w:val="28"/>
        </w:rPr>
        <w:t>“惠民资金项目”从四个方面制定了项目计划，</w:t>
      </w:r>
      <w:r>
        <w:rPr>
          <w:rStyle w:val="10"/>
          <w:rFonts w:hint="eastAsia" w:ascii="仿宋_GB2312" w:hAnsi="仿宋_GB2312" w:eastAsia="仿宋_GB2312" w:cs="仿宋_GB2312"/>
        </w:rPr>
        <w:t>社会服务类116项，预计使用资金51.12万元；社会活动类102项、预计使用资金62.28万元；社会环境类26项、预计使用资金78万元；社会管理类18项，预计使用资金28.6万元</w:t>
      </w:r>
      <w:r>
        <w:rPr>
          <w:rStyle w:val="10"/>
          <w:rFonts w:hint="eastAsia" w:ascii="仿宋_GB2312" w:hAnsi="仿宋_GB2312" w:eastAsia="仿宋_GB2312" w:cs="仿宋_GB2312"/>
          <w:lang w:eastAsia="zh-CN"/>
        </w:rPr>
        <w:t>。</w:t>
      </w:r>
    </w:p>
    <w:p>
      <w:pPr>
        <w:spacing w:line="360" w:lineRule="auto"/>
        <w:ind w:firstLine="560" w:firstLineChars="200"/>
        <w:rPr>
          <w:rStyle w:val="10"/>
          <w:rFonts w:hint="eastAsia" w:ascii="仿宋_GB2312" w:hAnsi="仿宋_GB2312" w:eastAsia="仿宋_GB2312" w:cs="仿宋_GB2312"/>
        </w:rPr>
      </w:pPr>
      <w:r>
        <w:rPr>
          <w:rStyle w:val="10"/>
          <w:rFonts w:hint="eastAsia" w:ascii="仿宋_GB2312" w:hAnsi="仿宋_GB2312" w:eastAsia="仿宋_GB2312" w:cs="仿宋_GB2312"/>
        </w:rPr>
        <w:t>（4）绩效目标完成情况：惠民资金项目的绩效目标完成情况如下：2019年设立了262项惠民项目，总投入220万元整。其中：社会服务类116项，</w:t>
      </w:r>
      <w:r>
        <w:rPr>
          <w:rStyle w:val="10"/>
          <w:rFonts w:hint="eastAsia" w:ascii="仿宋_GB2312" w:hAnsi="仿宋_GB2312" w:eastAsia="仿宋_GB2312" w:cs="仿宋_GB2312"/>
          <w:lang w:eastAsia="zh-CN"/>
        </w:rPr>
        <w:t>投入</w:t>
      </w:r>
      <w:r>
        <w:rPr>
          <w:rStyle w:val="10"/>
          <w:rFonts w:hint="eastAsia" w:ascii="仿宋_GB2312" w:hAnsi="仿宋_GB2312" w:eastAsia="仿宋_GB2312" w:cs="仿宋_GB2312"/>
        </w:rPr>
        <w:t>资金51.12万元；社会活动类102项、</w:t>
      </w:r>
      <w:r>
        <w:rPr>
          <w:rStyle w:val="10"/>
          <w:rFonts w:hint="eastAsia" w:ascii="仿宋_GB2312" w:hAnsi="仿宋_GB2312" w:eastAsia="仿宋_GB2312" w:cs="仿宋_GB2312"/>
          <w:lang w:eastAsia="zh-CN"/>
        </w:rPr>
        <w:t>投入</w:t>
      </w:r>
      <w:r>
        <w:rPr>
          <w:rStyle w:val="10"/>
          <w:rFonts w:hint="eastAsia" w:ascii="仿宋_GB2312" w:hAnsi="仿宋_GB2312" w:eastAsia="仿宋_GB2312" w:cs="仿宋_GB2312"/>
        </w:rPr>
        <w:t>资金62.28万元；社会环境类26项、</w:t>
      </w:r>
      <w:r>
        <w:rPr>
          <w:rStyle w:val="10"/>
          <w:rFonts w:hint="eastAsia" w:ascii="仿宋_GB2312" w:hAnsi="仿宋_GB2312" w:eastAsia="仿宋_GB2312" w:cs="仿宋_GB2312"/>
          <w:lang w:eastAsia="zh-CN"/>
        </w:rPr>
        <w:t>投入</w:t>
      </w:r>
      <w:r>
        <w:rPr>
          <w:rStyle w:val="10"/>
          <w:rFonts w:hint="eastAsia" w:ascii="仿宋_GB2312" w:hAnsi="仿宋_GB2312" w:eastAsia="仿宋_GB2312" w:cs="仿宋_GB2312"/>
        </w:rPr>
        <w:t>资金78万元；社会管理类18项，</w:t>
      </w:r>
      <w:r>
        <w:rPr>
          <w:rStyle w:val="10"/>
          <w:rFonts w:hint="eastAsia" w:ascii="仿宋_GB2312" w:hAnsi="仿宋_GB2312" w:eastAsia="仿宋_GB2312" w:cs="仿宋_GB2312"/>
          <w:lang w:eastAsia="zh-CN"/>
        </w:rPr>
        <w:t>投入</w:t>
      </w:r>
      <w:r>
        <w:rPr>
          <w:rStyle w:val="10"/>
          <w:rFonts w:hint="eastAsia" w:ascii="仿宋_GB2312" w:hAnsi="仿宋_GB2312" w:eastAsia="仿宋_GB2312" w:cs="仿宋_GB2312"/>
        </w:rPr>
        <w:t>资金28.6万元。已全部完成。</w:t>
      </w:r>
    </w:p>
    <w:tbl>
      <w:tblPr>
        <w:tblStyle w:val="5"/>
        <w:tblW w:w="4997" w:type="pct"/>
        <w:tblInd w:w="0" w:type="dxa"/>
        <w:shd w:val="clear" w:color="auto" w:fill="auto"/>
        <w:tblLayout w:type="autofit"/>
        <w:tblCellMar>
          <w:top w:w="0" w:type="dxa"/>
          <w:left w:w="0" w:type="dxa"/>
          <w:bottom w:w="0" w:type="dxa"/>
          <w:right w:w="0" w:type="dxa"/>
        </w:tblCellMar>
      </w:tblPr>
      <w:tblGrid>
        <w:gridCol w:w="756"/>
        <w:gridCol w:w="756"/>
        <w:gridCol w:w="758"/>
        <w:gridCol w:w="756"/>
        <w:gridCol w:w="758"/>
        <w:gridCol w:w="756"/>
        <w:gridCol w:w="758"/>
        <w:gridCol w:w="757"/>
        <w:gridCol w:w="762"/>
        <w:gridCol w:w="757"/>
        <w:gridCol w:w="757"/>
      </w:tblGrid>
      <w:tr>
        <w:tblPrEx>
          <w:shd w:val="clear" w:color="auto" w:fill="auto"/>
          <w:tblCellMar>
            <w:top w:w="0" w:type="dxa"/>
            <w:left w:w="0" w:type="dxa"/>
            <w:bottom w:w="0" w:type="dxa"/>
            <w:right w:w="0" w:type="dxa"/>
          </w:tblCellMar>
        </w:tblPrEx>
        <w:trPr>
          <w:trHeight w:val="55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社区数量</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8</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项目数量（个）</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262</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共需资金</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 xml:space="preserve">220.00 </w:t>
            </w:r>
          </w:p>
        </w:tc>
      </w:tr>
      <w:tr>
        <w:tblPrEx>
          <w:tblCellMar>
            <w:top w:w="0" w:type="dxa"/>
            <w:left w:w="0" w:type="dxa"/>
            <w:bottom w:w="0" w:type="dxa"/>
            <w:right w:w="0" w:type="dxa"/>
          </w:tblCellMar>
        </w:tblPrEx>
        <w:trPr>
          <w:trHeight w:val="55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1"/>
                <w:szCs w:val="2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eastAsia="仿宋_GB2312" w:cs="仿宋_GB2312"/>
                <w:b/>
                <w:i w:val="0"/>
                <w:color w:val="000000"/>
                <w:sz w:val="21"/>
                <w:szCs w:val="21"/>
                <w:u w:val="none"/>
              </w:rPr>
            </w:pP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（万元）</w:t>
            </w: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1"/>
                <w:szCs w:val="21"/>
                <w:u w:val="none"/>
              </w:rPr>
            </w:pPr>
          </w:p>
        </w:tc>
      </w:tr>
      <w:tr>
        <w:tblPrEx>
          <w:tblCellMar>
            <w:top w:w="0" w:type="dxa"/>
            <w:left w:w="0" w:type="dxa"/>
            <w:bottom w:w="0" w:type="dxa"/>
            <w:right w:w="0" w:type="dxa"/>
          </w:tblCellMar>
        </w:tblPrEx>
        <w:trPr>
          <w:trHeight w:val="555"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社区名称</w:t>
            </w:r>
          </w:p>
        </w:tc>
        <w:tc>
          <w:tcPr>
            <w:tcW w:w="3636"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项目数量、资金（个、万元）</w:t>
            </w:r>
          </w:p>
        </w:tc>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r>
      <w:tr>
        <w:tblPrEx>
          <w:tblCellMar>
            <w:top w:w="0" w:type="dxa"/>
            <w:left w:w="0" w:type="dxa"/>
            <w:bottom w:w="0" w:type="dxa"/>
            <w:right w:w="0" w:type="dxa"/>
          </w:tblCellMar>
        </w:tblPrEx>
        <w:trPr>
          <w:trHeight w:val="55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社会服务</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社会活动</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社会环境</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社会管理</w:t>
            </w:r>
          </w:p>
        </w:tc>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555"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江零</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长湖</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千家街</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大东门</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武南村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中南大</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719</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8.6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8.42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9.48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0.8 </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 </w:t>
            </w:r>
          </w:p>
        </w:tc>
      </w:tr>
      <w:tr>
        <w:tblPrEx>
          <w:tblCellMar>
            <w:top w:w="0" w:type="dxa"/>
            <w:left w:w="0" w:type="dxa"/>
            <w:bottom w:w="0" w:type="dxa"/>
            <w:right w:w="0" w:type="dxa"/>
          </w:tblCellMar>
        </w:tblPrEx>
        <w:trPr>
          <w:trHeight w:val="6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116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51.12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102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62.28</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26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78</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18</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28.6</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262</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220</w:t>
            </w:r>
          </w:p>
        </w:tc>
      </w:tr>
    </w:tbl>
    <w:p>
      <w:pPr>
        <w:spacing w:line="360" w:lineRule="auto"/>
        <w:ind w:firstLine="560" w:firstLineChars="200"/>
        <w:rPr>
          <w:rStyle w:val="10"/>
          <w:rFonts w:hint="eastAsia" w:ascii="仿宋_GB2312" w:hAnsi="仿宋_GB2312" w:eastAsia="仿宋_GB2312" w:cs="仿宋_GB2312"/>
        </w:rPr>
      </w:pP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4、</w:t>
      </w:r>
      <w:r>
        <w:rPr>
          <w:rStyle w:val="10"/>
          <w:rFonts w:ascii="仿宋_GB2312" w:hAnsi="仿宋_GB2312" w:eastAsia="仿宋_GB2312" w:cs="仿宋_GB2312"/>
        </w:rPr>
        <w:t>项目经费来源和使用情况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（1）项目资金来源概况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首义路</w:t>
      </w:r>
      <w:r>
        <w:rPr>
          <w:rStyle w:val="10"/>
          <w:rFonts w:ascii="仿宋_GB2312" w:hAnsi="仿宋_GB2312" w:eastAsia="仿宋_GB2312" w:cs="仿宋_GB2312"/>
        </w:rPr>
        <w:t>街办事处“社区惠民资金项目”经武昌区财政局批复，下达预算资金</w:t>
      </w:r>
      <w:r>
        <w:rPr>
          <w:rStyle w:val="10"/>
          <w:rFonts w:hint="eastAsia" w:ascii="仿宋_GB2312" w:hAnsi="仿宋_GB2312" w:eastAsia="仿宋_GB2312" w:cs="仿宋_GB2312"/>
          <w:lang w:val="en-US" w:eastAsia="zh-CN"/>
        </w:rPr>
        <w:t>220</w:t>
      </w:r>
      <w:r>
        <w:rPr>
          <w:rStyle w:val="10"/>
          <w:rFonts w:ascii="仿宋_GB2312" w:hAnsi="仿宋_GB2312" w:eastAsia="仿宋_GB2312" w:cs="仿宋_GB2312"/>
        </w:rPr>
        <w:t>万元。</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项目资金使用概况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“社区惠民资金项目”实际支出</w:t>
      </w:r>
      <w:r>
        <w:rPr>
          <w:rStyle w:val="10"/>
          <w:rFonts w:hint="eastAsia" w:ascii="仿宋_GB2312" w:hAnsi="仿宋_GB2312" w:eastAsia="仿宋_GB2312" w:cs="仿宋_GB2312"/>
          <w:lang w:val="en-US" w:eastAsia="zh-CN"/>
        </w:rPr>
        <w:t>220</w:t>
      </w:r>
      <w:r>
        <w:rPr>
          <w:rStyle w:val="10"/>
          <w:rFonts w:ascii="仿宋_GB2312" w:hAnsi="仿宋_GB2312" w:eastAsia="仿宋_GB2312" w:cs="仿宋_GB2312"/>
        </w:rPr>
        <w:t>万元</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5、</w:t>
      </w:r>
      <w:r>
        <w:rPr>
          <w:rStyle w:val="10"/>
          <w:rFonts w:ascii="仿宋_GB2312" w:hAnsi="仿宋_GB2312" w:eastAsia="仿宋_GB2312" w:cs="仿宋_GB2312"/>
        </w:rPr>
        <w:t>评价指标体系</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绩效评价指标体系包括投入、过程、产出、效果四个方面。</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具体指标的分布情况、权重、指标解释、指标说明如下表所示：</w:t>
      </w:r>
    </w:p>
    <w:tbl>
      <w:tblPr>
        <w:tblStyle w:val="5"/>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3"/>
        <w:gridCol w:w="1590"/>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283" w:type="dxa"/>
            <w:gridSpan w:val="2"/>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指标名称（权重）</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指标解释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693" w:type="dxa"/>
            <w:vMerge w:val="restart"/>
            <w:vAlign w:val="center"/>
          </w:tcPr>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立项</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项目立项规范性（2分）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项目是否按照规定的程序申请设立；</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所提交的文件、材料是否符合相关要求；</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事前是否已经过必要的可行性研究、专家论证、风险评估、集体决策等；</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绩效目标合理性（2分）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是否设定长期目标、年度目标和绩效指标；</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目标和指标的设计是否符合目标管理规范；</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根据绩效目标和完成情况的对比考核目标设立的合理性；</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693" w:type="dxa"/>
            <w:vMerge w:val="restart"/>
            <w:vAlign w:val="center"/>
          </w:tcPr>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落实</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资金到位率=（实际到位资金/计划投入资金）×100%。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实际到位资金：一定时期（本年度或项目期）内实际落实到具体项目的资金。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到位及时率=（及时到位资金/应到位资金）×100%。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及时到位资金：截至规定时点实际落实到具体项目的资金。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693" w:type="dxa"/>
            <w:vMerge w:val="restart"/>
            <w:vAlign w:val="center"/>
          </w:tcPr>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是否已制定或具有相应的项目管理制度；</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制度执行有效性（3分）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是否遵守相关法律法规和项目管理规定；</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项目调整及支出调整手续是否完备；</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项目合同书、验收报告、技术鉴定等资料是否齐全并及时归档；</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项目质量可控性（4分）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是否已制定或具有相应的项目质量要求或标准；</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693" w:type="dxa"/>
            <w:vMerge w:val="restart"/>
            <w:vAlign w:val="center"/>
          </w:tcPr>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是否已制定或具有相应的项目资金管理办法；</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资金使用合规性（3分）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是否符合国家财经法规和财务管理制度以及有关专项资金管理办法的规定；</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资金的拨付是否有完整的审批程序和手续；</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项目的重大开支是否经过评估认证；</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是否符合项目预算批复或合同规定的用途；</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财务监控有效性（4分）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是否已制定或具有相应的监控机制；</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693"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项目产出</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验收合格率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693"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left="0" w:leftChars="0"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效益</w:t>
            </w: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社区活动丰富度（6分）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生活质量提高程度（6分）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惠民服务种类丰富度（4分）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可持续影响</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项目实施单位有机构设置支持项目实施的后续运行；</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693"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590"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服务对象满意度</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（8分）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服务对象对项目实施效果的满意程度。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Style w:val="10"/>
          <w:rFonts w:hint="eastAsia" w:ascii="仿宋_GB2312" w:hAnsi="仿宋_GB2312" w:eastAsia="仿宋_GB2312" w:cs="仿宋_GB2312"/>
        </w:rPr>
      </w:pPr>
      <w:r>
        <w:rPr>
          <w:rFonts w:ascii="Arial Narrow" w:hAnsi="Arial Narrow" w:cs="仿宋_GB2312"/>
          <w:b/>
        </w:rPr>
        <w:t>绩效评价结果</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31</w:t>
            </w:r>
          </w:p>
        </w:tc>
        <w:tc>
          <w:tcPr>
            <w:tcW w:w="2126" w:type="dxa"/>
            <w:vAlign w:val="center"/>
          </w:tcPr>
          <w:p>
            <w:pPr>
              <w:jc w:val="center"/>
              <w:textAlignment w:val="top"/>
              <w:rPr>
                <w:rFonts w:hint="eastAsia" w:ascii="Arial Narrow" w:hAnsi="Arial Narrow" w:cs="仿宋_GB2312" w:eastAsiaTheme="minorEastAsia"/>
                <w:lang w:eastAsia="zh-CN"/>
              </w:rPr>
            </w:pPr>
            <w:r>
              <w:rPr>
                <w:rFonts w:hint="eastAsia" w:ascii="Arial Narrow" w:hAnsi="Arial Narrow" w:cs="仿宋_GB2312"/>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7分</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9"/>
        <w:spacing w:after="0" w:line="360" w:lineRule="auto"/>
        <w:ind w:firstLine="700" w:firstLineChars="250"/>
        <w:jc w:val="both"/>
        <w:rPr>
          <w:rStyle w:val="10"/>
          <w:rFonts w:ascii="仿宋_GB2312" w:hAnsi="仿宋_GB2312" w:eastAsia="仿宋_GB2312" w:cs="仿宋_GB2312"/>
        </w:rPr>
      </w:pPr>
    </w:p>
    <w:p>
      <w:pPr>
        <w:numPr>
          <w:numId w:val="0"/>
        </w:numPr>
        <w:spacing w:line="360" w:lineRule="auto"/>
        <w:jc w:val="left"/>
        <w:rPr>
          <w:rFonts w:ascii="Arial Narrow" w:hAnsi="Arial Narrow" w:cs="仿宋_GB2312"/>
          <w:b/>
        </w:rPr>
      </w:pPr>
      <w:r>
        <w:rPr>
          <w:rFonts w:hint="eastAsia" w:ascii="Arial Narrow" w:hAnsi="Arial Narrow" w:cs="仿宋_GB2312"/>
          <w:b/>
        </w:rPr>
        <w:t>四、主要经验及做法、存在的问题和改进措施</w:t>
      </w:r>
    </w:p>
    <w:p>
      <w:pPr>
        <w:pStyle w:val="9"/>
        <w:spacing w:after="0" w:line="360" w:lineRule="auto"/>
        <w:ind w:left="0" w:leftChars="0" w:firstLine="560" w:firstLineChars="200"/>
        <w:jc w:val="both"/>
        <w:rPr>
          <w:rStyle w:val="10"/>
          <w:rFonts w:ascii="仿宋_GB2312" w:hAnsi="仿宋_GB2312" w:eastAsia="仿宋_GB2312" w:cs="仿宋_GB2312"/>
          <w:color w:val="000000"/>
        </w:rPr>
      </w:pPr>
      <w:bookmarkStart w:id="0" w:name="_Toc479244794"/>
      <w:bookmarkStart w:id="1" w:name="_Toc361304706"/>
      <w:bookmarkStart w:id="2" w:name="_Toc27928"/>
      <w:bookmarkStart w:id="3" w:name="_Toc406666381"/>
      <w:bookmarkStart w:id="4" w:name="_Toc406668055"/>
      <w:bookmarkStart w:id="5" w:name="_Toc387957830"/>
      <w:r>
        <w:rPr>
          <w:rStyle w:val="10"/>
          <w:rFonts w:ascii="仿宋_GB2312" w:hAnsi="仿宋_GB2312" w:eastAsia="仿宋_GB2312" w:cs="仿宋_GB2312"/>
          <w:color w:val="000000"/>
        </w:rPr>
        <w:t>（一）主要经验及做法</w:t>
      </w:r>
      <w:bookmarkEnd w:id="0"/>
      <w:bookmarkEnd w:id="1"/>
      <w:bookmarkEnd w:id="2"/>
      <w:bookmarkEnd w:id="3"/>
      <w:bookmarkEnd w:id="4"/>
      <w:bookmarkEnd w:id="5"/>
    </w:p>
    <w:p>
      <w:pPr>
        <w:pStyle w:val="9"/>
        <w:spacing w:after="0" w:line="360" w:lineRule="auto"/>
        <w:jc w:val="both"/>
        <w:rPr>
          <w:rStyle w:val="10"/>
          <w:rFonts w:hint="eastAsia" w:ascii="仿宋_GB2312" w:hAnsi="仿宋_GB2312" w:eastAsia="仿宋_GB2312" w:cs="仿宋_GB2312"/>
          <w:color w:val="000000"/>
        </w:rPr>
      </w:pPr>
      <w:bookmarkStart w:id="6" w:name="_Toc479244795"/>
      <w:bookmarkStart w:id="7" w:name="_Toc16696"/>
      <w:bookmarkStart w:id="8" w:name="_Toc406668056"/>
      <w:bookmarkStart w:id="9" w:name="_Toc406666382"/>
      <w:bookmarkStart w:id="10" w:name="_Toc387957833"/>
      <w:r>
        <w:rPr>
          <w:rStyle w:val="10"/>
          <w:rFonts w:hint="eastAsia" w:ascii="仿宋_GB2312" w:hAnsi="仿宋_GB2312" w:eastAsia="仿宋_GB2312" w:cs="仿宋_GB2312"/>
          <w:color w:val="000000"/>
        </w:rPr>
        <w:t>首义路街道办事处能够针对各社区特点和实际情况，抓重点的使用惠民资金。各社区每年实施一至两个大项目，以大项目为中重点，小项目、小活动为支撑，周密计划，无缝连接。</w:t>
      </w:r>
    </w:p>
    <w:p>
      <w:pPr>
        <w:pStyle w:val="9"/>
        <w:spacing w:after="0" w:line="360" w:lineRule="auto"/>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各社区成立的惠民资金使用监督小组，实行交叉工作法。本社区监督小组，到其他社区开展督查，确保项目实施顺利进行。</w:t>
      </w:r>
    </w:p>
    <w:p>
      <w:pPr>
        <w:pStyle w:val="9"/>
        <w:spacing w:after="0" w:line="360" w:lineRule="auto"/>
        <w:ind w:firstLine="700" w:firstLineChars="25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（二）存在的问题</w:t>
      </w:r>
      <w:bookmarkEnd w:id="6"/>
      <w:bookmarkEnd w:id="7"/>
      <w:bookmarkEnd w:id="8"/>
      <w:bookmarkEnd w:id="9"/>
      <w:bookmarkStart w:id="11" w:name="_GoBack"/>
      <w:bookmarkEnd w:id="11"/>
    </w:p>
    <w:bookmarkEnd w:id="10"/>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val="en-US" w:eastAsia="zh-CN"/>
        </w:rPr>
        <w:t>1</w:t>
      </w:r>
      <w:r>
        <w:rPr>
          <w:rStyle w:val="10"/>
          <w:rFonts w:hint="eastAsia" w:ascii="仿宋_GB2312" w:hAnsi="仿宋_GB2312" w:eastAsia="仿宋_GB2312" w:cs="仿宋_GB2312"/>
          <w:color w:val="000000"/>
          <w:lang w:eastAsia="zh-CN"/>
        </w:rPr>
        <w:t>、惠民项目总结提炼不够，缺乏完整、系统的总结文件。</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lang w:val="en-US" w:eastAsia="zh-CN"/>
        </w:rPr>
        <w:t>2</w:t>
      </w:r>
      <w:r>
        <w:rPr>
          <w:rStyle w:val="10"/>
          <w:rFonts w:hint="eastAsia" w:ascii="仿宋_GB2312" w:hAnsi="仿宋_GB2312" w:eastAsia="仿宋_GB2312" w:cs="仿宋_GB2312"/>
          <w:color w:val="000000"/>
          <w:lang w:eastAsia="zh-CN"/>
        </w:rPr>
        <w:t>、</w:t>
      </w:r>
      <w:r>
        <w:rPr>
          <w:rStyle w:val="10"/>
          <w:rFonts w:hint="eastAsia" w:ascii="仿宋_GB2312" w:hAnsi="仿宋_GB2312" w:eastAsia="仿宋_GB2312" w:cs="仿宋_GB2312"/>
          <w:color w:val="000000"/>
          <w:lang w:val="en-US" w:eastAsia="zh-CN"/>
        </w:rPr>
        <w:t>社区活动和服务类的居民惠及度比较单一，居民参与面还不够广泛。</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（三）改进措施</w:t>
      </w:r>
    </w:p>
    <w:p>
      <w:pPr>
        <w:pStyle w:val="9"/>
        <w:spacing w:after="0" w:line="360" w:lineRule="auto"/>
        <w:ind w:left="0" w:leftChars="0" w:firstLine="280" w:firstLineChars="1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 xml:space="preserve"> </w:t>
      </w:r>
      <w:r>
        <w:rPr>
          <w:rStyle w:val="10"/>
          <w:rFonts w:hint="eastAsia" w:ascii="仿宋_GB2312" w:hAnsi="仿宋_GB2312" w:eastAsia="仿宋_GB2312" w:cs="仿宋_GB2312"/>
          <w:color w:val="000000"/>
        </w:rPr>
        <w:t>1、建议加强惠民项目的质量控制。社区申报项目计划及实施方案时要明确项目类别，加强项目质量控制，有利于项目后期管理和统计，同时便于更好地监控惠民资金的用途及去向，有利于对惠民资金使用情况进行分析和总结。</w:t>
      </w:r>
    </w:p>
    <w:p>
      <w:pPr>
        <w:pStyle w:val="9"/>
        <w:spacing w:after="0" w:line="360" w:lineRule="auto"/>
        <w:ind w:left="0" w:leftChars="0" w:firstLine="280" w:firstLineChars="100"/>
        <w:jc w:val="both"/>
        <w:rPr>
          <w:rStyle w:val="10"/>
          <w:rFonts w:hint="eastAsia" w:ascii="仿宋_GB2312" w:hAnsi="仿宋_GB2312" w:eastAsia="仿宋_GB2312" w:cs="仿宋_GB2312"/>
        </w:rPr>
      </w:pPr>
      <w:r>
        <w:rPr>
          <w:rStyle w:val="10"/>
          <w:rFonts w:hint="eastAsia" w:ascii="仿宋_GB2312" w:hAnsi="仿宋_GB2312" w:eastAsia="仿宋_GB2312" w:cs="仿宋_GB2312"/>
          <w:color w:val="000000"/>
        </w:rPr>
        <w:t xml:space="preserve">  </w:t>
      </w:r>
      <w:r>
        <w:rPr>
          <w:rStyle w:val="10"/>
          <w:rFonts w:hint="eastAsia" w:ascii="仿宋_GB2312" w:hAnsi="仿宋_GB2312" w:eastAsia="仿宋_GB2312" w:cs="仿宋_GB2312"/>
          <w:color w:val="000000"/>
          <w:lang w:val="en-US" w:eastAsia="zh-CN"/>
        </w:rPr>
        <w:t>2</w:t>
      </w:r>
      <w:r>
        <w:rPr>
          <w:rStyle w:val="10"/>
          <w:rFonts w:hint="eastAsia" w:ascii="仿宋_GB2312" w:hAnsi="仿宋_GB2312" w:eastAsia="仿宋_GB2312" w:cs="仿宋_GB2312"/>
          <w:color w:val="000000"/>
        </w:rPr>
        <w:t>、</w:t>
      </w:r>
      <w:r>
        <w:rPr>
          <w:rStyle w:val="10"/>
          <w:rFonts w:hint="eastAsia" w:ascii="仿宋_GB2312" w:hAnsi="仿宋_GB2312" w:eastAsia="仿宋_GB2312" w:cs="仿宋_GB2312"/>
          <w:color w:val="000000"/>
          <w:lang w:val="en-US" w:eastAsia="zh-CN"/>
        </w:rPr>
        <w:t>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作出调整，更好地贴合居民生活，满足居民的惠民服务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50602020203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7C71C19"/>
    <w:rsid w:val="08D23705"/>
    <w:rsid w:val="129F3378"/>
    <w:rsid w:val="1D174E1E"/>
    <w:rsid w:val="2A7F3418"/>
    <w:rsid w:val="33A42EDA"/>
    <w:rsid w:val="401160FF"/>
    <w:rsid w:val="45EF7972"/>
    <w:rsid w:val="54014C65"/>
    <w:rsid w:val="59390DD8"/>
    <w:rsid w:val="59985079"/>
    <w:rsid w:val="5E1B0B59"/>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fontstyle11"/>
    <w:basedOn w:val="6"/>
    <w:qFormat/>
    <w:uiPriority w:val="0"/>
    <w:rPr>
      <w:rFonts w:ascii="宋体" w:hAnsi="宋体" w:eastAsia="宋体" w:cs="宋体"/>
      <w:color w:val="000000"/>
      <w:sz w:val="28"/>
      <w:szCs w:val="2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834</Words>
  <Characters>4754</Characters>
  <Lines>39</Lines>
  <Paragraphs>11</Paragraphs>
  <TotalTime>2</TotalTime>
  <ScaleCrop>false</ScaleCrop>
  <LinksUpToDate>false</LinksUpToDate>
  <CharactersWithSpaces>5577</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峻熙</cp:lastModifiedBy>
  <dcterms:modified xsi:type="dcterms:W3CDTF">2020-10-27T09:17:15Z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