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ind w:firstLine="0" w:firstLineChars="0"/>
        <w:jc w:val="both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首义路街</w:t>
      </w:r>
      <w:r>
        <w:rPr>
          <w:rFonts w:hint="eastAsia" w:ascii="宋体" w:hAnsi="宋体" w:eastAsia="宋体" w:cs="宋体"/>
          <w:b/>
          <w:sz w:val="44"/>
          <w:szCs w:val="44"/>
        </w:rPr>
        <w:t>201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44"/>
          <w:szCs w:val="44"/>
        </w:rPr>
        <w:t>年度文明创建工作经费</w:t>
      </w:r>
    </w:p>
    <w:p>
      <w:pPr>
        <w:widowControl/>
        <w:spacing w:line="480" w:lineRule="auto"/>
        <w:ind w:right="-192" w:rightChars="-80" w:firstLine="0" w:firstLineChars="0"/>
        <w:jc w:val="center"/>
        <w:rPr>
          <w:rFonts w:hint="eastAsia" w:ascii="仿宋_GB2312" w:hAnsi="仿宋_GB2312" w:cs="仿宋_GB2312"/>
          <w:b/>
          <w:bCs/>
          <w:kern w:val="32"/>
          <w:sz w:val="32"/>
          <w:lang w:bidi="he-IL"/>
        </w:rPr>
      </w:pPr>
      <w:r>
        <w:rPr>
          <w:rStyle w:val="7"/>
        </w:rPr>
        <w:t>绩效自评报</w:t>
      </w:r>
      <w:r>
        <w:rPr>
          <w:rStyle w:val="7"/>
          <w:rFonts w:hint="eastAsia" w:eastAsia="黑体"/>
          <w:lang w:eastAsia="zh-CN"/>
        </w:rPr>
        <w:t>告</w:t>
      </w:r>
    </w:p>
    <w:p>
      <w:pPr>
        <w:widowControl/>
        <w:spacing w:line="480" w:lineRule="auto"/>
        <w:ind w:right="-192" w:rightChars="-80" w:firstLine="0" w:firstLineChars="0"/>
        <w:jc w:val="left"/>
        <w:rPr>
          <w:rFonts w:hint="eastAsia" w:ascii="仿宋_GB2312" w:hAnsi="仿宋_GB2312" w:cs="仿宋_GB2312"/>
          <w:b/>
          <w:bCs/>
          <w:kern w:val="32"/>
          <w:sz w:val="32"/>
          <w:lang w:bidi="he-IL"/>
        </w:rPr>
      </w:pPr>
    </w:p>
    <w:p>
      <w:pPr>
        <w:widowControl/>
        <w:spacing w:line="480" w:lineRule="auto"/>
        <w:ind w:right="-192" w:rightChars="-80" w:firstLine="0" w:firstLineChars="0"/>
        <w:jc w:val="left"/>
        <w:rPr>
          <w:rFonts w:hint="eastAsia" w:ascii="仿宋_GB2312" w:hAnsi="仿宋_GB2312" w:cs="仿宋_GB2312"/>
          <w:b/>
          <w:bCs/>
          <w:kern w:val="32"/>
          <w:sz w:val="32"/>
          <w:lang w:bidi="he-IL"/>
        </w:rPr>
      </w:pPr>
    </w:p>
    <w:p>
      <w:pPr>
        <w:widowControl/>
        <w:spacing w:line="480" w:lineRule="auto"/>
        <w:ind w:right="-192" w:rightChars="-80" w:firstLine="0" w:firstLineChars="0"/>
        <w:jc w:val="left"/>
        <w:rPr>
          <w:rFonts w:hint="eastAsia" w:ascii="仿宋_GB2312" w:hAnsi="仿宋_GB2312" w:cs="仿宋_GB2312"/>
          <w:b/>
          <w:bCs/>
          <w:kern w:val="32"/>
          <w:sz w:val="32"/>
          <w:lang w:bidi="he-IL"/>
        </w:rPr>
      </w:pPr>
    </w:p>
    <w:p>
      <w:pPr>
        <w:widowControl/>
        <w:spacing w:line="480" w:lineRule="auto"/>
        <w:ind w:right="-192" w:rightChars="-80" w:firstLine="0" w:firstLineChars="0"/>
        <w:jc w:val="left"/>
        <w:rPr>
          <w:rFonts w:hint="eastAsia" w:ascii="仿宋_GB2312" w:hAnsi="仿宋_GB2312" w:cs="仿宋_GB2312"/>
          <w:b/>
          <w:bCs/>
          <w:kern w:val="32"/>
          <w:sz w:val="32"/>
          <w:lang w:bidi="he-IL"/>
        </w:rPr>
      </w:pPr>
    </w:p>
    <w:p>
      <w:pPr>
        <w:widowControl/>
        <w:spacing w:line="480" w:lineRule="auto"/>
        <w:ind w:right="-192" w:rightChars="-80" w:firstLine="0" w:firstLineChars="0"/>
        <w:jc w:val="left"/>
        <w:rPr>
          <w:rFonts w:hint="eastAsia" w:ascii="仿宋_GB2312" w:hAnsi="仿宋_GB2312" w:cs="仿宋_GB2312"/>
          <w:b/>
          <w:bCs/>
          <w:kern w:val="32"/>
          <w:sz w:val="32"/>
          <w:szCs w:val="32"/>
          <w:lang w:bidi="he-IL"/>
        </w:rPr>
      </w:pPr>
      <w:r>
        <w:rPr>
          <w:rFonts w:hint="eastAsia" w:ascii="仿宋_GB2312" w:hAnsi="仿宋_GB2312" w:cs="仿宋_GB2312"/>
          <w:b/>
          <w:bCs/>
          <w:kern w:val="32"/>
          <w:sz w:val="32"/>
          <w:lang w:bidi="he-IL"/>
        </w:rPr>
        <w:t>项目名称：</w:t>
      </w:r>
      <w:r>
        <w:rPr>
          <w:rFonts w:hint="eastAsia" w:ascii="仿宋_GB2312" w:hAnsi="仿宋_GB2312" w:cs="仿宋_GB2312"/>
          <w:b/>
          <w:bCs/>
          <w:sz w:val="32"/>
          <w:szCs w:val="32"/>
        </w:rPr>
        <w:t>文明创建工作经费</w:t>
      </w:r>
    </w:p>
    <w:p>
      <w:pPr>
        <w:widowControl/>
        <w:spacing w:line="480" w:lineRule="auto"/>
        <w:ind w:firstLine="0" w:firstLineChars="0"/>
        <w:jc w:val="left"/>
        <w:rPr>
          <w:rFonts w:hint="eastAsia" w:ascii="仿宋_GB2312" w:hAnsi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kern w:val="32"/>
          <w:sz w:val="32"/>
          <w:lang w:bidi="he-IL"/>
        </w:rPr>
        <w:t>项目单位：</w:t>
      </w:r>
      <w:r>
        <w:rPr>
          <w:rFonts w:hint="eastAsia" w:ascii="仿宋_GB2312" w:hAnsi="仿宋_GB2312" w:cs="仿宋_GB2312"/>
          <w:b/>
          <w:bCs/>
          <w:sz w:val="32"/>
          <w:szCs w:val="32"/>
        </w:rPr>
        <w:t>武昌区人民政府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首义路</w:t>
      </w:r>
      <w:r>
        <w:rPr>
          <w:rFonts w:hint="eastAsia" w:ascii="仿宋_GB2312" w:hAnsi="仿宋_GB2312" w:cs="仿宋_GB2312"/>
          <w:b/>
          <w:bCs/>
          <w:sz w:val="32"/>
          <w:szCs w:val="32"/>
        </w:rPr>
        <w:t>街办事处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kern w:val="32"/>
          <w:sz w:val="32"/>
          <w:lang w:eastAsia="zh-CN" w:bidi="he-IL"/>
        </w:rPr>
      </w:pPr>
      <w:r>
        <w:rPr>
          <w:rFonts w:hint="eastAsia" w:ascii="仿宋_GB2312" w:hAnsi="仿宋_GB2312" w:cs="仿宋_GB2312"/>
          <w:b/>
          <w:bCs/>
          <w:kern w:val="32"/>
          <w:sz w:val="32"/>
          <w:lang w:bidi="he-IL"/>
        </w:rPr>
        <w:t>主管部门：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首义路</w:t>
      </w:r>
      <w:r>
        <w:rPr>
          <w:rFonts w:hint="eastAsia" w:ascii="仿宋_GB2312" w:hAnsi="仿宋_GB2312" w:cs="仿宋_GB2312"/>
          <w:b/>
          <w:bCs/>
          <w:kern w:val="32"/>
          <w:sz w:val="32"/>
          <w:lang w:bidi="he-IL"/>
        </w:rPr>
        <w:t>街办事处</w:t>
      </w:r>
      <w:r>
        <w:rPr>
          <w:rFonts w:hint="eastAsia" w:ascii="仿宋_GB2312" w:hAnsi="仿宋_GB2312" w:cs="仿宋_GB2312"/>
          <w:b/>
          <w:bCs/>
          <w:kern w:val="32"/>
          <w:sz w:val="32"/>
          <w:lang w:eastAsia="zh-CN" w:bidi="he-IL"/>
        </w:rPr>
        <w:t>党建办公室</w:t>
      </w:r>
    </w:p>
    <w:p>
      <w:pPr>
        <w:spacing w:line="800" w:lineRule="exact"/>
        <w:ind w:firstLine="0" w:firstLineChars="0"/>
        <w:jc w:val="center"/>
        <w:rPr>
          <w:rFonts w:hint="eastAsia" w:ascii="仿宋_GB2312" w:hAnsi="仿宋_GB2312" w:cs="仿宋_GB2312"/>
          <w:b/>
          <w:bCs/>
          <w:sz w:val="32"/>
          <w:szCs w:val="32"/>
        </w:rPr>
      </w:pPr>
    </w:p>
    <w:p>
      <w:pPr>
        <w:spacing w:line="800" w:lineRule="exact"/>
        <w:ind w:firstLine="0" w:firstLineChars="0"/>
        <w:jc w:val="center"/>
        <w:rPr>
          <w:rFonts w:hint="eastAsia" w:ascii="仿宋_GB2312" w:hAnsi="仿宋_GB2312" w:cs="仿宋_GB2312"/>
          <w:b/>
          <w:bCs/>
          <w:sz w:val="32"/>
          <w:szCs w:val="32"/>
        </w:rPr>
      </w:pPr>
    </w:p>
    <w:p>
      <w:pPr>
        <w:widowControl/>
        <w:spacing w:line="480" w:lineRule="auto"/>
        <w:ind w:right="-192" w:rightChars="-80" w:firstLine="0" w:firstLineChars="0"/>
        <w:jc w:val="left"/>
        <w:rPr>
          <w:rFonts w:hint="eastAsia" w:ascii="仿宋_GB2312" w:hAnsi="仿宋_GB2312" w:cs="仿宋_GB2312"/>
          <w:b/>
          <w:bCs/>
          <w:sz w:val="32"/>
          <w:szCs w:val="32"/>
        </w:rPr>
      </w:pPr>
    </w:p>
    <w:p>
      <w:pPr>
        <w:widowControl/>
        <w:spacing w:line="480" w:lineRule="auto"/>
        <w:ind w:right="-192" w:rightChars="-80" w:firstLine="0" w:firstLineChars="0"/>
        <w:jc w:val="left"/>
        <w:rPr>
          <w:rFonts w:hint="default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 xml:space="preserve">                   二零二零年十月</w:t>
      </w:r>
    </w:p>
    <w:p>
      <w:pPr>
        <w:pStyle w:val="6"/>
        <w:ind w:firstLine="0" w:firstLineChars="0"/>
        <w:rPr>
          <w:rFonts w:hint="eastAsia" w:ascii="Arial Narrow" w:hAnsi="Arial Narrow" w:eastAsia="仿宋_GB2312" w:cs="Arial Narrow"/>
          <w:b/>
          <w:kern w:val="2"/>
          <w:sz w:val="24"/>
          <w:szCs w:val="24"/>
        </w:rPr>
      </w:pPr>
    </w:p>
    <w:p>
      <w:pPr>
        <w:pStyle w:val="6"/>
        <w:ind w:firstLine="0" w:firstLineChars="0"/>
        <w:jc w:val="center"/>
        <w:rPr>
          <w:rFonts w:ascii="黑体" w:hAnsi="宋体" w:eastAsia="黑体" w:cs="黑体"/>
          <w:b w:val="0"/>
          <w:i w:val="0"/>
          <w:color w:val="000000"/>
          <w:sz w:val="36"/>
          <w:szCs w:val="36"/>
        </w:rPr>
      </w:pPr>
      <w:r>
        <w:rPr>
          <w:rFonts w:hint="eastAsia" w:ascii="黑体" w:hAnsi="宋体" w:eastAsia="黑体" w:cs="黑体"/>
          <w:b w:val="0"/>
          <w:i w:val="0"/>
          <w:color w:val="000000"/>
          <w:sz w:val="36"/>
          <w:szCs w:val="36"/>
          <w:lang w:val="en-US" w:eastAsia="zh-CN"/>
        </w:rPr>
        <w:t>2019</w:t>
      </w:r>
      <w:r>
        <w:rPr>
          <w:rFonts w:ascii="黑体" w:hAnsi="宋体" w:eastAsia="黑体" w:cs="黑体"/>
          <w:b w:val="0"/>
          <w:i w:val="0"/>
          <w:color w:val="000000"/>
          <w:sz w:val="36"/>
          <w:szCs w:val="36"/>
        </w:rPr>
        <w:t>年武汉市</w:t>
      </w:r>
      <w:r>
        <w:rPr>
          <w:rFonts w:hint="eastAsia" w:ascii="黑体" w:hAnsi="宋体" w:eastAsia="黑体" w:cs="黑体"/>
          <w:b w:val="0"/>
          <w:i w:val="0"/>
          <w:color w:val="000000"/>
          <w:sz w:val="36"/>
          <w:szCs w:val="36"/>
          <w:lang w:eastAsia="zh-CN"/>
        </w:rPr>
        <w:t>武昌</w:t>
      </w:r>
      <w:r>
        <w:rPr>
          <w:rFonts w:ascii="黑体" w:hAnsi="宋体" w:eastAsia="黑体" w:cs="黑体"/>
          <w:b w:val="0"/>
          <w:i w:val="0"/>
          <w:color w:val="000000"/>
          <w:sz w:val="36"/>
          <w:szCs w:val="36"/>
        </w:rPr>
        <w:t>区人民政府</w:t>
      </w:r>
      <w:r>
        <w:rPr>
          <w:rFonts w:hint="eastAsia" w:ascii="黑体" w:hAnsi="宋体" w:eastAsia="黑体" w:cs="黑体"/>
          <w:b w:val="0"/>
          <w:i w:val="0"/>
          <w:color w:val="000000"/>
          <w:sz w:val="36"/>
          <w:szCs w:val="36"/>
          <w:lang w:eastAsia="zh-CN"/>
        </w:rPr>
        <w:t>首义路</w:t>
      </w:r>
      <w:r>
        <w:rPr>
          <w:rFonts w:ascii="黑体" w:hAnsi="宋体" w:eastAsia="黑体" w:cs="黑体"/>
          <w:b w:val="0"/>
          <w:i w:val="0"/>
          <w:color w:val="000000"/>
          <w:sz w:val="36"/>
          <w:szCs w:val="36"/>
        </w:rPr>
        <w:t>街办事处</w:t>
      </w:r>
      <w:r>
        <w:rPr>
          <w:rFonts w:ascii="黑体" w:hAnsi="宋体" w:eastAsia="黑体" w:cs="黑体"/>
          <w:b w:val="0"/>
          <w:i w:val="0"/>
          <w:color w:val="000000"/>
          <w:sz w:val="36"/>
          <w:szCs w:val="36"/>
        </w:rPr>
        <w:br w:type="textWrapping"/>
      </w:r>
      <w:r>
        <w:rPr>
          <w:rFonts w:hint="eastAsia" w:ascii="黑体" w:hAnsi="宋体" w:eastAsia="黑体" w:cs="黑体"/>
          <w:b w:val="0"/>
          <w:i w:val="0"/>
          <w:color w:val="000000"/>
          <w:sz w:val="36"/>
          <w:szCs w:val="36"/>
          <w:lang w:eastAsia="zh-CN"/>
        </w:rPr>
        <w:t>文明创建工作</w:t>
      </w:r>
      <w:r>
        <w:rPr>
          <w:rFonts w:ascii="黑体" w:hAnsi="宋体" w:eastAsia="黑体" w:cs="黑体"/>
          <w:b w:val="0"/>
          <w:i w:val="0"/>
          <w:color w:val="000000"/>
          <w:sz w:val="36"/>
          <w:szCs w:val="36"/>
        </w:rPr>
        <w:t>经费绩效自评报告</w:t>
      </w:r>
      <w:r>
        <w:rPr>
          <w:rFonts w:ascii="黑体" w:hAnsi="宋体" w:eastAsia="黑体" w:cs="黑体"/>
          <w:b w:val="0"/>
          <w:i w:val="0"/>
          <w:color w:val="000000"/>
          <w:sz w:val="36"/>
          <w:szCs w:val="36"/>
        </w:rPr>
        <w:br w:type="textWrapping"/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Style w:val="8"/>
          <w:rFonts w:hint="eastAsia" w:ascii="仿宋_GB2312" w:hAnsi="仿宋_GB2312" w:eastAsia="仿宋_GB2312" w:cs="仿宋_GB2312"/>
          <w:b/>
          <w:bCs/>
        </w:rPr>
      </w:pPr>
      <w:r>
        <w:rPr>
          <w:rStyle w:val="8"/>
          <w:rFonts w:hint="eastAsia" w:ascii="仿宋_GB2312" w:hAnsi="仿宋_GB2312" w:eastAsia="仿宋_GB2312" w:cs="仿宋_GB2312"/>
          <w:b/>
          <w:bCs/>
        </w:rPr>
        <w:t>一、项目基本情况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Style w:val="8"/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sz w:val="24"/>
          <w:szCs w:val="24"/>
        </w:rPr>
        <w:t>（一）项目立项背景和依据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Style w:val="8"/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sz w:val="24"/>
          <w:szCs w:val="24"/>
        </w:rPr>
        <w:t>《武昌区精神文明建设十三五发展规划》提出，以建设社会主义核心价值体系为主要内容，以巩固全国文明城市创建成果和争创新一轮省、市级文明城区为主线，以提升市民文明素质和城市文明程度为根本任务，以开展“我的中国梦”系列活动为载体，主动适应经济发展新常态和社会转型时期新要求，积极创新内容形式、方法手段和体制机制，努力构筑和谐人际关系和良好社会道德风尚，为建设国家中心城市核心区提供强大精神动力、思想保证和智力支持。根据文件要求，我街道对201</w:t>
      </w:r>
      <w:r>
        <w:rPr>
          <w:rStyle w:val="8"/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9</w:t>
      </w:r>
      <w:r>
        <w:rPr>
          <w:rStyle w:val="8"/>
          <w:rFonts w:hint="eastAsia" w:ascii="仿宋_GB2312" w:hAnsi="仿宋_GB2312" w:eastAsia="仿宋_GB2312" w:cs="仿宋_GB2312"/>
          <w:sz w:val="24"/>
          <w:szCs w:val="24"/>
        </w:rPr>
        <w:t>年文明创建工作经费项目进行预算绩效评价。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Style w:val="8"/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sz w:val="24"/>
          <w:szCs w:val="24"/>
        </w:rPr>
        <w:t>（二）项目预算绩效目标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Style w:val="8"/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  <w:t>文明创建工作经费，主要用于</w:t>
      </w:r>
      <w:r>
        <w:rPr>
          <w:rStyle w:val="8"/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文明交通值守，网吧值守，开展志愿者活动、道德文化讲堂活动和教育活动</w:t>
      </w:r>
      <w:r>
        <w:rPr>
          <w:rStyle w:val="8"/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  <w:t>，组织文明创建相关培训活动，</w:t>
      </w:r>
      <w:r>
        <w:rPr>
          <w:rStyle w:val="8"/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做好每月城市文明程度测评</w:t>
      </w:r>
      <w:r>
        <w:rPr>
          <w:rStyle w:val="8"/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Style w:val="8"/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  <w:t>主要评价方法概述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Style w:val="8"/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  <w:t>“文明创建项目工作经费”绩效评价采用比较法、公众评判法、统计计算法、实地考察等方法进行评价分析，调阅相关凭证、单据进行分析研究。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200" w:right="0" w:rightChars="0"/>
        <w:jc w:val="both"/>
        <w:textAlignment w:val="auto"/>
        <w:outlineLvl w:val="9"/>
        <w:rPr>
          <w:rStyle w:val="8"/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28"/>
          <w:szCs w:val="28"/>
        </w:rPr>
        <w:t>、项目绩效分析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（一）项目概况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1、业务管理情况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  <w:t>以建设社会主义核心价值体系为主要内容，以巩固全国文明城市创建成果和争创新一轮文明城区为主线，以提升市民文明素质和城市文明程度为根本任务，开展一系列常态化工作和组织志愿者进行文明过马路、网吧值守、地铁单车、垃圾分类等志愿服务活动，加强未成年人思想道德建设。努力构筑和谐人际关系和良好社会道德风尚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2.财务管理情况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sz w:val="24"/>
          <w:szCs w:val="24"/>
        </w:rPr>
        <w:t>文明创建工作经费项目绩效自评综述：项目全年预算数为1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4"/>
          <w:szCs w:val="24"/>
        </w:rPr>
        <w:t>0万元，执行数为1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24"/>
          <w:szCs w:val="24"/>
        </w:rPr>
        <w:t>万元，完成预算的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24"/>
          <w:szCs w:val="24"/>
        </w:rPr>
        <w:t>%。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项目预算绩效目标的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  <w:t>完成情况及效果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今年以来，文明城市创建工作以培育和践行社会主义核心价值观为主线，由我街推荐申报的719社区黄群被中央文明委评为第七届全国道德模范，至此我街申报的全国道德模范增加到2人，走在全市街道的前列；1-8月份度市、区测评综合排名全区街道排名第5位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坚持常态长效。坚持问题导向，每日督查、每周通报，适时召开讲评会、通报会等强化动态考核，坚持对标创建、以测促创</w:t>
      </w: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</w:rPr>
        <w:t>高水平推进文明城市建设.根据修订完善的《全国文明城市测评体系》，细化分解目标任务、责任分工到职能单位、科室、社区。坚持问题导向，落实常态化巡查通报机制，1-9月，通过自查和市、区检查反馈的情况下发督查通报15期,做到了举一反三全部督查整改到位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深化多措并举，推进社会主义核心价值观建设。打造文明创建宣传升级版，先后与武昌火车站、宏基站务公司等各级文明单位共同承办“武昌周周讲首义路街子讲堂”活动。以喜迎军运、美化环境，传播文明，引领风尚为抓手，在首义路口袋公园制作“迎接军运会，打造新环境，当好东道主”大型公益宣传，获市区文明办的充分肯定。1-9月份在街窗口地段以及8个社区制作各类公益宣传1500余幅（块）。邀请全国特级优秀警察刘五桥、区交通大队二中队对志愿者进行迎军运文明交通培训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4.加快推进全域文明，深化群众性精神文明创建活动。深入推进文明家庭评选。集中表彰最美文明家庭10户，文明家庭10户，推荐的701社区张静家庭获评全省首届文明家庭，以身边典型引路，让文明家庭创建活动家喻户晓。加强未成年人思想道德建设，与中山路小学开展“我的中国梦”系列“向国旗敬礼”活动，与省直机关第一幼儿园开展“童心向党歌咏”主题教育实践活动，与武昌区大东门幼儿园“相约起点•经典诵读•培育和践行社会主义核心价值观”主题活动，推动社会主义核心价值观进进课堂、进未成年人头脑，向市文明办推荐新时代好少年人选2人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5.坚持文明创建向军运聚焦，全力推进军运保障工作。加强军运会公益宣传，营造浓厚社会氛围。发放第七届世界军人运动会宣传册20000份、“迎军运文明晾晒”宣传折页10000份，制作文明晾晒宣传纸巾2000盒，在8个社区公共场所设置迎军运社区宣传点，常态化开展宣传。召开地区文明单位“与军运同行”工作调度会2次，与文明单位签订迎军运环境综合整治责任书、“争做控烟机关、助力无烟军运”承诺书。每周五组织地区文明单位干部职工参加社区“迎军运美化家园”主题活动41场次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28"/>
          <w:szCs w:val="28"/>
          <w:lang w:eastAsia="zh-CN"/>
        </w:rPr>
        <w:t>三、评价指标体系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绩效评价指标体系包括投入、过程、产出、效果四个方面。其中“投入”权重12分，“过程”权重20分，“产出”权重32分， “效果”36分。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28"/>
          <w:szCs w:val="28"/>
          <w:lang w:eastAsia="zh-CN"/>
        </w:rPr>
        <w:t>四、绩效分析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（一）项目投入（12分）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根据评价原则，项目投入评价得分为12分，评价结果为优。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（二）项目过程（20分）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根据评价原则，项目过程得分为19分，评价结果为优。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（三）项目产出（32分）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根据评价原则，项目产出评价得分为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4"/>
          <w:szCs w:val="24"/>
        </w:rPr>
        <w:t>分，评价结果为优。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（四）项目效果（36分）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根据评价原则，项目效果评价得分为3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分，评价结果为优。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28"/>
          <w:szCs w:val="28"/>
          <w:lang w:eastAsia="zh-CN"/>
        </w:rPr>
        <w:t>五、自评结论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预算执行情况：201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年度</w:t>
      </w:r>
      <w:r>
        <w:rPr>
          <w:rFonts w:hint="eastAsia" w:ascii="仿宋_GB2312" w:hAnsi="仿宋_GB2312" w:eastAsia="仿宋_GB2312" w:cs="仿宋_GB2312"/>
          <w:sz w:val="24"/>
          <w:szCs w:val="24"/>
        </w:rPr>
        <w:t>项目全年预算数为1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4"/>
          <w:szCs w:val="24"/>
        </w:rPr>
        <w:t>0万元，执行数为1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24"/>
          <w:szCs w:val="24"/>
        </w:rPr>
        <w:t>万元，完成预算的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24"/>
          <w:szCs w:val="24"/>
        </w:rPr>
        <w:t>%。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项目绩效情况：该项目资金的投入经费，保障了街道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  <w:t>文明创建工作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的顺利进行。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经综合评价，中南路街道办事处“文明创建项目工作经费”绩效评价总得分为9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.00分，评价结果为优。具体分项得分如下：</w:t>
      </w:r>
    </w:p>
    <w:tbl>
      <w:tblPr>
        <w:tblStyle w:val="4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26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35" w:type="dxa"/>
            <w:tcBorders>
              <w:bottom w:val="single" w:color="008000" w:sz="6" w:space="0"/>
            </w:tcBorders>
            <w:vAlign w:val="center"/>
          </w:tcPr>
          <w:p>
            <w:pPr>
              <w:ind w:firstLine="562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评价准则</w:t>
            </w:r>
          </w:p>
        </w:tc>
        <w:tc>
          <w:tcPr>
            <w:tcW w:w="2126" w:type="dxa"/>
            <w:tcBorders>
              <w:bottom w:val="single" w:color="008000" w:sz="6" w:space="0"/>
            </w:tcBorders>
            <w:vAlign w:val="center"/>
          </w:tcPr>
          <w:p>
            <w:pPr>
              <w:ind w:firstLine="562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准则分值</w:t>
            </w:r>
          </w:p>
        </w:tc>
        <w:tc>
          <w:tcPr>
            <w:tcW w:w="2268" w:type="dxa"/>
            <w:tcBorders>
              <w:bottom w:val="single" w:color="008000" w:sz="6" w:space="0"/>
            </w:tcBorders>
            <w:vAlign w:val="center"/>
          </w:tcPr>
          <w:p>
            <w:pPr>
              <w:ind w:left="183" w:firstLine="562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评价得分</w:t>
            </w:r>
          </w:p>
        </w:tc>
        <w:tc>
          <w:tcPr>
            <w:tcW w:w="2126" w:type="dxa"/>
            <w:tcBorders>
              <w:bottom w:val="single" w:color="008000" w:sz="6" w:space="0"/>
            </w:tcBorders>
            <w:vAlign w:val="center"/>
          </w:tcPr>
          <w:p>
            <w:pPr>
              <w:ind w:firstLine="562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35" w:type="dxa"/>
            <w:vAlign w:val="center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项目投入</w:t>
            </w:r>
          </w:p>
        </w:tc>
        <w:tc>
          <w:tcPr>
            <w:tcW w:w="212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12分</w:t>
            </w:r>
          </w:p>
        </w:tc>
        <w:tc>
          <w:tcPr>
            <w:tcW w:w="22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12分</w:t>
            </w: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35" w:type="dxa"/>
            <w:vAlign w:val="center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项目过程</w:t>
            </w:r>
          </w:p>
        </w:tc>
        <w:tc>
          <w:tcPr>
            <w:tcW w:w="212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20分</w:t>
            </w:r>
          </w:p>
        </w:tc>
        <w:tc>
          <w:tcPr>
            <w:tcW w:w="22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19分</w:t>
            </w: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35" w:type="dxa"/>
            <w:vAlign w:val="center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项目产出</w:t>
            </w:r>
          </w:p>
        </w:tc>
        <w:tc>
          <w:tcPr>
            <w:tcW w:w="2126" w:type="dxa"/>
            <w:vAlign w:val="center"/>
          </w:tcPr>
          <w:p>
            <w:pPr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32分</w:t>
            </w:r>
          </w:p>
        </w:tc>
        <w:tc>
          <w:tcPr>
            <w:tcW w:w="2268" w:type="dxa"/>
            <w:vAlign w:val="center"/>
          </w:tcPr>
          <w:p>
            <w:pPr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  <w:tc>
          <w:tcPr>
            <w:tcW w:w="2126" w:type="dxa"/>
            <w:vAlign w:val="center"/>
          </w:tcPr>
          <w:p>
            <w:pPr>
              <w:ind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35" w:type="dxa"/>
            <w:tcBorders>
              <w:top w:val="single" w:color="008000" w:sz="6" w:space="0"/>
              <w:bottom w:val="single" w:color="008000" w:sz="6" w:space="0"/>
            </w:tcBorders>
            <w:vAlign w:val="center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项目效果</w:t>
            </w:r>
          </w:p>
        </w:tc>
        <w:tc>
          <w:tcPr>
            <w:tcW w:w="2126" w:type="dxa"/>
            <w:tcBorders>
              <w:top w:val="single" w:color="008000" w:sz="6" w:space="0"/>
              <w:bottom w:val="single" w:color="008000" w:sz="6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36分</w:t>
            </w:r>
          </w:p>
        </w:tc>
        <w:tc>
          <w:tcPr>
            <w:tcW w:w="2268" w:type="dxa"/>
            <w:tcBorders>
              <w:top w:val="single" w:color="008000" w:sz="6" w:space="0"/>
              <w:bottom w:val="single" w:color="008000" w:sz="6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34分</w:t>
            </w:r>
          </w:p>
        </w:tc>
        <w:tc>
          <w:tcPr>
            <w:tcW w:w="2126" w:type="dxa"/>
            <w:tcBorders>
              <w:top w:val="single" w:color="008000" w:sz="6" w:space="0"/>
              <w:bottom w:val="single" w:color="008000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35" w:type="dxa"/>
            <w:tcBorders>
              <w:top w:val="single" w:color="008000" w:sz="6" w:space="0"/>
            </w:tcBorders>
            <w:vAlign w:val="center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综合绩效</w:t>
            </w:r>
          </w:p>
        </w:tc>
        <w:tc>
          <w:tcPr>
            <w:tcW w:w="2126" w:type="dxa"/>
            <w:tcBorders>
              <w:top w:val="single" w:color="008000" w:sz="6" w:space="0"/>
            </w:tcBorders>
            <w:vAlign w:val="center"/>
          </w:tcPr>
          <w:p>
            <w:pPr>
              <w:ind w:firstLine="56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100分</w:t>
            </w:r>
          </w:p>
        </w:tc>
        <w:tc>
          <w:tcPr>
            <w:tcW w:w="2268" w:type="dxa"/>
            <w:tcBorders>
              <w:top w:val="single" w:color="008000" w:sz="6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  <w:tc>
          <w:tcPr>
            <w:tcW w:w="2126" w:type="dxa"/>
            <w:tcBorders>
              <w:top w:val="single" w:color="008000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olor w:val="000000"/>
          <w:sz w:val="28"/>
          <w:szCs w:val="28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28"/>
          <w:szCs w:val="28"/>
          <w:lang w:eastAsia="zh-CN"/>
        </w:rPr>
        <w:t>六、主要经验及做法、存在的问题和改进措施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（一）主要经验及做法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常态长效推进文明城市建设。定期督查通报，动态考核，坚持对标创建、以测促创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；二是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多措并举，推进社会主义核心价值观建设，深化群众性精神文明创建活动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开展公益宣传活动，举办文明家庭评选、主题教育实践活动、“迎军运美化家园”活动等，进一步美化环境，传播文明，引领风尚。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（二）存在问题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1、文明创建的形式还不够丰富多样，内容和精神还未深入人心，不同社区、单位、群体间还存在一定差异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2、资金使用率还有待提高，项目质量的跟踪评价机制有待完善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（三）改进措施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1、创新和丰富文明创建的宣传方式及手段，扩大宣传范围，加强交流学习和工作实践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2、完善考核评价体系，加强对支出项目的监督评价，及时开展工作的检查回访，提高资金使用效率及项目产出质量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Narrow">
    <w:panose1 w:val="020B050602020203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952C4F"/>
    <w:multiLevelType w:val="singleLevel"/>
    <w:tmpl w:val="B5952C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38C265"/>
    <w:multiLevelType w:val="singleLevel"/>
    <w:tmpl w:val="FF38C26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2342352"/>
    <w:multiLevelType w:val="singleLevel"/>
    <w:tmpl w:val="5234235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FE7357"/>
    <w:rsid w:val="1A436B3A"/>
    <w:rsid w:val="1B375369"/>
    <w:rsid w:val="1CAE5C48"/>
    <w:rsid w:val="1CF354BD"/>
    <w:rsid w:val="1FA92584"/>
    <w:rsid w:val="28A74EE3"/>
    <w:rsid w:val="28E54277"/>
    <w:rsid w:val="309C276B"/>
    <w:rsid w:val="373E71CC"/>
    <w:rsid w:val="42BE7CC5"/>
    <w:rsid w:val="50F27D82"/>
    <w:rsid w:val="562C3D38"/>
    <w:rsid w:val="56D8238A"/>
    <w:rsid w:val="608139B1"/>
    <w:rsid w:val="6BD67845"/>
    <w:rsid w:val="722F44E0"/>
    <w:rsid w:val="75723239"/>
    <w:rsid w:val="79EB2A3E"/>
    <w:rsid w:val="7DFC5BCB"/>
    <w:rsid w:val="7FFD65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宋体"/>
      <w:sz w:val="18"/>
      <w:szCs w:val="2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both"/>
      <w:outlineLvl w:val="9"/>
    </w:pPr>
    <w:rPr>
      <w:rFonts w:ascii="Times New Roman" w:hAnsi="Times New Roman" w:eastAsia="宋体"/>
      <w:sz w:val="18"/>
      <w:szCs w:val="20"/>
    </w:rPr>
  </w:style>
  <w:style w:type="paragraph" w:customStyle="1" w:styleId="6">
    <w:name w:val="List Paragraph"/>
    <w:basedOn w:val="1"/>
    <w:qFormat/>
    <w:uiPriority w:val="34"/>
    <w:pPr>
      <w:widowControl/>
      <w:adjustRightInd w:val="0"/>
      <w:snapToGrid w:val="0"/>
      <w:spacing w:after="200" w:line="240" w:lineRule="auto"/>
      <w:ind w:firstLine="42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7">
    <w:name w:val="fontstyle01"/>
    <w:basedOn w:val="5"/>
    <w:qFormat/>
    <w:uiPriority w:val="0"/>
    <w:rPr>
      <w:rFonts w:ascii="黑体" w:hAnsi="宋体" w:eastAsia="黑体" w:cs="黑体"/>
      <w:color w:val="000000"/>
      <w:sz w:val="44"/>
      <w:szCs w:val="44"/>
    </w:rPr>
  </w:style>
  <w:style w:type="character" w:customStyle="1" w:styleId="8">
    <w:name w:val="fontstyle11"/>
    <w:basedOn w:val="5"/>
    <w:qFormat/>
    <w:uiPriority w:val="0"/>
    <w:rPr>
      <w:rFonts w:ascii="宋体" w:hAnsi="宋体" w:eastAsia="宋体" w:cs="宋体"/>
      <w:color w:val="000000"/>
      <w:sz w:val="28"/>
      <w:szCs w:val="28"/>
    </w:rPr>
  </w:style>
  <w:style w:type="character" w:customStyle="1" w:styleId="9">
    <w:name w:val="fontstyle21"/>
    <w:basedOn w:val="5"/>
    <w:qFormat/>
    <w:uiPriority w:val="0"/>
    <w:rPr>
      <w:rFonts w:ascii="Calibri" w:hAnsi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2019-10-29T01:11:00Z</dcterms:created>
  <dc:creator>是菜菜子呀</dc:creator>
  <cp:lastModifiedBy>峻熙</cp:lastModifiedBy>
  <dcterms:modified xsi:type="dcterms:W3CDTF">2020-10-27T09:22:28Z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