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 w:cs="方正小标宋_GBK"/>
          <w:sz w:val="32"/>
          <w:szCs w:val="32"/>
          <w:highlight w:val="yellow"/>
        </w:rPr>
      </w:pPr>
      <w:r>
        <w:rPr>
          <w:rFonts w:hint="eastAsia" w:ascii="华文中宋" w:hAnsi="华文中宋" w:eastAsia="华文中宋" w:cs="方正小标宋_GBK"/>
          <w:sz w:val="32"/>
          <w:szCs w:val="32"/>
        </w:rPr>
        <w:t>城市园林绿化行政处罚</w:t>
      </w:r>
    </w:p>
    <w:p>
      <w:pPr>
        <w:spacing w:line="560" w:lineRule="exact"/>
        <w:jc w:val="center"/>
        <w:rPr>
          <w:rFonts w:ascii="华文中宋" w:hAnsi="华文中宋" w:eastAsia="华文中宋" w:cs="方正小标宋_GBK"/>
          <w:sz w:val="44"/>
          <w:szCs w:val="44"/>
        </w:rPr>
      </w:pPr>
      <w:r>
        <w:rPr>
          <w:rFonts w:hint="eastAsia" w:ascii="华文中宋" w:hAnsi="华文中宋" w:eastAsia="华文中宋" w:cs="方正小标宋_GBK"/>
          <w:sz w:val="32"/>
          <w:szCs w:val="32"/>
        </w:rPr>
        <w:t>对违反《武汉市城市绿化条例》第五十六条的行政处罚办事指南表（基本信息表）</w:t>
      </w:r>
    </w:p>
    <w:tbl>
      <w:tblPr>
        <w:tblStyle w:val="2"/>
        <w:tblW w:w="87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6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职权名称</w:t>
            </w:r>
          </w:p>
        </w:tc>
        <w:tc>
          <w:tcPr>
            <w:tcW w:w="6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Verdana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Verdana"/>
                <w:kern w:val="0"/>
                <w:sz w:val="18"/>
                <w:szCs w:val="18"/>
              </w:rPr>
              <w:t>对违反《</w:t>
            </w:r>
            <w:r>
              <w:rPr>
                <w:rFonts w:hint="eastAsia" w:ascii="仿宋_GB2312" w:hAnsi="仿宋" w:eastAsia="仿宋_GB2312" w:cs="Verdana"/>
                <w:kern w:val="0"/>
                <w:sz w:val="18"/>
                <w:szCs w:val="18"/>
                <w:lang w:val="en-US" w:eastAsia="zh-CN"/>
              </w:rPr>
              <w:t>武汉市城市绿化条例</w:t>
            </w:r>
            <w:r>
              <w:rPr>
                <w:rFonts w:hint="eastAsia" w:ascii="仿宋_GB2312" w:hAnsi="仿宋" w:eastAsia="仿宋_GB2312" w:cs="Verdana"/>
                <w:kern w:val="0"/>
                <w:sz w:val="18"/>
                <w:szCs w:val="18"/>
              </w:rPr>
              <w:t>》第</w:t>
            </w:r>
            <w:r>
              <w:rPr>
                <w:rFonts w:hint="eastAsia" w:ascii="仿宋_GB2312" w:hAnsi="仿宋" w:eastAsia="仿宋_GB2312" w:cs="Verdana"/>
                <w:kern w:val="0"/>
                <w:sz w:val="18"/>
                <w:szCs w:val="18"/>
                <w:lang w:val="en-US" w:eastAsia="zh-CN"/>
              </w:rPr>
              <w:t>五十六</w:t>
            </w:r>
            <w:r>
              <w:rPr>
                <w:rFonts w:hint="eastAsia" w:ascii="仿宋_GB2312" w:hAnsi="仿宋" w:eastAsia="仿宋_GB2312" w:cs="Verdana"/>
                <w:kern w:val="0"/>
                <w:sz w:val="18"/>
                <w:szCs w:val="18"/>
              </w:rPr>
              <w:t>条的行政处罚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实施机关</w:t>
            </w:r>
          </w:p>
        </w:tc>
        <w:tc>
          <w:tcPr>
            <w:tcW w:w="6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eastAsia="zh-CN"/>
              </w:rPr>
              <w:t>武汉市武昌区城市管理执法局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职权依据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_GB2312" w:hAnsi="仿宋" w:eastAsia="仿宋_GB2312" w:cs="Verdan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Verdana"/>
                <w:kern w:val="0"/>
                <w:sz w:val="18"/>
                <w:szCs w:val="18"/>
              </w:rPr>
              <w:t>违反《</w:t>
            </w:r>
            <w:r>
              <w:rPr>
                <w:rFonts w:hint="eastAsia" w:ascii="仿宋_GB2312" w:hAnsi="仿宋" w:eastAsia="仿宋_GB2312" w:cs="Verdana"/>
                <w:kern w:val="0"/>
                <w:sz w:val="18"/>
                <w:szCs w:val="18"/>
                <w:lang w:val="en-US" w:eastAsia="zh-CN"/>
              </w:rPr>
              <w:t>武汉市城市绿化条例</w:t>
            </w:r>
            <w:r>
              <w:rPr>
                <w:rFonts w:hint="eastAsia" w:ascii="仿宋_GB2312" w:hAnsi="仿宋" w:eastAsia="仿宋_GB2312" w:cs="Verdana"/>
                <w:kern w:val="0"/>
                <w:sz w:val="18"/>
                <w:szCs w:val="18"/>
              </w:rPr>
              <w:t>》第</w:t>
            </w:r>
            <w:r>
              <w:rPr>
                <w:rFonts w:hint="eastAsia" w:ascii="仿宋_GB2312" w:hAnsi="仿宋" w:eastAsia="仿宋_GB2312" w:cs="Verdana"/>
                <w:kern w:val="0"/>
                <w:sz w:val="18"/>
                <w:szCs w:val="18"/>
                <w:lang w:val="en-US" w:eastAsia="zh-CN"/>
              </w:rPr>
              <w:t>五十六</w:t>
            </w:r>
            <w:r>
              <w:rPr>
                <w:rFonts w:hint="eastAsia" w:ascii="仿宋_GB2312" w:hAnsi="仿宋" w:eastAsia="仿宋_GB2312" w:cs="Verdana"/>
                <w:kern w:val="0"/>
                <w:sz w:val="18"/>
                <w:szCs w:val="18"/>
              </w:rPr>
              <w:t>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违法违规行为</w:t>
            </w:r>
          </w:p>
        </w:tc>
        <w:tc>
          <w:tcPr>
            <w:tcW w:w="67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仿宋_GB2312" w:hAnsi="仿宋" w:eastAsia="仿宋_GB2312" w:cs="Verdan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Verdana"/>
                <w:kern w:val="0"/>
                <w:sz w:val="18"/>
                <w:szCs w:val="18"/>
                <w:lang w:val="en-US" w:eastAsia="zh-CN"/>
              </w:rPr>
              <w:t>擅自改变城市绿地性质的；擅自占用绿地的；擅自移栽、砍伐树木的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处罚种类</w:t>
            </w:r>
          </w:p>
        </w:tc>
        <w:tc>
          <w:tcPr>
            <w:tcW w:w="6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细化量化自由裁量权标准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ind w:firstLine="360" w:firstLineChars="200"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sz w:val="18"/>
                <w:szCs w:val="18"/>
              </w:rPr>
              <w:t>擅自改变城市绿地性质100平方米以下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18"/>
                <w:szCs w:val="18"/>
              </w:rPr>
              <w:t>责令限期改正，并按照每平方米500-650元的标准处以罚款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仿宋_GB2312" w:eastAsia="仿宋_GB2312"/>
                <w:sz w:val="18"/>
                <w:szCs w:val="18"/>
              </w:rPr>
              <w:t>擅自改变城市绿地性质100平方米以上200平方米以下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18"/>
                <w:szCs w:val="18"/>
              </w:rPr>
              <w:t>责令限期改正，并按照每平方米650-850元的标准处以罚款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仿宋_GB2312" w:eastAsia="仿宋_GB2312"/>
                <w:sz w:val="18"/>
                <w:szCs w:val="18"/>
              </w:rPr>
              <w:t>擅自改变城市绿地性质200平方米以上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18"/>
                <w:szCs w:val="18"/>
              </w:rPr>
              <w:t>责令限期改正，并按照每平方米850-1000元的标准处以罚款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4、擅自占用绿地，</w:t>
            </w:r>
            <w:r>
              <w:rPr>
                <w:rFonts w:hint="eastAsia" w:ascii="仿宋_GB2312" w:eastAsia="仿宋_GB2312"/>
                <w:sz w:val="18"/>
                <w:szCs w:val="18"/>
              </w:rPr>
              <w:t>责令限期改正，按照实际占用期限处以每日每平方米100元的罚款；逾期不改正的，自逾期之日起处以每日每平方米200元的罚款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5、</w:t>
            </w:r>
            <w:r>
              <w:rPr>
                <w:rFonts w:hint="eastAsia" w:ascii="仿宋_GB2312" w:eastAsia="仿宋_GB2312"/>
                <w:sz w:val="18"/>
                <w:szCs w:val="18"/>
              </w:rPr>
              <w:t>移栽砍伐树木10株以下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18"/>
                <w:szCs w:val="18"/>
              </w:rPr>
              <w:t>责令赔偿损失，并处以赔偿金额3倍罚款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仿宋_GB2312" w:eastAsia="仿宋_GB2312"/>
                <w:sz w:val="18"/>
                <w:szCs w:val="18"/>
              </w:rPr>
              <w:t>移栽砍伐树木10株以上20株以下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18"/>
                <w:szCs w:val="18"/>
              </w:rPr>
              <w:t>责令赔偿损失，并处以赔偿金额4倍罚款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5、</w:t>
            </w:r>
            <w:r>
              <w:rPr>
                <w:rFonts w:hint="eastAsia" w:ascii="仿宋_GB2312" w:eastAsia="仿宋_GB2312"/>
                <w:sz w:val="18"/>
                <w:szCs w:val="18"/>
              </w:rPr>
              <w:t>移栽砍伐树木20株以上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18"/>
                <w:szCs w:val="18"/>
              </w:rPr>
              <w:t>责令赔偿损失，并处以赔偿金额5倍罚款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职权运行流程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立案→调查→审查→告知→决定→送达→执行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责任事项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立案责任                                                            </w:t>
            </w:r>
          </w:p>
          <w:p>
            <w:pPr>
              <w:widowControl/>
              <w:ind w:firstLine="36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对于日常监督检查，群众来信来访及交办、转办中发现的问题及投诉举报的情况，进行审查核实，符合立案条件的予以立案。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调查取证责任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（1）行政执法人员不得少于两人，出示证件、表明身份；执法人员与当事人有直接利害关系的，应当回避。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（2）通过搜集证据、现场了解核实情况等进行调查，并制作笔录。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3.  审查责任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（1）单位负责人审查决定。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（2）对于情节复杂的，应当集体讨论决定。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（3）制作处罚决定书。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4.  告知责任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（1）行政机关在作出行政处罚决定之前，应当告知当事人作出行政处罚决定的事实、理由及依据，并告知当事人依法享有的权利。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（2）行政机关作出责令停产停业、吊销许可证或者执照、较大数额罚款等行政处罚决定之前，应当告知当事人有要求举行听证的权利；当事人要求听证的，行政机关应当组织听证。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5.决定责任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制作行政处罚决定书，载明行政处罚告知、当事人陈述申辩或者听证情况以及行政处罚的种类和依据、履行方式和期限、救济途径等内容。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6.送达责任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当场交付当事人，当事人不在场的，行政机关应在7日内，将行政处罚决定书送达当事人。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7.执行责任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（1）当事人自觉履行。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（2）强制执行。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8.其他法律法规规章文件规定应履行的责任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责任事项依据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仿宋_GB2312" w:hAnsi="仿宋" w:eastAsia="仿宋_GB2312" w:cs="Verdana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" w:eastAsia="仿宋_GB2312" w:cs="Verdana"/>
                <w:kern w:val="0"/>
                <w:sz w:val="18"/>
                <w:szCs w:val="18"/>
                <w:lang w:val="en-US" w:eastAsia="zh-CN"/>
              </w:rPr>
              <w:t>武汉市城市绿化条例</w:t>
            </w:r>
            <w:r>
              <w:rPr>
                <w:rFonts w:hint="eastAsia" w:ascii="仿宋_GB2312" w:hAnsi="仿宋" w:eastAsia="仿宋_GB2312" w:cs="Verdana"/>
                <w:kern w:val="0"/>
                <w:sz w:val="18"/>
                <w:szCs w:val="18"/>
              </w:rPr>
              <w:t>》第</w:t>
            </w:r>
            <w:r>
              <w:rPr>
                <w:rFonts w:hint="eastAsia" w:ascii="仿宋_GB2312" w:hAnsi="仿宋" w:eastAsia="仿宋_GB2312" w:cs="Verdana"/>
                <w:kern w:val="0"/>
                <w:sz w:val="18"/>
                <w:szCs w:val="18"/>
                <w:lang w:val="en-US" w:eastAsia="zh-CN"/>
              </w:rPr>
              <w:t>五十六</w:t>
            </w:r>
            <w:r>
              <w:rPr>
                <w:rFonts w:hint="eastAsia" w:ascii="仿宋_GB2312" w:hAnsi="仿宋" w:eastAsia="仿宋_GB2312" w:cs="Verdana"/>
                <w:kern w:val="0"/>
                <w:sz w:val="18"/>
                <w:szCs w:val="18"/>
              </w:rPr>
              <w:t>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2.《行政处罚法》第三十七条 行政机关在调查或者进行检查时，执法人员不得少于两人，并应当向当事人或者有关人员出示证件。当事人或者有关人员应当如实回答询问，并协助调查或者检查，不得阻挠。询问或者检查应当制作笔录。行政机关在收集证据时，可以采取抽样取证的方法；在证据可能灭失或者以后难以取得的情况下，经行政机关负责人批准，可以先行登记保存，并应当在七日内及时作出处理决定，在此期间，当事人或者有关人员不得销毁或者转移证据。执法人员与当事人有直接利害关系的，应当回避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3.《行政处罚法》第三十八条　调查终结，行政机关负责人应当对调查结果进行审查，根据不同情况，分别作出如下决定：（一）确有应受行政处罚的违法行为的，根据情节轻重及具体情况，作出行政处罚决定；（二）违法行为轻微，依法可以不予行政处罚的，不予行政处罚；（三）违法事实不能成立的，不得给予行政处罚；（四）违法行为已构成犯罪的，移送司法机关。对情节复杂或者重大违法行为给予较重的行政处罚，行政机关的负责人应当集体讨论决定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4.《行政处罚法》第三十一条 行政机关在作出行政处罚决定之前，应当告知当事人作出行政处罚决定的事实、理由及依据，并告知当事人依法享有的权利。第三十二条 当事人有权进行陈述和申辩。行政机关必须充分听取当事人的意见，对当事人提出的事实、理由和证据，应当进行复核；当事人提出的事实、理由或者证据成立的，行政机关应当采纳。行政机关不得因当事人申辩而加重处罚。第四十一条 行政机关及其执法人员在作出行政处罚决定之前，不依照本法第三十一条、第三十二条的规定向当事人告知给予行政处罚的事实、理由和依据，或者拒绝听取当事人的陈述、申辩，行政处罚决定不能成立；当事人放弃陈述或者申辩权利的除外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5.《行政处罚法》第三十九条 行政机关依照本法第三十八条的规定给予行政处罚，应当制作行政处罚决定书。行政处罚决定书应当载明下列事项：（一）当事人的姓名或者名称、地址；（二）违反法律、法规或者规章的事实和证据；（三）行政处罚的种类和依据；（四）行政处罚的履行方式和期限；（五）不服行政处罚决定，申请行政复议或者提起行政诉讼的途径和期限；（六）作出行政处罚决定的行政机关名称和作出决定的日期。行政处罚决定书必须盖有作出行政处罚决定的行政机关的印章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6.《行政处罚法》第四十条 行政处罚决定书应当在宣告后当场交付当事人；当事人不在场的，行政机关应当在七日内依照民事诉讼法的有关规定，将行政处罚决定书送达当事人。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7.《行政处罚法》第四十四条 行政处罚决定依法作出后，当事人应当在行政处罚决定的期限内，予以履行。第五十一条 当事人逾期不履行行政处罚决定的，作出行政处罚决定的行政机关可以采取下列措施：（一）到期不缴纳罚款的，每日按罚款数额的百分之三加处罚款；（二）根据法律规定，将查封、扣押的财物拍卖或者将冻结的存款划拨抵缴罚款；（三）申请人民法院强制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职责边界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承办机构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武汉市武昌区城市管理执法局执法大队;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咨询方式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联系电话：027-8893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3551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办公地址：武汉市武昌区胭脂路荆南街14号；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电子邮箱：wcqcgzfjxzcf@qq.com。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监督投诉方式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市长热线：027-12345；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ascii="华文中宋" w:hAnsi="华文中宋" w:eastAsia="华文中宋" w:cs="宋体"/>
          <w:kern w:val="0"/>
          <w:sz w:val="32"/>
          <w:szCs w:val="32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ind w:firstLine="2880" w:firstLineChars="900"/>
        <w:jc w:val="both"/>
        <w:rPr>
          <w:rFonts w:hint="eastAsia" w:ascii="华文中宋" w:hAnsi="华文中宋" w:eastAsia="华文中宋" w:cs="宋体"/>
          <w:kern w:val="0"/>
          <w:sz w:val="32"/>
          <w:szCs w:val="32"/>
        </w:rPr>
      </w:pPr>
    </w:p>
    <w:p>
      <w:pPr>
        <w:ind w:firstLine="2880" w:firstLineChars="900"/>
        <w:jc w:val="both"/>
        <w:rPr>
          <w:rFonts w:hint="eastAsia" w:ascii="华文中宋" w:hAnsi="华文中宋" w:eastAsia="华文中宋" w:cs="宋体"/>
          <w:kern w:val="0"/>
          <w:sz w:val="32"/>
          <w:szCs w:val="32"/>
        </w:rPr>
      </w:pPr>
    </w:p>
    <w:p>
      <w:pPr>
        <w:ind w:firstLine="2880" w:firstLineChars="900"/>
        <w:jc w:val="both"/>
        <w:rPr>
          <w:rFonts w:hint="eastAsia" w:ascii="华文中宋" w:hAnsi="华文中宋" w:eastAsia="华文中宋" w:cs="宋体"/>
          <w:kern w:val="0"/>
          <w:sz w:val="32"/>
          <w:szCs w:val="32"/>
        </w:rPr>
      </w:pPr>
    </w:p>
    <w:p>
      <w:pPr>
        <w:ind w:firstLine="2880" w:firstLineChars="900"/>
        <w:jc w:val="both"/>
        <w:rPr>
          <w:rFonts w:hint="eastAsia" w:ascii="华文中宋" w:hAnsi="华文中宋" w:eastAsia="华文中宋" w:cs="宋体"/>
          <w:kern w:val="0"/>
          <w:sz w:val="32"/>
          <w:szCs w:val="32"/>
        </w:rPr>
      </w:pPr>
    </w:p>
    <w:p>
      <w:pPr>
        <w:ind w:firstLine="2880" w:firstLineChars="900"/>
        <w:jc w:val="both"/>
        <w:rPr>
          <w:rFonts w:hint="eastAsia" w:ascii="华文中宋" w:hAnsi="华文中宋" w:eastAsia="华文中宋" w:cs="宋体"/>
          <w:kern w:val="0"/>
          <w:sz w:val="32"/>
          <w:szCs w:val="32"/>
        </w:rPr>
      </w:pPr>
    </w:p>
    <w:p>
      <w:pPr>
        <w:ind w:firstLine="2880" w:firstLineChars="900"/>
        <w:jc w:val="both"/>
        <w:rPr>
          <w:rFonts w:hint="eastAsia" w:ascii="华文中宋" w:hAnsi="华文中宋" w:eastAsia="华文中宋" w:cs="宋体"/>
          <w:kern w:val="0"/>
          <w:sz w:val="32"/>
          <w:szCs w:val="32"/>
        </w:rPr>
      </w:pPr>
    </w:p>
    <w:p>
      <w:pPr>
        <w:ind w:firstLine="2880" w:firstLineChars="900"/>
        <w:jc w:val="both"/>
        <w:rPr>
          <w:rFonts w:hint="eastAsia" w:ascii="华文中宋" w:hAnsi="华文中宋" w:eastAsia="华文中宋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kern w:val="0"/>
          <w:sz w:val="32"/>
          <w:szCs w:val="32"/>
        </w:rPr>
        <w:t>行政处罚外部流程图</w:t>
      </w:r>
    </w:p>
    <w:p>
      <w:pPr>
        <w:jc w:val="center"/>
        <w:rPr>
          <w:rFonts w:hint="eastAsia" w:ascii="华文中宋" w:hAnsi="华文中宋" w:eastAsia="华文中宋" w:cs="宋体"/>
          <w:kern w:val="0"/>
          <w:sz w:val="32"/>
          <w:szCs w:val="32"/>
        </w:rPr>
      </w:pPr>
      <w:r>
        <w:object>
          <v:shape id="_x0000_i1025" o:spt="75" type="#_x0000_t75" style="height:618.75pt;width:411.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4">
            <o:LockedField>false</o:LockedField>
          </o:OLEObject>
        </w:objec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D0A14"/>
    <w:rsid w:val="23780BBD"/>
    <w:rsid w:val="463141B2"/>
    <w:rsid w:val="4C9A37C8"/>
    <w:rsid w:val="569D0A14"/>
    <w:rsid w:val="597F0E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2021-07-09T09:20:00Z</dcterms:created>
  <dc:creator>夏夏</dc:creator>
  <cp:lastModifiedBy>夏夏</cp:lastModifiedBy>
  <dcterms:modified xsi:type="dcterms:W3CDTF">2021-07-12T08:02:20Z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C7864B7F78C4437F851A44BF9E50F405</vt:lpwstr>
  </property>
  <property fmtid="{D5CDD505-2E9C-101B-9397-08002B2CF9AE}" pid="4" name="KSOSaveFontToCloudKey">
    <vt:lpwstr>818107661_cloud</vt:lpwstr>
  </property>
</Properties>
</file>