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jc w:val="center"/>
        <w:rPr>
          <w:rFonts w:ascii="Arial Narrow" w:hAnsi="Arial Narrow" w:cs="Arial Narrow"/>
          <w:b/>
          <w:sz w:val="44"/>
          <w:szCs w:val="44"/>
        </w:rPr>
      </w:pPr>
    </w:p>
    <w:p>
      <w:pPr>
        <w:ind w:firstLine="883"/>
        <w:jc w:val="center"/>
        <w:rPr>
          <w:rFonts w:ascii="Arial Narrow" w:hAnsi="Arial Narrow" w:cs="Arial Narrow"/>
          <w:b/>
          <w:sz w:val="44"/>
          <w:szCs w:val="44"/>
        </w:rPr>
      </w:pPr>
    </w:p>
    <w:p>
      <w:pPr>
        <w:ind w:firstLine="0" w:firstLineChars="0"/>
        <w:jc w:val="center"/>
        <w:rPr>
          <w:rFonts w:ascii="Arial Narrow" w:hAnsi="Arial Narrow" w:cs="Arial Narrow"/>
          <w:b/>
          <w:sz w:val="44"/>
          <w:szCs w:val="44"/>
        </w:rPr>
      </w:pPr>
      <w:r>
        <w:rPr>
          <w:rFonts w:ascii="Arial Narrow" w:hAnsi="Arial Narrow" w:cs="Arial Narrow"/>
          <w:b/>
          <w:sz w:val="44"/>
          <w:szCs w:val="44"/>
        </w:rPr>
        <w:t>武昌区2017年度协税工作经费项目</w:t>
      </w:r>
    </w:p>
    <w:p>
      <w:pPr>
        <w:ind w:firstLine="0" w:firstLineChars="0"/>
        <w:jc w:val="center"/>
        <w:rPr>
          <w:rFonts w:ascii="Arial Narrow" w:hAnsi="Arial Narrow" w:cs="Arial Narrow"/>
          <w:b/>
          <w:bCs/>
          <w:sz w:val="44"/>
          <w:szCs w:val="44"/>
        </w:rPr>
      </w:pPr>
      <w:r>
        <w:rPr>
          <w:rFonts w:ascii="Arial Narrow" w:hAnsi="Arial Narrow" w:cs="Arial Narrow"/>
          <w:b/>
          <w:sz w:val="44"/>
          <w:szCs w:val="44"/>
        </w:rPr>
        <w:t>绩效评价报告</w:t>
      </w:r>
    </w:p>
    <w:p>
      <w:pPr>
        <w:ind w:firstLine="480"/>
        <w:rPr>
          <w:rFonts w:ascii="Arial Narrow" w:hAnsi="Arial Narrow" w:cs="Arial Narrow"/>
        </w:rPr>
      </w:pPr>
    </w:p>
    <w:p>
      <w:pPr>
        <w:ind w:firstLine="480"/>
        <w:rPr>
          <w:rFonts w:ascii="Arial Narrow" w:hAnsi="Arial Narrow" w:cs="Arial Narrow"/>
        </w:rPr>
      </w:pPr>
    </w:p>
    <w:p>
      <w:pPr>
        <w:ind w:firstLine="480"/>
        <w:rPr>
          <w:rFonts w:ascii="Arial Narrow" w:hAnsi="Arial Narrow" w:cs="Arial Narrow"/>
        </w:rPr>
      </w:pPr>
    </w:p>
    <w:p>
      <w:pPr>
        <w:widowControl/>
        <w:ind w:firstLine="790" w:firstLineChars="246"/>
        <w:jc w:val="left"/>
        <w:rPr>
          <w:rFonts w:ascii="Arial Narrow" w:hAnsi="Arial Narrow" w:cs="Arial Narrow"/>
          <w:b/>
          <w:bCs/>
          <w:kern w:val="32"/>
          <w:sz w:val="32"/>
          <w:lang w:bidi="he-IL"/>
        </w:rPr>
      </w:pPr>
    </w:p>
    <w:p>
      <w:pPr>
        <w:widowControl/>
        <w:ind w:firstLine="790" w:firstLineChars="246"/>
        <w:jc w:val="left"/>
        <w:rPr>
          <w:rFonts w:ascii="Arial Narrow" w:hAnsi="Arial Narrow" w:cs="Arial Narrow"/>
          <w:b/>
          <w:bCs/>
          <w:kern w:val="32"/>
          <w:sz w:val="32"/>
          <w:lang w:bidi="he-IL"/>
        </w:rPr>
      </w:pPr>
    </w:p>
    <w:p>
      <w:pPr>
        <w:widowControl/>
        <w:ind w:right="-192" w:rightChars="-80" w:firstLine="790" w:firstLineChars="246"/>
        <w:jc w:val="left"/>
        <w:rPr>
          <w:rFonts w:ascii="Arial Narrow" w:hAnsi="Arial Narrow" w:cs="Arial Narrow"/>
          <w:b/>
          <w:bCs/>
          <w:kern w:val="32"/>
          <w:sz w:val="32"/>
          <w:szCs w:val="32"/>
          <w:lang w:bidi="he-IL"/>
        </w:rPr>
      </w:pPr>
      <w:r>
        <w:rPr>
          <w:rFonts w:ascii="Arial Narrow" w:hAnsi="Arial Narrow" w:cs="Arial Narrow"/>
          <w:b/>
          <w:bCs/>
          <w:kern w:val="32"/>
          <w:sz w:val="32"/>
          <w:lang w:bidi="he-IL"/>
        </w:rPr>
        <w:t>项目名称：</w:t>
      </w:r>
      <w:r>
        <w:rPr>
          <w:rFonts w:ascii="Arial Narrow" w:hAnsi="Arial Narrow" w:cs="Arial Narrow"/>
          <w:b/>
          <w:bCs/>
          <w:sz w:val="32"/>
          <w:szCs w:val="32"/>
        </w:rPr>
        <w:t>协税工作经费项目</w:t>
      </w:r>
    </w:p>
    <w:p>
      <w:pPr>
        <w:widowControl/>
        <w:ind w:firstLine="790" w:firstLineChars="246"/>
        <w:jc w:val="left"/>
        <w:rPr>
          <w:rFonts w:ascii="Arial Narrow" w:hAnsi="Arial Narrow" w:cs="Arial Narrow"/>
          <w:b/>
          <w:bCs/>
          <w:sz w:val="32"/>
          <w:szCs w:val="32"/>
        </w:rPr>
      </w:pPr>
      <w:r>
        <w:rPr>
          <w:rFonts w:ascii="Arial Narrow" w:hAnsi="Arial Narrow" w:cs="Arial Narrow"/>
          <w:b/>
          <w:bCs/>
          <w:kern w:val="32"/>
          <w:sz w:val="32"/>
          <w:lang w:bidi="he-IL"/>
        </w:rPr>
        <w:t>项目单位：武昌区人民政府水果湖街办事处</w:t>
      </w:r>
    </w:p>
    <w:p>
      <w:pPr>
        <w:widowControl/>
        <w:ind w:firstLine="790" w:firstLineChars="246"/>
        <w:jc w:val="left"/>
        <w:rPr>
          <w:rFonts w:ascii="Arial Narrow" w:hAnsi="Arial Narrow" w:cs="Arial Narrow"/>
          <w:b/>
          <w:bCs/>
          <w:sz w:val="32"/>
          <w:szCs w:val="32"/>
        </w:rPr>
      </w:pPr>
      <w:r>
        <w:rPr>
          <w:rFonts w:ascii="Arial Narrow" w:hAnsi="Arial Narrow" w:cs="Arial Narrow"/>
          <w:b/>
          <w:bCs/>
          <w:kern w:val="32"/>
          <w:sz w:val="32"/>
          <w:lang w:bidi="he-IL"/>
        </w:rPr>
        <w:t>主管部门：武昌区人民政府水果湖街办事处</w:t>
      </w:r>
    </w:p>
    <w:p>
      <w:pPr>
        <w:widowControl/>
        <w:ind w:firstLine="790" w:firstLineChars="246"/>
        <w:jc w:val="left"/>
        <w:rPr>
          <w:rFonts w:ascii="Arial Narrow" w:hAnsi="Arial Narrow" w:cs="Arial Narrow"/>
          <w:b/>
          <w:bCs/>
          <w:kern w:val="32"/>
          <w:sz w:val="32"/>
          <w:lang w:bidi="he-IL"/>
        </w:rPr>
      </w:pPr>
      <w:r>
        <w:rPr>
          <w:rFonts w:ascii="Arial Narrow" w:hAnsi="Arial Narrow" w:cs="Arial Narrow"/>
          <w:b/>
          <w:bCs/>
          <w:kern w:val="32"/>
          <w:sz w:val="32"/>
          <w:lang w:bidi="he-IL"/>
        </w:rPr>
        <w:t>评价机构：致同会计师事务所（特殊普通合伙）</w:t>
      </w:r>
    </w:p>
    <w:p>
      <w:pPr>
        <w:widowControl/>
        <w:ind w:firstLine="2397" w:firstLineChars="746"/>
        <w:jc w:val="left"/>
        <w:rPr>
          <w:rFonts w:ascii="Arial Narrow" w:hAnsi="Arial Narrow" w:cs="Arial Narrow"/>
          <w:b/>
          <w:bCs/>
          <w:sz w:val="32"/>
          <w:szCs w:val="32"/>
        </w:rPr>
      </w:pPr>
      <w:r>
        <w:rPr>
          <w:rFonts w:ascii="Arial Narrow" w:hAnsi="Arial Narrow" w:cs="Arial Narrow"/>
          <w:b/>
          <w:bCs/>
          <w:kern w:val="32"/>
          <w:sz w:val="32"/>
          <w:lang w:bidi="he-IL"/>
        </w:rPr>
        <w:t>武汉分所</w:t>
      </w:r>
    </w:p>
    <w:p>
      <w:pPr>
        <w:ind w:firstLine="0" w:firstLineChars="0"/>
        <w:rPr>
          <w:rFonts w:ascii="Arial Narrow" w:hAnsi="Arial Narrow" w:cs="Arial Narrow"/>
          <w:b/>
          <w:bCs/>
          <w:sz w:val="32"/>
          <w:szCs w:val="32"/>
        </w:rPr>
      </w:pPr>
    </w:p>
    <w:p>
      <w:pPr>
        <w:ind w:firstLine="0" w:firstLineChars="0"/>
        <w:rPr>
          <w:rFonts w:ascii="Arial Narrow" w:hAnsi="Arial Narrow" w:cs="Arial Narrow"/>
          <w:b/>
          <w:bCs/>
          <w:sz w:val="32"/>
          <w:szCs w:val="32"/>
        </w:rPr>
      </w:pPr>
    </w:p>
    <w:p>
      <w:pPr>
        <w:ind w:firstLine="0" w:firstLineChars="0"/>
        <w:rPr>
          <w:rFonts w:ascii="Arial Narrow" w:hAnsi="Arial Narrow" w:cs="Arial Narrow"/>
          <w:b/>
          <w:bCs/>
          <w:sz w:val="32"/>
          <w:szCs w:val="32"/>
        </w:rPr>
      </w:pPr>
    </w:p>
    <w:p>
      <w:pPr>
        <w:ind w:firstLine="0" w:firstLineChars="0"/>
        <w:jc w:val="center"/>
        <w:rPr>
          <w:rFonts w:ascii="Arial Narrow" w:hAnsi="Arial Narrow" w:cs="Arial Narrow"/>
          <w:b/>
          <w:bCs/>
          <w:sz w:val="32"/>
          <w:szCs w:val="32"/>
        </w:rPr>
      </w:pPr>
      <w:r>
        <w:rPr>
          <w:rFonts w:ascii="Arial Narrow" w:hAnsi="Arial Narrow" w:cs="Arial Narrow"/>
          <w:b/>
          <w:bCs/>
          <w:sz w:val="32"/>
          <w:szCs w:val="32"/>
        </w:rPr>
        <w:t>二〇一八年五月</w:t>
      </w:r>
    </w:p>
    <w:p>
      <w:pPr>
        <w:ind w:firstLine="0" w:firstLineChars="0"/>
        <w:jc w:val="center"/>
        <w:rPr>
          <w:rFonts w:ascii="Arial Narrow" w:hAnsi="Arial Narrow" w:cs="Arial Narrow"/>
          <w:b/>
          <w:bCs/>
          <w:sz w:val="32"/>
          <w:szCs w:val="32"/>
        </w:rPr>
      </w:pPr>
    </w:p>
    <w:p>
      <w:pPr>
        <w:ind w:firstLine="0" w:firstLineChars="0"/>
        <w:jc w:val="center"/>
        <w:rPr>
          <w:rFonts w:ascii="Arial Narrow" w:hAnsi="Arial Narrow" w:cs="Arial Narrow"/>
          <w:b/>
          <w:sz w:val="44"/>
          <w:szCs w:val="44"/>
        </w:rPr>
      </w:pPr>
      <w:r>
        <w:rPr>
          <w:rFonts w:ascii="Arial Narrow" w:hAnsi="Arial Narrow" w:cs="Arial Narrow"/>
          <w:b/>
          <w:sz w:val="44"/>
          <w:szCs w:val="44"/>
        </w:rPr>
        <w:t>摘要</w:t>
      </w:r>
    </w:p>
    <w:p>
      <w:pPr>
        <w:ind w:firstLine="0" w:firstLineChars="0"/>
        <w:jc w:val="center"/>
        <w:rPr>
          <w:rFonts w:ascii="Arial Narrow" w:hAnsi="Arial Narrow" w:cs="Arial Narrow"/>
          <w:b/>
        </w:rPr>
      </w:pPr>
    </w:p>
    <w:p>
      <w:pPr>
        <w:snapToGrid w:val="0"/>
        <w:ind w:firstLine="0" w:firstLineChars="0"/>
        <w:outlineLvl w:val="1"/>
        <w:rPr>
          <w:rFonts w:ascii="Arial Narrow" w:hAnsi="Arial Narrow" w:cs="Arial Narrow"/>
          <w:b/>
        </w:rPr>
      </w:pPr>
      <w:r>
        <w:rPr>
          <w:rFonts w:ascii="Arial Narrow" w:hAnsi="Arial Narrow" w:cs="Arial Narrow"/>
          <w:b/>
        </w:rPr>
        <w:t>一、项目名称：协税工作经费项目</w:t>
      </w:r>
    </w:p>
    <w:p>
      <w:pPr>
        <w:snapToGrid w:val="0"/>
        <w:ind w:firstLine="0" w:firstLineChars="0"/>
        <w:outlineLvl w:val="1"/>
        <w:rPr>
          <w:rFonts w:ascii="Arial Narrow" w:hAnsi="Arial Narrow" w:cs="Arial Narrow"/>
          <w:b/>
        </w:rPr>
      </w:pPr>
      <w:r>
        <w:rPr>
          <w:rFonts w:ascii="Arial Narrow" w:hAnsi="Arial Narrow" w:cs="Arial Narrow"/>
          <w:b/>
        </w:rPr>
        <w:t>二、项目金额：30万元</w:t>
      </w:r>
    </w:p>
    <w:p>
      <w:pPr>
        <w:snapToGrid w:val="0"/>
        <w:ind w:firstLine="0" w:firstLineChars="0"/>
        <w:outlineLvl w:val="1"/>
        <w:rPr>
          <w:rFonts w:ascii="Arial Narrow" w:hAnsi="Arial Narrow" w:cs="Arial Narrow"/>
          <w:b/>
        </w:rPr>
      </w:pPr>
      <w:r>
        <w:rPr>
          <w:rFonts w:ascii="Arial Narrow" w:hAnsi="Arial Narrow" w:cs="Arial Narrow"/>
          <w:b/>
        </w:rPr>
        <w:t>三、绩效评价结果</w:t>
      </w:r>
    </w:p>
    <w:tbl>
      <w:tblPr>
        <w:tblStyle w:val="2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126"/>
        <w:gridCol w:w="226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2235" w:type="dxa"/>
            <w:tcBorders>
              <w:bottom w:val="single" w:color="008000" w:sz="6" w:space="0"/>
            </w:tcBorders>
            <w:vAlign w:val="center"/>
          </w:tcPr>
          <w:p>
            <w:pPr>
              <w:ind w:firstLine="480"/>
              <w:rPr>
                <w:rFonts w:ascii="Arial Narrow" w:hAnsi="Arial Narrow" w:cs="Arial Narrow"/>
              </w:rPr>
            </w:pPr>
            <w:r>
              <w:rPr>
                <w:rFonts w:ascii="Arial Narrow" w:hAnsi="Arial Narrow" w:cs="Arial Narrow"/>
              </w:rPr>
              <w:t>评价准则</w:t>
            </w:r>
          </w:p>
        </w:tc>
        <w:tc>
          <w:tcPr>
            <w:tcW w:w="2126" w:type="dxa"/>
            <w:tcBorders>
              <w:bottom w:val="single" w:color="008000" w:sz="6" w:space="0"/>
            </w:tcBorders>
            <w:vAlign w:val="center"/>
          </w:tcPr>
          <w:p>
            <w:pPr>
              <w:ind w:firstLine="480"/>
              <w:rPr>
                <w:rFonts w:ascii="Arial Narrow" w:hAnsi="Arial Narrow" w:cs="Arial Narrow"/>
              </w:rPr>
            </w:pPr>
            <w:r>
              <w:rPr>
                <w:rFonts w:ascii="Arial Narrow" w:hAnsi="Arial Narrow" w:cs="Arial Narrow"/>
              </w:rPr>
              <w:t>准则分值</w:t>
            </w:r>
          </w:p>
        </w:tc>
        <w:tc>
          <w:tcPr>
            <w:tcW w:w="2268" w:type="dxa"/>
            <w:tcBorders>
              <w:bottom w:val="single" w:color="008000" w:sz="6" w:space="0"/>
            </w:tcBorders>
            <w:vAlign w:val="center"/>
          </w:tcPr>
          <w:p>
            <w:pPr>
              <w:ind w:firstLine="0" w:firstLineChars="0"/>
              <w:jc w:val="center"/>
              <w:rPr>
                <w:rFonts w:ascii="Arial Narrow" w:hAnsi="Arial Narrow" w:cs="Arial Narrow"/>
              </w:rPr>
            </w:pPr>
            <w:r>
              <w:rPr>
                <w:rFonts w:ascii="Arial Narrow" w:hAnsi="Arial Narrow" w:cs="Arial Narrow"/>
              </w:rPr>
              <w:t>评价得分</w:t>
            </w:r>
          </w:p>
        </w:tc>
        <w:tc>
          <w:tcPr>
            <w:tcW w:w="2126" w:type="dxa"/>
            <w:tcBorders>
              <w:bottom w:val="single" w:color="008000" w:sz="6" w:space="0"/>
            </w:tcBorders>
            <w:vAlign w:val="center"/>
          </w:tcPr>
          <w:p>
            <w:pPr>
              <w:ind w:firstLine="0" w:firstLineChars="0"/>
              <w:jc w:val="center"/>
              <w:rPr>
                <w:rFonts w:ascii="Arial Narrow" w:hAnsi="Arial Narrow" w:cs="Arial Narrow"/>
              </w:rPr>
            </w:pPr>
            <w:r>
              <w:rPr>
                <w:rFonts w:ascii="Arial Narrow" w:hAnsi="Arial Narrow" w:cs="Arial Narrow"/>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2235" w:type="dxa"/>
            <w:vAlign w:val="center"/>
          </w:tcPr>
          <w:p>
            <w:pPr>
              <w:ind w:firstLine="480"/>
              <w:rPr>
                <w:rFonts w:ascii="Arial Narrow" w:hAnsi="Arial Narrow" w:cs="Arial Narrow"/>
              </w:rPr>
            </w:pPr>
            <w:r>
              <w:rPr>
                <w:rFonts w:ascii="Arial Narrow" w:hAnsi="Arial Narrow" w:cs="Arial Narrow"/>
              </w:rPr>
              <w:t>项目投入</w:t>
            </w:r>
          </w:p>
        </w:tc>
        <w:tc>
          <w:tcPr>
            <w:tcW w:w="2126" w:type="dxa"/>
            <w:vAlign w:val="center"/>
          </w:tcPr>
          <w:p>
            <w:pPr>
              <w:ind w:firstLine="0" w:firstLineChars="0"/>
              <w:jc w:val="center"/>
              <w:rPr>
                <w:rFonts w:ascii="Arial Narrow" w:hAnsi="Arial Narrow" w:cs="Arial Narrow"/>
              </w:rPr>
            </w:pPr>
            <w:r>
              <w:rPr>
                <w:rFonts w:ascii="Arial Narrow" w:hAnsi="Arial Narrow" w:cs="Arial Narrow"/>
              </w:rPr>
              <w:t>15</w:t>
            </w:r>
          </w:p>
        </w:tc>
        <w:tc>
          <w:tcPr>
            <w:tcW w:w="2268" w:type="dxa"/>
            <w:vAlign w:val="center"/>
          </w:tcPr>
          <w:p>
            <w:pPr>
              <w:ind w:firstLine="0" w:firstLineChars="0"/>
              <w:jc w:val="center"/>
              <w:rPr>
                <w:rFonts w:ascii="Arial Narrow" w:hAnsi="Arial Narrow" w:cs="Arial Narrow"/>
              </w:rPr>
            </w:pPr>
            <w:r>
              <w:rPr>
                <w:rFonts w:ascii="Arial Narrow" w:hAnsi="Arial Narrow" w:cs="Arial Narrow"/>
              </w:rPr>
              <w:t>13.5</w:t>
            </w:r>
          </w:p>
        </w:tc>
        <w:tc>
          <w:tcPr>
            <w:tcW w:w="2126" w:type="dxa"/>
            <w:vAlign w:val="center"/>
          </w:tcPr>
          <w:p>
            <w:pPr>
              <w:ind w:firstLine="0" w:firstLineChars="0"/>
              <w:jc w:val="center"/>
              <w:rPr>
                <w:rFonts w:ascii="Arial Narrow" w:hAnsi="Arial Narrow" w:cs="Arial Narrow"/>
              </w:rPr>
            </w:pPr>
            <w:r>
              <w:rPr>
                <w:rFonts w:ascii="Arial Narrow" w:hAnsi="Arial Narrow" w:cs="Arial Narrow"/>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2235" w:type="dxa"/>
            <w:vAlign w:val="center"/>
          </w:tcPr>
          <w:p>
            <w:pPr>
              <w:ind w:firstLine="480"/>
              <w:rPr>
                <w:rFonts w:ascii="Arial Narrow" w:hAnsi="Arial Narrow" w:cs="Arial Narrow"/>
              </w:rPr>
            </w:pPr>
            <w:r>
              <w:rPr>
                <w:rFonts w:ascii="Arial Narrow" w:hAnsi="Arial Narrow" w:cs="Arial Narrow"/>
              </w:rPr>
              <w:t>项目过程</w:t>
            </w:r>
          </w:p>
        </w:tc>
        <w:tc>
          <w:tcPr>
            <w:tcW w:w="2126" w:type="dxa"/>
            <w:vAlign w:val="center"/>
          </w:tcPr>
          <w:p>
            <w:pPr>
              <w:ind w:firstLine="0" w:firstLineChars="0"/>
              <w:jc w:val="center"/>
              <w:rPr>
                <w:rFonts w:ascii="Arial Narrow" w:hAnsi="Arial Narrow" w:cs="Arial Narrow"/>
              </w:rPr>
            </w:pPr>
            <w:r>
              <w:rPr>
                <w:rFonts w:ascii="Arial Narrow" w:hAnsi="Arial Narrow" w:cs="Arial Narrow"/>
              </w:rPr>
              <w:t>25</w:t>
            </w:r>
          </w:p>
        </w:tc>
        <w:tc>
          <w:tcPr>
            <w:tcW w:w="2268" w:type="dxa"/>
            <w:vAlign w:val="center"/>
          </w:tcPr>
          <w:p>
            <w:pPr>
              <w:ind w:firstLine="0" w:firstLineChars="0"/>
              <w:jc w:val="center"/>
              <w:rPr>
                <w:rFonts w:ascii="Arial Narrow" w:hAnsi="Arial Narrow" w:cs="Arial Narrow"/>
              </w:rPr>
            </w:pPr>
            <w:r>
              <w:rPr>
                <w:rFonts w:ascii="Arial Narrow" w:hAnsi="Arial Narrow" w:cs="Arial Narrow"/>
              </w:rPr>
              <w:t>23</w:t>
            </w:r>
          </w:p>
        </w:tc>
        <w:tc>
          <w:tcPr>
            <w:tcW w:w="2126" w:type="dxa"/>
            <w:vAlign w:val="center"/>
          </w:tcPr>
          <w:p>
            <w:pPr>
              <w:ind w:firstLine="0" w:firstLineChars="0"/>
              <w:jc w:val="center"/>
              <w:rPr>
                <w:rFonts w:ascii="Arial Narrow" w:hAnsi="Arial Narrow" w:cs="Arial Narrow"/>
              </w:rPr>
            </w:pPr>
            <w:r>
              <w:rPr>
                <w:rFonts w:ascii="Arial Narrow" w:hAnsi="Arial Narrow" w:cs="Arial Narrow"/>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2235" w:type="dxa"/>
            <w:vAlign w:val="center"/>
          </w:tcPr>
          <w:p>
            <w:pPr>
              <w:ind w:firstLine="480"/>
              <w:rPr>
                <w:rFonts w:ascii="Arial Narrow" w:hAnsi="Arial Narrow" w:cs="Arial Narrow"/>
              </w:rPr>
            </w:pPr>
            <w:r>
              <w:rPr>
                <w:rFonts w:ascii="Arial Narrow" w:hAnsi="Arial Narrow" w:cs="Arial Narrow"/>
              </w:rPr>
              <w:t>项目产出</w:t>
            </w:r>
          </w:p>
        </w:tc>
        <w:tc>
          <w:tcPr>
            <w:tcW w:w="2126" w:type="dxa"/>
            <w:vAlign w:val="center"/>
          </w:tcPr>
          <w:p>
            <w:pPr>
              <w:ind w:firstLine="0" w:firstLineChars="0"/>
              <w:jc w:val="center"/>
              <w:textAlignment w:val="top"/>
              <w:rPr>
                <w:rFonts w:ascii="Arial Narrow" w:hAnsi="Arial Narrow" w:cs="Arial Narrow"/>
              </w:rPr>
            </w:pPr>
            <w:r>
              <w:rPr>
                <w:rFonts w:ascii="Arial Narrow" w:hAnsi="Arial Narrow" w:cs="Arial Narrow"/>
              </w:rPr>
              <w:t>25</w:t>
            </w:r>
          </w:p>
        </w:tc>
        <w:tc>
          <w:tcPr>
            <w:tcW w:w="2268" w:type="dxa"/>
            <w:vAlign w:val="center"/>
          </w:tcPr>
          <w:p>
            <w:pPr>
              <w:ind w:firstLine="0" w:firstLineChars="0"/>
              <w:jc w:val="center"/>
              <w:rPr>
                <w:rFonts w:ascii="Arial Narrow" w:hAnsi="Arial Narrow" w:cs="Arial Narrow"/>
              </w:rPr>
            </w:pPr>
            <w:r>
              <w:rPr>
                <w:rFonts w:ascii="Arial Narrow" w:hAnsi="Arial Narrow" w:cs="Arial Narrow"/>
              </w:rPr>
              <w:t>23</w:t>
            </w:r>
          </w:p>
        </w:tc>
        <w:tc>
          <w:tcPr>
            <w:tcW w:w="2126" w:type="dxa"/>
            <w:vAlign w:val="center"/>
          </w:tcPr>
          <w:p>
            <w:pPr>
              <w:ind w:firstLine="0" w:firstLineChars="0"/>
              <w:jc w:val="center"/>
              <w:rPr>
                <w:rFonts w:ascii="Arial Narrow" w:hAnsi="Arial Narrow" w:cs="Arial Narrow"/>
              </w:rPr>
            </w:pPr>
            <w:r>
              <w:rPr>
                <w:rFonts w:ascii="Arial Narrow" w:hAnsi="Arial Narrow" w:cs="Arial Narrow"/>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2235" w:type="dxa"/>
            <w:tcBorders>
              <w:top w:val="single" w:color="008000" w:sz="6" w:space="0"/>
              <w:bottom w:val="single" w:color="008000" w:sz="6" w:space="0"/>
            </w:tcBorders>
            <w:vAlign w:val="center"/>
          </w:tcPr>
          <w:p>
            <w:pPr>
              <w:ind w:firstLine="480"/>
              <w:rPr>
                <w:rFonts w:ascii="Arial Narrow" w:hAnsi="Arial Narrow" w:cs="Arial Narrow"/>
              </w:rPr>
            </w:pPr>
            <w:r>
              <w:rPr>
                <w:rFonts w:ascii="Arial Narrow" w:hAnsi="Arial Narrow" w:cs="Arial Narrow"/>
              </w:rPr>
              <w:t>项目效果</w:t>
            </w:r>
          </w:p>
        </w:tc>
        <w:tc>
          <w:tcPr>
            <w:tcW w:w="2126" w:type="dxa"/>
            <w:tcBorders>
              <w:top w:val="single" w:color="008000" w:sz="6" w:space="0"/>
              <w:bottom w:val="single" w:color="008000" w:sz="6" w:space="0"/>
            </w:tcBorders>
            <w:vAlign w:val="center"/>
          </w:tcPr>
          <w:p>
            <w:pPr>
              <w:ind w:firstLine="0" w:firstLineChars="0"/>
              <w:jc w:val="center"/>
              <w:rPr>
                <w:rFonts w:ascii="Arial Narrow" w:hAnsi="Arial Narrow" w:cs="Arial Narrow"/>
              </w:rPr>
            </w:pPr>
            <w:r>
              <w:rPr>
                <w:rFonts w:ascii="Arial Narrow" w:hAnsi="Arial Narrow" w:cs="Arial Narrow"/>
              </w:rPr>
              <w:t>35</w:t>
            </w:r>
          </w:p>
        </w:tc>
        <w:tc>
          <w:tcPr>
            <w:tcW w:w="2268" w:type="dxa"/>
            <w:tcBorders>
              <w:top w:val="single" w:color="008000" w:sz="6" w:space="0"/>
              <w:bottom w:val="single" w:color="008000" w:sz="6" w:space="0"/>
            </w:tcBorders>
            <w:vAlign w:val="center"/>
          </w:tcPr>
          <w:p>
            <w:pPr>
              <w:ind w:firstLine="0" w:firstLineChars="0"/>
              <w:jc w:val="center"/>
              <w:rPr>
                <w:rFonts w:ascii="Arial Narrow" w:hAnsi="Arial Narrow" w:cs="Arial Narrow"/>
              </w:rPr>
            </w:pPr>
            <w:r>
              <w:rPr>
                <w:rFonts w:ascii="Arial Narrow" w:hAnsi="Arial Narrow" w:cs="Arial Narrow"/>
              </w:rPr>
              <w:t>33</w:t>
            </w:r>
          </w:p>
        </w:tc>
        <w:tc>
          <w:tcPr>
            <w:tcW w:w="2126" w:type="dxa"/>
            <w:tcBorders>
              <w:top w:val="single" w:color="008000" w:sz="6" w:space="0"/>
              <w:bottom w:val="single" w:color="008000" w:sz="6" w:space="0"/>
            </w:tcBorders>
            <w:vAlign w:val="center"/>
          </w:tcPr>
          <w:p>
            <w:pPr>
              <w:ind w:firstLine="0" w:firstLineChars="0"/>
              <w:jc w:val="center"/>
              <w:rPr>
                <w:rFonts w:ascii="Arial Narrow" w:hAnsi="Arial Narrow" w:cs="Arial Narrow"/>
              </w:rPr>
            </w:pPr>
            <w:r>
              <w:rPr>
                <w:rFonts w:ascii="Arial Narrow" w:hAnsi="Arial Narrow" w:cs="Arial Narrow"/>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2235" w:type="dxa"/>
            <w:tcBorders>
              <w:top w:val="single" w:color="008000" w:sz="6" w:space="0"/>
            </w:tcBorders>
            <w:vAlign w:val="center"/>
          </w:tcPr>
          <w:p>
            <w:pPr>
              <w:ind w:firstLine="480"/>
              <w:rPr>
                <w:rFonts w:ascii="Arial Narrow" w:hAnsi="Arial Narrow" w:cs="Arial Narrow"/>
              </w:rPr>
            </w:pPr>
            <w:r>
              <w:rPr>
                <w:rFonts w:ascii="Arial Narrow" w:hAnsi="Arial Narrow" w:cs="Arial Narrow"/>
              </w:rPr>
              <w:t>综合绩效</w:t>
            </w:r>
          </w:p>
        </w:tc>
        <w:tc>
          <w:tcPr>
            <w:tcW w:w="2126" w:type="dxa"/>
            <w:tcBorders>
              <w:top w:val="single" w:color="008000" w:sz="6" w:space="0"/>
            </w:tcBorders>
            <w:vAlign w:val="center"/>
          </w:tcPr>
          <w:p>
            <w:pPr>
              <w:ind w:firstLine="0" w:firstLineChars="0"/>
              <w:jc w:val="center"/>
              <w:rPr>
                <w:rFonts w:ascii="Arial Narrow" w:hAnsi="Arial Narrow" w:cs="Arial Narrow"/>
              </w:rPr>
            </w:pPr>
            <w:r>
              <w:rPr>
                <w:rFonts w:ascii="Arial Narrow" w:hAnsi="Arial Narrow" w:cs="Arial Narrow"/>
              </w:rPr>
              <w:t>100分</w:t>
            </w:r>
          </w:p>
        </w:tc>
        <w:tc>
          <w:tcPr>
            <w:tcW w:w="2268" w:type="dxa"/>
            <w:tcBorders>
              <w:top w:val="single" w:color="008000" w:sz="6" w:space="0"/>
            </w:tcBorders>
            <w:vAlign w:val="center"/>
          </w:tcPr>
          <w:p>
            <w:pPr>
              <w:ind w:firstLine="0" w:firstLineChars="0"/>
              <w:jc w:val="center"/>
              <w:rPr>
                <w:rFonts w:ascii="Arial Narrow" w:hAnsi="Arial Narrow" w:cs="Arial Narrow"/>
              </w:rPr>
            </w:pPr>
            <w:r>
              <w:rPr>
                <w:rFonts w:ascii="Arial Narrow" w:hAnsi="Arial Narrow" w:cs="Arial Narrow"/>
              </w:rPr>
              <w:t xml:space="preserve"> 92.5分</w:t>
            </w:r>
          </w:p>
        </w:tc>
        <w:tc>
          <w:tcPr>
            <w:tcW w:w="2126" w:type="dxa"/>
            <w:tcBorders>
              <w:top w:val="single" w:color="008000" w:sz="6" w:space="0"/>
            </w:tcBorders>
            <w:vAlign w:val="center"/>
          </w:tcPr>
          <w:p>
            <w:pPr>
              <w:ind w:firstLine="0" w:firstLineChars="0"/>
              <w:jc w:val="center"/>
              <w:rPr>
                <w:rFonts w:ascii="Arial Narrow" w:hAnsi="Arial Narrow" w:cs="Arial Narrow"/>
              </w:rPr>
            </w:pPr>
            <w:r>
              <w:rPr>
                <w:rFonts w:ascii="Arial Narrow" w:hAnsi="Arial Narrow" w:cs="Arial Narrow"/>
              </w:rPr>
              <w:t>优</w:t>
            </w:r>
          </w:p>
        </w:tc>
      </w:tr>
    </w:tbl>
    <w:p>
      <w:pPr>
        <w:snapToGrid w:val="0"/>
        <w:ind w:firstLine="0" w:firstLineChars="0"/>
        <w:outlineLvl w:val="1"/>
        <w:rPr>
          <w:rFonts w:ascii="Arial Narrow" w:hAnsi="Arial Narrow" w:cs="Arial Narrow"/>
          <w:b/>
        </w:rPr>
      </w:pPr>
      <w:r>
        <w:rPr>
          <w:rFonts w:ascii="Arial Narrow" w:hAnsi="Arial Narrow" w:cs="Arial Narrow"/>
          <w:b/>
        </w:rPr>
        <w:t>四、评价工作组组成名单</w:t>
      </w:r>
    </w:p>
    <w:p>
      <w:pPr>
        <w:snapToGrid w:val="0"/>
        <w:ind w:firstLine="0" w:firstLineChars="0"/>
        <w:jc w:val="left"/>
        <w:rPr>
          <w:rFonts w:ascii="Arial Narrow" w:hAnsi="Arial Narrow" w:cs="Arial Narrow"/>
        </w:rPr>
      </w:pPr>
      <w:r>
        <w:rPr>
          <w:rFonts w:ascii="Arial Narrow" w:hAnsi="Arial Narrow" w:cs="Arial Narrow"/>
        </w:rPr>
        <w:t>项目负责组长：蒋中友、何思琪</w:t>
      </w:r>
    </w:p>
    <w:p>
      <w:pPr>
        <w:snapToGrid w:val="0"/>
        <w:ind w:firstLine="0" w:firstLineChars="0"/>
        <w:jc w:val="left"/>
        <w:rPr>
          <w:rFonts w:ascii="Arial Narrow" w:hAnsi="Arial Narrow" w:cs="Arial Narrow"/>
        </w:rPr>
      </w:pPr>
      <w:r>
        <w:rPr>
          <w:rFonts w:ascii="Arial Narrow" w:hAnsi="Arial Narrow" w:cs="Arial Narrow"/>
        </w:rPr>
        <w:t>现场负责人：闫安格</w:t>
      </w:r>
    </w:p>
    <w:p>
      <w:pPr>
        <w:snapToGrid w:val="0"/>
        <w:ind w:firstLine="0" w:firstLineChars="0"/>
        <w:jc w:val="left"/>
        <w:rPr>
          <w:rFonts w:ascii="Arial Narrow" w:hAnsi="Arial Narrow" w:cs="Arial Narrow"/>
        </w:rPr>
      </w:pPr>
      <w:r>
        <w:rPr>
          <w:rFonts w:ascii="Arial Narrow" w:hAnsi="Arial Narrow" w:cs="Arial Narrow"/>
        </w:rPr>
        <w:t>评价小组成员：肖秋佳、张梦迪、程英</w:t>
      </w:r>
    </w:p>
    <w:p>
      <w:pPr>
        <w:snapToGrid w:val="0"/>
        <w:ind w:firstLine="0" w:firstLineChars="0"/>
        <w:jc w:val="left"/>
        <w:rPr>
          <w:rFonts w:ascii="Arial Narrow" w:hAnsi="Arial Narrow" w:cs="Arial Narrow"/>
        </w:rPr>
      </w:pPr>
    </w:p>
    <w:p>
      <w:pPr>
        <w:snapToGrid w:val="0"/>
        <w:ind w:firstLine="0" w:firstLineChars="0"/>
        <w:outlineLvl w:val="1"/>
        <w:rPr>
          <w:rFonts w:ascii="Arial Narrow" w:hAnsi="Arial Narrow" w:cs="Arial Narrow"/>
          <w:b/>
        </w:rPr>
      </w:pPr>
      <w:r>
        <w:rPr>
          <w:rFonts w:ascii="Arial Narrow" w:hAnsi="Arial Narrow" w:cs="Arial Narrow"/>
          <w:b/>
        </w:rPr>
        <w:t>五、主要评价方法概述</w:t>
      </w:r>
    </w:p>
    <w:p>
      <w:pPr>
        <w:snapToGrid w:val="0"/>
        <w:ind w:firstLine="480"/>
        <w:rPr>
          <w:rFonts w:ascii="Arial Narrow" w:hAnsi="Arial Narrow" w:cs="Arial Narrow"/>
        </w:rPr>
      </w:pPr>
      <w:r>
        <w:rPr>
          <w:rFonts w:ascii="Arial Narrow" w:hAnsi="Arial Narrow" w:cs="Arial Narrow"/>
        </w:rPr>
        <w:t>“协税工作经费项目”绩效评价根据项目特点和评价工作的要求，选择比较法、公众评判法、统计计算法等方法进行绩效评价分析，与此同时，我们收集了大量项目实施单位的各种统计资料进行分析研究。</w:t>
      </w:r>
    </w:p>
    <w:p>
      <w:pPr>
        <w:snapToGrid w:val="0"/>
        <w:ind w:firstLine="480"/>
        <w:rPr>
          <w:rFonts w:ascii="Arial Narrow" w:hAnsi="Arial Narrow" w:cs="Arial Narrow"/>
        </w:rPr>
      </w:pPr>
      <w:r>
        <w:rPr>
          <w:rFonts w:ascii="Arial Narrow" w:hAnsi="Arial Narrow" w:cs="Arial Narrow"/>
        </w:rPr>
        <w:t>（一）比较法。是指通过对“</w:t>
      </w:r>
      <w:r>
        <w:rPr>
          <w:rFonts w:hint="eastAsia" w:ascii="Arial Narrow" w:hAnsi="Arial Narrow" w:cs="Arial Narrow"/>
        </w:rPr>
        <w:t>协税工作经费项目</w:t>
      </w:r>
      <w:r>
        <w:rPr>
          <w:rFonts w:ascii="Arial Narrow" w:hAnsi="Arial Narrow" w:cs="Arial Narrow"/>
        </w:rPr>
        <w:t>”绩效目标与实际实施效果的对比，综合分析其绩效目标实现程度。项目小组根据收集的“</w:t>
      </w:r>
      <w:r>
        <w:rPr>
          <w:rFonts w:hint="eastAsia" w:ascii="Arial Narrow" w:hAnsi="Arial Narrow" w:cs="Arial Narrow"/>
        </w:rPr>
        <w:t>协税工作经费项目</w:t>
      </w:r>
      <w:r>
        <w:rPr>
          <w:rFonts w:ascii="Arial Narrow" w:hAnsi="Arial Narrow" w:cs="Arial Narrow"/>
        </w:rPr>
        <w:t>”资料和前往实地观察，了解项目实际实施情况，与项目申报时确定的绩效目标进行对比，评价绩效目标的实现程度。</w:t>
      </w:r>
    </w:p>
    <w:p>
      <w:pPr>
        <w:snapToGrid w:val="0"/>
        <w:ind w:firstLine="480"/>
        <w:rPr>
          <w:rFonts w:ascii="Arial Narrow" w:hAnsi="Arial Narrow" w:cs="Arial Narrow"/>
        </w:rPr>
      </w:pPr>
      <w:r>
        <w:rPr>
          <w:rFonts w:ascii="Arial Narrow" w:hAnsi="Arial Narrow" w:cs="Arial Narrow"/>
        </w:rPr>
        <w:t>（二）公众评判法。是指通过专家评估、公众问卷及抽样调查等对财政支出效果进行评判，评价绩效目标实现程度。项目小组将对水果湖街道办事处及相关实施单位进行访谈，同时对社区里的居民进行问卷调查，收集“</w:t>
      </w:r>
      <w:r>
        <w:rPr>
          <w:rFonts w:hint="eastAsia" w:ascii="Arial Narrow" w:hAnsi="Arial Narrow" w:cs="Arial Narrow"/>
        </w:rPr>
        <w:t>协税工作经费项目</w:t>
      </w:r>
      <w:r>
        <w:rPr>
          <w:rFonts w:ascii="Arial Narrow" w:hAnsi="Arial Narrow" w:cs="Arial Narrow"/>
        </w:rPr>
        <w:t>”具体实施情况和效果的相关证据，为绩效分析结论提供有力支撑。</w:t>
      </w:r>
    </w:p>
    <w:p>
      <w:pPr>
        <w:snapToGrid w:val="0"/>
        <w:ind w:firstLine="480"/>
        <w:rPr>
          <w:rFonts w:ascii="Arial Narrow" w:hAnsi="Arial Narrow" w:cs="Arial Narrow"/>
        </w:rPr>
      </w:pPr>
      <w:r>
        <w:rPr>
          <w:rFonts w:ascii="Arial Narrow" w:hAnsi="Arial Narrow" w:cs="Arial Narrow"/>
        </w:rPr>
        <w:t>（三）统计计算法。是指采用各种专业（或专门）指标的计算方法，通过收集项目实施的相关数据，采用统计或核算等方式进行计算实际完成或达到的结果，评价绩效目标实现程度。项目小组根据相关文件依据，设计符合“</w:t>
      </w:r>
      <w:r>
        <w:rPr>
          <w:rFonts w:hint="eastAsia" w:ascii="Arial Narrow" w:hAnsi="Arial Narrow" w:cs="Arial Narrow"/>
        </w:rPr>
        <w:t>协税工作经费项目</w:t>
      </w:r>
      <w:r>
        <w:rPr>
          <w:rFonts w:ascii="Arial Narrow" w:hAnsi="Arial Narrow" w:cs="Arial Narrow"/>
        </w:rPr>
        <w:t>”特点的评价指标体系，然后采集数据依据计算公式进行计算分析，并根据计算结果分析项目的绩效目标实现程度。</w:t>
      </w:r>
    </w:p>
    <w:p>
      <w:pPr>
        <w:snapToGrid w:val="0"/>
        <w:ind w:firstLine="0" w:firstLineChars="0"/>
        <w:outlineLvl w:val="1"/>
        <w:rPr>
          <w:rFonts w:ascii="Arial Narrow" w:hAnsi="Arial Narrow" w:cs="Arial Narrow"/>
          <w:b/>
        </w:rPr>
      </w:pPr>
      <w:r>
        <w:rPr>
          <w:rFonts w:ascii="Arial Narrow" w:hAnsi="Arial Narrow" w:cs="Arial Narrow"/>
          <w:b/>
        </w:rPr>
        <w:t>六、存在的主要问题概述</w:t>
      </w:r>
    </w:p>
    <w:p>
      <w:pPr>
        <w:snapToGrid w:val="0"/>
        <w:ind w:firstLine="424" w:firstLineChars="177"/>
        <w:rPr>
          <w:rFonts w:ascii="Arial Narrow" w:hAnsi="Arial Narrow" w:cs="Arial Narrow"/>
        </w:rPr>
      </w:pPr>
      <w:r>
        <w:rPr>
          <w:rFonts w:ascii="Arial Narrow" w:hAnsi="Arial Narrow" w:cs="Arial Narrow"/>
        </w:rPr>
        <w:t>协税工作经费项目</w:t>
      </w:r>
      <w:r>
        <w:rPr>
          <w:rFonts w:ascii="Arial Narrow" w:hAnsi="Arial Narrow" w:cs="Arial Narrow"/>
          <w:bCs/>
        </w:rPr>
        <w:t>总体实施情况为优</w:t>
      </w:r>
      <w:r>
        <w:rPr>
          <w:rFonts w:ascii="Arial Narrow" w:hAnsi="Arial Narrow" w:cs="Arial Narrow"/>
        </w:rPr>
        <w:t>，但也有一些瑕疵：</w:t>
      </w:r>
    </w:p>
    <w:p>
      <w:pPr>
        <w:snapToGrid w:val="0"/>
        <w:ind w:firstLine="480"/>
        <w:rPr>
          <w:rFonts w:ascii="Arial Narrow" w:hAnsi="Arial Narrow" w:cs="Arial Narrow"/>
        </w:rPr>
      </w:pPr>
      <w:r>
        <w:rPr>
          <w:rFonts w:ascii="Arial Narrow" w:hAnsi="Arial Narrow" w:cs="Arial Narrow"/>
        </w:rPr>
        <w:t>（一）零散税收取未设立绩效指标。2017年度税务部门及水果湖街道未对零散税收取设立绩效目标，未针对项目具体内容设立绩效指标，不利于对实施单位项目的控制管理，更不利于后期对项目进行绩效考核。</w:t>
      </w:r>
    </w:p>
    <w:p>
      <w:pPr>
        <w:snapToGrid w:val="0"/>
        <w:ind w:firstLine="480"/>
        <w:rPr>
          <w:rFonts w:ascii="Arial Narrow" w:hAnsi="Arial Narrow" w:cs="Arial Narrow"/>
        </w:rPr>
      </w:pPr>
      <w:r>
        <w:rPr>
          <w:rFonts w:ascii="Arial Narrow" w:hAnsi="Arial Narrow" w:cs="Arial Narrow"/>
        </w:rPr>
        <w:t>（二）资金分配方法不明确。项目实施单位虽严格按照《武汉市武昌区水果湖街道办事处财务管理（试行）办法》进行会计核算，但未针对本项目制定具体的项目资金管理办法和资金分配等办法，不利于项目资金的管理。</w:t>
      </w:r>
    </w:p>
    <w:p>
      <w:pPr>
        <w:snapToGrid w:val="0"/>
        <w:ind w:firstLine="480"/>
        <w:rPr>
          <w:rFonts w:ascii="Arial Narrow" w:hAnsi="Arial Narrow" w:cs="Arial Narrow"/>
        </w:rPr>
      </w:pPr>
      <w:r>
        <w:rPr>
          <w:rFonts w:ascii="Arial Narrow" w:hAnsi="Arial Narrow" w:cs="Arial Narrow"/>
        </w:rPr>
        <w:t>（三）税源分析和预测工作成果未形成结果性描述。项目实施单位通过走访掌握重点税源户的发展和税收变化并形成走访记录，此举虽能敦促企业按期缴税并充分挖掘税收潜力，但未根据走访记录行成结果性描述，也未与相关部门合作预测分析，不利于后续工作提供更好的开展，税源分析预测工作有待加强。</w:t>
      </w:r>
    </w:p>
    <w:p>
      <w:pPr>
        <w:snapToGrid w:val="0"/>
        <w:ind w:firstLine="0" w:firstLineChars="0"/>
        <w:outlineLvl w:val="1"/>
        <w:rPr>
          <w:rFonts w:ascii="Arial Narrow" w:hAnsi="Arial Narrow" w:cs="Arial Narrow"/>
          <w:shd w:val="clear" w:color="auto" w:fill="FFFFFF"/>
        </w:rPr>
      </w:pPr>
      <w:r>
        <w:rPr>
          <w:rFonts w:ascii="Arial Narrow" w:hAnsi="Arial Narrow" w:cs="Arial Narrow"/>
          <w:b/>
        </w:rPr>
        <w:t>七、管理建议概述</w:t>
      </w:r>
    </w:p>
    <w:p>
      <w:pPr>
        <w:snapToGrid w:val="0"/>
        <w:ind w:firstLine="480"/>
        <w:outlineLvl w:val="1"/>
        <w:rPr>
          <w:rFonts w:ascii="Arial Narrow" w:hAnsi="Arial Narrow" w:cs="Arial Narrow"/>
          <w:shd w:val="clear" w:color="auto" w:fill="FFFFFF"/>
        </w:rPr>
      </w:pPr>
      <w:r>
        <w:rPr>
          <w:rFonts w:ascii="Arial Narrow" w:hAnsi="Arial Narrow" w:cs="Arial Narrow"/>
          <w:shd w:val="clear" w:color="auto" w:fill="FFFFFF"/>
        </w:rPr>
        <w:t>（一）设置绩效考核指标具体到各项工作。在设置绩效目标时应认真梳理各项重点工作目标，针对目标任务，提出具体的量化指标。确实难以量化的，也应提炼出能够反映工作质量和成效的结果性描述，</w:t>
      </w:r>
      <w:r>
        <w:t>有利于</w:t>
      </w:r>
      <w:r>
        <w:rPr>
          <w:rFonts w:hint="eastAsia"/>
        </w:rPr>
        <w:t>对比</w:t>
      </w:r>
      <w:r>
        <w:t>和总结年度工作完成情况</w:t>
      </w:r>
      <w:r>
        <w:rPr>
          <w:rFonts w:hint="eastAsia"/>
        </w:rPr>
        <w:t>，</w:t>
      </w:r>
      <w:r>
        <w:rPr>
          <w:rFonts w:ascii="Arial Narrow" w:hAnsi="Arial Narrow" w:cs="Arial Narrow"/>
          <w:shd w:val="clear" w:color="auto" w:fill="FFFFFF"/>
        </w:rPr>
        <w:t>为后期工作更好的开展奠定基础。</w:t>
      </w:r>
    </w:p>
    <w:p>
      <w:pPr>
        <w:snapToGrid w:val="0"/>
        <w:ind w:firstLine="480"/>
        <w:outlineLvl w:val="1"/>
        <w:rPr>
          <w:rFonts w:ascii="Arial Narrow" w:hAnsi="Arial Narrow" w:cs="Arial Narrow"/>
        </w:rPr>
      </w:pPr>
      <w:r>
        <w:rPr>
          <w:rFonts w:ascii="Arial Narrow" w:hAnsi="Arial Narrow" w:cs="Arial Narrow"/>
          <w:shd w:val="clear" w:color="auto" w:fill="FFFFFF"/>
        </w:rPr>
        <w:t>（二）明确资金分配方法。</w:t>
      </w:r>
      <w:r>
        <w:rPr>
          <w:rFonts w:ascii="Arial Narrow" w:hAnsi="Arial Narrow" w:cs="Arial Narrow"/>
        </w:rPr>
        <w:t>根据国家有关专项资金使用管理办法的规定，为切实规范专项资金管理，保障资金安全、高效运行，发挥资金使用效益，</w:t>
      </w:r>
      <w:r>
        <w:rPr>
          <w:rFonts w:hint="eastAsia" w:ascii="Arial Narrow" w:hAnsi="Arial Narrow" w:cs="Arial Narrow"/>
        </w:rPr>
        <w:t>项目实施单位应对协税经费的使用范围、支出标准、分配因素进行明确规定，以规范项目资金的支出。资金实行专款专用，独立核算，与其他项目资金严格区分开来，促进项目核算的规范性。</w:t>
      </w:r>
    </w:p>
    <w:p>
      <w:pPr>
        <w:snapToGrid w:val="0"/>
        <w:ind w:firstLine="480"/>
        <w:outlineLvl w:val="1"/>
        <w:rPr>
          <w:rFonts w:ascii="Arial Narrow" w:hAnsi="Arial Narrow" w:cs="Arial Narrow"/>
          <w:shd w:val="clear" w:color="auto" w:fill="FFFFFF"/>
        </w:rPr>
      </w:pPr>
      <w:r>
        <w:rPr>
          <w:rFonts w:ascii="Arial Narrow" w:hAnsi="Arial Narrow" w:cs="Arial Narrow"/>
        </w:rPr>
        <w:t>（三）</w:t>
      </w:r>
      <w:r>
        <w:rPr>
          <w:rFonts w:ascii="Arial Narrow" w:hAnsi="Arial Narrow" w:cs="Arial Narrow"/>
          <w:shd w:val="clear" w:color="auto" w:fill="FFFFFF"/>
        </w:rPr>
        <w:t>税源分析和预测工作成果未形成结果性描述。</w:t>
      </w:r>
      <w:r>
        <w:rPr>
          <w:rFonts w:hint="eastAsia" w:ascii="Arial Narrow" w:hAnsi="Arial Narrow" w:cs="Arial Narrow"/>
          <w:shd w:val="clear" w:color="auto" w:fill="FFFFFF"/>
        </w:rPr>
        <w:t>项目实施单位应</w:t>
      </w:r>
      <w:r>
        <w:rPr>
          <w:rFonts w:ascii="Arial Narrow" w:hAnsi="Arial Narrow" w:cs="Arial Narrow"/>
          <w:shd w:val="clear" w:color="auto" w:fill="FFFFFF"/>
        </w:rPr>
        <w:t>加强和税务部门的联系与合作，通过走访掌握重点税源户的发展和税收变化形成的工作资料，对辖区内的税源户的发展情况进行专业预测与分析，更全面、有效的掌握重点税源户的发展状况，努力挖掘税收潜力，掌握税收发展动态，并对分析结果定期进行总结归纳，及时转化成后续协税工作的指导性文件。</w:t>
      </w:r>
    </w:p>
    <w:p>
      <w:pPr>
        <w:widowControl/>
        <w:ind w:firstLine="0" w:firstLineChars="0"/>
        <w:jc w:val="left"/>
        <w:rPr>
          <w:rFonts w:ascii="Arial Narrow" w:hAnsi="Arial Narrow" w:cs="Arial Narrow"/>
          <w:b/>
        </w:rPr>
      </w:pPr>
    </w:p>
    <w:p>
      <w:pPr>
        <w:widowControl/>
        <w:ind w:firstLine="0" w:firstLineChars="0"/>
        <w:jc w:val="left"/>
        <w:rPr>
          <w:rFonts w:ascii="Arial Narrow" w:hAnsi="Arial Narrow" w:cs="Arial Narrow"/>
          <w:b/>
        </w:rPr>
      </w:pPr>
    </w:p>
    <w:p>
      <w:pPr>
        <w:widowControl/>
        <w:ind w:firstLine="0" w:firstLineChars="0"/>
        <w:jc w:val="left"/>
        <w:rPr>
          <w:rFonts w:ascii="Arial Narrow" w:hAnsi="Arial Narrow" w:cs="Arial Narrow"/>
          <w:b/>
        </w:rPr>
      </w:pPr>
    </w:p>
    <w:p>
      <w:pPr>
        <w:widowControl/>
        <w:ind w:firstLine="0" w:firstLineChars="0"/>
        <w:jc w:val="left"/>
        <w:rPr>
          <w:rFonts w:ascii="Arial Narrow" w:hAnsi="Arial Narrow" w:cs="Arial Narrow"/>
          <w:b/>
        </w:rPr>
      </w:pPr>
    </w:p>
    <w:p>
      <w:pPr>
        <w:widowControl/>
        <w:ind w:firstLine="0" w:firstLineChars="0"/>
        <w:jc w:val="left"/>
        <w:rPr>
          <w:rFonts w:ascii="Arial Narrow" w:hAnsi="Arial Narrow" w:cs="Arial Narrow"/>
          <w:b/>
        </w:rPr>
      </w:pPr>
    </w:p>
    <w:p>
      <w:pPr>
        <w:widowControl/>
        <w:ind w:firstLine="0" w:firstLineChars="0"/>
        <w:jc w:val="left"/>
        <w:rPr>
          <w:rFonts w:ascii="Arial Narrow" w:hAnsi="Arial Narrow" w:cs="Arial Narrow"/>
          <w:b/>
        </w:rPr>
      </w:pPr>
    </w:p>
    <w:p>
      <w:pPr>
        <w:widowControl/>
        <w:ind w:firstLine="0" w:firstLineChars="0"/>
        <w:jc w:val="left"/>
        <w:rPr>
          <w:rFonts w:ascii="Arial Narrow" w:hAnsi="Arial Narrow" w:cs="Arial Narrow"/>
          <w:b/>
        </w:rPr>
      </w:pPr>
    </w:p>
    <w:p>
      <w:pPr>
        <w:widowControl/>
        <w:ind w:firstLine="0" w:firstLineChars="0"/>
        <w:jc w:val="left"/>
        <w:rPr>
          <w:rFonts w:ascii="Arial Narrow" w:hAnsi="Arial Narrow" w:cs="Arial Narrow"/>
          <w:b/>
        </w:rPr>
      </w:pPr>
    </w:p>
    <w:p>
      <w:pPr>
        <w:widowControl/>
        <w:ind w:firstLine="0" w:firstLineChars="0"/>
        <w:jc w:val="left"/>
        <w:rPr>
          <w:rFonts w:ascii="Arial Narrow" w:hAnsi="Arial Narrow" w:cs="Arial Narrow"/>
          <w:b/>
        </w:rPr>
      </w:pPr>
    </w:p>
    <w:p>
      <w:pPr>
        <w:widowControl/>
        <w:ind w:firstLine="0" w:firstLineChars="0"/>
        <w:jc w:val="left"/>
        <w:rPr>
          <w:rFonts w:ascii="Arial Narrow" w:hAnsi="Arial Narrow" w:cs="Arial Narrow"/>
          <w:b/>
        </w:rPr>
      </w:pPr>
    </w:p>
    <w:p>
      <w:pPr>
        <w:widowControl/>
        <w:ind w:firstLine="0" w:firstLineChars="0"/>
        <w:jc w:val="left"/>
        <w:rPr>
          <w:rFonts w:ascii="Arial Narrow" w:hAnsi="Arial Narrow" w:cs="Arial Narrow"/>
          <w:b/>
        </w:rPr>
      </w:pPr>
    </w:p>
    <w:p>
      <w:pPr>
        <w:widowControl/>
        <w:ind w:firstLine="0" w:firstLineChars="0"/>
        <w:jc w:val="left"/>
        <w:rPr>
          <w:rFonts w:ascii="Arial Narrow" w:hAnsi="Arial Narrow" w:cs="Arial Narrow"/>
          <w:b/>
        </w:rPr>
      </w:pPr>
    </w:p>
    <w:p>
      <w:pPr>
        <w:widowControl/>
        <w:ind w:firstLine="0" w:firstLineChars="0"/>
        <w:jc w:val="left"/>
        <w:rPr>
          <w:rFonts w:ascii="Arial Narrow" w:hAnsi="Arial Narrow" w:cs="Arial Narrow"/>
          <w:b/>
        </w:rPr>
      </w:pPr>
    </w:p>
    <w:p>
      <w:pPr>
        <w:widowControl/>
        <w:ind w:firstLine="0" w:firstLineChars="0"/>
        <w:jc w:val="left"/>
        <w:rPr>
          <w:rFonts w:ascii="Arial Narrow" w:hAnsi="Arial Narrow" w:cs="Arial Narrow"/>
          <w:b/>
        </w:rPr>
      </w:pPr>
    </w:p>
    <w:p>
      <w:pPr>
        <w:widowControl/>
        <w:ind w:firstLine="0" w:firstLineChars="0"/>
        <w:jc w:val="left"/>
        <w:rPr>
          <w:rFonts w:ascii="Arial Narrow" w:hAnsi="Arial Narrow" w:cs="Arial Narrow"/>
          <w:b/>
        </w:rPr>
      </w:pPr>
    </w:p>
    <w:p>
      <w:pPr>
        <w:widowControl/>
        <w:ind w:firstLine="0" w:firstLineChars="0"/>
        <w:jc w:val="left"/>
        <w:rPr>
          <w:rFonts w:ascii="Arial Narrow" w:hAnsi="Arial Narrow" w:cs="Arial Narrow"/>
          <w:b/>
        </w:rPr>
      </w:pPr>
    </w:p>
    <w:p>
      <w:pPr>
        <w:widowControl/>
        <w:ind w:firstLine="0" w:firstLineChars="0"/>
        <w:jc w:val="left"/>
        <w:rPr>
          <w:rFonts w:ascii="Arial Narrow" w:hAnsi="Arial Narrow" w:cs="Arial Narrow"/>
          <w:b/>
        </w:rPr>
      </w:pPr>
    </w:p>
    <w:p>
      <w:pPr>
        <w:widowControl/>
        <w:ind w:firstLine="0" w:firstLineChars="0"/>
        <w:jc w:val="left"/>
        <w:rPr>
          <w:rFonts w:ascii="Arial Narrow" w:hAnsi="Arial Narrow" w:cs="Arial Narrow"/>
          <w:b/>
        </w:rPr>
      </w:pPr>
    </w:p>
    <w:p>
      <w:pPr>
        <w:widowControl/>
        <w:ind w:firstLine="0" w:firstLineChars="0"/>
        <w:jc w:val="left"/>
        <w:rPr>
          <w:rFonts w:ascii="Arial Narrow" w:hAnsi="Arial Narrow" w:cs="Arial Narrow"/>
          <w:b/>
        </w:rPr>
      </w:pPr>
    </w:p>
    <w:p>
      <w:pPr>
        <w:ind w:firstLine="0" w:firstLineChars="0"/>
        <w:jc w:val="center"/>
        <w:rPr>
          <w:rFonts w:ascii="Arial Narrow" w:hAnsi="Arial Narrow" w:cs="Arial Narrow"/>
          <w:b/>
        </w:rPr>
      </w:pPr>
    </w:p>
    <w:p>
      <w:pPr>
        <w:ind w:firstLine="0" w:firstLineChars="0"/>
        <w:jc w:val="center"/>
        <w:rPr>
          <w:rFonts w:ascii="Arial Narrow" w:hAnsi="Arial Narrow" w:cs="Arial Narrow"/>
          <w:b/>
          <w:sz w:val="28"/>
        </w:rPr>
      </w:pPr>
    </w:p>
    <w:p>
      <w:pPr>
        <w:ind w:firstLine="0" w:firstLineChars="0"/>
        <w:jc w:val="center"/>
        <w:rPr>
          <w:rFonts w:ascii="Arial Narrow" w:hAnsi="Arial Narrow" w:cs="Arial Narrow"/>
          <w:b/>
        </w:rPr>
      </w:pPr>
      <w:r>
        <w:rPr>
          <w:rFonts w:ascii="Arial Narrow" w:hAnsi="Arial Narrow" w:cs="Arial Narrow"/>
          <w:b/>
          <w:sz w:val="28"/>
        </w:rPr>
        <w:t>目录</w:t>
      </w:r>
    </w:p>
    <w:p>
      <w:pPr>
        <w:snapToGrid w:val="0"/>
        <w:ind w:firstLine="480"/>
        <w:rPr>
          <w:rFonts w:ascii="Arial Narrow" w:hAnsi="Arial Narrow" w:cs="Arial Narrow"/>
          <w:bCs/>
          <w:caps/>
        </w:rPr>
      </w:pPr>
      <w:r>
        <w:rPr>
          <w:rFonts w:ascii="Arial Narrow" w:hAnsi="Arial Narrow" w:cs="Arial Narrow"/>
          <w:bCs/>
          <w:caps/>
        </w:rPr>
        <w:t>摘要</w:t>
      </w:r>
    </w:p>
    <w:p>
      <w:pPr>
        <w:pStyle w:val="15"/>
        <w:tabs>
          <w:tab w:val="right" w:leader="dot" w:pos="9203"/>
        </w:tabs>
        <w:snapToGrid w:val="0"/>
        <w:spacing w:before="0" w:after="0"/>
        <w:ind w:firstLine="480"/>
        <w:rPr>
          <w:rFonts w:ascii="Arial Narrow" w:hAnsi="Arial Narrow" w:cs="Arial Narrow"/>
          <w:b w:val="0"/>
          <w:bCs w:val="0"/>
          <w:caps w:val="0"/>
          <w:sz w:val="24"/>
          <w:szCs w:val="24"/>
        </w:rPr>
      </w:pPr>
      <w:r>
        <w:rPr>
          <w:rFonts w:ascii="Arial Narrow" w:hAnsi="Arial Narrow" w:cs="Arial Narrow"/>
          <w:b w:val="0"/>
          <w:sz w:val="24"/>
          <w:szCs w:val="24"/>
        </w:rPr>
        <w:fldChar w:fldCharType="begin"/>
      </w:r>
      <w:r>
        <w:rPr>
          <w:rFonts w:ascii="Arial Narrow" w:hAnsi="Arial Narrow" w:cs="Arial Narrow"/>
          <w:b w:val="0"/>
          <w:sz w:val="24"/>
          <w:szCs w:val="24"/>
        </w:rPr>
        <w:instrText xml:space="preserve"> TOC \o "1-4" \h \z \u </w:instrText>
      </w:r>
      <w:r>
        <w:rPr>
          <w:rFonts w:ascii="Arial Narrow" w:hAnsi="Arial Narrow" w:cs="Arial Narrow"/>
          <w:b w:val="0"/>
          <w:sz w:val="24"/>
          <w:szCs w:val="24"/>
        </w:rPr>
        <w:fldChar w:fldCharType="separate"/>
      </w:r>
      <w:r>
        <w:fldChar w:fldCharType="begin"/>
      </w:r>
      <w:r>
        <w:instrText xml:space="preserve"> HYPERLINK \l "_Toc479252053" </w:instrText>
      </w:r>
      <w:r>
        <w:fldChar w:fldCharType="separate"/>
      </w:r>
      <w:r>
        <w:rPr>
          <w:rStyle w:val="23"/>
          <w:rFonts w:ascii="Arial Narrow" w:hAnsi="Arial Narrow" w:cs="Arial Narrow"/>
          <w:b w:val="0"/>
          <w:color w:val="auto"/>
          <w:sz w:val="24"/>
          <w:szCs w:val="24"/>
        </w:rPr>
        <w:t>一、项目基本情况</w:t>
      </w:r>
      <w:r>
        <w:rPr>
          <w:rFonts w:ascii="Arial Narrow" w:hAnsi="Arial Narrow" w:cs="Arial Narrow"/>
          <w:b w:val="0"/>
          <w:sz w:val="24"/>
          <w:szCs w:val="24"/>
        </w:rPr>
        <w:tab/>
      </w:r>
      <w:r>
        <w:rPr>
          <w:rFonts w:ascii="Arial Narrow" w:hAnsi="Arial Narrow" w:cs="Arial Narrow"/>
          <w:b w:val="0"/>
          <w:sz w:val="24"/>
          <w:szCs w:val="24"/>
        </w:rPr>
        <w:fldChar w:fldCharType="begin"/>
      </w:r>
      <w:r>
        <w:rPr>
          <w:rFonts w:ascii="Arial Narrow" w:hAnsi="Arial Narrow" w:cs="Arial Narrow"/>
          <w:b w:val="0"/>
          <w:sz w:val="24"/>
          <w:szCs w:val="24"/>
        </w:rPr>
        <w:instrText xml:space="preserve"> PAGEREF _Toc479252053 \h </w:instrText>
      </w:r>
      <w:r>
        <w:rPr>
          <w:rFonts w:ascii="Arial Narrow" w:hAnsi="Arial Narrow" w:cs="Arial Narrow"/>
          <w:b w:val="0"/>
          <w:sz w:val="24"/>
          <w:szCs w:val="24"/>
        </w:rPr>
        <w:fldChar w:fldCharType="separate"/>
      </w:r>
      <w:r>
        <w:rPr>
          <w:rFonts w:ascii="Arial Narrow" w:hAnsi="Arial Narrow" w:cs="Arial Narrow"/>
          <w:b w:val="0"/>
          <w:sz w:val="24"/>
          <w:szCs w:val="24"/>
        </w:rPr>
        <w:t>1</w:t>
      </w:r>
      <w:r>
        <w:rPr>
          <w:rFonts w:ascii="Arial Narrow" w:hAnsi="Arial Narrow" w:cs="Arial Narrow"/>
          <w:b w:val="0"/>
          <w:sz w:val="24"/>
          <w:szCs w:val="24"/>
        </w:rPr>
        <w:fldChar w:fldCharType="end"/>
      </w:r>
      <w:r>
        <w:rPr>
          <w:rFonts w:ascii="Arial Narrow" w:hAnsi="Arial Narrow" w:cs="Arial Narrow"/>
          <w:b w:val="0"/>
          <w:sz w:val="24"/>
          <w:szCs w:val="24"/>
        </w:rPr>
        <w:fldChar w:fldCharType="end"/>
      </w:r>
    </w:p>
    <w:p>
      <w:pPr>
        <w:pStyle w:val="18"/>
        <w:tabs>
          <w:tab w:val="right" w:leader="dot" w:pos="9203"/>
        </w:tabs>
        <w:snapToGrid w:val="0"/>
        <w:spacing w:line="360" w:lineRule="auto"/>
        <w:ind w:firstLine="560"/>
        <w:rPr>
          <w:rFonts w:ascii="Arial Narrow" w:hAnsi="Arial Narrow" w:cs="Arial Narrow"/>
          <w:smallCaps w:val="0"/>
          <w:sz w:val="24"/>
          <w:szCs w:val="24"/>
        </w:rPr>
      </w:pPr>
      <w:r>
        <w:fldChar w:fldCharType="begin"/>
      </w:r>
      <w:r>
        <w:instrText xml:space="preserve"> HYPERLINK \l "_Toc479252054" </w:instrText>
      </w:r>
      <w:r>
        <w:fldChar w:fldCharType="separate"/>
      </w:r>
      <w:r>
        <w:rPr>
          <w:rStyle w:val="23"/>
          <w:rFonts w:ascii="Arial Narrow" w:hAnsi="Arial Narrow" w:cs="Arial Narrow"/>
          <w:bCs/>
          <w:color w:val="auto"/>
          <w:sz w:val="24"/>
          <w:szCs w:val="24"/>
        </w:rPr>
        <w:t>（一）项目概况</w:t>
      </w:r>
      <w:r>
        <w:rPr>
          <w:rFonts w:ascii="Arial Narrow" w:hAnsi="Arial Narrow" w:cs="Arial Narrow"/>
          <w:sz w:val="24"/>
          <w:szCs w:val="24"/>
        </w:rPr>
        <w:tab/>
      </w:r>
      <w:r>
        <w:rPr>
          <w:rFonts w:ascii="Arial Narrow" w:hAnsi="Arial Narrow" w:cs="Arial Narrow"/>
          <w:sz w:val="24"/>
          <w:szCs w:val="24"/>
        </w:rPr>
        <w:fldChar w:fldCharType="begin"/>
      </w:r>
      <w:r>
        <w:rPr>
          <w:rFonts w:ascii="Arial Narrow" w:hAnsi="Arial Narrow" w:cs="Arial Narrow"/>
          <w:sz w:val="24"/>
          <w:szCs w:val="24"/>
        </w:rPr>
        <w:instrText xml:space="preserve"> PAGEREF _Toc479252054 \h </w:instrText>
      </w:r>
      <w:r>
        <w:rPr>
          <w:rFonts w:ascii="Arial Narrow" w:hAnsi="Arial Narrow" w:cs="Arial Narrow"/>
          <w:sz w:val="24"/>
          <w:szCs w:val="24"/>
        </w:rPr>
        <w:fldChar w:fldCharType="separate"/>
      </w:r>
      <w:r>
        <w:rPr>
          <w:rFonts w:ascii="Arial Narrow" w:hAnsi="Arial Narrow" w:cs="Arial Narrow"/>
          <w:sz w:val="24"/>
          <w:szCs w:val="24"/>
        </w:rPr>
        <w:t>1</w:t>
      </w:r>
      <w:r>
        <w:rPr>
          <w:rFonts w:ascii="Arial Narrow" w:hAnsi="Arial Narrow" w:cs="Arial Narrow"/>
          <w:sz w:val="24"/>
          <w:szCs w:val="24"/>
        </w:rPr>
        <w:fldChar w:fldCharType="end"/>
      </w:r>
      <w:r>
        <w:rPr>
          <w:rFonts w:ascii="Arial Narrow" w:hAnsi="Arial Narrow" w:cs="Arial Narrow"/>
          <w:sz w:val="24"/>
          <w:szCs w:val="24"/>
        </w:rPr>
        <w:fldChar w:fldCharType="end"/>
      </w:r>
    </w:p>
    <w:p>
      <w:pPr>
        <w:pStyle w:val="18"/>
        <w:tabs>
          <w:tab w:val="right" w:leader="dot" w:pos="9203"/>
        </w:tabs>
        <w:snapToGrid w:val="0"/>
        <w:spacing w:line="360" w:lineRule="auto"/>
        <w:ind w:firstLine="560"/>
        <w:rPr>
          <w:rFonts w:ascii="Arial Narrow" w:hAnsi="Arial Narrow" w:cs="Arial Narrow"/>
          <w:smallCaps w:val="0"/>
          <w:sz w:val="24"/>
          <w:szCs w:val="24"/>
        </w:rPr>
      </w:pPr>
      <w:r>
        <w:fldChar w:fldCharType="begin"/>
      </w:r>
      <w:r>
        <w:instrText xml:space="preserve"> HYPERLINK \l "_Toc479252055" </w:instrText>
      </w:r>
      <w:r>
        <w:fldChar w:fldCharType="separate"/>
      </w:r>
      <w:r>
        <w:rPr>
          <w:rStyle w:val="23"/>
          <w:rFonts w:ascii="Arial Narrow" w:hAnsi="Arial Narrow" w:cs="Arial Narrow"/>
          <w:bCs/>
          <w:color w:val="auto"/>
          <w:sz w:val="24"/>
          <w:szCs w:val="24"/>
        </w:rPr>
        <w:t>（二）项目绩效目标</w:t>
      </w:r>
      <w:r>
        <w:rPr>
          <w:rFonts w:ascii="Arial Narrow" w:hAnsi="Arial Narrow" w:cs="Arial Narrow"/>
          <w:sz w:val="24"/>
          <w:szCs w:val="24"/>
        </w:rPr>
        <w:tab/>
      </w:r>
      <w:r>
        <w:rPr>
          <w:rFonts w:ascii="Arial Narrow" w:hAnsi="Arial Narrow" w:cs="Arial Narrow"/>
          <w:sz w:val="24"/>
          <w:szCs w:val="24"/>
        </w:rPr>
        <w:fldChar w:fldCharType="begin"/>
      </w:r>
      <w:r>
        <w:rPr>
          <w:rFonts w:ascii="Arial Narrow" w:hAnsi="Arial Narrow" w:cs="Arial Narrow"/>
          <w:sz w:val="24"/>
          <w:szCs w:val="24"/>
        </w:rPr>
        <w:instrText xml:space="preserve"> PAGEREF _Toc479252055 \h </w:instrText>
      </w:r>
      <w:r>
        <w:rPr>
          <w:rFonts w:ascii="Arial Narrow" w:hAnsi="Arial Narrow" w:cs="Arial Narrow"/>
          <w:sz w:val="24"/>
          <w:szCs w:val="24"/>
        </w:rPr>
        <w:fldChar w:fldCharType="separate"/>
      </w:r>
      <w:r>
        <w:rPr>
          <w:rFonts w:ascii="Arial Narrow" w:hAnsi="Arial Narrow" w:cs="Arial Narrow"/>
          <w:sz w:val="24"/>
          <w:szCs w:val="24"/>
        </w:rPr>
        <w:t>3</w:t>
      </w:r>
      <w:r>
        <w:rPr>
          <w:rFonts w:ascii="Arial Narrow" w:hAnsi="Arial Narrow" w:cs="Arial Narrow"/>
          <w:sz w:val="24"/>
          <w:szCs w:val="24"/>
        </w:rPr>
        <w:fldChar w:fldCharType="end"/>
      </w:r>
      <w:r>
        <w:rPr>
          <w:rFonts w:ascii="Arial Narrow" w:hAnsi="Arial Narrow" w:cs="Arial Narrow"/>
          <w:sz w:val="24"/>
          <w:szCs w:val="24"/>
        </w:rPr>
        <w:fldChar w:fldCharType="end"/>
      </w:r>
    </w:p>
    <w:p>
      <w:pPr>
        <w:pStyle w:val="15"/>
        <w:tabs>
          <w:tab w:val="right" w:leader="dot" w:pos="9203"/>
        </w:tabs>
        <w:snapToGrid w:val="0"/>
        <w:spacing w:before="0" w:after="0"/>
        <w:ind w:firstLine="562"/>
        <w:rPr>
          <w:rFonts w:ascii="Arial Narrow" w:hAnsi="Arial Narrow" w:cs="Arial Narrow"/>
          <w:b w:val="0"/>
          <w:bCs w:val="0"/>
          <w:caps w:val="0"/>
          <w:sz w:val="24"/>
          <w:szCs w:val="24"/>
        </w:rPr>
      </w:pPr>
      <w:r>
        <w:fldChar w:fldCharType="begin"/>
      </w:r>
      <w:r>
        <w:instrText xml:space="preserve"> HYPERLINK \l "_Toc479252056" </w:instrText>
      </w:r>
      <w:r>
        <w:fldChar w:fldCharType="separate"/>
      </w:r>
      <w:r>
        <w:rPr>
          <w:rStyle w:val="23"/>
          <w:rFonts w:ascii="Arial Narrow" w:hAnsi="Arial Narrow" w:cs="Arial Narrow"/>
          <w:b w:val="0"/>
          <w:color w:val="auto"/>
          <w:sz w:val="24"/>
          <w:szCs w:val="24"/>
        </w:rPr>
        <w:t>二、绩效评价工作情况</w:t>
      </w:r>
      <w:r>
        <w:rPr>
          <w:rFonts w:ascii="Arial Narrow" w:hAnsi="Arial Narrow" w:cs="Arial Narrow"/>
          <w:b w:val="0"/>
          <w:sz w:val="24"/>
          <w:szCs w:val="24"/>
        </w:rPr>
        <w:tab/>
      </w:r>
      <w:r>
        <w:rPr>
          <w:rFonts w:ascii="Arial Narrow" w:hAnsi="Arial Narrow" w:cs="Arial Narrow"/>
          <w:b w:val="0"/>
          <w:sz w:val="24"/>
          <w:szCs w:val="24"/>
        </w:rPr>
        <w:fldChar w:fldCharType="begin"/>
      </w:r>
      <w:r>
        <w:rPr>
          <w:rFonts w:ascii="Arial Narrow" w:hAnsi="Arial Narrow" w:cs="Arial Narrow"/>
          <w:b w:val="0"/>
          <w:sz w:val="24"/>
          <w:szCs w:val="24"/>
        </w:rPr>
        <w:instrText xml:space="preserve"> PAGEREF _Toc479252056 \h </w:instrText>
      </w:r>
      <w:r>
        <w:rPr>
          <w:rFonts w:ascii="Arial Narrow" w:hAnsi="Arial Narrow" w:cs="Arial Narrow"/>
          <w:b w:val="0"/>
          <w:sz w:val="24"/>
          <w:szCs w:val="24"/>
        </w:rPr>
        <w:fldChar w:fldCharType="separate"/>
      </w:r>
      <w:r>
        <w:rPr>
          <w:rFonts w:ascii="Arial Narrow" w:hAnsi="Arial Narrow" w:cs="Arial Narrow"/>
          <w:b w:val="0"/>
          <w:sz w:val="24"/>
          <w:szCs w:val="24"/>
        </w:rPr>
        <w:t>4</w:t>
      </w:r>
      <w:r>
        <w:rPr>
          <w:rFonts w:ascii="Arial Narrow" w:hAnsi="Arial Narrow" w:cs="Arial Narrow"/>
          <w:b w:val="0"/>
          <w:sz w:val="24"/>
          <w:szCs w:val="24"/>
        </w:rPr>
        <w:fldChar w:fldCharType="end"/>
      </w:r>
      <w:r>
        <w:rPr>
          <w:rFonts w:ascii="Arial Narrow" w:hAnsi="Arial Narrow" w:cs="Arial Narrow"/>
          <w:b w:val="0"/>
          <w:sz w:val="24"/>
          <w:szCs w:val="24"/>
        </w:rPr>
        <w:fldChar w:fldCharType="end"/>
      </w:r>
    </w:p>
    <w:p>
      <w:pPr>
        <w:pStyle w:val="18"/>
        <w:tabs>
          <w:tab w:val="right" w:leader="dot" w:pos="9203"/>
        </w:tabs>
        <w:snapToGrid w:val="0"/>
        <w:spacing w:line="360" w:lineRule="auto"/>
        <w:ind w:firstLine="560"/>
        <w:rPr>
          <w:rFonts w:ascii="Arial Narrow" w:hAnsi="Arial Narrow" w:cs="Arial Narrow"/>
          <w:smallCaps w:val="0"/>
          <w:sz w:val="24"/>
          <w:szCs w:val="24"/>
        </w:rPr>
      </w:pPr>
      <w:r>
        <w:fldChar w:fldCharType="begin"/>
      </w:r>
      <w:r>
        <w:instrText xml:space="preserve"> HYPERLINK \l "_Toc479252057" </w:instrText>
      </w:r>
      <w:r>
        <w:fldChar w:fldCharType="separate"/>
      </w:r>
      <w:r>
        <w:rPr>
          <w:rStyle w:val="23"/>
          <w:rFonts w:ascii="Arial Narrow" w:hAnsi="Arial Narrow" w:cs="Arial Narrow"/>
          <w:bCs/>
          <w:color w:val="auto"/>
          <w:sz w:val="24"/>
          <w:szCs w:val="24"/>
        </w:rPr>
        <w:t>（一）绩效评价目的</w:t>
      </w:r>
      <w:r>
        <w:rPr>
          <w:rFonts w:ascii="Arial Narrow" w:hAnsi="Arial Narrow" w:cs="Arial Narrow"/>
          <w:sz w:val="24"/>
          <w:szCs w:val="24"/>
        </w:rPr>
        <w:tab/>
      </w:r>
      <w:r>
        <w:rPr>
          <w:rFonts w:ascii="Arial Narrow" w:hAnsi="Arial Narrow" w:cs="Arial Narrow"/>
          <w:sz w:val="24"/>
          <w:szCs w:val="24"/>
        </w:rPr>
        <w:fldChar w:fldCharType="begin"/>
      </w:r>
      <w:r>
        <w:rPr>
          <w:rFonts w:ascii="Arial Narrow" w:hAnsi="Arial Narrow" w:cs="Arial Narrow"/>
          <w:sz w:val="24"/>
          <w:szCs w:val="24"/>
        </w:rPr>
        <w:instrText xml:space="preserve"> PAGEREF _Toc479252057 \h </w:instrText>
      </w:r>
      <w:r>
        <w:rPr>
          <w:rFonts w:ascii="Arial Narrow" w:hAnsi="Arial Narrow" w:cs="Arial Narrow"/>
          <w:sz w:val="24"/>
          <w:szCs w:val="24"/>
        </w:rPr>
        <w:fldChar w:fldCharType="separate"/>
      </w:r>
      <w:r>
        <w:rPr>
          <w:rFonts w:ascii="Arial Narrow" w:hAnsi="Arial Narrow" w:cs="Arial Narrow"/>
          <w:sz w:val="24"/>
          <w:szCs w:val="24"/>
        </w:rPr>
        <w:t>4</w:t>
      </w:r>
      <w:r>
        <w:rPr>
          <w:rFonts w:ascii="Arial Narrow" w:hAnsi="Arial Narrow" w:cs="Arial Narrow"/>
          <w:sz w:val="24"/>
          <w:szCs w:val="24"/>
        </w:rPr>
        <w:fldChar w:fldCharType="end"/>
      </w:r>
      <w:r>
        <w:rPr>
          <w:rFonts w:ascii="Arial Narrow" w:hAnsi="Arial Narrow" w:cs="Arial Narrow"/>
          <w:sz w:val="24"/>
          <w:szCs w:val="24"/>
        </w:rPr>
        <w:fldChar w:fldCharType="end"/>
      </w:r>
    </w:p>
    <w:p>
      <w:pPr>
        <w:pStyle w:val="18"/>
        <w:tabs>
          <w:tab w:val="right" w:leader="dot" w:pos="9203"/>
        </w:tabs>
        <w:snapToGrid w:val="0"/>
        <w:spacing w:line="360" w:lineRule="auto"/>
        <w:ind w:firstLine="560"/>
        <w:rPr>
          <w:rFonts w:ascii="Arial Narrow" w:hAnsi="Arial Narrow" w:cs="Arial Narrow"/>
          <w:smallCaps w:val="0"/>
          <w:sz w:val="24"/>
          <w:szCs w:val="24"/>
        </w:rPr>
      </w:pPr>
      <w:r>
        <w:fldChar w:fldCharType="begin"/>
      </w:r>
      <w:r>
        <w:instrText xml:space="preserve"> HYPERLINK \l "_Toc479252058" </w:instrText>
      </w:r>
      <w:r>
        <w:fldChar w:fldCharType="separate"/>
      </w:r>
      <w:r>
        <w:rPr>
          <w:rStyle w:val="23"/>
          <w:rFonts w:ascii="Arial Narrow" w:hAnsi="Arial Narrow" w:cs="Arial Narrow"/>
          <w:bCs/>
          <w:color w:val="auto"/>
          <w:sz w:val="24"/>
          <w:szCs w:val="24"/>
        </w:rPr>
        <w:t>（二）绩效评价工作过程</w:t>
      </w:r>
      <w:r>
        <w:rPr>
          <w:rFonts w:ascii="Arial Narrow" w:hAnsi="Arial Narrow" w:cs="Arial Narrow"/>
          <w:sz w:val="24"/>
          <w:szCs w:val="24"/>
        </w:rPr>
        <w:tab/>
      </w:r>
      <w:r>
        <w:rPr>
          <w:rFonts w:ascii="Arial Narrow" w:hAnsi="Arial Narrow" w:cs="Arial Narrow"/>
          <w:sz w:val="24"/>
          <w:szCs w:val="24"/>
        </w:rPr>
        <w:fldChar w:fldCharType="begin"/>
      </w:r>
      <w:r>
        <w:rPr>
          <w:rFonts w:ascii="Arial Narrow" w:hAnsi="Arial Narrow" w:cs="Arial Narrow"/>
          <w:sz w:val="24"/>
          <w:szCs w:val="24"/>
        </w:rPr>
        <w:instrText xml:space="preserve"> PAGEREF _Toc479252058 \h </w:instrText>
      </w:r>
      <w:r>
        <w:rPr>
          <w:rFonts w:ascii="Arial Narrow" w:hAnsi="Arial Narrow" w:cs="Arial Narrow"/>
          <w:sz w:val="24"/>
          <w:szCs w:val="24"/>
        </w:rPr>
        <w:fldChar w:fldCharType="separate"/>
      </w:r>
      <w:r>
        <w:rPr>
          <w:rFonts w:ascii="Arial Narrow" w:hAnsi="Arial Narrow" w:cs="Arial Narrow"/>
          <w:sz w:val="24"/>
          <w:szCs w:val="24"/>
        </w:rPr>
        <w:t>4</w:t>
      </w:r>
      <w:r>
        <w:rPr>
          <w:rFonts w:ascii="Arial Narrow" w:hAnsi="Arial Narrow" w:cs="Arial Narrow"/>
          <w:sz w:val="24"/>
          <w:szCs w:val="24"/>
        </w:rPr>
        <w:fldChar w:fldCharType="end"/>
      </w:r>
      <w:r>
        <w:rPr>
          <w:rFonts w:ascii="Arial Narrow" w:hAnsi="Arial Narrow" w:cs="Arial Narrow"/>
          <w:sz w:val="24"/>
          <w:szCs w:val="24"/>
        </w:rPr>
        <w:fldChar w:fldCharType="end"/>
      </w:r>
    </w:p>
    <w:p>
      <w:pPr>
        <w:pStyle w:val="15"/>
        <w:tabs>
          <w:tab w:val="right" w:leader="dot" w:pos="9203"/>
        </w:tabs>
        <w:snapToGrid w:val="0"/>
        <w:spacing w:before="0" w:after="0"/>
        <w:ind w:firstLine="562"/>
        <w:rPr>
          <w:rFonts w:ascii="Arial Narrow" w:hAnsi="Arial Narrow" w:cs="Arial Narrow"/>
          <w:b w:val="0"/>
          <w:bCs w:val="0"/>
          <w:caps w:val="0"/>
          <w:sz w:val="24"/>
          <w:szCs w:val="24"/>
        </w:rPr>
      </w:pPr>
      <w:r>
        <w:fldChar w:fldCharType="begin"/>
      </w:r>
      <w:r>
        <w:instrText xml:space="preserve"> HYPERLINK \l "_Toc479252059" </w:instrText>
      </w:r>
      <w:r>
        <w:fldChar w:fldCharType="separate"/>
      </w:r>
      <w:r>
        <w:rPr>
          <w:rStyle w:val="23"/>
          <w:rFonts w:ascii="Arial Narrow" w:hAnsi="Arial Narrow" w:cs="Arial Narrow"/>
          <w:b w:val="0"/>
          <w:color w:val="auto"/>
          <w:sz w:val="24"/>
          <w:szCs w:val="24"/>
        </w:rPr>
        <w:t>三、绩效分析</w:t>
      </w:r>
      <w:r>
        <w:rPr>
          <w:rFonts w:ascii="Arial Narrow" w:hAnsi="Arial Narrow" w:cs="Arial Narrow"/>
          <w:b w:val="0"/>
          <w:sz w:val="24"/>
          <w:szCs w:val="24"/>
        </w:rPr>
        <w:tab/>
      </w:r>
      <w:r>
        <w:rPr>
          <w:rFonts w:ascii="Arial Narrow" w:hAnsi="Arial Narrow" w:cs="Arial Narrow"/>
          <w:b w:val="0"/>
          <w:sz w:val="24"/>
          <w:szCs w:val="24"/>
        </w:rPr>
        <w:t>1</w:t>
      </w:r>
      <w:r>
        <w:rPr>
          <w:rFonts w:ascii="Arial Narrow" w:hAnsi="Arial Narrow" w:cs="Arial Narrow"/>
          <w:b w:val="0"/>
          <w:sz w:val="24"/>
          <w:szCs w:val="24"/>
        </w:rPr>
        <w:fldChar w:fldCharType="end"/>
      </w:r>
      <w:r>
        <w:rPr>
          <w:rFonts w:ascii="Arial Narrow" w:hAnsi="Arial Narrow" w:cs="Arial Narrow"/>
          <w:b w:val="0"/>
          <w:sz w:val="24"/>
          <w:szCs w:val="24"/>
        </w:rPr>
        <w:t>8</w:t>
      </w:r>
    </w:p>
    <w:p>
      <w:pPr>
        <w:pStyle w:val="18"/>
        <w:tabs>
          <w:tab w:val="right" w:leader="dot" w:pos="9203"/>
        </w:tabs>
        <w:snapToGrid w:val="0"/>
        <w:spacing w:line="360" w:lineRule="auto"/>
        <w:ind w:firstLine="560"/>
        <w:rPr>
          <w:rFonts w:ascii="Arial Narrow" w:hAnsi="Arial Narrow" w:cs="Arial Narrow"/>
          <w:smallCaps w:val="0"/>
          <w:sz w:val="24"/>
          <w:szCs w:val="24"/>
        </w:rPr>
      </w:pPr>
      <w:r>
        <w:fldChar w:fldCharType="begin"/>
      </w:r>
      <w:r>
        <w:instrText xml:space="preserve"> HYPERLINK \l "_Toc479252060" </w:instrText>
      </w:r>
      <w:r>
        <w:fldChar w:fldCharType="separate"/>
      </w:r>
      <w:r>
        <w:rPr>
          <w:rStyle w:val="23"/>
          <w:rFonts w:ascii="Arial Narrow" w:hAnsi="Arial Narrow" w:cs="Arial Narrow"/>
          <w:bCs/>
          <w:color w:val="auto"/>
          <w:sz w:val="24"/>
          <w:szCs w:val="24"/>
        </w:rPr>
        <w:t>（一）项目投入（15分）</w:t>
      </w:r>
      <w:r>
        <w:rPr>
          <w:rFonts w:ascii="Arial Narrow" w:hAnsi="Arial Narrow" w:cs="Arial Narrow"/>
          <w:sz w:val="24"/>
          <w:szCs w:val="24"/>
        </w:rPr>
        <w:tab/>
      </w:r>
      <w:r>
        <w:rPr>
          <w:rFonts w:ascii="Arial Narrow" w:hAnsi="Arial Narrow" w:cs="Arial Narrow"/>
          <w:sz w:val="24"/>
          <w:szCs w:val="24"/>
        </w:rPr>
        <w:t>1</w:t>
      </w:r>
      <w:r>
        <w:rPr>
          <w:rFonts w:ascii="Arial Narrow" w:hAnsi="Arial Narrow" w:cs="Arial Narrow"/>
          <w:sz w:val="24"/>
          <w:szCs w:val="24"/>
        </w:rPr>
        <w:fldChar w:fldCharType="end"/>
      </w:r>
      <w:r>
        <w:rPr>
          <w:rFonts w:ascii="Arial Narrow" w:hAnsi="Arial Narrow" w:cs="Arial Narrow"/>
          <w:sz w:val="24"/>
          <w:szCs w:val="24"/>
        </w:rPr>
        <w:t>8</w:t>
      </w:r>
    </w:p>
    <w:p>
      <w:pPr>
        <w:pStyle w:val="18"/>
        <w:tabs>
          <w:tab w:val="right" w:leader="dot" w:pos="9203"/>
        </w:tabs>
        <w:snapToGrid w:val="0"/>
        <w:spacing w:line="360" w:lineRule="auto"/>
        <w:ind w:firstLine="560"/>
        <w:rPr>
          <w:rFonts w:ascii="Arial Narrow" w:hAnsi="Arial Narrow" w:cs="Arial Narrow"/>
          <w:sz w:val="24"/>
          <w:szCs w:val="24"/>
        </w:rPr>
      </w:pPr>
      <w:r>
        <w:fldChar w:fldCharType="begin"/>
      </w:r>
      <w:r>
        <w:instrText xml:space="preserve"> HYPERLINK \l "_Toc479252061" </w:instrText>
      </w:r>
      <w:r>
        <w:fldChar w:fldCharType="separate"/>
      </w:r>
      <w:r>
        <w:rPr>
          <w:rStyle w:val="23"/>
          <w:rFonts w:ascii="Arial Narrow" w:hAnsi="Arial Narrow" w:cs="Arial Narrow"/>
          <w:bCs/>
          <w:color w:val="auto"/>
          <w:sz w:val="24"/>
          <w:szCs w:val="24"/>
        </w:rPr>
        <w:t>（二）项目过程（25分）</w:t>
      </w:r>
      <w:r>
        <w:rPr>
          <w:rFonts w:ascii="Arial Narrow" w:hAnsi="Arial Narrow" w:cs="Arial Narrow"/>
          <w:sz w:val="24"/>
          <w:szCs w:val="24"/>
        </w:rPr>
        <w:tab/>
      </w:r>
      <w:r>
        <w:rPr>
          <w:rFonts w:hint="eastAsia" w:ascii="Arial Narrow" w:hAnsi="Arial Narrow" w:cs="Arial Narrow"/>
          <w:sz w:val="24"/>
          <w:szCs w:val="24"/>
        </w:rPr>
        <w:t>2</w:t>
      </w:r>
      <w:r>
        <w:rPr>
          <w:rFonts w:hint="eastAsia" w:ascii="Arial Narrow" w:hAnsi="Arial Narrow" w:cs="Arial Narrow"/>
          <w:sz w:val="24"/>
          <w:szCs w:val="24"/>
        </w:rPr>
        <w:fldChar w:fldCharType="end"/>
      </w:r>
      <w:r>
        <w:rPr>
          <w:rFonts w:hint="eastAsia" w:ascii="Arial Narrow" w:hAnsi="Arial Narrow" w:cs="Arial Narrow"/>
          <w:sz w:val="24"/>
          <w:szCs w:val="24"/>
        </w:rPr>
        <w:t>0</w:t>
      </w:r>
    </w:p>
    <w:p>
      <w:pPr>
        <w:pStyle w:val="18"/>
        <w:tabs>
          <w:tab w:val="right" w:leader="dot" w:pos="9203"/>
        </w:tabs>
        <w:snapToGrid w:val="0"/>
        <w:spacing w:line="360" w:lineRule="auto"/>
        <w:ind w:firstLine="560"/>
        <w:rPr>
          <w:rFonts w:ascii="Arial Narrow" w:hAnsi="Arial Narrow" w:cs="Arial Narrow"/>
          <w:smallCaps w:val="0"/>
          <w:sz w:val="24"/>
          <w:szCs w:val="24"/>
        </w:rPr>
      </w:pPr>
      <w:r>
        <w:fldChar w:fldCharType="begin"/>
      </w:r>
      <w:r>
        <w:instrText xml:space="preserve"> HYPERLINK \l "_Toc479252061" </w:instrText>
      </w:r>
      <w:r>
        <w:fldChar w:fldCharType="separate"/>
      </w:r>
      <w:r>
        <w:rPr>
          <w:rStyle w:val="23"/>
          <w:rFonts w:ascii="Arial Narrow" w:hAnsi="Arial Narrow" w:cs="Arial Narrow"/>
          <w:bCs/>
          <w:color w:val="auto"/>
          <w:sz w:val="24"/>
          <w:szCs w:val="24"/>
        </w:rPr>
        <w:t>（二）项目产出（25分）</w:t>
      </w:r>
      <w:r>
        <w:rPr>
          <w:rFonts w:ascii="Arial Narrow" w:hAnsi="Arial Narrow" w:cs="Arial Narrow"/>
          <w:sz w:val="24"/>
          <w:szCs w:val="24"/>
        </w:rPr>
        <w:tab/>
      </w:r>
      <w:r>
        <w:rPr>
          <w:rFonts w:hint="eastAsia" w:ascii="Arial Narrow" w:hAnsi="Arial Narrow" w:cs="Arial Narrow"/>
          <w:sz w:val="24"/>
          <w:szCs w:val="24"/>
        </w:rPr>
        <w:t>2</w:t>
      </w:r>
      <w:r>
        <w:rPr>
          <w:rFonts w:hint="eastAsia" w:ascii="Arial Narrow" w:hAnsi="Arial Narrow" w:cs="Arial Narrow"/>
          <w:sz w:val="24"/>
          <w:szCs w:val="24"/>
        </w:rPr>
        <w:fldChar w:fldCharType="end"/>
      </w:r>
      <w:r>
        <w:rPr>
          <w:rFonts w:hint="eastAsia" w:ascii="Arial Narrow" w:hAnsi="Arial Narrow" w:cs="Arial Narrow"/>
          <w:sz w:val="24"/>
          <w:szCs w:val="24"/>
        </w:rPr>
        <w:t>2</w:t>
      </w:r>
    </w:p>
    <w:p>
      <w:pPr>
        <w:pStyle w:val="18"/>
        <w:tabs>
          <w:tab w:val="right" w:leader="dot" w:pos="9203"/>
        </w:tabs>
        <w:snapToGrid w:val="0"/>
        <w:spacing w:line="360" w:lineRule="auto"/>
        <w:ind w:firstLine="560"/>
        <w:rPr>
          <w:rFonts w:ascii="Arial Narrow" w:hAnsi="Arial Narrow" w:cs="Arial Narrow"/>
          <w:smallCaps w:val="0"/>
          <w:sz w:val="24"/>
          <w:szCs w:val="24"/>
        </w:rPr>
      </w:pPr>
      <w:r>
        <w:fldChar w:fldCharType="begin"/>
      </w:r>
      <w:r>
        <w:instrText xml:space="preserve"> HYPERLINK \l "_Toc479252062" </w:instrText>
      </w:r>
      <w:r>
        <w:fldChar w:fldCharType="separate"/>
      </w:r>
      <w:r>
        <w:rPr>
          <w:rStyle w:val="23"/>
          <w:rFonts w:ascii="Arial Narrow" w:hAnsi="Arial Narrow" w:cs="Arial Narrow"/>
          <w:bCs/>
          <w:color w:val="auto"/>
          <w:sz w:val="24"/>
          <w:szCs w:val="24"/>
        </w:rPr>
        <w:t>（三）项目效果（35分）</w:t>
      </w:r>
      <w:r>
        <w:rPr>
          <w:rFonts w:ascii="Arial Narrow" w:hAnsi="Arial Narrow" w:cs="Arial Narrow"/>
          <w:sz w:val="24"/>
          <w:szCs w:val="24"/>
        </w:rPr>
        <w:tab/>
      </w:r>
      <w:r>
        <w:rPr>
          <w:rFonts w:ascii="Arial Narrow" w:hAnsi="Arial Narrow" w:cs="Arial Narrow"/>
          <w:sz w:val="24"/>
          <w:szCs w:val="24"/>
        </w:rPr>
        <w:t>2</w:t>
      </w:r>
      <w:r>
        <w:rPr>
          <w:rFonts w:ascii="Arial Narrow" w:hAnsi="Arial Narrow" w:cs="Arial Narrow"/>
          <w:sz w:val="24"/>
          <w:szCs w:val="24"/>
        </w:rPr>
        <w:fldChar w:fldCharType="end"/>
      </w:r>
      <w:r>
        <w:rPr>
          <w:rFonts w:hint="eastAsia" w:ascii="Arial Narrow" w:hAnsi="Arial Narrow" w:cs="Arial Narrow"/>
          <w:sz w:val="24"/>
          <w:szCs w:val="24"/>
        </w:rPr>
        <w:t>4</w:t>
      </w:r>
    </w:p>
    <w:p>
      <w:pPr>
        <w:pStyle w:val="15"/>
        <w:tabs>
          <w:tab w:val="right" w:leader="dot" w:pos="9203"/>
        </w:tabs>
        <w:snapToGrid w:val="0"/>
        <w:spacing w:before="0" w:after="0"/>
        <w:ind w:firstLine="562"/>
        <w:rPr>
          <w:rFonts w:ascii="Arial Narrow" w:hAnsi="Arial Narrow" w:cs="Arial Narrow"/>
          <w:b w:val="0"/>
          <w:bCs w:val="0"/>
          <w:caps w:val="0"/>
          <w:sz w:val="24"/>
          <w:szCs w:val="24"/>
        </w:rPr>
      </w:pPr>
      <w:r>
        <w:fldChar w:fldCharType="begin"/>
      </w:r>
      <w:r>
        <w:instrText xml:space="preserve"> HYPERLINK \l "_Toc479252063" </w:instrText>
      </w:r>
      <w:r>
        <w:fldChar w:fldCharType="separate"/>
      </w:r>
      <w:r>
        <w:rPr>
          <w:rStyle w:val="23"/>
          <w:rFonts w:ascii="Arial Narrow" w:hAnsi="Arial Narrow" w:cs="Arial Narrow"/>
          <w:b w:val="0"/>
          <w:color w:val="auto"/>
          <w:sz w:val="24"/>
          <w:szCs w:val="24"/>
        </w:rPr>
        <w:t>四、评价结论</w:t>
      </w:r>
      <w:r>
        <w:rPr>
          <w:rFonts w:ascii="Arial Narrow" w:hAnsi="Arial Narrow" w:cs="Arial Narrow"/>
          <w:b w:val="0"/>
          <w:sz w:val="24"/>
          <w:szCs w:val="24"/>
        </w:rPr>
        <w:tab/>
      </w:r>
      <w:r>
        <w:rPr>
          <w:rFonts w:ascii="Arial Narrow" w:hAnsi="Arial Narrow" w:cs="Arial Narrow"/>
          <w:b w:val="0"/>
          <w:sz w:val="24"/>
          <w:szCs w:val="24"/>
        </w:rPr>
        <w:t>2</w:t>
      </w:r>
      <w:r>
        <w:rPr>
          <w:rFonts w:ascii="Arial Narrow" w:hAnsi="Arial Narrow" w:cs="Arial Narrow"/>
          <w:b w:val="0"/>
          <w:sz w:val="24"/>
          <w:szCs w:val="24"/>
        </w:rPr>
        <w:fldChar w:fldCharType="end"/>
      </w:r>
      <w:r>
        <w:rPr>
          <w:rFonts w:hint="eastAsia" w:ascii="Arial Narrow" w:hAnsi="Arial Narrow" w:cs="Arial Narrow"/>
          <w:b w:val="0"/>
          <w:sz w:val="24"/>
          <w:szCs w:val="24"/>
        </w:rPr>
        <w:t>6</w:t>
      </w:r>
    </w:p>
    <w:p>
      <w:pPr>
        <w:pStyle w:val="18"/>
        <w:tabs>
          <w:tab w:val="right" w:leader="dot" w:pos="9203"/>
        </w:tabs>
        <w:snapToGrid w:val="0"/>
        <w:spacing w:line="360" w:lineRule="auto"/>
        <w:ind w:firstLine="560"/>
        <w:rPr>
          <w:rFonts w:ascii="Arial Narrow" w:hAnsi="Arial Narrow" w:cs="Arial Narrow"/>
          <w:smallCaps w:val="0"/>
          <w:sz w:val="24"/>
          <w:szCs w:val="24"/>
        </w:rPr>
      </w:pPr>
      <w:r>
        <w:fldChar w:fldCharType="begin"/>
      </w:r>
      <w:r>
        <w:instrText xml:space="preserve"> HYPERLINK \l "_Toc479252064" </w:instrText>
      </w:r>
      <w:r>
        <w:fldChar w:fldCharType="separate"/>
      </w:r>
      <w:r>
        <w:rPr>
          <w:rStyle w:val="23"/>
          <w:rFonts w:ascii="Arial Narrow" w:hAnsi="Arial Narrow" w:cs="Arial Narrow"/>
          <w:bCs/>
          <w:color w:val="auto"/>
          <w:sz w:val="24"/>
          <w:szCs w:val="24"/>
        </w:rPr>
        <w:t>（一）评分结果</w:t>
      </w:r>
      <w:r>
        <w:rPr>
          <w:rFonts w:ascii="Arial Narrow" w:hAnsi="Arial Narrow" w:cs="Arial Narrow"/>
          <w:sz w:val="24"/>
          <w:szCs w:val="24"/>
        </w:rPr>
        <w:tab/>
      </w:r>
      <w:r>
        <w:rPr>
          <w:rFonts w:ascii="Arial Narrow" w:hAnsi="Arial Narrow" w:cs="Arial Narrow"/>
          <w:sz w:val="24"/>
          <w:szCs w:val="24"/>
        </w:rPr>
        <w:t>2</w:t>
      </w:r>
      <w:r>
        <w:rPr>
          <w:rFonts w:ascii="Arial Narrow" w:hAnsi="Arial Narrow" w:cs="Arial Narrow"/>
          <w:sz w:val="24"/>
          <w:szCs w:val="24"/>
        </w:rPr>
        <w:fldChar w:fldCharType="end"/>
      </w:r>
      <w:r>
        <w:rPr>
          <w:rFonts w:hint="eastAsia" w:ascii="Arial Narrow" w:hAnsi="Arial Narrow" w:cs="Arial Narrow"/>
          <w:sz w:val="24"/>
          <w:szCs w:val="24"/>
        </w:rPr>
        <w:t>6</w:t>
      </w:r>
    </w:p>
    <w:p>
      <w:pPr>
        <w:pStyle w:val="18"/>
        <w:tabs>
          <w:tab w:val="right" w:leader="dot" w:pos="9203"/>
        </w:tabs>
        <w:snapToGrid w:val="0"/>
        <w:spacing w:line="360" w:lineRule="auto"/>
        <w:ind w:firstLine="560"/>
        <w:rPr>
          <w:rFonts w:ascii="Arial Narrow" w:hAnsi="Arial Narrow" w:cs="Arial Narrow"/>
          <w:smallCaps w:val="0"/>
          <w:sz w:val="24"/>
          <w:szCs w:val="24"/>
        </w:rPr>
      </w:pPr>
      <w:r>
        <w:fldChar w:fldCharType="begin"/>
      </w:r>
      <w:r>
        <w:instrText xml:space="preserve"> HYPERLINK \l "_Toc479252065" </w:instrText>
      </w:r>
      <w:r>
        <w:fldChar w:fldCharType="separate"/>
      </w:r>
      <w:r>
        <w:rPr>
          <w:rStyle w:val="23"/>
          <w:rFonts w:ascii="Arial Narrow" w:hAnsi="Arial Narrow" w:cs="Arial Narrow"/>
          <w:bCs/>
          <w:color w:val="auto"/>
          <w:sz w:val="24"/>
          <w:szCs w:val="24"/>
        </w:rPr>
        <w:t>（二）主要结论</w:t>
      </w:r>
      <w:r>
        <w:rPr>
          <w:rFonts w:ascii="Arial Narrow" w:hAnsi="Arial Narrow" w:cs="Arial Narrow"/>
          <w:sz w:val="24"/>
          <w:szCs w:val="24"/>
        </w:rPr>
        <w:tab/>
      </w:r>
      <w:r>
        <w:rPr>
          <w:rFonts w:ascii="Arial Narrow" w:hAnsi="Arial Narrow" w:cs="Arial Narrow"/>
          <w:sz w:val="24"/>
          <w:szCs w:val="24"/>
        </w:rPr>
        <w:t>2</w:t>
      </w:r>
      <w:r>
        <w:rPr>
          <w:rFonts w:ascii="Arial Narrow" w:hAnsi="Arial Narrow" w:cs="Arial Narrow"/>
          <w:sz w:val="24"/>
          <w:szCs w:val="24"/>
        </w:rPr>
        <w:fldChar w:fldCharType="end"/>
      </w:r>
      <w:r>
        <w:rPr>
          <w:rFonts w:ascii="Arial Narrow" w:hAnsi="Arial Narrow" w:cs="Arial Narrow"/>
          <w:sz w:val="24"/>
          <w:szCs w:val="24"/>
        </w:rPr>
        <w:t>6</w:t>
      </w:r>
    </w:p>
    <w:p>
      <w:pPr>
        <w:pStyle w:val="15"/>
        <w:tabs>
          <w:tab w:val="right" w:leader="dot" w:pos="9203"/>
        </w:tabs>
        <w:snapToGrid w:val="0"/>
        <w:spacing w:before="0" w:after="0"/>
        <w:ind w:firstLine="562"/>
        <w:rPr>
          <w:rFonts w:ascii="Arial Narrow" w:hAnsi="Arial Narrow" w:cs="Arial Narrow"/>
          <w:b w:val="0"/>
          <w:bCs w:val="0"/>
          <w:caps w:val="0"/>
          <w:sz w:val="24"/>
          <w:szCs w:val="24"/>
        </w:rPr>
      </w:pPr>
      <w:r>
        <w:fldChar w:fldCharType="begin"/>
      </w:r>
      <w:r>
        <w:instrText xml:space="preserve"> HYPERLINK \l "_Toc479252066" </w:instrText>
      </w:r>
      <w:r>
        <w:fldChar w:fldCharType="separate"/>
      </w:r>
      <w:r>
        <w:rPr>
          <w:rStyle w:val="23"/>
          <w:rFonts w:ascii="Arial Narrow" w:hAnsi="Arial Narrow" w:cs="Arial Narrow"/>
          <w:b w:val="0"/>
          <w:color w:val="auto"/>
          <w:sz w:val="24"/>
          <w:szCs w:val="24"/>
        </w:rPr>
        <w:t>五、主要经验及做法、存在的问题和建议</w:t>
      </w:r>
      <w:r>
        <w:rPr>
          <w:rFonts w:ascii="Arial Narrow" w:hAnsi="Arial Narrow" w:cs="Arial Narrow"/>
          <w:b w:val="0"/>
          <w:sz w:val="24"/>
          <w:szCs w:val="24"/>
        </w:rPr>
        <w:tab/>
      </w:r>
      <w:r>
        <w:rPr>
          <w:rFonts w:ascii="Arial Narrow" w:hAnsi="Arial Narrow" w:cs="Arial Narrow"/>
          <w:b w:val="0"/>
          <w:sz w:val="24"/>
          <w:szCs w:val="24"/>
        </w:rPr>
        <w:t>2</w:t>
      </w:r>
      <w:r>
        <w:rPr>
          <w:rFonts w:ascii="Arial Narrow" w:hAnsi="Arial Narrow" w:cs="Arial Narrow"/>
          <w:b w:val="0"/>
          <w:sz w:val="24"/>
          <w:szCs w:val="24"/>
        </w:rPr>
        <w:fldChar w:fldCharType="end"/>
      </w:r>
      <w:r>
        <w:rPr>
          <w:rFonts w:hint="eastAsia" w:ascii="Arial Narrow" w:hAnsi="Arial Narrow" w:cs="Arial Narrow"/>
          <w:b w:val="0"/>
          <w:sz w:val="24"/>
          <w:szCs w:val="24"/>
        </w:rPr>
        <w:t>8</w:t>
      </w:r>
    </w:p>
    <w:p>
      <w:pPr>
        <w:pStyle w:val="18"/>
        <w:tabs>
          <w:tab w:val="right" w:leader="dot" w:pos="9203"/>
        </w:tabs>
        <w:snapToGrid w:val="0"/>
        <w:spacing w:line="360" w:lineRule="auto"/>
        <w:ind w:firstLine="560"/>
        <w:rPr>
          <w:rFonts w:ascii="Arial Narrow" w:hAnsi="Arial Narrow" w:cs="Arial Narrow"/>
          <w:smallCaps w:val="0"/>
          <w:sz w:val="24"/>
          <w:szCs w:val="24"/>
        </w:rPr>
      </w:pPr>
      <w:r>
        <w:fldChar w:fldCharType="begin"/>
      </w:r>
      <w:r>
        <w:instrText xml:space="preserve"> HYPERLINK \l "_Toc479252067" </w:instrText>
      </w:r>
      <w:r>
        <w:fldChar w:fldCharType="separate"/>
      </w:r>
      <w:r>
        <w:rPr>
          <w:rStyle w:val="23"/>
          <w:rFonts w:ascii="Arial Narrow" w:hAnsi="Arial Narrow" w:cs="Arial Narrow"/>
          <w:bCs/>
          <w:color w:val="auto"/>
          <w:sz w:val="24"/>
          <w:szCs w:val="24"/>
        </w:rPr>
        <w:t>（一）主要经验及做法</w:t>
      </w:r>
      <w:r>
        <w:rPr>
          <w:rFonts w:ascii="Arial Narrow" w:hAnsi="Arial Narrow" w:cs="Arial Narrow"/>
          <w:sz w:val="24"/>
          <w:szCs w:val="24"/>
        </w:rPr>
        <w:tab/>
      </w:r>
      <w:r>
        <w:rPr>
          <w:rFonts w:ascii="Arial Narrow" w:hAnsi="Arial Narrow" w:cs="Arial Narrow"/>
          <w:sz w:val="24"/>
          <w:szCs w:val="24"/>
        </w:rPr>
        <w:t>2</w:t>
      </w:r>
      <w:r>
        <w:rPr>
          <w:rFonts w:ascii="Arial Narrow" w:hAnsi="Arial Narrow" w:cs="Arial Narrow"/>
          <w:sz w:val="24"/>
          <w:szCs w:val="24"/>
        </w:rPr>
        <w:fldChar w:fldCharType="end"/>
      </w:r>
      <w:r>
        <w:rPr>
          <w:rFonts w:hint="eastAsia" w:ascii="Arial Narrow" w:hAnsi="Arial Narrow" w:cs="Arial Narrow"/>
          <w:sz w:val="24"/>
          <w:szCs w:val="24"/>
        </w:rPr>
        <w:t>8</w:t>
      </w:r>
    </w:p>
    <w:p>
      <w:pPr>
        <w:pStyle w:val="18"/>
        <w:tabs>
          <w:tab w:val="right" w:leader="dot" w:pos="9203"/>
        </w:tabs>
        <w:snapToGrid w:val="0"/>
        <w:spacing w:line="360" w:lineRule="auto"/>
        <w:ind w:firstLine="560"/>
        <w:rPr>
          <w:rFonts w:ascii="Arial Narrow" w:hAnsi="Arial Narrow" w:cs="Arial Narrow"/>
          <w:smallCaps w:val="0"/>
          <w:sz w:val="24"/>
          <w:szCs w:val="24"/>
        </w:rPr>
      </w:pPr>
      <w:r>
        <w:fldChar w:fldCharType="begin"/>
      </w:r>
      <w:r>
        <w:instrText xml:space="preserve"> HYPERLINK \l "_Toc479252068" </w:instrText>
      </w:r>
      <w:r>
        <w:fldChar w:fldCharType="separate"/>
      </w:r>
      <w:r>
        <w:rPr>
          <w:rStyle w:val="23"/>
          <w:rFonts w:ascii="Arial Narrow" w:hAnsi="Arial Narrow" w:cs="Arial Narrow"/>
          <w:bCs/>
          <w:color w:val="auto"/>
          <w:sz w:val="24"/>
          <w:szCs w:val="24"/>
        </w:rPr>
        <w:t>（二）存在的问题</w:t>
      </w:r>
      <w:r>
        <w:rPr>
          <w:rFonts w:ascii="Arial Narrow" w:hAnsi="Arial Narrow" w:cs="Arial Narrow"/>
          <w:sz w:val="24"/>
          <w:szCs w:val="24"/>
        </w:rPr>
        <w:tab/>
      </w:r>
      <w:r>
        <w:rPr>
          <w:rFonts w:ascii="Arial Narrow" w:hAnsi="Arial Narrow" w:cs="Arial Narrow"/>
          <w:sz w:val="24"/>
          <w:szCs w:val="24"/>
        </w:rPr>
        <w:t>2</w:t>
      </w:r>
      <w:r>
        <w:rPr>
          <w:rFonts w:hint="eastAsia" w:ascii="Arial Narrow" w:hAnsi="Arial Narrow" w:cs="Arial Narrow"/>
          <w:sz w:val="24"/>
          <w:szCs w:val="24"/>
        </w:rPr>
        <w:t>9</w:t>
      </w:r>
      <w:r>
        <w:rPr>
          <w:rFonts w:hint="eastAsia" w:ascii="Arial Narrow" w:hAnsi="Arial Narrow" w:cs="Arial Narrow"/>
          <w:sz w:val="24"/>
          <w:szCs w:val="24"/>
        </w:rPr>
        <w:fldChar w:fldCharType="end"/>
      </w:r>
    </w:p>
    <w:p>
      <w:pPr>
        <w:pStyle w:val="18"/>
        <w:tabs>
          <w:tab w:val="right" w:leader="dot" w:pos="9203"/>
        </w:tabs>
        <w:snapToGrid w:val="0"/>
        <w:spacing w:line="360" w:lineRule="auto"/>
        <w:ind w:firstLine="560"/>
        <w:rPr>
          <w:rFonts w:ascii="Arial Narrow" w:hAnsi="Arial Narrow" w:cs="Arial Narrow"/>
          <w:smallCaps w:val="0"/>
          <w:sz w:val="24"/>
          <w:szCs w:val="24"/>
        </w:rPr>
      </w:pPr>
      <w:r>
        <w:fldChar w:fldCharType="begin"/>
      </w:r>
      <w:r>
        <w:instrText xml:space="preserve"> HYPERLINK \l "_Toc479252069" </w:instrText>
      </w:r>
      <w:r>
        <w:fldChar w:fldCharType="separate"/>
      </w:r>
      <w:r>
        <w:rPr>
          <w:rStyle w:val="23"/>
          <w:rFonts w:ascii="Arial Narrow" w:hAnsi="Arial Narrow" w:cs="Arial Narrow"/>
          <w:bCs/>
          <w:color w:val="auto"/>
          <w:sz w:val="24"/>
          <w:szCs w:val="24"/>
        </w:rPr>
        <w:t>（三）建议</w:t>
      </w:r>
      <w:r>
        <w:rPr>
          <w:rFonts w:ascii="Arial Narrow" w:hAnsi="Arial Narrow" w:cs="Arial Narrow"/>
          <w:sz w:val="24"/>
          <w:szCs w:val="24"/>
        </w:rPr>
        <w:tab/>
      </w:r>
      <w:r>
        <w:rPr>
          <w:rFonts w:ascii="Arial Narrow" w:hAnsi="Arial Narrow" w:cs="Arial Narrow"/>
          <w:sz w:val="24"/>
          <w:szCs w:val="24"/>
        </w:rPr>
        <w:t>2</w:t>
      </w:r>
      <w:r>
        <w:rPr>
          <w:rFonts w:ascii="Arial Narrow" w:hAnsi="Arial Narrow" w:cs="Arial Narrow"/>
          <w:sz w:val="24"/>
          <w:szCs w:val="24"/>
        </w:rPr>
        <w:fldChar w:fldCharType="end"/>
      </w:r>
      <w:r>
        <w:rPr>
          <w:rFonts w:hint="eastAsia" w:ascii="Arial Narrow" w:hAnsi="Arial Narrow" w:cs="Arial Narrow"/>
          <w:sz w:val="24"/>
          <w:szCs w:val="24"/>
        </w:rPr>
        <w:t>9</w:t>
      </w:r>
    </w:p>
    <w:p>
      <w:pPr>
        <w:pStyle w:val="15"/>
        <w:tabs>
          <w:tab w:val="right" w:leader="dot" w:pos="9203"/>
        </w:tabs>
        <w:snapToGrid w:val="0"/>
        <w:spacing w:before="0" w:after="0"/>
        <w:ind w:firstLine="562"/>
        <w:rPr>
          <w:rFonts w:ascii="Arial Narrow" w:hAnsi="Arial Narrow" w:cs="Arial Narrow"/>
          <w:b w:val="0"/>
          <w:bCs w:val="0"/>
          <w:caps w:val="0"/>
          <w:sz w:val="24"/>
          <w:szCs w:val="24"/>
        </w:rPr>
      </w:pPr>
      <w:r>
        <w:fldChar w:fldCharType="begin"/>
      </w:r>
      <w:r>
        <w:instrText xml:space="preserve"> HYPERLINK \l "_Toc479252070" </w:instrText>
      </w:r>
      <w:r>
        <w:fldChar w:fldCharType="separate"/>
      </w:r>
      <w:r>
        <w:rPr>
          <w:rStyle w:val="23"/>
          <w:rFonts w:ascii="Arial Narrow" w:hAnsi="Arial Narrow" w:cs="Arial Narrow"/>
          <w:b w:val="0"/>
          <w:color w:val="auto"/>
          <w:sz w:val="24"/>
          <w:szCs w:val="24"/>
        </w:rPr>
        <w:t>六、其他需说明的问题</w:t>
      </w:r>
      <w:r>
        <w:rPr>
          <w:rFonts w:ascii="Arial Narrow" w:hAnsi="Arial Narrow" w:cs="Arial Narrow"/>
          <w:b w:val="0"/>
          <w:sz w:val="24"/>
          <w:szCs w:val="24"/>
        </w:rPr>
        <w:tab/>
      </w:r>
      <w:r>
        <w:rPr>
          <w:rFonts w:ascii="Arial Narrow" w:hAnsi="Arial Narrow" w:cs="Arial Narrow"/>
          <w:b w:val="0"/>
          <w:sz w:val="24"/>
          <w:szCs w:val="24"/>
        </w:rPr>
        <w:t>2</w:t>
      </w:r>
      <w:r>
        <w:rPr>
          <w:rFonts w:ascii="Arial Narrow" w:hAnsi="Arial Narrow" w:cs="Arial Narrow"/>
          <w:b w:val="0"/>
          <w:sz w:val="24"/>
          <w:szCs w:val="24"/>
        </w:rPr>
        <w:fldChar w:fldCharType="end"/>
      </w:r>
      <w:r>
        <w:rPr>
          <w:rFonts w:ascii="Arial Narrow" w:hAnsi="Arial Narrow" w:cs="Arial Narrow"/>
          <w:b w:val="0"/>
          <w:sz w:val="24"/>
          <w:szCs w:val="24"/>
        </w:rPr>
        <w:t>9</w:t>
      </w:r>
    </w:p>
    <w:p>
      <w:pPr>
        <w:pStyle w:val="18"/>
        <w:tabs>
          <w:tab w:val="right" w:leader="dot" w:pos="9203"/>
        </w:tabs>
        <w:snapToGrid w:val="0"/>
        <w:spacing w:line="360" w:lineRule="auto"/>
        <w:ind w:firstLine="560"/>
        <w:rPr>
          <w:rFonts w:ascii="Arial Narrow" w:hAnsi="Arial Narrow" w:cs="Arial Narrow"/>
          <w:smallCaps w:val="0"/>
          <w:sz w:val="24"/>
          <w:szCs w:val="24"/>
        </w:rPr>
      </w:pPr>
      <w:r>
        <w:fldChar w:fldCharType="begin"/>
      </w:r>
      <w:r>
        <w:instrText xml:space="preserve"> HYPERLINK \l "_Toc479252071" </w:instrText>
      </w:r>
      <w:r>
        <w:fldChar w:fldCharType="separate"/>
      </w:r>
      <w:r>
        <w:rPr>
          <w:rStyle w:val="23"/>
          <w:rFonts w:ascii="Arial Narrow" w:hAnsi="Arial Narrow" w:cs="Arial Narrow"/>
          <w:bCs/>
          <w:color w:val="auto"/>
          <w:sz w:val="24"/>
          <w:szCs w:val="24"/>
        </w:rPr>
        <w:t>（一）关于评价责任的说明</w:t>
      </w:r>
      <w:r>
        <w:rPr>
          <w:rFonts w:ascii="Arial Narrow" w:hAnsi="Arial Narrow" w:cs="Arial Narrow"/>
          <w:sz w:val="24"/>
          <w:szCs w:val="24"/>
        </w:rPr>
        <w:tab/>
      </w:r>
      <w:r>
        <w:rPr>
          <w:rFonts w:hint="eastAsia" w:ascii="Arial Narrow" w:hAnsi="Arial Narrow" w:cs="Arial Narrow"/>
          <w:sz w:val="24"/>
          <w:szCs w:val="24"/>
        </w:rPr>
        <w:t>3</w:t>
      </w:r>
      <w:r>
        <w:rPr>
          <w:rFonts w:hint="eastAsia" w:ascii="Arial Narrow" w:hAnsi="Arial Narrow" w:cs="Arial Narrow"/>
          <w:sz w:val="24"/>
          <w:szCs w:val="24"/>
        </w:rPr>
        <w:fldChar w:fldCharType="end"/>
      </w:r>
      <w:r>
        <w:rPr>
          <w:rFonts w:hint="eastAsia" w:ascii="Arial Narrow" w:hAnsi="Arial Narrow" w:cs="Arial Narrow"/>
          <w:sz w:val="24"/>
          <w:szCs w:val="24"/>
        </w:rPr>
        <w:t>0</w:t>
      </w:r>
    </w:p>
    <w:p>
      <w:pPr>
        <w:pStyle w:val="18"/>
        <w:tabs>
          <w:tab w:val="right" w:leader="dot" w:pos="9203"/>
        </w:tabs>
        <w:snapToGrid w:val="0"/>
        <w:spacing w:line="360" w:lineRule="auto"/>
        <w:ind w:firstLine="560"/>
        <w:rPr>
          <w:rFonts w:ascii="Arial Narrow" w:hAnsi="Arial Narrow" w:cs="Arial Narrow"/>
          <w:smallCaps w:val="0"/>
          <w:sz w:val="24"/>
          <w:szCs w:val="24"/>
        </w:rPr>
      </w:pPr>
      <w:r>
        <w:fldChar w:fldCharType="begin"/>
      </w:r>
      <w:r>
        <w:instrText xml:space="preserve"> HYPERLINK \l "_Toc479252072" </w:instrText>
      </w:r>
      <w:r>
        <w:fldChar w:fldCharType="separate"/>
      </w:r>
      <w:r>
        <w:rPr>
          <w:rStyle w:val="23"/>
          <w:rFonts w:ascii="Arial Narrow" w:hAnsi="Arial Narrow" w:cs="Arial Narrow"/>
          <w:bCs/>
          <w:color w:val="auto"/>
          <w:sz w:val="24"/>
          <w:szCs w:val="24"/>
        </w:rPr>
        <w:t>（二）关于本项目评价中局限性的说明</w:t>
      </w:r>
      <w:r>
        <w:rPr>
          <w:rFonts w:ascii="Arial Narrow" w:hAnsi="Arial Narrow" w:cs="Arial Narrow"/>
          <w:sz w:val="24"/>
          <w:szCs w:val="24"/>
        </w:rPr>
        <w:tab/>
      </w:r>
      <w:r>
        <w:rPr>
          <w:rFonts w:hint="eastAsia" w:ascii="Arial Narrow" w:hAnsi="Arial Narrow" w:cs="Arial Narrow"/>
          <w:sz w:val="24"/>
          <w:szCs w:val="24"/>
        </w:rPr>
        <w:t>3</w:t>
      </w:r>
      <w:r>
        <w:rPr>
          <w:rFonts w:hint="eastAsia" w:ascii="Arial Narrow" w:hAnsi="Arial Narrow" w:cs="Arial Narrow"/>
          <w:sz w:val="24"/>
          <w:szCs w:val="24"/>
        </w:rPr>
        <w:fldChar w:fldCharType="end"/>
      </w:r>
      <w:r>
        <w:rPr>
          <w:rFonts w:hint="eastAsia" w:ascii="Arial Narrow" w:hAnsi="Arial Narrow" w:cs="Arial Narrow"/>
          <w:sz w:val="24"/>
          <w:szCs w:val="24"/>
        </w:rPr>
        <w:t>0</w:t>
      </w:r>
    </w:p>
    <w:p>
      <w:pPr>
        <w:pStyle w:val="18"/>
        <w:tabs>
          <w:tab w:val="right" w:leader="dot" w:pos="9203"/>
        </w:tabs>
        <w:snapToGrid w:val="0"/>
        <w:spacing w:line="360" w:lineRule="auto"/>
        <w:ind w:firstLine="560"/>
        <w:rPr>
          <w:rFonts w:ascii="Arial Narrow" w:hAnsi="Arial Narrow" w:cs="Arial Narrow"/>
          <w:smallCaps w:val="0"/>
          <w:sz w:val="24"/>
          <w:szCs w:val="24"/>
        </w:rPr>
      </w:pPr>
      <w:r>
        <w:fldChar w:fldCharType="begin"/>
      </w:r>
      <w:r>
        <w:instrText xml:space="preserve"> HYPERLINK \l "_Toc479252073" </w:instrText>
      </w:r>
      <w:r>
        <w:fldChar w:fldCharType="separate"/>
      </w:r>
      <w:r>
        <w:rPr>
          <w:rStyle w:val="23"/>
          <w:rFonts w:ascii="Arial Narrow" w:hAnsi="Arial Narrow" w:cs="Arial Narrow"/>
          <w:bCs/>
          <w:color w:val="auto"/>
          <w:sz w:val="24"/>
          <w:szCs w:val="24"/>
        </w:rPr>
        <w:t>附件：</w:t>
      </w:r>
      <w:r>
        <w:rPr>
          <w:rFonts w:ascii="Arial Narrow" w:hAnsi="Arial Narrow" w:cs="Arial Narrow"/>
          <w:sz w:val="24"/>
          <w:szCs w:val="24"/>
        </w:rPr>
        <w:tab/>
      </w:r>
      <w:r>
        <w:rPr>
          <w:rFonts w:ascii="Arial Narrow" w:hAnsi="Arial Narrow" w:cs="Arial Narrow"/>
          <w:sz w:val="24"/>
          <w:szCs w:val="24"/>
        </w:rPr>
        <w:t>3</w:t>
      </w:r>
      <w:r>
        <w:rPr>
          <w:rFonts w:ascii="Arial Narrow" w:hAnsi="Arial Narrow" w:cs="Arial Narrow"/>
          <w:sz w:val="24"/>
          <w:szCs w:val="24"/>
        </w:rPr>
        <w:fldChar w:fldCharType="end"/>
      </w:r>
      <w:r>
        <w:rPr>
          <w:rFonts w:hint="eastAsia" w:ascii="Arial Narrow" w:hAnsi="Arial Narrow" w:cs="Arial Narrow"/>
          <w:sz w:val="24"/>
          <w:szCs w:val="24"/>
        </w:rPr>
        <w:t>1</w:t>
      </w:r>
    </w:p>
    <w:p>
      <w:pPr>
        <w:adjustRightInd w:val="0"/>
        <w:snapToGrid w:val="0"/>
        <w:ind w:firstLine="0" w:firstLineChars="0"/>
        <w:jc w:val="left"/>
        <w:rPr>
          <w:rFonts w:ascii="Arial Narrow" w:hAnsi="Arial Narrow" w:cs="Arial Narrow"/>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1361" w:right="1133" w:bottom="1089" w:left="1560" w:header="1361" w:footer="992" w:gutter="0"/>
          <w:pgNumType w:start="0"/>
          <w:cols w:space="720" w:num="1"/>
          <w:docGrid w:type="lines" w:linePitch="408" w:charSpace="0"/>
        </w:sectPr>
      </w:pPr>
      <w:r>
        <w:rPr>
          <w:rFonts w:ascii="Arial Narrow" w:hAnsi="Arial Narrow" w:cs="Arial Narrow"/>
          <w:bCs/>
        </w:rPr>
        <w:fldChar w:fldCharType="end"/>
      </w:r>
    </w:p>
    <w:p>
      <w:pPr>
        <w:ind w:firstLine="0" w:firstLineChars="0"/>
        <w:rPr>
          <w:rFonts w:ascii="Arial Narrow" w:hAnsi="Arial Narrow" w:cs="Arial Narrow"/>
          <w:b/>
        </w:rPr>
      </w:pPr>
      <w:bookmarkStart w:id="0" w:name="_Toc406666351"/>
      <w:bookmarkStart w:id="1" w:name="_Toc5048"/>
      <w:bookmarkStart w:id="2" w:name="_Toc406668024"/>
      <w:r>
        <w:rPr>
          <w:rFonts w:ascii="Arial Narrow" w:hAnsi="Arial Narrow" w:cs="Arial Narrow"/>
          <w:b/>
        </w:rPr>
        <w:t>前言</w:t>
      </w:r>
      <w:bookmarkEnd w:id="0"/>
      <w:bookmarkEnd w:id="1"/>
      <w:bookmarkEnd w:id="2"/>
    </w:p>
    <w:p>
      <w:pPr>
        <w:snapToGrid w:val="0"/>
        <w:ind w:firstLine="482"/>
        <w:rPr>
          <w:rFonts w:ascii="Arial Narrow" w:hAnsi="Arial Narrow" w:cs="Arial Narrow"/>
          <w:b/>
          <w:bCs/>
        </w:rPr>
      </w:pPr>
      <w:r>
        <w:rPr>
          <w:rFonts w:ascii="Arial Narrow" w:hAnsi="Arial Narrow" w:cs="Arial Narrow"/>
          <w:b/>
          <w:bCs/>
        </w:rPr>
        <w:t>开展绩效评价的背景</w:t>
      </w:r>
    </w:p>
    <w:p>
      <w:pPr>
        <w:snapToGrid w:val="0"/>
        <w:ind w:firstLine="480"/>
        <w:rPr>
          <w:rFonts w:ascii="Arial Narrow" w:hAnsi="Arial Narrow" w:cs="Arial Narrow"/>
        </w:rPr>
      </w:pPr>
      <w:r>
        <w:rPr>
          <w:rFonts w:ascii="Arial Narrow" w:hAnsi="Arial Narrow" w:cs="Arial Narrow"/>
        </w:rPr>
        <w:t>由于政府公共服务职能进一步转换，财政支出规模持续扩大，信息公开力度不断增强，财政资金安排是否科学合理、资金使用是否规范有效、预期效益是否达到目标、政府公共服务职能是否有效地履行、财政支出责任是否得到真正落实成为社会各界关注的焦点。提高政府财政资金使用效益和公共服务水平必须进行预算绩效管理。其中，绩效评价是预算绩效管理的核心内容。</w:t>
      </w:r>
    </w:p>
    <w:p>
      <w:pPr>
        <w:snapToGrid w:val="0"/>
        <w:ind w:firstLine="480"/>
        <w:rPr>
          <w:rFonts w:ascii="Arial Narrow" w:hAnsi="Arial Narrow" w:cs="Arial Narrow"/>
        </w:rPr>
      </w:pPr>
      <w:r>
        <w:rPr>
          <w:rFonts w:ascii="Arial Narrow" w:hAnsi="Arial Narrow" w:cs="Arial Narrow"/>
        </w:rPr>
        <w:t>为贯彻落实我国财政部绩效管理工作的一系列规定，财政部出台了《财政支出绩效评价管理暂行办法》（财预〔2011〕285号）、湖北省财政厅印发《湖北省财政项目资金绩效评价操作指南》的通知（鄂财函[2014]376号）、市政府印发《关于推进预算绩效管理的意见》(武政[2013]95号)、市财政局印发《武汉市预算绩效管理工作方案(2014-2015年)》（武财绩[2014]218号）等，随着各项制度的逐步完善，我省绩效评价体系和制度已步入常态。武昌区颁布的《武昌区财政支出绩效评价暂行办法》为此次“</w:t>
      </w:r>
      <w:r>
        <w:rPr>
          <w:rFonts w:hint="eastAsia" w:ascii="Arial Narrow" w:hAnsi="Arial Narrow" w:cs="Arial Narrow"/>
        </w:rPr>
        <w:t>协税工作经费项目</w:t>
      </w:r>
      <w:r>
        <w:rPr>
          <w:rFonts w:ascii="Arial Narrow" w:hAnsi="Arial Narrow" w:cs="Arial Narrow"/>
        </w:rPr>
        <w:t>”绩效评价的具体实施提供了指导，确保了绩效评价工作的顺利开展。 </w:t>
      </w:r>
    </w:p>
    <w:p>
      <w:pPr>
        <w:snapToGrid w:val="0"/>
        <w:ind w:firstLine="482"/>
        <w:rPr>
          <w:rFonts w:ascii="Arial Narrow" w:hAnsi="Arial Narrow" w:cs="Arial Narrow"/>
          <w:b/>
          <w:bCs/>
        </w:rPr>
      </w:pPr>
      <w:r>
        <w:rPr>
          <w:rFonts w:ascii="Arial Narrow" w:hAnsi="Arial Narrow" w:cs="Arial Narrow"/>
          <w:b/>
          <w:bCs/>
        </w:rPr>
        <w:t>评价委托关系</w:t>
      </w:r>
    </w:p>
    <w:p>
      <w:pPr>
        <w:snapToGrid w:val="0"/>
        <w:ind w:firstLine="480"/>
        <w:rPr>
          <w:rFonts w:ascii="Arial Narrow" w:hAnsi="Arial Narrow" w:cs="Arial Narrow"/>
        </w:rPr>
      </w:pPr>
      <w:r>
        <w:rPr>
          <w:rFonts w:ascii="Arial Narrow" w:hAnsi="Arial Narrow" w:cs="Arial Narrow"/>
        </w:rPr>
        <w:t>我们接受武昌区人民政府水果湖街办事处（以下简称“水果湖办事处”）委托，对水果湖办事处的“协税工作经费项目”的实施情况进行检查，从5月03日至5月25日，历时17天，投入</w:t>
      </w:r>
      <w:r>
        <w:rPr>
          <w:rFonts w:hint="eastAsia" w:ascii="Arial Narrow" w:hAnsi="Arial Narrow" w:cs="Arial Narrow"/>
        </w:rPr>
        <w:t>6</w:t>
      </w:r>
      <w:r>
        <w:rPr>
          <w:rFonts w:ascii="Arial Narrow" w:hAnsi="Arial Narrow" w:cs="Arial Narrow"/>
        </w:rPr>
        <w:t>人，对该项目进行现场评价。</w:t>
      </w:r>
      <w:bookmarkStart w:id="3" w:name="_Toc361304672"/>
      <w:bookmarkStart w:id="4" w:name="_Toc387957799"/>
      <w:bookmarkStart w:id="5" w:name="_Toc387957800"/>
      <w:bookmarkStart w:id="6" w:name="_Toc361304673"/>
    </w:p>
    <w:p>
      <w:pPr>
        <w:snapToGrid w:val="0"/>
        <w:ind w:firstLine="482"/>
        <w:outlineLvl w:val="0"/>
        <w:rPr>
          <w:rFonts w:ascii="Arial Narrow" w:hAnsi="Arial Narrow" w:cs="Arial Narrow"/>
          <w:b/>
        </w:rPr>
      </w:pPr>
      <w:bookmarkStart w:id="7" w:name="_Toc479252053"/>
      <w:r>
        <w:rPr>
          <w:rFonts w:ascii="Arial Narrow" w:hAnsi="Arial Narrow" w:cs="Arial Narrow"/>
          <w:b/>
        </w:rPr>
        <w:t>一、项目基本情况</w:t>
      </w:r>
      <w:bookmarkEnd w:id="7"/>
    </w:p>
    <w:p>
      <w:pPr>
        <w:snapToGrid w:val="0"/>
        <w:ind w:firstLine="482"/>
        <w:outlineLvl w:val="1"/>
        <w:rPr>
          <w:rFonts w:ascii="Arial Narrow" w:hAnsi="Arial Narrow" w:cs="Arial Narrow"/>
          <w:b/>
          <w:bCs/>
        </w:rPr>
      </w:pPr>
      <w:bookmarkStart w:id="8" w:name="_Toc479252054"/>
      <w:r>
        <w:rPr>
          <w:rFonts w:ascii="Arial Narrow" w:hAnsi="Arial Narrow" w:cs="Arial Narrow"/>
          <w:b/>
          <w:bCs/>
        </w:rPr>
        <w:t>（一）项目概况</w:t>
      </w:r>
      <w:bookmarkEnd w:id="8"/>
    </w:p>
    <w:p>
      <w:pPr>
        <w:snapToGrid w:val="0"/>
        <w:ind w:firstLine="482"/>
        <w:rPr>
          <w:rFonts w:ascii="Arial Narrow" w:hAnsi="Arial Narrow" w:cs="Arial Narrow"/>
          <w:b/>
          <w:bCs/>
        </w:rPr>
      </w:pPr>
      <w:r>
        <w:rPr>
          <w:rFonts w:ascii="Arial Narrow" w:hAnsi="Arial Narrow" w:cs="Arial Narrow"/>
          <w:b/>
          <w:bCs/>
        </w:rPr>
        <w:t>1.项目立项背景</w:t>
      </w:r>
      <w:bookmarkEnd w:id="3"/>
      <w:bookmarkEnd w:id="4"/>
    </w:p>
    <w:p>
      <w:pPr>
        <w:snapToGrid w:val="0"/>
        <w:ind w:firstLine="480"/>
        <w:rPr>
          <w:rFonts w:ascii="Arial Narrow" w:hAnsi="Arial Narrow" w:cs="Arial Narrow"/>
        </w:rPr>
      </w:pPr>
      <w:r>
        <w:rPr>
          <w:rFonts w:ascii="Arial Narrow" w:hAnsi="Arial Narrow" w:cs="Arial Narrow"/>
        </w:rPr>
        <w:t>1.1 项目立项依据</w:t>
      </w:r>
    </w:p>
    <w:p>
      <w:pPr>
        <w:snapToGrid w:val="0"/>
        <w:ind w:firstLine="480"/>
        <w:rPr>
          <w:rFonts w:ascii="Arial Narrow" w:hAnsi="Arial Narrow" w:cs="Arial Narrow"/>
        </w:rPr>
      </w:pPr>
      <w:r>
        <w:rPr>
          <w:rFonts w:ascii="Arial Narrow" w:hAnsi="Arial Narrow" w:cs="Arial Narrow"/>
        </w:rPr>
        <w:t>《区人民政府办公室关于进一步做好地方零散税收协助管理工作的通知》（武昌政办[2010]56号）提出，进一步加强依法治税工作，充分发挥协税护税网络作用，建立健全规范的税收秩序，堵塞零散税收漏征漏管，营造良好的税收环境。</w:t>
      </w:r>
    </w:p>
    <w:p>
      <w:pPr>
        <w:snapToGrid w:val="0"/>
        <w:ind w:firstLine="480"/>
        <w:rPr>
          <w:rFonts w:ascii="Arial Narrow" w:hAnsi="Arial Narrow" w:cs="Arial Narrow"/>
        </w:rPr>
      </w:pPr>
      <w:r>
        <w:rPr>
          <w:rFonts w:ascii="Arial Narrow" w:hAnsi="Arial Narrow" w:cs="Arial Narrow"/>
        </w:rPr>
        <w:t>1.2 项目所属领域</w:t>
      </w:r>
    </w:p>
    <w:p>
      <w:pPr>
        <w:snapToGrid w:val="0"/>
        <w:ind w:firstLine="480"/>
        <w:rPr>
          <w:rFonts w:ascii="仿宋_GB2312" w:hAnsi="仿宋_GB2312" w:cs="仿宋_GB2312"/>
          <w:color w:val="000000"/>
          <w:kern w:val="0"/>
        </w:rPr>
      </w:pPr>
      <w:r>
        <w:rPr>
          <w:rFonts w:ascii="Arial Narrow" w:hAnsi="Arial Narrow" w:cs="Arial Narrow"/>
        </w:rPr>
        <w:t>水果湖街</w:t>
      </w:r>
      <w:r>
        <w:rPr>
          <w:rFonts w:hint="eastAsia" w:ascii="Arial Narrow" w:hAnsi="Arial Narrow" w:cs="Arial Narrow"/>
        </w:rPr>
        <w:t>协税工作经费项目</w:t>
      </w:r>
      <w:r>
        <w:rPr>
          <w:rFonts w:ascii="Arial Narrow" w:hAnsi="Arial Narrow" w:cs="Arial Narrow"/>
        </w:rPr>
        <w:t>属于公共服务领域，《区人民政府办公室关于进一步做好地方零散税收协助管理工作的通知》（武昌政办[2010]56号）指出，</w:t>
      </w:r>
      <w:r>
        <w:rPr>
          <w:rFonts w:hint="eastAsia" w:ascii="仿宋_GB2312" w:hAnsi="仿宋_GB2312" w:cs="仿宋_GB2312"/>
          <w:color w:val="000000"/>
          <w:kern w:val="0"/>
        </w:rPr>
        <w:t>应进一步加强依法治税工作，充分发挥协税护税网络作用，建立健全规范的税收秩序，堵塞零散税收漏征漏管，营造良好的税收环境。</w:t>
      </w:r>
    </w:p>
    <w:p>
      <w:pPr>
        <w:snapToGrid w:val="0"/>
        <w:ind w:firstLine="480"/>
        <w:rPr>
          <w:rFonts w:ascii="Arial Narrow" w:hAnsi="Arial Narrow" w:cs="Arial Narrow"/>
        </w:rPr>
      </w:pPr>
      <w:r>
        <w:rPr>
          <w:rFonts w:ascii="Arial Narrow" w:hAnsi="Arial Narrow" w:cs="Arial Narrow"/>
        </w:rPr>
        <w:t>1.3 项目性质与特点</w:t>
      </w:r>
    </w:p>
    <w:p>
      <w:pPr>
        <w:snapToGrid w:val="0"/>
        <w:ind w:firstLine="480"/>
        <w:rPr>
          <w:rFonts w:ascii="Arial Narrow" w:hAnsi="Arial Narrow" w:cs="Arial Narrow"/>
        </w:rPr>
      </w:pPr>
      <w:r>
        <w:rPr>
          <w:rFonts w:ascii="Arial Narrow" w:hAnsi="Arial Narrow" w:cs="Arial Narrow"/>
        </w:rPr>
        <w:t>水果湖街</w:t>
      </w:r>
      <w:r>
        <w:rPr>
          <w:rFonts w:hint="eastAsia" w:ascii="Arial Narrow" w:hAnsi="Arial Narrow" w:cs="Arial Narrow"/>
        </w:rPr>
        <w:t>协税工作经费项目</w:t>
      </w:r>
      <w:r>
        <w:rPr>
          <w:rFonts w:ascii="Arial Narrow" w:hAnsi="Arial Narrow" w:cs="Arial Narrow"/>
        </w:rPr>
        <w:t>是应依法治税、营造良好税收环境的要求和武昌区经济发展的需求，该专项业务资金项目的实施是为了填补零散税收漏征漏管的情况，从而建立和完善规范的税收环境，加强依法治税工作。同时，随着城市进一步改造更新，水果湖街辖区内商务办公楼宇和重大项目工程逐渐增多，上门走访、服务企业，敦促企业按时足额缴税逐渐成为协税工作的一大重要工作。该项目具有强烈的专业性和政策宣传作用，一方面需要专业的协税工作人员参与项目实施，另一方面该项目为法治税收进行一定程度的宣传。</w:t>
      </w:r>
    </w:p>
    <w:p>
      <w:pPr>
        <w:snapToGrid w:val="0"/>
        <w:ind w:firstLine="480"/>
        <w:rPr>
          <w:rFonts w:ascii="Arial Narrow" w:hAnsi="Arial Narrow" w:cs="Arial Narrow"/>
        </w:rPr>
      </w:pPr>
      <w:r>
        <w:rPr>
          <w:rFonts w:ascii="Arial Narrow" w:hAnsi="Arial Narrow" w:cs="Arial Narrow"/>
        </w:rPr>
        <w:t>1.4 项目立项时所属领域状况等。</w:t>
      </w:r>
    </w:p>
    <w:p>
      <w:pPr>
        <w:snapToGrid w:val="0"/>
        <w:ind w:firstLine="480"/>
        <w:rPr>
          <w:rFonts w:ascii="Arial Narrow" w:hAnsi="Arial Narrow" w:cs="Arial Narrow"/>
          <w:color w:val="FF0000"/>
        </w:rPr>
      </w:pPr>
      <w:r>
        <w:rPr>
          <w:rFonts w:ascii="Arial Narrow" w:hAnsi="Arial Narrow" w:cs="Arial Narrow"/>
        </w:rPr>
        <w:t>由于零散税收的纳税人员具有一定的流动性和不确定性，使得零散税收存在漏征漏管等问题，这不仅不利于税收平等原则的贯彻，易引来纳税户之间、和收税单位间的不必要的冲突，也不利于健全规范的税收秩序，宣传税收政策。同时，随着商业楼宇逐渐增多，大量企业进驻水果湖辖区内开展经营活动，企业跨区落户、新增企业落户的等情形不利于税务部门对企业纳税情况进行管理监督。因此，进一步做好地方零散税收协助管理工作、进行楼宇企业属地纳税行动和服务辖区内企业和重大项目工程有利于解决上述问题，并利于加强依法治税，营造良好的税收环境，建设法治社会。</w:t>
      </w:r>
    </w:p>
    <w:bookmarkEnd w:id="5"/>
    <w:bookmarkEnd w:id="6"/>
    <w:p>
      <w:pPr>
        <w:snapToGrid w:val="0"/>
        <w:ind w:firstLine="482"/>
        <w:rPr>
          <w:rFonts w:ascii="Arial Narrow" w:hAnsi="Arial Narrow" w:cs="Arial Narrow"/>
          <w:b/>
          <w:bCs/>
        </w:rPr>
      </w:pPr>
      <w:r>
        <w:rPr>
          <w:rFonts w:ascii="Arial Narrow" w:hAnsi="Arial Narrow" w:cs="Arial Narrow"/>
          <w:b/>
          <w:bCs/>
        </w:rPr>
        <w:t>2.基准日及评价历时</w:t>
      </w:r>
    </w:p>
    <w:p>
      <w:pPr>
        <w:snapToGrid w:val="0"/>
        <w:ind w:firstLine="480"/>
        <w:rPr>
          <w:rFonts w:ascii="Arial Narrow" w:hAnsi="Arial Narrow" w:cs="Arial Narrow"/>
        </w:rPr>
      </w:pPr>
      <w:bookmarkStart w:id="9" w:name="_Toc406666352"/>
      <w:bookmarkStart w:id="10" w:name="_Toc387957801"/>
      <w:bookmarkStart w:id="11" w:name="_Toc406668025"/>
      <w:bookmarkStart w:id="12" w:name="_Toc10760"/>
      <w:bookmarkStart w:id="13" w:name="_Toc361304674"/>
      <w:r>
        <w:rPr>
          <w:rFonts w:ascii="Arial Narrow" w:hAnsi="Arial Narrow" w:cs="Arial Narrow"/>
        </w:rPr>
        <w:t>2.1 评价基准日：2017年12月31日</w:t>
      </w:r>
    </w:p>
    <w:p>
      <w:pPr>
        <w:snapToGrid w:val="0"/>
        <w:ind w:firstLine="480"/>
        <w:rPr>
          <w:rFonts w:ascii="Arial Narrow" w:hAnsi="Arial Narrow" w:cs="Arial Narrow"/>
        </w:rPr>
      </w:pPr>
      <w:r>
        <w:rPr>
          <w:rFonts w:ascii="Arial Narrow" w:hAnsi="Arial Narrow" w:cs="Arial Narrow"/>
        </w:rPr>
        <w:t>2.2 本次评价从2017年5月03日—2017年05月25日，历时17天</w:t>
      </w:r>
    </w:p>
    <w:p>
      <w:pPr>
        <w:snapToGrid w:val="0"/>
        <w:ind w:firstLine="482"/>
        <w:rPr>
          <w:rFonts w:ascii="Arial Narrow" w:hAnsi="Arial Narrow" w:cs="Arial Narrow"/>
          <w:b/>
          <w:bCs/>
        </w:rPr>
      </w:pPr>
      <w:r>
        <w:rPr>
          <w:rFonts w:ascii="Arial Narrow" w:hAnsi="Arial Narrow" w:cs="Arial Narrow"/>
          <w:b/>
          <w:bCs/>
        </w:rPr>
        <w:t>3．项目实施情况</w:t>
      </w:r>
    </w:p>
    <w:p>
      <w:pPr>
        <w:snapToGrid w:val="0"/>
        <w:ind w:firstLine="480"/>
        <w:rPr>
          <w:rFonts w:ascii="Arial Narrow" w:hAnsi="Arial Narrow" w:cs="Arial Narrow"/>
        </w:rPr>
      </w:pPr>
      <w:r>
        <w:rPr>
          <w:rFonts w:ascii="Arial Narrow" w:hAnsi="Arial Narrow" w:cs="Arial Narrow"/>
        </w:rPr>
        <w:t>3.1项目实施单位：水果湖街办事处</w:t>
      </w:r>
    </w:p>
    <w:p>
      <w:pPr>
        <w:snapToGrid w:val="0"/>
        <w:ind w:firstLine="480"/>
        <w:rPr>
          <w:rFonts w:ascii="Arial Narrow" w:hAnsi="Arial Narrow" w:cs="Arial Narrow"/>
        </w:rPr>
      </w:pPr>
      <w:r>
        <w:rPr>
          <w:rFonts w:ascii="Arial Narrow" w:hAnsi="Arial Narrow" w:cs="Arial Narrow"/>
        </w:rPr>
        <w:t>3.2项目实施周期与地点：2017年；水果湖街各社区</w:t>
      </w:r>
    </w:p>
    <w:p>
      <w:pPr>
        <w:snapToGrid w:val="0"/>
        <w:ind w:firstLine="480"/>
        <w:rPr>
          <w:rFonts w:ascii="Arial Narrow" w:hAnsi="Arial Narrow" w:cs="Arial Narrow"/>
        </w:rPr>
      </w:pPr>
      <w:r>
        <w:rPr>
          <w:rFonts w:ascii="Arial Narrow" w:hAnsi="Arial Narrow" w:cs="Arial Narrow"/>
        </w:rPr>
        <w:t>3.3项目主要内容：协助税务部门征收水果湖街内的地方零散税，主要为私房出租税；进行楼宇企业属地纳税行动和服务企业，查补企业漏征漏管税收并收集企业建议，招商引资。</w:t>
      </w:r>
    </w:p>
    <w:p>
      <w:pPr>
        <w:snapToGrid w:val="0"/>
        <w:ind w:firstLine="480"/>
        <w:rPr>
          <w:rFonts w:ascii="Arial Narrow" w:hAnsi="Arial Narrow" w:cs="Arial Narrow"/>
        </w:rPr>
      </w:pPr>
      <w:r>
        <w:rPr>
          <w:rFonts w:ascii="Arial Narrow" w:hAnsi="Arial Narrow" w:cs="Arial Narrow"/>
        </w:rPr>
        <w:t>3.4项目完成概况：截止到绩效评价日，已经完成对上一年度水果湖街辖区内所有地方零散税的协助征收、楼宇企业属地纳税行动、招商引资和每年两次的企业服务。</w:t>
      </w:r>
    </w:p>
    <w:p>
      <w:pPr>
        <w:snapToGrid w:val="0"/>
        <w:ind w:firstLine="482"/>
        <w:rPr>
          <w:rFonts w:ascii="Arial Narrow" w:hAnsi="Arial Narrow" w:cs="Arial Narrow"/>
          <w:b/>
          <w:bCs/>
        </w:rPr>
      </w:pPr>
      <w:r>
        <w:rPr>
          <w:rFonts w:ascii="Arial Narrow" w:hAnsi="Arial Narrow" w:cs="Arial Narrow"/>
          <w:b/>
          <w:bCs/>
        </w:rPr>
        <w:t>4．项目经费来源和使用情况</w:t>
      </w:r>
    </w:p>
    <w:p>
      <w:pPr>
        <w:snapToGrid w:val="0"/>
        <w:ind w:firstLine="480"/>
        <w:rPr>
          <w:rFonts w:ascii="Arial Narrow" w:hAnsi="Arial Narrow" w:cs="Arial Narrow"/>
        </w:rPr>
      </w:pPr>
      <w:r>
        <w:rPr>
          <w:rFonts w:ascii="Arial Narrow" w:hAnsi="Arial Narrow" w:cs="Arial Narrow"/>
        </w:rPr>
        <w:t>4.1项目资金来源概况：根据《武昌区财政局关于武昌区人民政府水果湖街办事处2017年部门预算的批复》，协税工作经费为30万元，项目资金均为区级财政资金。</w:t>
      </w:r>
    </w:p>
    <w:p>
      <w:pPr>
        <w:snapToGrid w:val="0"/>
        <w:ind w:firstLine="480"/>
        <w:rPr>
          <w:rFonts w:ascii="Arial Narrow" w:hAnsi="Arial Narrow" w:cs="Arial Narrow"/>
          <w:color w:val="FF0000"/>
        </w:rPr>
      </w:pPr>
      <w:r>
        <w:rPr>
          <w:rFonts w:ascii="Arial Narrow" w:hAnsi="Arial Narrow" w:cs="Arial Narrow"/>
        </w:rPr>
        <w:t>4.2项目资金使用概况</w:t>
      </w:r>
      <w:bookmarkEnd w:id="9"/>
      <w:bookmarkEnd w:id="10"/>
      <w:bookmarkEnd w:id="11"/>
      <w:bookmarkEnd w:id="12"/>
      <w:bookmarkEnd w:id="13"/>
      <w:bookmarkStart w:id="14" w:name="_Toc361304427"/>
      <w:bookmarkStart w:id="15" w:name="_Toc361304679"/>
      <w:bookmarkStart w:id="16" w:name="_Toc361302024"/>
      <w:bookmarkStart w:id="17" w:name="_Toc361303718"/>
      <w:bookmarkStart w:id="18" w:name="_Toc361304169"/>
      <w:r>
        <w:rPr>
          <w:rFonts w:ascii="Arial Narrow" w:hAnsi="Arial Narrow" w:cs="Arial Narrow"/>
        </w:rPr>
        <w:t>：协税工作经费项目在服务企业工作经费下核算，未进行专项核算，无法与其他资金区分开来。</w:t>
      </w:r>
    </w:p>
    <w:bookmarkEnd w:id="14"/>
    <w:bookmarkEnd w:id="15"/>
    <w:bookmarkEnd w:id="16"/>
    <w:bookmarkEnd w:id="17"/>
    <w:bookmarkEnd w:id="18"/>
    <w:p>
      <w:pPr>
        <w:snapToGrid w:val="0"/>
        <w:ind w:firstLine="482"/>
        <w:outlineLvl w:val="1"/>
        <w:rPr>
          <w:rFonts w:ascii="Arial Narrow" w:hAnsi="Arial Narrow" w:cs="Arial Narrow"/>
          <w:b/>
          <w:bCs/>
        </w:rPr>
      </w:pPr>
      <w:bookmarkStart w:id="19" w:name="_Toc479252055"/>
      <w:bookmarkStart w:id="20" w:name="_Toc16351"/>
      <w:bookmarkStart w:id="21" w:name="_Toc406666356"/>
      <w:bookmarkStart w:id="22" w:name="_Toc361304680"/>
      <w:bookmarkStart w:id="23" w:name="_Toc406668030"/>
      <w:r>
        <w:rPr>
          <w:rFonts w:ascii="Arial Narrow" w:hAnsi="Arial Narrow" w:cs="Arial Narrow"/>
          <w:b/>
          <w:bCs/>
        </w:rPr>
        <w:t>（二）项目绩效目标</w:t>
      </w:r>
      <w:bookmarkEnd w:id="19"/>
    </w:p>
    <w:bookmarkEnd w:id="20"/>
    <w:bookmarkEnd w:id="21"/>
    <w:bookmarkEnd w:id="22"/>
    <w:bookmarkEnd w:id="23"/>
    <w:p>
      <w:pPr>
        <w:snapToGrid w:val="0"/>
        <w:ind w:firstLine="480"/>
        <w:rPr>
          <w:rFonts w:ascii="Arial Narrow" w:hAnsi="Arial Narrow" w:cs="Arial Narrow"/>
        </w:rPr>
      </w:pPr>
      <w:r>
        <w:rPr>
          <w:rFonts w:ascii="Arial Narrow" w:hAnsi="Arial Narrow" w:cs="Arial Narrow"/>
        </w:rPr>
        <w:t>1、项目立项设定绩效目标</w:t>
      </w:r>
    </w:p>
    <w:p>
      <w:pPr>
        <w:snapToGrid w:val="0"/>
        <w:ind w:firstLine="480"/>
        <w:rPr>
          <w:rFonts w:ascii="Arial Narrow" w:hAnsi="Arial Narrow" w:cs="Arial Narrow"/>
          <w:bCs/>
        </w:rPr>
      </w:pPr>
      <w:r>
        <w:rPr>
          <w:rFonts w:ascii="Arial Narrow" w:hAnsi="Arial Narrow" w:cs="Arial Narrow"/>
        </w:rPr>
        <w:t>依据《关于2017年街道协税护税指标考评积分办法》、《2017年精准服务企业指标考评计分办法》和《招商引资考评计分办法》，明确清晰设定项目目标，要求落实新增企业税收落户情况、“楼宇企业属地纳税行动”工作完成情况、“重点行业纳税服务行动”工作完成情况，“招商引资”工作完成情况并细化和量化为新增企业税收落户率、服务的企业对街道上面服务满意度等指标。2017年未对零散税收取数额下达具体项目绩效目标，但要求保证10%的增长率。</w:t>
      </w:r>
    </w:p>
    <w:p>
      <w:pPr>
        <w:snapToGrid w:val="0"/>
        <w:ind w:firstLine="480"/>
        <w:rPr>
          <w:rFonts w:ascii="Arial Narrow" w:hAnsi="Arial Narrow" w:cs="Arial Narrow"/>
        </w:rPr>
      </w:pPr>
      <w:bookmarkStart w:id="24" w:name="_Toc3631"/>
      <w:bookmarkStart w:id="25" w:name="_Toc361304681"/>
      <w:bookmarkStart w:id="26" w:name="_Toc387957806"/>
      <w:r>
        <w:rPr>
          <w:rFonts w:ascii="Arial Narrow" w:hAnsi="Arial Narrow" w:cs="Arial Narrow"/>
        </w:rPr>
        <w:t>2、绩效目标完成情况</w:t>
      </w:r>
      <w:bookmarkEnd w:id="24"/>
    </w:p>
    <w:p>
      <w:pPr>
        <w:snapToGrid w:val="0"/>
        <w:ind w:firstLine="480"/>
        <w:rPr>
          <w:rFonts w:ascii="Arial Narrow" w:hAnsi="Arial Narrow" w:cs="Arial Narrow"/>
        </w:rPr>
      </w:pPr>
      <w:bookmarkStart w:id="27" w:name="_Toc406666357"/>
      <w:bookmarkStart w:id="28" w:name="_Toc406668031"/>
      <w:bookmarkStart w:id="29" w:name="_Toc14372"/>
      <w:r>
        <w:rPr>
          <w:rFonts w:ascii="Arial Narrow" w:hAnsi="Arial Narrow" w:cs="Arial Narrow"/>
        </w:rPr>
        <w:t>根据《2017年度街道区域发展办绩效目标完成情况汇报》，水果湖街项目绩效目标完成情况如下：</w:t>
      </w:r>
    </w:p>
    <w:p>
      <w:pPr>
        <w:snapToGrid w:val="0"/>
        <w:ind w:firstLine="480"/>
        <w:rPr>
          <w:rFonts w:ascii="Arial Narrow" w:hAnsi="Arial Narrow" w:cs="Arial Narrow"/>
        </w:rPr>
      </w:pPr>
      <w:r>
        <w:rPr>
          <w:rFonts w:ascii="Arial Narrow" w:hAnsi="Arial Narrow" w:cs="Arial Narrow"/>
        </w:rPr>
        <w:t>在服务企业和重大项目工作方面，2017年度上门走访服务两次，完成对82家纳税500万元以上的规模企业日常跟踪服务的绩效目标，完成率100%。</w:t>
      </w:r>
    </w:p>
    <w:p>
      <w:pPr>
        <w:snapToGrid w:val="0"/>
        <w:ind w:firstLine="480"/>
        <w:rPr>
          <w:rFonts w:ascii="Arial Narrow" w:hAnsi="Arial Narrow" w:cs="Arial Narrow"/>
        </w:rPr>
      </w:pPr>
      <w:r>
        <w:rPr>
          <w:rFonts w:ascii="Arial Narrow" w:hAnsi="Arial Narrow" w:cs="Arial Narrow"/>
        </w:rPr>
        <w:t>在新增企业落实协税护税工作方面，2017年度新增企业1891户，注册资本1000万元以上的344户，完成率100%。其中，针对注册资金在千万以上企业全部按要求跟踪落实企业属地管理登记，并提供企业基础信息，完成率达100%。</w:t>
      </w:r>
    </w:p>
    <w:p>
      <w:pPr>
        <w:snapToGrid w:val="0"/>
        <w:ind w:firstLine="480"/>
        <w:rPr>
          <w:rFonts w:ascii="Arial Narrow" w:hAnsi="Arial Narrow" w:cs="Arial Narrow"/>
        </w:rPr>
      </w:pPr>
      <w:r>
        <w:rPr>
          <w:rFonts w:ascii="Arial Narrow" w:hAnsi="Arial Narrow" w:cs="Arial Narrow"/>
        </w:rPr>
        <w:t>在楼宇企业属地纳税工作方面，2017年存量跨区户，转入一户（武汉尚品宅配有限公司），迁出4户（武汉相互广告有限公司、湖北庆中科技、湖北中驭建设有限公司，武汉旅游发展投资集团有限公司）。存量户以外新转入跨区户36户。二是建安项目属地纳税工作，目前我街辖区在建项目15个，办理报验登记的10个，由受政策保护企业承接的建安项目5个。</w:t>
      </w:r>
    </w:p>
    <w:p>
      <w:pPr>
        <w:snapToGrid w:val="0"/>
        <w:ind w:firstLine="480"/>
        <w:rPr>
          <w:rFonts w:ascii="Arial Narrow" w:hAnsi="Arial Narrow" w:cs="Arial Narrow"/>
        </w:rPr>
      </w:pPr>
      <w:r>
        <w:rPr>
          <w:rFonts w:ascii="Arial Narrow" w:hAnsi="Arial Narrow" w:cs="Arial Narrow"/>
        </w:rPr>
        <w:t>招商引资工作。一是认真完成收集上报招商引资凭证工作。2017年共完成招商引资108.58亿元。其中内资108.55亿，外资50.5万美元.。二是大力开展招商引资宣传推介工作。掌握楼宇空置面积异动情况，积极开展招商引资宣传，配合商务局引进优质总部企业落户水果湖，并做好企业服务工作。</w:t>
      </w:r>
    </w:p>
    <w:p>
      <w:pPr>
        <w:snapToGrid w:val="0"/>
        <w:ind w:firstLine="482"/>
        <w:outlineLvl w:val="0"/>
        <w:rPr>
          <w:rFonts w:ascii="Arial Narrow" w:hAnsi="Arial Narrow" w:cs="Arial Narrow"/>
          <w:b/>
        </w:rPr>
      </w:pPr>
      <w:bookmarkStart w:id="30" w:name="_Toc479252056"/>
      <w:r>
        <w:rPr>
          <w:rFonts w:ascii="Arial Narrow" w:hAnsi="Arial Narrow" w:cs="Arial Narrow"/>
          <w:b/>
        </w:rPr>
        <w:t>二、绩效评价工作情况</w:t>
      </w:r>
      <w:bookmarkEnd w:id="25"/>
      <w:bookmarkEnd w:id="26"/>
      <w:bookmarkEnd w:id="27"/>
      <w:bookmarkEnd w:id="28"/>
      <w:bookmarkEnd w:id="29"/>
      <w:bookmarkEnd w:id="30"/>
      <w:bookmarkStart w:id="31" w:name="_Toc361304682"/>
    </w:p>
    <w:p>
      <w:pPr>
        <w:snapToGrid w:val="0"/>
        <w:ind w:firstLine="482"/>
        <w:outlineLvl w:val="1"/>
        <w:rPr>
          <w:rFonts w:ascii="Arial Narrow" w:hAnsi="Arial Narrow" w:cs="Arial Narrow"/>
          <w:b/>
          <w:bCs/>
        </w:rPr>
      </w:pPr>
      <w:bookmarkStart w:id="32" w:name="_Toc387957807"/>
      <w:bookmarkStart w:id="33" w:name="_Toc29064"/>
      <w:bookmarkStart w:id="34" w:name="_Toc406666358"/>
      <w:bookmarkStart w:id="35" w:name="_Toc406668032"/>
      <w:bookmarkStart w:id="36" w:name="_Toc479252057"/>
      <w:r>
        <w:rPr>
          <w:rFonts w:ascii="Arial Narrow" w:hAnsi="Arial Narrow" w:cs="Arial Narrow"/>
          <w:b/>
          <w:bCs/>
        </w:rPr>
        <w:t>（一）绩效评价目</w:t>
      </w:r>
      <w:bookmarkEnd w:id="31"/>
      <w:bookmarkEnd w:id="32"/>
      <w:r>
        <w:rPr>
          <w:rFonts w:ascii="Arial Narrow" w:hAnsi="Arial Narrow" w:cs="Arial Narrow"/>
          <w:b/>
          <w:bCs/>
        </w:rPr>
        <w:t>的</w:t>
      </w:r>
      <w:bookmarkEnd w:id="33"/>
      <w:bookmarkEnd w:id="34"/>
      <w:bookmarkEnd w:id="35"/>
      <w:bookmarkEnd w:id="36"/>
    </w:p>
    <w:p>
      <w:pPr>
        <w:snapToGrid w:val="0"/>
        <w:ind w:firstLine="480"/>
        <w:rPr>
          <w:rFonts w:ascii="Arial Narrow" w:hAnsi="Arial Narrow" w:cs="Arial Narrow"/>
        </w:rPr>
      </w:pPr>
      <w:r>
        <w:rPr>
          <w:rFonts w:ascii="Arial Narrow" w:hAnsi="Arial Narrow" w:cs="Arial Narrow"/>
        </w:rPr>
        <w:t>为深化预算管理改革，进一步加强</w:t>
      </w:r>
      <w:r>
        <w:rPr>
          <w:rFonts w:hint="eastAsia" w:ascii="Arial Narrow" w:hAnsi="Arial Narrow" w:cs="Arial Narrow"/>
          <w:bCs/>
        </w:rPr>
        <w:t>协税工作经费项目</w:t>
      </w:r>
      <w:r>
        <w:rPr>
          <w:rFonts w:ascii="Arial Narrow" w:hAnsi="Arial Narrow" w:cs="Arial Narrow"/>
        </w:rPr>
        <w:t>的监督管理，提高财政资金使用效益，根据《中华人民共和国预算法》、《财政支出绩效评价管理暂行办法》和国家有关财务规章制度，结合</w:t>
      </w:r>
      <w:r>
        <w:rPr>
          <w:rFonts w:hint="eastAsia" w:ascii="Arial Narrow" w:hAnsi="Arial Narrow" w:cs="Arial Narrow"/>
          <w:bCs/>
        </w:rPr>
        <w:t>协税工作经费项目</w:t>
      </w:r>
      <w:r>
        <w:rPr>
          <w:rFonts w:ascii="Arial Narrow" w:hAnsi="Arial Narrow" w:cs="Arial Narrow"/>
        </w:rPr>
        <w:t>的具体情况，按照武昌区水果湖街道办事处的总体部署，进行此次绩效评价。同时，本次绩效评价还力争实现以下目的：</w:t>
      </w:r>
    </w:p>
    <w:p>
      <w:pPr>
        <w:snapToGrid w:val="0"/>
        <w:ind w:firstLine="480"/>
        <w:rPr>
          <w:rFonts w:ascii="Arial Narrow" w:hAnsi="Arial Narrow" w:cs="Arial Narrow"/>
        </w:rPr>
      </w:pPr>
      <w:r>
        <w:rPr>
          <w:rFonts w:ascii="Arial Narrow" w:hAnsi="Arial Narrow" w:cs="Arial Narrow"/>
        </w:rPr>
        <w:t>1、按照武昌区财政局项目资金管理要求，设计合理的指标体系和评价标准，采取科学规范的评价方法，对“</w:t>
      </w:r>
      <w:r>
        <w:rPr>
          <w:rFonts w:hint="eastAsia" w:ascii="Arial Narrow" w:hAnsi="Arial Narrow" w:cs="Arial Narrow"/>
          <w:bCs/>
        </w:rPr>
        <w:t>协税工作经费项目</w:t>
      </w:r>
      <w:r>
        <w:rPr>
          <w:rFonts w:ascii="Arial Narrow" w:hAnsi="Arial Narrow" w:cs="Arial Narrow"/>
        </w:rPr>
        <w:t>”从项目决策到项目绩效的全过程进行科学、客观、公正的评价，为合理分配资金、优化支出提供依据。</w:t>
      </w:r>
    </w:p>
    <w:p>
      <w:pPr>
        <w:snapToGrid w:val="0"/>
        <w:ind w:firstLine="480"/>
        <w:rPr>
          <w:rFonts w:ascii="Arial Narrow" w:hAnsi="Arial Narrow" w:cs="Arial Narrow"/>
        </w:rPr>
      </w:pPr>
      <w:r>
        <w:rPr>
          <w:rFonts w:ascii="Arial Narrow" w:hAnsi="Arial Narrow" w:cs="Arial Narrow"/>
        </w:rPr>
        <w:t>2、 通过绩效评价为合理分配资金、优化支出提供依据，也为逐步建立“预算编制有目标，预算执行有监控，预算完成有评价，评价结果有反馈，反馈结果有应用”的绩效评价机制提供决策依据。</w:t>
      </w:r>
    </w:p>
    <w:p>
      <w:pPr>
        <w:snapToGrid w:val="0"/>
        <w:ind w:firstLine="480"/>
        <w:rPr>
          <w:rFonts w:ascii="Arial Narrow" w:hAnsi="Arial Narrow" w:cs="Arial Narrow"/>
        </w:rPr>
      </w:pPr>
      <w:r>
        <w:rPr>
          <w:rFonts w:ascii="Arial Narrow" w:hAnsi="Arial Narrow" w:cs="Arial Narrow"/>
        </w:rPr>
        <w:t>3、通过绩效评价总结前一年度项目实施的经验教训，为进一步加强公益服务项目管理，提高项目建设水平，发挥财政资金效益提供重要的参考依据，也为将来公益服务项目提供借鉴。</w:t>
      </w:r>
    </w:p>
    <w:p>
      <w:pPr>
        <w:snapToGrid w:val="0"/>
        <w:ind w:firstLine="482"/>
        <w:jc w:val="left"/>
        <w:outlineLvl w:val="1"/>
        <w:rPr>
          <w:rFonts w:ascii="Arial Narrow" w:hAnsi="Arial Narrow" w:cs="Arial Narrow"/>
          <w:b/>
          <w:bCs/>
        </w:rPr>
      </w:pPr>
      <w:bookmarkStart w:id="37" w:name="_Toc32197"/>
      <w:bookmarkStart w:id="38" w:name="_Toc479252058"/>
      <w:bookmarkStart w:id="39" w:name="_Toc361304684"/>
      <w:bookmarkStart w:id="40" w:name="_Toc361302025"/>
      <w:bookmarkStart w:id="41" w:name="_Toc406666359"/>
      <w:bookmarkStart w:id="42" w:name="_Toc406668033"/>
      <w:bookmarkStart w:id="43" w:name="_Toc387957809"/>
      <w:r>
        <w:rPr>
          <w:rFonts w:ascii="Arial Narrow" w:hAnsi="Arial Narrow" w:cs="Arial Narrow"/>
          <w:b/>
          <w:bCs/>
        </w:rPr>
        <w:t>（二）绩效评价工作过程</w:t>
      </w:r>
      <w:bookmarkEnd w:id="37"/>
      <w:bookmarkEnd w:id="38"/>
    </w:p>
    <w:p>
      <w:pPr>
        <w:snapToGrid w:val="0"/>
        <w:ind w:firstLine="480"/>
        <w:rPr>
          <w:rFonts w:ascii="Arial Narrow" w:hAnsi="Arial Narrow" w:cs="Arial Narrow"/>
        </w:rPr>
      </w:pPr>
      <w:r>
        <w:rPr>
          <w:rFonts w:ascii="Arial Narrow" w:hAnsi="Arial Narrow" w:cs="Arial Narrow"/>
        </w:rPr>
        <w:drawing>
          <wp:inline distT="0" distB="0" distL="0" distR="0">
            <wp:extent cx="4486275" cy="2724150"/>
            <wp:effectExtent l="19050" t="0" r="9525"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noChangeArrowheads="1"/>
                    </pic:cNvPicPr>
                  </pic:nvPicPr>
                  <pic:blipFill>
                    <a:blip r:embed="rId12"/>
                    <a:srcRect/>
                    <a:stretch>
                      <a:fillRect/>
                    </a:stretch>
                  </pic:blipFill>
                  <pic:spPr>
                    <a:xfrm>
                      <a:off x="0" y="0"/>
                      <a:ext cx="4486275" cy="2724150"/>
                    </a:xfrm>
                    <a:prstGeom prst="rect">
                      <a:avLst/>
                    </a:prstGeom>
                    <a:noFill/>
                    <a:ln w="9525">
                      <a:noFill/>
                      <a:miter lim="800000"/>
                      <a:headEnd/>
                      <a:tailEnd/>
                    </a:ln>
                  </pic:spPr>
                </pic:pic>
              </a:graphicData>
            </a:graphic>
          </wp:inline>
        </w:drawing>
      </w:r>
    </w:p>
    <w:p>
      <w:pPr>
        <w:snapToGrid w:val="0"/>
        <w:ind w:firstLine="480"/>
        <w:jc w:val="left"/>
        <w:rPr>
          <w:rFonts w:ascii="Arial Narrow" w:hAnsi="Arial Narrow" w:cs="Arial Narrow"/>
        </w:rPr>
      </w:pPr>
      <w:r>
        <w:rPr>
          <w:rFonts w:ascii="Arial Narrow" w:hAnsi="Arial Narrow" w:cs="Arial Narrow"/>
        </w:rPr>
        <w:t>1、前期准备工作内容；</w:t>
      </w:r>
    </w:p>
    <w:p>
      <w:pPr>
        <w:snapToGrid w:val="0"/>
        <w:ind w:firstLine="480"/>
        <w:rPr>
          <w:rFonts w:ascii="Arial Narrow" w:hAnsi="Arial Narrow" w:cs="Arial Narrow"/>
        </w:rPr>
      </w:pPr>
      <w:r>
        <w:rPr>
          <w:rFonts w:ascii="Arial Narrow" w:hAnsi="Arial Narrow" w:cs="Arial Narrow"/>
        </w:rPr>
        <w:t>首先，查阅项目的相关文件。通过查阅了协税工作经费项目的《关于2017年街道协税护税指标考评积分办法》、《2017年精准服务企业指标考评计分办法》和《招商引资考评计分办法》等工作考核资料，以及《区人民政府关于印发武昌区街道财政财务管理暂行办法的通知》、《武汉市武昌区水果湖街道办事处财务管理（试行）办法》、协税工作经费项目支出明细账、2017年协税各方面工作内容汇总表（建安项目、属地纳税、服务企业、精准服务企业工程等）、事业单位法人年度报告书等相关资料，结合《武昌区财政支出绩效评价管理暂行办法》的要求，绩效评价工作小组充分熟悉项目背景、项目内容、项目活动等信息，这为绩效评价工作小组后续制定绩效评价方案奠定了基础。</w:t>
      </w:r>
    </w:p>
    <w:p>
      <w:pPr>
        <w:snapToGrid w:val="0"/>
        <w:ind w:firstLine="480"/>
        <w:rPr>
          <w:rFonts w:ascii="Arial Narrow" w:hAnsi="Arial Narrow" w:cs="Arial Narrow"/>
        </w:rPr>
      </w:pPr>
      <w:r>
        <w:rPr>
          <w:rFonts w:ascii="Arial Narrow" w:hAnsi="Arial Narrow" w:cs="Arial Narrow"/>
        </w:rPr>
        <w:t>其次，根据项目具体情况设定共性指标与个性指标相结合的绩效评价指标体系。 “</w:t>
      </w:r>
      <w:r>
        <w:rPr>
          <w:rFonts w:hint="eastAsia" w:ascii="Arial Narrow" w:hAnsi="Arial Narrow" w:cs="Arial Narrow"/>
          <w:bCs/>
        </w:rPr>
        <w:t>协税工作经费项目</w:t>
      </w:r>
      <w:r>
        <w:rPr>
          <w:rFonts w:ascii="Arial Narrow" w:hAnsi="Arial Narrow" w:cs="Arial Narrow"/>
        </w:rPr>
        <w:t>”绩效评价指标体系由4个一级指标、6个二级指标、25个三级指标构成。绩效评价指标体系包含14个定性指标，11个定量指标，定性定量指标相结合，量化程度较高。绩效评价工作小组针对绩效评价对象的特点设计了8个个性化指标，包括税收完成率、协税工作人员到位率、重要企业协税服务完成率、招商引资完成率、税收投入乘数、税收增长率、税源分析预测情况和涉税政策业务指导等。</w:t>
      </w:r>
    </w:p>
    <w:p>
      <w:pPr>
        <w:snapToGrid w:val="0"/>
        <w:ind w:firstLine="480"/>
        <w:rPr>
          <w:rFonts w:ascii="Arial Narrow" w:hAnsi="Arial Narrow" w:cs="Arial Narrow"/>
        </w:rPr>
      </w:pPr>
      <w:r>
        <w:rPr>
          <w:rFonts w:ascii="Arial Narrow" w:hAnsi="Arial Narrow" w:cs="Arial Narrow"/>
        </w:rPr>
        <w:t>第三，设计绩效评价指标体系和评分标准。项目小组与武昌区水果湖街道办事处就“</w:t>
      </w:r>
      <w:r>
        <w:rPr>
          <w:rFonts w:hint="eastAsia" w:ascii="Arial Narrow" w:hAnsi="Arial Narrow" w:cs="Arial Narrow"/>
          <w:bCs/>
        </w:rPr>
        <w:t>协税工作经费项目</w:t>
      </w:r>
      <w:r>
        <w:rPr>
          <w:rFonts w:ascii="Arial Narrow" w:hAnsi="Arial Narrow" w:cs="Arial Narrow"/>
        </w:rPr>
        <w:t>”绩效评价相关事项进行了充分的讨论与研究，制定了绩效评价指标体系和评分标准。</w:t>
      </w:r>
    </w:p>
    <w:p>
      <w:pPr>
        <w:snapToGrid w:val="0"/>
        <w:ind w:firstLine="480"/>
        <w:rPr>
          <w:rFonts w:ascii="Arial Narrow" w:hAnsi="Arial Narrow" w:cs="Arial Narrow"/>
        </w:rPr>
      </w:pPr>
      <w:r>
        <w:rPr>
          <w:rFonts w:ascii="Arial Narrow" w:hAnsi="Arial Narrow" w:cs="Arial Narrow"/>
        </w:rPr>
        <w:t>最后，制定项目实施方案。实施方案明确了评价对象、依据、评价方法、评分办法、实施步骤、评价人员及分工等。实施方案对绩效评价工作小组具体工作内容和时间进一步细化，保证评价工作顺利开展。同时，为了保证得出科学、合理、公正的评价结果，绩效评价工作小组制定了专门的调查问卷、基础数据表、访谈大纲和资料清单，帮助绩效评价工作小组在报告后期对调查问卷、基础数据表和访谈记录等进行分析汇总。</w:t>
      </w:r>
    </w:p>
    <w:p>
      <w:pPr>
        <w:snapToGrid w:val="0"/>
        <w:ind w:firstLine="480"/>
        <w:jc w:val="left"/>
        <w:rPr>
          <w:rFonts w:ascii="Arial Narrow" w:hAnsi="Arial Narrow" w:cs="Arial Narrow"/>
        </w:rPr>
      </w:pPr>
      <w:r>
        <w:rPr>
          <w:rFonts w:ascii="Arial Narrow" w:hAnsi="Arial Narrow" w:cs="Arial Narrow"/>
        </w:rPr>
        <w:t>2、组织实施过程内容</w:t>
      </w:r>
    </w:p>
    <w:p>
      <w:pPr>
        <w:snapToGrid w:val="0"/>
        <w:ind w:firstLine="480"/>
        <w:rPr>
          <w:rFonts w:ascii="Arial Narrow" w:hAnsi="Arial Narrow" w:cs="Arial Narrow"/>
        </w:rPr>
      </w:pPr>
      <w:r>
        <w:rPr>
          <w:rFonts w:ascii="Arial Narrow" w:hAnsi="Arial Narrow" w:cs="Arial Narrow"/>
        </w:rPr>
        <w:t>根据制定的绩效评价工作方案，绩效评价工作小组首先收集实施单位的项目有关材料，前往项目实施地，通过现场评价方法进行绩效评价。包括收集、审核基础资料；开展现场核查，核实项目是否实施以及项目实施情况是否良好，并进行拍照留痕；对收集的证据运用科学的方法进行综合分析。</w:t>
      </w:r>
    </w:p>
    <w:p>
      <w:pPr>
        <w:snapToGrid w:val="0"/>
        <w:ind w:firstLine="480"/>
        <w:jc w:val="left"/>
        <w:rPr>
          <w:rFonts w:ascii="Arial Narrow" w:hAnsi="Arial Narrow" w:cs="Arial Narrow"/>
        </w:rPr>
      </w:pPr>
      <w:r>
        <w:rPr>
          <w:rFonts w:ascii="Arial Narrow" w:hAnsi="Arial Narrow" w:cs="Arial Narrow"/>
        </w:rPr>
        <w:t>3、分析评价工作内容</w:t>
      </w:r>
    </w:p>
    <w:p>
      <w:pPr>
        <w:snapToGrid w:val="0"/>
        <w:ind w:firstLine="480"/>
        <w:rPr>
          <w:rFonts w:ascii="Arial Narrow" w:hAnsi="Arial Narrow" w:cs="Arial Narrow"/>
        </w:rPr>
      </w:pPr>
      <w:r>
        <w:rPr>
          <w:rFonts w:ascii="Arial Narrow" w:hAnsi="Arial Narrow" w:cs="Arial Narrow"/>
        </w:rPr>
        <w:t>根据绩效评价指标体系和评分标准、调查问卷、基础数据表、访谈大纲和资料清单后期对调查情况、基础数据、访谈记录分析后形成综合评价结果，将评价结果纳入已确定的各项指标临界区间进行比较，确定绩效评价等级（优、良、中、差）。最后，对评价工作进行总结，将项目基本情况、绩效评价工作情况、评价分析及评价结果、评价等级、经验及做法、问题及建议等形成书面报告。</w:t>
      </w:r>
    </w:p>
    <w:p>
      <w:pPr>
        <w:snapToGrid w:val="0"/>
        <w:ind w:firstLine="482"/>
        <w:jc w:val="left"/>
        <w:rPr>
          <w:rFonts w:ascii="Arial Narrow" w:hAnsi="Arial Narrow" w:cs="Arial Narrow"/>
          <w:b/>
        </w:rPr>
      </w:pPr>
      <w:r>
        <w:rPr>
          <w:rFonts w:ascii="Arial Narrow" w:hAnsi="Arial Narrow" w:cs="Arial Narrow"/>
          <w:b/>
        </w:rPr>
        <w:t>（三）绩效评价框架</w:t>
      </w:r>
    </w:p>
    <w:p>
      <w:pPr>
        <w:snapToGrid w:val="0"/>
        <w:ind w:firstLine="482"/>
        <w:jc w:val="left"/>
        <w:rPr>
          <w:rFonts w:ascii="Arial Narrow" w:hAnsi="Arial Narrow" w:cs="Arial Narrow"/>
          <w:b/>
        </w:rPr>
      </w:pPr>
      <w:r>
        <w:rPr>
          <w:rFonts w:ascii="Arial Narrow" w:hAnsi="Arial Narrow" w:cs="Arial Narrow"/>
          <w:b/>
        </w:rPr>
        <w:t>1.评价原则</w:t>
      </w:r>
    </w:p>
    <w:p>
      <w:pPr>
        <w:snapToGrid w:val="0"/>
        <w:ind w:firstLine="482"/>
        <w:jc w:val="left"/>
        <w:rPr>
          <w:rFonts w:ascii="Arial Narrow" w:hAnsi="Arial Narrow" w:cs="Arial Narrow"/>
        </w:rPr>
      </w:pPr>
      <w:r>
        <w:rPr>
          <w:rFonts w:ascii="Arial Narrow" w:hAnsi="Arial Narrow" w:cs="Arial Narrow"/>
          <w:b/>
        </w:rPr>
        <w:drawing>
          <wp:anchor distT="0" distB="0" distL="0" distR="0" simplePos="0" relativeHeight="251669504" behindDoc="0" locked="0" layoutInCell="1" allowOverlap="1">
            <wp:simplePos x="0" y="0"/>
            <wp:positionH relativeFrom="column">
              <wp:posOffset>339090</wp:posOffset>
            </wp:positionH>
            <wp:positionV relativeFrom="paragraph">
              <wp:posOffset>615315</wp:posOffset>
            </wp:positionV>
            <wp:extent cx="4893310" cy="1400175"/>
            <wp:effectExtent l="57150" t="0" r="59690" b="0"/>
            <wp:wrapTopAndBottom/>
            <wp:docPr id="11" name="图示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rPr>
          <w:rFonts w:ascii="Arial Narrow" w:hAnsi="Arial Narrow" w:cs="Arial Narrow"/>
        </w:rPr>
        <w:t>本次绩效评价，我们遵循相关性原则、重要性原则、可比性原则、系统性原则、经济性原则。</w:t>
      </w:r>
    </w:p>
    <w:p>
      <w:pPr>
        <w:snapToGrid w:val="0"/>
        <w:ind w:firstLine="480"/>
        <w:jc w:val="left"/>
        <w:rPr>
          <w:rFonts w:ascii="Arial Narrow" w:hAnsi="Arial Narrow" w:cs="Arial Narrow"/>
        </w:rPr>
      </w:pPr>
      <w:r>
        <w:rPr>
          <w:rFonts w:ascii="Arial Narrow" w:hAnsi="Arial Narrow" w:cs="Arial Narrow"/>
        </w:rPr>
        <w:t>（1）相关性原则。绩效评价指标应当与绩效目标有直接的联系，能够恰当反映目标的实现程度。如税收完成率、协税服务完成率等指标。</w:t>
      </w:r>
    </w:p>
    <w:p>
      <w:pPr>
        <w:snapToGrid w:val="0"/>
        <w:ind w:firstLine="480"/>
        <w:jc w:val="left"/>
        <w:rPr>
          <w:rFonts w:ascii="Arial Narrow" w:hAnsi="Arial Narrow" w:cs="Arial Narrow"/>
          <w:kern w:val="0"/>
        </w:rPr>
      </w:pPr>
      <w:r>
        <w:rPr>
          <w:rFonts w:ascii="Arial Narrow" w:hAnsi="Arial Narrow" w:cs="Arial Narrow"/>
        </w:rPr>
        <w:t>（2）重要性原则。应当优先使用最具体评价对象代表性、最能反映评价要求的核心指标。如税收完成率、税收投入乘数、服务对象满意度等指标。</w:t>
      </w:r>
    </w:p>
    <w:p>
      <w:pPr>
        <w:snapToGrid w:val="0"/>
        <w:ind w:firstLine="480"/>
        <w:rPr>
          <w:rFonts w:ascii="Arial Narrow" w:hAnsi="Arial Narrow" w:cs="Arial Narrow"/>
        </w:rPr>
      </w:pPr>
      <w:r>
        <w:rPr>
          <w:rFonts w:ascii="Arial Narrow" w:hAnsi="Arial Narrow" w:cs="Arial Narrow"/>
        </w:rPr>
        <w:t>（3）可比性原则。对同类评价对象要设定共性的绩效评价指标，以便于评价结果可以相互比较。完成及时率等指标按照可比性原则制定。</w:t>
      </w:r>
    </w:p>
    <w:p>
      <w:pPr>
        <w:snapToGrid w:val="0"/>
        <w:ind w:firstLine="480"/>
        <w:jc w:val="left"/>
        <w:rPr>
          <w:rFonts w:ascii="Arial Narrow" w:hAnsi="Arial Narrow" w:cs="Arial Narrow"/>
        </w:rPr>
      </w:pPr>
      <w:r>
        <w:rPr>
          <w:rFonts w:ascii="Arial Narrow" w:hAnsi="Arial Narrow" w:cs="Arial Narrow"/>
        </w:rPr>
        <w:t>（4）系统性原则。绩效评价指标的设置应当将定量指标与定性指标相结合，能系统反映财政支出所产生的社会效益和可持续影响等。税源户信息完整度、税源分析预测情况等指标为定性指标，重要企业协税服务完成率、招商引资完成率、税收完成率、税收投入乘数等指标为定量指标。</w:t>
      </w:r>
    </w:p>
    <w:p>
      <w:pPr>
        <w:snapToGrid w:val="0"/>
        <w:ind w:firstLine="480"/>
        <w:jc w:val="left"/>
        <w:rPr>
          <w:rFonts w:ascii="Arial Narrow" w:hAnsi="Arial Narrow" w:cs="Arial Narrow"/>
        </w:rPr>
      </w:pPr>
      <w:r>
        <w:rPr>
          <w:rFonts w:ascii="Arial Narrow" w:hAnsi="Arial Narrow" w:cs="Arial Narrow"/>
        </w:rPr>
        <w:t>（5）经济性原则。绩效评价指标设计应当通俗易懂、简便易行，数据的获得应当考虑现实条件和可操作性，符合成本效益原则。完成及时率、税收投入乘数等指标符合经济性原则。</w:t>
      </w:r>
    </w:p>
    <w:p>
      <w:pPr>
        <w:snapToGrid w:val="0"/>
        <w:ind w:firstLine="482"/>
        <w:jc w:val="left"/>
        <w:rPr>
          <w:rFonts w:ascii="Arial Narrow" w:hAnsi="Arial Narrow" w:cs="Arial Narrow"/>
          <w:b/>
        </w:rPr>
      </w:pPr>
      <w:r>
        <w:rPr>
          <w:rFonts w:ascii="Arial Narrow" w:hAnsi="Arial Narrow" w:cs="Arial Narrow"/>
          <w:b/>
        </w:rPr>
        <w:t>2.评价依据</w:t>
      </w:r>
    </w:p>
    <w:p>
      <w:pPr>
        <w:snapToGrid w:val="0"/>
        <w:ind w:firstLine="480"/>
        <w:jc w:val="left"/>
        <w:rPr>
          <w:rFonts w:ascii="Arial Narrow" w:hAnsi="Arial Narrow" w:cs="Arial Narrow"/>
        </w:rPr>
      </w:pPr>
      <w:r>
        <w:rPr>
          <w:rFonts w:ascii="Arial Narrow" w:hAnsi="Arial Narrow" w:cs="Arial Narrow"/>
        </w:rPr>
        <w:t>（1）项目行为依据（项目决策文件等）</w:t>
      </w:r>
    </w:p>
    <w:p>
      <w:pPr>
        <w:snapToGrid w:val="0"/>
        <w:ind w:firstLine="480"/>
        <w:jc w:val="left"/>
        <w:rPr>
          <w:rFonts w:ascii="Arial Narrow" w:hAnsi="Arial Narrow" w:cs="Arial Narrow"/>
        </w:rPr>
      </w:pPr>
      <w:r>
        <w:rPr>
          <w:rFonts w:ascii="Arial Narrow" w:hAnsi="Arial Narrow" w:cs="Arial Narrow"/>
        </w:rPr>
        <w:t>《区人民政府办公室关于进一步做好地方零散税收协助管理工作的通知》</w:t>
      </w:r>
    </w:p>
    <w:p>
      <w:pPr>
        <w:snapToGrid w:val="0"/>
        <w:ind w:firstLine="480"/>
        <w:jc w:val="left"/>
        <w:rPr>
          <w:rFonts w:ascii="Arial Narrow" w:hAnsi="Arial Narrow" w:cs="Arial Narrow"/>
        </w:rPr>
      </w:pPr>
      <w:r>
        <w:rPr>
          <w:rFonts w:ascii="Arial Narrow" w:hAnsi="Arial Narrow" w:cs="Arial Narrow"/>
        </w:rPr>
        <w:t>（2）法律、法规依据</w:t>
      </w:r>
    </w:p>
    <w:p>
      <w:pPr>
        <w:snapToGrid w:val="0"/>
        <w:ind w:firstLine="480"/>
        <w:jc w:val="left"/>
        <w:rPr>
          <w:rFonts w:ascii="Arial Narrow" w:hAnsi="Arial Narrow" w:cs="Arial Narrow"/>
        </w:rPr>
      </w:pPr>
      <w:r>
        <w:rPr>
          <w:rFonts w:hint="eastAsia" w:ascii="宋体" w:hAnsi="宋体" w:eastAsia="宋体" w:cs="宋体"/>
        </w:rPr>
        <w:t>①</w:t>
      </w:r>
      <w:r>
        <w:rPr>
          <w:rFonts w:ascii="Arial Narrow" w:hAnsi="Arial Narrow" w:cs="Arial Narrow"/>
        </w:rPr>
        <w:t>《中华人民共和国预算法》；</w:t>
      </w:r>
    </w:p>
    <w:p>
      <w:pPr>
        <w:snapToGrid w:val="0"/>
        <w:ind w:firstLine="480"/>
        <w:jc w:val="left"/>
        <w:rPr>
          <w:rFonts w:ascii="Arial Narrow" w:hAnsi="Arial Narrow" w:cs="Arial Narrow"/>
        </w:rPr>
      </w:pPr>
      <w:r>
        <w:rPr>
          <w:rFonts w:hint="eastAsia" w:ascii="宋体" w:hAnsi="宋体" w:eastAsia="宋体" w:cs="宋体"/>
        </w:rPr>
        <w:t>②</w:t>
      </w:r>
      <w:r>
        <w:rPr>
          <w:rFonts w:ascii="Arial Narrow" w:hAnsi="Arial Narrow" w:cs="Arial Narrow"/>
        </w:rPr>
        <w:t>财政部《财政支出绩效评价管理暂行办法》（财预[2011]285号）；</w:t>
      </w:r>
    </w:p>
    <w:p>
      <w:pPr>
        <w:snapToGrid w:val="0"/>
        <w:ind w:firstLine="480"/>
        <w:jc w:val="left"/>
        <w:rPr>
          <w:rFonts w:ascii="Arial Narrow" w:hAnsi="Arial Narrow" w:cs="Arial Narrow"/>
        </w:rPr>
      </w:pPr>
      <w:r>
        <w:rPr>
          <w:rFonts w:hint="eastAsia" w:ascii="宋体" w:hAnsi="宋体" w:eastAsia="宋体" w:cs="宋体"/>
        </w:rPr>
        <w:t>③</w:t>
      </w:r>
      <w:r>
        <w:rPr>
          <w:rFonts w:ascii="Arial Narrow" w:hAnsi="Arial Narrow" w:cs="Arial Narrow"/>
        </w:rPr>
        <w:t>《武昌区财政支出绩效评价管理暂行办法》</w:t>
      </w:r>
    </w:p>
    <w:p>
      <w:pPr>
        <w:snapToGrid w:val="0"/>
        <w:ind w:firstLine="480"/>
        <w:jc w:val="left"/>
        <w:rPr>
          <w:rFonts w:ascii="Arial Narrow" w:hAnsi="Arial Narrow" w:cs="Arial Narrow"/>
        </w:rPr>
      </w:pPr>
      <w:r>
        <w:rPr>
          <w:rFonts w:ascii="Arial Narrow" w:hAnsi="Arial Narrow" w:cs="Arial Narrow"/>
        </w:rPr>
        <w:t>（3）项目财务资料依据</w:t>
      </w:r>
    </w:p>
    <w:p>
      <w:pPr>
        <w:snapToGrid w:val="0"/>
        <w:ind w:firstLine="480"/>
        <w:jc w:val="left"/>
        <w:rPr>
          <w:rFonts w:ascii="Arial Narrow" w:hAnsi="Arial Narrow" w:cs="Arial Narrow"/>
        </w:rPr>
      </w:pPr>
      <w:r>
        <w:rPr>
          <w:rFonts w:hint="eastAsia" w:ascii="宋体" w:hAnsi="宋体" w:eastAsia="宋体" w:cs="宋体"/>
        </w:rPr>
        <w:t>①</w:t>
      </w:r>
      <w:r>
        <w:rPr>
          <w:rFonts w:ascii="Arial Narrow" w:hAnsi="Arial Narrow" w:cs="Arial Narrow"/>
        </w:rPr>
        <w:t>《事业单位财务规则》</w:t>
      </w:r>
    </w:p>
    <w:p>
      <w:pPr>
        <w:snapToGrid w:val="0"/>
        <w:ind w:firstLine="480"/>
        <w:jc w:val="left"/>
        <w:rPr>
          <w:rFonts w:ascii="Arial Narrow" w:hAnsi="Arial Narrow" w:cs="Arial Narrow"/>
        </w:rPr>
      </w:pPr>
      <w:r>
        <w:rPr>
          <w:rFonts w:hint="eastAsia" w:ascii="宋体" w:hAnsi="宋体" w:eastAsia="宋体" w:cs="宋体"/>
        </w:rPr>
        <w:t>②</w:t>
      </w:r>
      <w:r>
        <w:rPr>
          <w:rFonts w:ascii="Arial Narrow" w:hAnsi="Arial Narrow" w:cs="Arial Narrow"/>
        </w:rPr>
        <w:t>《区人民政府关于印发武昌区街道财政财务管理暂行办法的通知》</w:t>
      </w:r>
    </w:p>
    <w:p>
      <w:pPr>
        <w:snapToGrid w:val="0"/>
        <w:ind w:firstLine="480"/>
        <w:jc w:val="left"/>
        <w:rPr>
          <w:rFonts w:ascii="Arial Narrow" w:hAnsi="Arial Narrow" w:cs="Arial Narrow"/>
        </w:rPr>
      </w:pPr>
      <w:r>
        <w:rPr>
          <w:rFonts w:hint="eastAsia" w:ascii="宋体" w:hAnsi="宋体" w:eastAsia="宋体" w:cs="宋体"/>
        </w:rPr>
        <w:t>③</w:t>
      </w:r>
      <w:r>
        <w:rPr>
          <w:rFonts w:ascii="Arial Narrow" w:hAnsi="Arial Narrow" w:cs="Arial Narrow"/>
        </w:rPr>
        <w:t>《武汉市武昌区水果湖街道办事处财务管理（试行）办法》</w:t>
      </w:r>
    </w:p>
    <w:p>
      <w:pPr>
        <w:snapToGrid w:val="0"/>
        <w:ind w:left="360" w:leftChars="150" w:firstLine="120" w:firstLineChars="50"/>
        <w:jc w:val="left"/>
        <w:rPr>
          <w:rFonts w:ascii="Arial Narrow" w:hAnsi="Arial Narrow" w:cs="Arial Narrow"/>
        </w:rPr>
      </w:pPr>
      <w:r>
        <w:rPr>
          <w:rFonts w:hint="eastAsia" w:ascii="宋体" w:hAnsi="宋体" w:eastAsia="宋体" w:cs="宋体"/>
        </w:rPr>
        <w:t>④</w:t>
      </w:r>
      <w:r>
        <w:rPr>
          <w:rFonts w:ascii="Arial Narrow" w:hAnsi="Arial Narrow" w:cs="Arial Narrow"/>
        </w:rPr>
        <w:t>《武昌区财政局关于武昌区人民政府水果湖街办事处2017年部门预算的批复》（4）基础数据、资料依据</w:t>
      </w:r>
    </w:p>
    <w:p>
      <w:pPr>
        <w:snapToGrid w:val="0"/>
        <w:ind w:firstLine="480"/>
        <w:jc w:val="left"/>
        <w:rPr>
          <w:rFonts w:ascii="Arial Narrow" w:hAnsi="Arial Narrow" w:cs="Arial Narrow"/>
        </w:rPr>
      </w:pPr>
      <w:r>
        <w:rPr>
          <w:rFonts w:hint="eastAsia" w:ascii="宋体" w:hAnsi="宋体" w:eastAsia="宋体" w:cs="宋体"/>
        </w:rPr>
        <w:t>①</w:t>
      </w:r>
      <w:r>
        <w:rPr>
          <w:rFonts w:ascii="Arial Narrow" w:hAnsi="Arial Narrow" w:cs="Arial Narrow"/>
        </w:rPr>
        <w:t>税源户台账明细(房屋出租人、个体户、楼宇里的企业）</w:t>
      </w:r>
    </w:p>
    <w:p>
      <w:pPr>
        <w:snapToGrid w:val="0"/>
        <w:ind w:firstLine="480"/>
        <w:jc w:val="left"/>
        <w:rPr>
          <w:rFonts w:ascii="Arial Narrow" w:hAnsi="Arial Narrow" w:cs="Arial Narrow"/>
        </w:rPr>
      </w:pPr>
      <w:r>
        <w:rPr>
          <w:rFonts w:hint="eastAsia" w:ascii="宋体" w:hAnsi="宋体" w:eastAsia="宋体" w:cs="宋体"/>
        </w:rPr>
        <w:t>②</w:t>
      </w:r>
      <w:r>
        <w:rPr>
          <w:rFonts w:ascii="Arial Narrow" w:hAnsi="Arial Narrow" w:cs="Arial Narrow"/>
        </w:rPr>
        <w:t>协税工作经费项目支出明细账</w:t>
      </w:r>
    </w:p>
    <w:p>
      <w:pPr>
        <w:snapToGrid w:val="0"/>
        <w:ind w:firstLine="480"/>
        <w:jc w:val="left"/>
        <w:rPr>
          <w:rFonts w:ascii="Arial Narrow" w:hAnsi="Arial Narrow" w:cs="Arial Narrow"/>
        </w:rPr>
      </w:pPr>
      <w:r>
        <w:rPr>
          <w:rFonts w:hint="eastAsia" w:ascii="宋体" w:hAnsi="宋体" w:eastAsia="宋体" w:cs="宋体"/>
        </w:rPr>
        <w:t>③</w:t>
      </w:r>
      <w:r>
        <w:rPr>
          <w:rFonts w:ascii="Arial Narrow" w:hAnsi="Arial Narrow" w:cs="Arial Narrow"/>
        </w:rPr>
        <w:t>协税员每月考勤表和每月工作目标考核表</w:t>
      </w:r>
    </w:p>
    <w:p>
      <w:pPr>
        <w:snapToGrid w:val="0"/>
        <w:ind w:left="480" w:leftChars="200" w:firstLine="0" w:firstLineChars="0"/>
        <w:jc w:val="left"/>
        <w:rPr>
          <w:rFonts w:ascii="Arial Narrow" w:hAnsi="Arial Narrow" w:cs="Arial Narrow"/>
        </w:rPr>
      </w:pPr>
      <w:r>
        <w:rPr>
          <w:rFonts w:hint="eastAsia" w:ascii="宋体" w:hAnsi="宋体" w:eastAsia="宋体" w:cs="宋体"/>
        </w:rPr>
        <w:t>④</w:t>
      </w:r>
      <w:r>
        <w:rPr>
          <w:rFonts w:ascii="Arial Narrow" w:hAnsi="Arial Narrow" w:cs="Arial Narrow"/>
        </w:rPr>
        <w:t>2017年协税各方面工作内容汇总表（建安项目、属地纳税、服务企业、精准服务企业工程等）</w:t>
      </w:r>
    </w:p>
    <w:p>
      <w:pPr>
        <w:snapToGrid w:val="0"/>
        <w:ind w:left="480" w:leftChars="200" w:firstLine="0" w:firstLineChars="0"/>
        <w:jc w:val="left"/>
        <w:rPr>
          <w:rFonts w:ascii="Arial Narrow" w:hAnsi="Arial Narrow" w:cs="Arial Narrow"/>
        </w:rPr>
      </w:pPr>
      <w:r>
        <w:rPr>
          <w:rFonts w:hint="eastAsia" w:ascii="宋体" w:hAnsi="宋体" w:eastAsia="宋体" w:cs="宋体"/>
        </w:rPr>
        <w:t>⑤</w:t>
      </w:r>
      <w:r>
        <w:rPr>
          <w:rFonts w:ascii="Arial Narrow" w:hAnsi="Arial Narrow" w:cs="Arial Narrow"/>
        </w:rPr>
        <w:t>2017事业单位法人年度报告书</w:t>
      </w:r>
    </w:p>
    <w:p>
      <w:pPr>
        <w:snapToGrid w:val="0"/>
        <w:ind w:left="480" w:leftChars="200" w:firstLine="0" w:firstLineChars="0"/>
        <w:jc w:val="left"/>
        <w:rPr>
          <w:rFonts w:ascii="Arial Narrow" w:hAnsi="Arial Narrow" w:cs="Arial Narrow"/>
          <w:bCs/>
        </w:rPr>
      </w:pPr>
      <w:r>
        <w:rPr>
          <w:rFonts w:ascii="Arial Narrow" w:hAnsi="Arial Narrow" w:cs="Arial Narrow"/>
          <w:bCs/>
        </w:rPr>
        <w:t>3、评价指标体系</w:t>
      </w:r>
    </w:p>
    <w:p>
      <w:pPr>
        <w:snapToGrid w:val="0"/>
        <w:ind w:firstLine="480"/>
        <w:jc w:val="center"/>
        <w:rPr>
          <w:rFonts w:ascii="Arial Narrow" w:hAnsi="Arial Narrow" w:cs="Arial Narrow"/>
          <w:color w:val="FF0000"/>
        </w:rPr>
      </w:pPr>
      <w:r>
        <w:rPr>
          <w:rFonts w:ascii="Arial Narrow" w:hAnsi="Arial Narrow" w:cs="Arial Narrow"/>
        </w:rPr>
        <w:drawing>
          <wp:anchor distT="0" distB="0" distL="114300" distR="114300" simplePos="0" relativeHeight="251664384" behindDoc="0" locked="0" layoutInCell="1" allowOverlap="1">
            <wp:simplePos x="0" y="0"/>
            <wp:positionH relativeFrom="column">
              <wp:posOffset>-152400</wp:posOffset>
            </wp:positionH>
            <wp:positionV relativeFrom="paragraph">
              <wp:posOffset>31115</wp:posOffset>
            </wp:positionV>
            <wp:extent cx="5523865" cy="2983230"/>
            <wp:effectExtent l="0" t="0" r="8255" b="3810"/>
            <wp:wrapTopAndBottom/>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7"/>
                    <a:stretch>
                      <a:fillRect/>
                    </a:stretch>
                  </pic:blipFill>
                  <pic:spPr>
                    <a:xfrm>
                      <a:off x="0" y="0"/>
                      <a:ext cx="5523865" cy="2983230"/>
                    </a:xfrm>
                    <a:prstGeom prst="rect">
                      <a:avLst/>
                    </a:prstGeom>
                    <a:noFill/>
                    <a:ln w="9525">
                      <a:noFill/>
                    </a:ln>
                  </pic:spPr>
                </pic:pic>
              </a:graphicData>
            </a:graphic>
          </wp:anchor>
        </w:drawing>
      </w:r>
    </w:p>
    <w:p>
      <w:pPr>
        <w:snapToGrid w:val="0"/>
        <w:ind w:firstLine="480"/>
        <w:jc w:val="left"/>
        <w:rPr>
          <w:rFonts w:ascii="Arial Narrow" w:hAnsi="Arial Narrow" w:cs="Arial Narrow"/>
          <w:color w:val="FF0000"/>
        </w:rPr>
      </w:pPr>
    </w:p>
    <w:p>
      <w:pPr>
        <w:snapToGrid w:val="0"/>
        <w:ind w:firstLine="480"/>
        <w:jc w:val="left"/>
        <w:rPr>
          <w:rFonts w:ascii="Arial Narrow" w:hAnsi="Arial Narrow" w:cs="Arial Narrow"/>
        </w:rPr>
      </w:pPr>
      <w:r>
        <w:rPr>
          <w:rFonts w:ascii="Arial Narrow" w:hAnsi="Arial Narrow" w:cs="Arial Narrow"/>
        </w:rPr>
        <w:t>绩效评价指标体系是开展绩效评价工作的核心。绩效评价工作小组在参考财政支出绩效评价指标框架的基础上，依据《武昌区财政支出绩效评价管理暂行办法》，结合政府购买专业社工服务经费项目的特点，运用定量定性原则，确定了绩效评价一级指标、二级指标和三级指标。</w:t>
      </w:r>
    </w:p>
    <w:p>
      <w:pPr>
        <w:snapToGrid w:val="0"/>
        <w:ind w:firstLine="480"/>
        <w:jc w:val="left"/>
        <w:rPr>
          <w:rFonts w:ascii="Arial Narrow" w:hAnsi="Arial Narrow" w:cs="Arial Narrow"/>
        </w:rPr>
      </w:pPr>
      <w:r>
        <w:rPr>
          <w:rFonts w:ascii="Arial Narrow" w:hAnsi="Arial Narrow" w:cs="Arial Narrow"/>
        </w:rPr>
        <w:t>绩效评价指标体系包括投入、过程、产出、效果四个方面。</w:t>
      </w:r>
    </w:p>
    <w:p>
      <w:pPr>
        <w:snapToGrid w:val="0"/>
        <w:ind w:firstLine="480"/>
        <w:jc w:val="left"/>
        <w:rPr>
          <w:rFonts w:ascii="Arial Narrow" w:hAnsi="Arial Narrow" w:cs="Arial Narrow"/>
        </w:rPr>
      </w:pPr>
      <w:r>
        <w:rPr>
          <w:rFonts w:ascii="Arial Narrow" w:hAnsi="Arial Narrow" w:cs="Arial Narrow"/>
        </w:rPr>
        <w:t>“投入”权重15分，下设二级指标“项目立项”、“资金落实”，主要评价项目立项规范性、绩效目标合理性、绩效指标明确性，下设4个三级指标具体评价；</w:t>
      </w:r>
    </w:p>
    <w:p>
      <w:pPr>
        <w:snapToGrid w:val="0"/>
        <w:ind w:firstLine="480"/>
        <w:jc w:val="left"/>
        <w:rPr>
          <w:rFonts w:ascii="Arial Narrow" w:hAnsi="Arial Narrow" w:cs="Arial Narrow"/>
        </w:rPr>
      </w:pPr>
      <w:r>
        <w:rPr>
          <w:rFonts w:ascii="Arial Narrow" w:hAnsi="Arial Narrow" w:cs="Arial Narrow"/>
        </w:rPr>
        <w:t>“过程”权重25分，下设二级指标“业务管理” 和“财务管理”，主要评价项目管理制度的执行、资金使用情况和项目具体实施情况，下设7个三级指标具体评价；</w:t>
      </w:r>
    </w:p>
    <w:p>
      <w:pPr>
        <w:snapToGrid w:val="0"/>
        <w:ind w:firstLine="480"/>
        <w:jc w:val="left"/>
        <w:rPr>
          <w:rFonts w:ascii="Arial Narrow" w:hAnsi="Arial Narrow" w:cs="Arial Narrow"/>
        </w:rPr>
      </w:pPr>
      <w:r>
        <w:rPr>
          <w:rFonts w:ascii="Arial Narrow" w:hAnsi="Arial Narrow" w:cs="Arial Narrow"/>
        </w:rPr>
        <w:t>“产出”权重25分，下设二级指标“项目产出”，主要评价项目各项数量产出和质量产出的实现程度以及预算执行率，下设7个三级指标具体评价；</w:t>
      </w:r>
    </w:p>
    <w:p>
      <w:pPr>
        <w:snapToGrid w:val="0"/>
        <w:ind w:firstLine="480"/>
        <w:jc w:val="left"/>
        <w:rPr>
          <w:rFonts w:ascii="Arial Narrow" w:hAnsi="Arial Narrow" w:cs="Arial Narrow"/>
        </w:rPr>
      </w:pPr>
      <w:r>
        <w:rPr>
          <w:rFonts w:ascii="Arial Narrow" w:hAnsi="Arial Narrow" w:cs="Arial Narrow"/>
        </w:rPr>
        <w:t>“效果”权重35分，下设二级指标“项目效益”，主要评价项目实施后的社会效益、可持续影响、服务对象满意度，下设7个三级指标具体评价。</w:t>
      </w:r>
    </w:p>
    <w:p>
      <w:pPr>
        <w:snapToGrid w:val="0"/>
        <w:ind w:firstLine="480"/>
        <w:jc w:val="left"/>
        <w:rPr>
          <w:rFonts w:ascii="Arial Narrow" w:hAnsi="Arial Narrow" w:cs="Arial Narrow"/>
        </w:rPr>
      </w:pPr>
      <w:r>
        <w:rPr>
          <w:rFonts w:ascii="Arial Narrow" w:hAnsi="Arial Narrow" w:cs="Arial Narrow"/>
        </w:rPr>
        <w:t>具体指标的分布情况、权重、指标解释、指标说明如下表所示：</w:t>
      </w:r>
    </w:p>
    <w:tbl>
      <w:tblPr>
        <w:tblStyle w:val="25"/>
        <w:tblW w:w="8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70"/>
        <w:gridCol w:w="1515"/>
        <w:gridCol w:w="2540"/>
        <w:gridCol w:w="3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04" w:hRule="atLeast"/>
          <w:tblHeader/>
        </w:trPr>
        <w:tc>
          <w:tcPr>
            <w:tcW w:w="2385" w:type="dxa"/>
            <w:gridSpan w:val="2"/>
            <w:vAlign w:val="center"/>
          </w:tcPr>
          <w:p>
            <w:pPr>
              <w:snapToGrid w:val="0"/>
              <w:ind w:firstLine="420"/>
              <w:jc w:val="center"/>
              <w:rPr>
                <w:rFonts w:ascii="Arial Narrow" w:hAnsi="Arial Narrow" w:cs="Arial Narrow"/>
                <w:sz w:val="21"/>
                <w:szCs w:val="21"/>
              </w:rPr>
            </w:pPr>
            <w:r>
              <w:rPr>
                <w:rFonts w:ascii="Arial Narrow" w:hAnsi="Arial Narrow" w:cs="Arial Narrow"/>
                <w:sz w:val="21"/>
                <w:szCs w:val="21"/>
              </w:rPr>
              <w:t>指标名称（权重）</w:t>
            </w:r>
          </w:p>
        </w:tc>
        <w:tc>
          <w:tcPr>
            <w:tcW w:w="2540" w:type="dxa"/>
            <w:vAlign w:val="center"/>
          </w:tcPr>
          <w:p>
            <w:pPr>
              <w:snapToGrid w:val="0"/>
              <w:ind w:firstLine="420"/>
              <w:jc w:val="center"/>
              <w:rPr>
                <w:rFonts w:ascii="Arial Narrow" w:hAnsi="Arial Narrow" w:cs="Arial Narrow"/>
                <w:sz w:val="21"/>
                <w:szCs w:val="21"/>
              </w:rPr>
            </w:pPr>
            <w:r>
              <w:rPr>
                <w:rFonts w:ascii="Arial Narrow" w:hAnsi="Arial Narrow" w:cs="Arial Narrow"/>
                <w:sz w:val="21"/>
                <w:szCs w:val="21"/>
              </w:rPr>
              <w:t>指标解释</w:t>
            </w:r>
          </w:p>
        </w:tc>
        <w:tc>
          <w:tcPr>
            <w:tcW w:w="3805" w:type="dxa"/>
            <w:vAlign w:val="center"/>
          </w:tcPr>
          <w:p>
            <w:pPr>
              <w:snapToGrid w:val="0"/>
              <w:ind w:firstLine="420"/>
              <w:jc w:val="center"/>
              <w:rPr>
                <w:rFonts w:ascii="Arial Narrow" w:hAnsi="Arial Narrow" w:cs="Arial Narrow"/>
                <w:sz w:val="21"/>
                <w:szCs w:val="21"/>
              </w:rPr>
            </w:pPr>
            <w:r>
              <w:rPr>
                <w:rFonts w:ascii="Arial Narrow" w:hAnsi="Arial Narrow" w:cs="Arial Narrow"/>
                <w:sz w:val="21"/>
                <w:szCs w:val="21"/>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550" w:hRule="atLeast"/>
        </w:trPr>
        <w:tc>
          <w:tcPr>
            <w:tcW w:w="870" w:type="dxa"/>
            <w:vMerge w:val="restart"/>
            <w:vAlign w:val="center"/>
          </w:tcPr>
          <w:p>
            <w:pPr>
              <w:snapToGrid w:val="0"/>
              <w:ind w:firstLine="0" w:firstLineChars="0"/>
              <w:jc w:val="center"/>
              <w:rPr>
                <w:rFonts w:ascii="Arial Narrow" w:hAnsi="Arial Narrow" w:cs="Arial Narrow"/>
                <w:sz w:val="21"/>
                <w:szCs w:val="21"/>
              </w:rPr>
            </w:pPr>
            <w:r>
              <w:rPr>
                <w:rFonts w:ascii="Arial Narrow" w:hAnsi="Arial Narrow" w:cs="Arial Narrow"/>
                <w:sz w:val="21"/>
                <w:szCs w:val="21"/>
              </w:rPr>
              <w:t>项目</w:t>
            </w:r>
            <w:r>
              <w:rPr>
                <w:rFonts w:ascii="Arial Narrow" w:hAnsi="Arial Narrow" w:cs="Arial Narrow"/>
                <w:sz w:val="21"/>
                <w:szCs w:val="21"/>
              </w:rPr>
              <w:br w:type="textWrapping"/>
            </w:r>
            <w:r>
              <w:rPr>
                <w:rFonts w:ascii="Arial Narrow" w:hAnsi="Arial Narrow" w:cs="Arial Narrow"/>
                <w:sz w:val="21"/>
                <w:szCs w:val="21"/>
              </w:rPr>
              <w:t>立项</w:t>
            </w:r>
          </w:p>
        </w:tc>
        <w:tc>
          <w:tcPr>
            <w:tcW w:w="1515" w:type="dxa"/>
            <w:vAlign w:val="center"/>
          </w:tcPr>
          <w:p>
            <w:pPr>
              <w:snapToGrid w:val="0"/>
              <w:ind w:firstLine="0" w:firstLineChars="0"/>
              <w:rPr>
                <w:rFonts w:ascii="Arial Narrow" w:hAnsi="Arial Narrow" w:cs="Arial Narrow"/>
                <w:sz w:val="21"/>
                <w:szCs w:val="21"/>
              </w:rPr>
            </w:pPr>
            <w:r>
              <w:rPr>
                <w:rFonts w:ascii="Arial Narrow" w:hAnsi="Arial Narrow" w:cs="Arial Narrow"/>
                <w:sz w:val="21"/>
                <w:szCs w:val="21"/>
              </w:rPr>
              <w:t>项目立项规范性（3分）</w:t>
            </w:r>
          </w:p>
        </w:tc>
        <w:tc>
          <w:tcPr>
            <w:tcW w:w="2540"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项目的申请、设立过程是否符合相关要求，用以反映和考核项目立项的规范情况。</w:t>
            </w:r>
          </w:p>
        </w:tc>
        <w:tc>
          <w:tcPr>
            <w:tcW w:w="380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评价要点：</w:t>
            </w:r>
            <w:r>
              <w:rPr>
                <w:rFonts w:ascii="Arial Narrow" w:hAnsi="Arial Narrow" w:cs="Arial Narrow"/>
                <w:sz w:val="21"/>
                <w:szCs w:val="21"/>
              </w:rPr>
              <w:br w:type="textWrapping"/>
            </w:r>
            <w:r>
              <w:rPr>
                <w:rFonts w:hint="eastAsia" w:ascii="宋体" w:hAnsi="宋体" w:eastAsia="宋体" w:cs="宋体"/>
                <w:sz w:val="21"/>
                <w:szCs w:val="21"/>
              </w:rPr>
              <w:t>①</w:t>
            </w:r>
            <w:r>
              <w:rPr>
                <w:rFonts w:ascii="Arial Narrow" w:hAnsi="Arial Narrow" w:cs="Arial Narrow"/>
                <w:sz w:val="21"/>
                <w:szCs w:val="21"/>
              </w:rPr>
              <w:t>项目是否按照规定的程序申请设立；</w:t>
            </w:r>
            <w:r>
              <w:rPr>
                <w:rFonts w:ascii="Arial Narrow" w:hAnsi="Arial Narrow" w:cs="Arial Narrow"/>
                <w:sz w:val="21"/>
                <w:szCs w:val="21"/>
              </w:rPr>
              <w:br w:type="textWrapping"/>
            </w:r>
            <w:r>
              <w:rPr>
                <w:rFonts w:hint="eastAsia" w:ascii="宋体" w:hAnsi="宋体" w:eastAsia="宋体" w:cs="宋体"/>
                <w:sz w:val="21"/>
                <w:szCs w:val="21"/>
              </w:rPr>
              <w:t>②</w:t>
            </w:r>
            <w:r>
              <w:rPr>
                <w:rFonts w:ascii="Arial Narrow" w:hAnsi="Arial Narrow" w:cs="Arial Narrow"/>
                <w:sz w:val="21"/>
                <w:szCs w:val="21"/>
              </w:rPr>
              <w:t>所提交的文件、材料是否符合相关要求；</w:t>
            </w:r>
            <w:r>
              <w:rPr>
                <w:rFonts w:ascii="Arial Narrow" w:hAnsi="Arial Narrow" w:cs="Arial Narrow"/>
                <w:sz w:val="21"/>
                <w:szCs w:val="21"/>
              </w:rPr>
              <w:br w:type="textWrapping"/>
            </w:r>
            <w:r>
              <w:rPr>
                <w:rFonts w:hint="eastAsia" w:ascii="宋体" w:hAnsi="宋体" w:eastAsia="宋体" w:cs="宋体"/>
                <w:sz w:val="21"/>
                <w:szCs w:val="21"/>
              </w:rPr>
              <w:t>③</w:t>
            </w:r>
            <w:r>
              <w:rPr>
                <w:rFonts w:ascii="Arial Narrow" w:hAnsi="Arial Narrow" w:cs="Arial Narrow"/>
                <w:sz w:val="21"/>
                <w:szCs w:val="21"/>
              </w:rPr>
              <w:t>事前是否已经过必要的可行性研究、专家论证、风险评估、集体决策等。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970" w:hRule="atLeast"/>
        </w:trPr>
        <w:tc>
          <w:tcPr>
            <w:tcW w:w="870" w:type="dxa"/>
            <w:vMerge w:val="continue"/>
            <w:vAlign w:val="center"/>
          </w:tcPr>
          <w:p>
            <w:pPr>
              <w:snapToGrid w:val="0"/>
              <w:ind w:firstLine="420"/>
              <w:jc w:val="center"/>
              <w:rPr>
                <w:rFonts w:ascii="Arial Narrow" w:hAnsi="Arial Narrow" w:cs="Arial Narrow"/>
                <w:sz w:val="21"/>
                <w:szCs w:val="21"/>
              </w:rPr>
            </w:pPr>
          </w:p>
        </w:tc>
        <w:tc>
          <w:tcPr>
            <w:tcW w:w="151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绩效目标合理性（4分）</w:t>
            </w:r>
          </w:p>
        </w:tc>
        <w:tc>
          <w:tcPr>
            <w:tcW w:w="2540"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项目所设定的绩效目标是否依据充分，是否符合客观实际，用以反映和考核项目绩效目标与项目实施的相符情况。</w:t>
            </w:r>
          </w:p>
        </w:tc>
        <w:tc>
          <w:tcPr>
            <w:tcW w:w="380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评价要点：</w:t>
            </w:r>
          </w:p>
          <w:p>
            <w:pPr>
              <w:snapToGrid w:val="0"/>
              <w:ind w:firstLine="0" w:firstLineChars="0"/>
              <w:jc w:val="left"/>
              <w:rPr>
                <w:rFonts w:ascii="Arial Narrow" w:hAnsi="Arial Narrow" w:cs="Arial Narrow"/>
                <w:sz w:val="21"/>
                <w:szCs w:val="21"/>
              </w:rPr>
            </w:pPr>
            <w:r>
              <w:rPr>
                <w:rFonts w:hint="eastAsia" w:ascii="宋体" w:hAnsi="宋体" w:eastAsia="宋体" w:cs="宋体"/>
                <w:sz w:val="21"/>
                <w:szCs w:val="21"/>
              </w:rPr>
              <w:t>①</w:t>
            </w:r>
            <w:r>
              <w:rPr>
                <w:rFonts w:ascii="Arial Narrow" w:hAnsi="Arial Narrow" w:cs="Arial Narrow"/>
                <w:sz w:val="21"/>
                <w:szCs w:val="21"/>
              </w:rPr>
              <w:t>是否符合国家相关法律法规</w:t>
            </w:r>
          </w:p>
          <w:p>
            <w:pPr>
              <w:snapToGrid w:val="0"/>
              <w:ind w:firstLine="0" w:firstLineChars="0"/>
              <w:jc w:val="left"/>
              <w:rPr>
                <w:rFonts w:ascii="Arial Narrow" w:hAnsi="Arial Narrow" w:cs="Arial Narrow"/>
                <w:sz w:val="21"/>
                <w:szCs w:val="21"/>
              </w:rPr>
            </w:pPr>
            <w:r>
              <w:rPr>
                <w:rFonts w:hint="eastAsia" w:ascii="宋体" w:hAnsi="宋体" w:eastAsia="宋体" w:cs="宋体"/>
                <w:sz w:val="21"/>
                <w:szCs w:val="21"/>
              </w:rPr>
              <w:t>②</w:t>
            </w:r>
            <w:r>
              <w:rPr>
                <w:rFonts w:ascii="Arial Narrow" w:hAnsi="Arial Narrow" w:cs="Arial Narrow"/>
                <w:sz w:val="21"/>
                <w:szCs w:val="21"/>
              </w:rPr>
              <w:t>是否与项目实施单位或委托单位职责密切相关；</w:t>
            </w:r>
          </w:p>
          <w:p>
            <w:pPr>
              <w:snapToGrid w:val="0"/>
              <w:ind w:firstLine="0" w:firstLineChars="0"/>
              <w:jc w:val="left"/>
              <w:rPr>
                <w:rFonts w:ascii="Arial Narrow" w:hAnsi="Arial Narrow" w:cs="Arial Narrow"/>
                <w:sz w:val="21"/>
                <w:szCs w:val="21"/>
              </w:rPr>
            </w:pPr>
            <w:r>
              <w:rPr>
                <w:rFonts w:hint="eastAsia" w:ascii="宋体" w:hAnsi="宋体" w:eastAsia="宋体" w:cs="宋体"/>
                <w:sz w:val="21"/>
                <w:szCs w:val="21"/>
              </w:rPr>
              <w:t>③</w:t>
            </w:r>
            <w:r>
              <w:rPr>
                <w:rFonts w:ascii="Arial Narrow" w:hAnsi="Arial Narrow" w:cs="Arial Narrow"/>
                <w:sz w:val="21"/>
                <w:szCs w:val="21"/>
              </w:rPr>
              <w:t>项目是否为促进事业发展所必需；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18" w:hRule="atLeast"/>
        </w:trPr>
        <w:tc>
          <w:tcPr>
            <w:tcW w:w="870" w:type="dxa"/>
            <w:vMerge w:val="restart"/>
            <w:vAlign w:val="center"/>
          </w:tcPr>
          <w:p>
            <w:pPr>
              <w:snapToGrid w:val="0"/>
              <w:ind w:firstLine="0" w:firstLineChars="0"/>
              <w:jc w:val="center"/>
              <w:rPr>
                <w:rFonts w:ascii="Arial Narrow" w:hAnsi="Arial Narrow" w:cs="Arial Narrow"/>
                <w:sz w:val="21"/>
                <w:szCs w:val="21"/>
              </w:rPr>
            </w:pPr>
            <w:r>
              <w:rPr>
                <w:rFonts w:ascii="Arial Narrow" w:hAnsi="Arial Narrow" w:cs="Arial Narrow"/>
                <w:sz w:val="21"/>
                <w:szCs w:val="21"/>
              </w:rPr>
              <w:t>资金</w:t>
            </w:r>
            <w:r>
              <w:rPr>
                <w:rFonts w:ascii="Arial Narrow" w:hAnsi="Arial Narrow" w:cs="Arial Narrow"/>
                <w:sz w:val="21"/>
                <w:szCs w:val="21"/>
              </w:rPr>
              <w:br w:type="textWrapping"/>
            </w:r>
            <w:r>
              <w:rPr>
                <w:rFonts w:ascii="Arial Narrow" w:hAnsi="Arial Narrow" w:cs="Arial Narrow"/>
                <w:sz w:val="21"/>
                <w:szCs w:val="21"/>
              </w:rPr>
              <w:t>落实</w:t>
            </w:r>
          </w:p>
        </w:tc>
        <w:tc>
          <w:tcPr>
            <w:tcW w:w="1515" w:type="dxa"/>
            <w:vAlign w:val="center"/>
          </w:tcPr>
          <w:p>
            <w:pPr>
              <w:snapToGrid w:val="0"/>
              <w:ind w:left="420" w:hanging="420" w:hangingChars="200"/>
              <w:jc w:val="left"/>
              <w:rPr>
                <w:rFonts w:ascii="Arial Narrow" w:hAnsi="Arial Narrow" w:cs="Arial Narrow"/>
                <w:sz w:val="21"/>
                <w:szCs w:val="21"/>
              </w:rPr>
            </w:pPr>
            <w:r>
              <w:rPr>
                <w:rFonts w:ascii="Arial Narrow" w:hAnsi="Arial Narrow" w:cs="Arial Narrow"/>
                <w:sz w:val="21"/>
                <w:szCs w:val="21"/>
              </w:rPr>
              <w:t xml:space="preserve">资金到位率  </w:t>
            </w:r>
          </w:p>
          <w:p>
            <w:pPr>
              <w:snapToGrid w:val="0"/>
              <w:ind w:left="420" w:hanging="420" w:hangingChars="200"/>
              <w:jc w:val="left"/>
              <w:rPr>
                <w:rFonts w:ascii="Arial Narrow" w:hAnsi="Arial Narrow" w:cs="Arial Narrow"/>
                <w:sz w:val="21"/>
                <w:szCs w:val="21"/>
              </w:rPr>
            </w:pPr>
            <w:r>
              <w:rPr>
                <w:rFonts w:ascii="Arial Narrow" w:hAnsi="Arial Narrow" w:cs="Arial Narrow"/>
                <w:sz w:val="21"/>
                <w:szCs w:val="21"/>
              </w:rPr>
              <w:t>（4分）</w:t>
            </w:r>
          </w:p>
        </w:tc>
        <w:tc>
          <w:tcPr>
            <w:tcW w:w="2540"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实际到位资金与计划投入资金的比率，用以反映和考核资金落实情况对项目实施的总体保障程度。</w:t>
            </w:r>
          </w:p>
        </w:tc>
        <w:tc>
          <w:tcPr>
            <w:tcW w:w="380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评价要点：</w:t>
            </w:r>
          </w:p>
          <w:p>
            <w:pPr>
              <w:snapToGrid w:val="0"/>
              <w:ind w:firstLine="0" w:firstLineChars="0"/>
              <w:jc w:val="left"/>
              <w:rPr>
                <w:rFonts w:ascii="Arial Narrow" w:hAnsi="Arial Narrow" w:cs="Arial Narrow"/>
                <w:sz w:val="21"/>
                <w:szCs w:val="21"/>
              </w:rPr>
            </w:pPr>
            <w:r>
              <w:rPr>
                <w:rFonts w:ascii="Arial Narrow" w:hAnsi="Arial Narrow" w:cs="Arial Narrow"/>
                <w:sz w:val="21"/>
                <w:szCs w:val="21"/>
              </w:rPr>
              <w:t>资金到位率=（实际到位资金/计划投入资金）×100%。</w:t>
            </w:r>
          </w:p>
          <w:p>
            <w:pPr>
              <w:snapToGrid w:val="0"/>
              <w:ind w:firstLine="0" w:firstLineChars="0"/>
              <w:jc w:val="left"/>
              <w:rPr>
                <w:rFonts w:ascii="Arial Narrow" w:hAnsi="Arial Narrow" w:cs="Arial Narrow"/>
                <w:sz w:val="21"/>
                <w:szCs w:val="21"/>
              </w:rPr>
            </w:pPr>
            <w:r>
              <w:rPr>
                <w:rFonts w:ascii="Arial Narrow" w:hAnsi="Arial Narrow" w:cs="Arial Narrow"/>
                <w:sz w:val="21"/>
                <w:szCs w:val="21"/>
              </w:rPr>
              <w:t>实际到位资金：一定时期（本年度或项目期）内实际落实到具体项目的资金。</w:t>
            </w:r>
          </w:p>
          <w:p>
            <w:pPr>
              <w:snapToGrid w:val="0"/>
              <w:ind w:firstLine="0" w:firstLineChars="0"/>
              <w:jc w:val="left"/>
              <w:rPr>
                <w:rFonts w:ascii="Arial Narrow" w:hAnsi="Arial Narrow" w:cs="Arial Narrow"/>
                <w:sz w:val="21"/>
                <w:szCs w:val="21"/>
              </w:rPr>
            </w:pPr>
            <w:r>
              <w:rPr>
                <w:rFonts w:ascii="Arial Narrow" w:hAnsi="Arial Narrow" w:cs="Arial Narrow"/>
                <w:sz w:val="21"/>
                <w:szCs w:val="21"/>
              </w:rPr>
              <w:t>计划投入资金：一定时期（本年度或项目期）内计划投入到具体项目的资金。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113" w:hRule="atLeast"/>
        </w:trPr>
        <w:tc>
          <w:tcPr>
            <w:tcW w:w="870" w:type="dxa"/>
            <w:vMerge w:val="continue"/>
            <w:vAlign w:val="center"/>
          </w:tcPr>
          <w:p>
            <w:pPr>
              <w:snapToGrid w:val="0"/>
              <w:ind w:firstLine="420"/>
              <w:jc w:val="center"/>
              <w:rPr>
                <w:rFonts w:ascii="Arial Narrow" w:hAnsi="Arial Narrow" w:cs="Arial Narrow"/>
                <w:sz w:val="21"/>
                <w:szCs w:val="21"/>
              </w:rPr>
            </w:pPr>
          </w:p>
        </w:tc>
        <w:tc>
          <w:tcPr>
            <w:tcW w:w="151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到位及时率   （4分）</w:t>
            </w:r>
          </w:p>
        </w:tc>
        <w:tc>
          <w:tcPr>
            <w:tcW w:w="2540"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及时到位资金与应到位资金的比率，用以反映和考核项目资金落实的及时性程度。</w:t>
            </w:r>
          </w:p>
        </w:tc>
        <w:tc>
          <w:tcPr>
            <w:tcW w:w="380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到位及时率=（及时到位资金/应到位资金）×100%。</w:t>
            </w:r>
            <w:r>
              <w:rPr>
                <w:rFonts w:ascii="Arial Narrow" w:hAnsi="Arial Narrow" w:cs="Arial Narrow"/>
                <w:sz w:val="21"/>
                <w:szCs w:val="21"/>
              </w:rPr>
              <w:br w:type="textWrapping"/>
            </w:r>
            <w:r>
              <w:rPr>
                <w:rFonts w:ascii="Arial Narrow" w:hAnsi="Arial Narrow" w:cs="Arial Narrow"/>
                <w:sz w:val="21"/>
                <w:szCs w:val="21"/>
              </w:rPr>
              <w:t>及时到位资金：截至规定时点实际落实到具体项目的资金。</w:t>
            </w:r>
            <w:r>
              <w:rPr>
                <w:rFonts w:ascii="Arial Narrow" w:hAnsi="Arial Narrow" w:cs="Arial Narrow"/>
                <w:sz w:val="21"/>
                <w:szCs w:val="21"/>
              </w:rPr>
              <w:br w:type="textWrapping"/>
            </w:r>
            <w:r>
              <w:rPr>
                <w:rFonts w:ascii="Arial Narrow" w:hAnsi="Arial Narrow" w:cs="Arial Narrow"/>
                <w:sz w:val="21"/>
                <w:szCs w:val="21"/>
              </w:rPr>
              <w:t>应到位资金：按照合同或项目进度要求截至规定时点应落实到具体项目的资金。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60" w:hRule="atLeast"/>
        </w:trPr>
        <w:tc>
          <w:tcPr>
            <w:tcW w:w="870" w:type="dxa"/>
            <w:vMerge w:val="restart"/>
            <w:tcBorders>
              <w:top w:val="single" w:color="auto" w:sz="4" w:space="0"/>
            </w:tcBorders>
            <w:vAlign w:val="center"/>
          </w:tcPr>
          <w:p>
            <w:pPr>
              <w:snapToGrid w:val="0"/>
              <w:ind w:firstLine="0" w:firstLineChars="0"/>
              <w:jc w:val="center"/>
              <w:rPr>
                <w:rFonts w:ascii="Arial Narrow" w:hAnsi="Arial Narrow" w:cs="Arial Narrow"/>
                <w:sz w:val="21"/>
                <w:szCs w:val="21"/>
              </w:rPr>
            </w:pPr>
            <w:r>
              <w:rPr>
                <w:rFonts w:ascii="Arial Narrow" w:hAnsi="Arial Narrow" w:cs="Arial Narrow"/>
                <w:sz w:val="21"/>
                <w:szCs w:val="21"/>
              </w:rPr>
              <w:t>业务</w:t>
            </w:r>
          </w:p>
          <w:p>
            <w:pPr>
              <w:snapToGrid w:val="0"/>
              <w:ind w:firstLine="0" w:firstLineChars="0"/>
              <w:jc w:val="center"/>
              <w:rPr>
                <w:rFonts w:ascii="Arial Narrow" w:hAnsi="Arial Narrow" w:cs="Arial Narrow"/>
                <w:sz w:val="21"/>
                <w:szCs w:val="21"/>
              </w:rPr>
            </w:pPr>
            <w:r>
              <w:rPr>
                <w:rFonts w:ascii="Arial Narrow" w:hAnsi="Arial Narrow" w:cs="Arial Narrow"/>
                <w:sz w:val="21"/>
                <w:szCs w:val="21"/>
              </w:rPr>
              <w:t>管理</w:t>
            </w:r>
          </w:p>
        </w:tc>
        <w:tc>
          <w:tcPr>
            <w:tcW w:w="151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制度执行有效性（4分）</w:t>
            </w:r>
          </w:p>
        </w:tc>
        <w:tc>
          <w:tcPr>
            <w:tcW w:w="2540"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项目实施是否符合相关业务管理规定，用以反映和考核业务管理制度的有效执行情况。</w:t>
            </w:r>
          </w:p>
        </w:tc>
        <w:tc>
          <w:tcPr>
            <w:tcW w:w="3805" w:type="dxa"/>
            <w:vAlign w:val="center"/>
          </w:tcPr>
          <w:p>
            <w:pPr>
              <w:snapToGrid w:val="0"/>
              <w:ind w:firstLine="0" w:firstLineChars="0"/>
              <w:rPr>
                <w:rFonts w:ascii="Arial Narrow" w:hAnsi="Arial Narrow" w:cs="Arial Narrow"/>
                <w:sz w:val="21"/>
                <w:szCs w:val="21"/>
              </w:rPr>
            </w:pPr>
            <w:r>
              <w:rPr>
                <w:rFonts w:ascii="Arial Narrow" w:hAnsi="Arial Narrow" w:cs="Arial Narrow"/>
                <w:sz w:val="21"/>
                <w:szCs w:val="21"/>
              </w:rPr>
              <w:t>评价要点：</w:t>
            </w:r>
          </w:p>
          <w:p>
            <w:pPr>
              <w:snapToGrid w:val="0"/>
              <w:ind w:firstLine="0" w:firstLineChars="0"/>
              <w:jc w:val="left"/>
              <w:rPr>
                <w:rFonts w:ascii="Arial Narrow" w:hAnsi="Arial Narrow" w:cs="Arial Narrow"/>
                <w:sz w:val="21"/>
                <w:szCs w:val="21"/>
              </w:rPr>
            </w:pPr>
            <w:r>
              <w:rPr>
                <w:rFonts w:ascii="Arial Narrow" w:hAnsi="Arial Narrow" w:cs="Arial Narrow"/>
                <w:sz w:val="21"/>
                <w:szCs w:val="21"/>
              </w:rPr>
              <w:t>总项目：</w:t>
            </w:r>
          </w:p>
          <w:p>
            <w:pPr>
              <w:snapToGrid w:val="0"/>
              <w:ind w:firstLine="0" w:firstLineChars="0"/>
              <w:jc w:val="left"/>
              <w:rPr>
                <w:rFonts w:ascii="Arial Narrow" w:hAnsi="Arial Narrow" w:cs="Arial Narrow"/>
                <w:sz w:val="21"/>
                <w:szCs w:val="21"/>
              </w:rPr>
            </w:pPr>
            <w:r>
              <w:rPr>
                <w:rFonts w:hint="eastAsia" w:ascii="宋体" w:hAnsi="宋体" w:eastAsia="宋体" w:cs="宋体"/>
                <w:sz w:val="21"/>
                <w:szCs w:val="21"/>
              </w:rPr>
              <w:t>①</w:t>
            </w:r>
            <w:r>
              <w:rPr>
                <w:rFonts w:ascii="Arial Narrow" w:hAnsi="Arial Narrow" w:cs="Arial Narrow"/>
                <w:sz w:val="21"/>
                <w:szCs w:val="21"/>
              </w:rPr>
              <w:t>是否按项目管理制度进行管理；</w:t>
            </w:r>
          </w:p>
          <w:p>
            <w:pPr>
              <w:snapToGrid w:val="0"/>
              <w:ind w:firstLine="0" w:firstLineChars="0"/>
              <w:jc w:val="left"/>
              <w:rPr>
                <w:rFonts w:ascii="Arial Narrow" w:hAnsi="Arial Narrow" w:cs="Arial Narrow"/>
                <w:sz w:val="21"/>
                <w:szCs w:val="21"/>
              </w:rPr>
            </w:pPr>
            <w:r>
              <w:rPr>
                <w:rFonts w:ascii="Arial Narrow" w:hAnsi="Arial Narrow" w:cs="Arial Narrow"/>
                <w:sz w:val="21"/>
                <w:szCs w:val="21"/>
              </w:rPr>
              <w:t>具体项目：</w:t>
            </w:r>
          </w:p>
          <w:p>
            <w:pPr>
              <w:snapToGrid w:val="0"/>
              <w:ind w:firstLine="0" w:firstLineChars="0"/>
              <w:jc w:val="left"/>
              <w:rPr>
                <w:rFonts w:ascii="Arial Narrow" w:hAnsi="Arial Narrow" w:cs="Arial Narrow"/>
                <w:sz w:val="21"/>
                <w:szCs w:val="21"/>
              </w:rPr>
            </w:pPr>
            <w:r>
              <w:rPr>
                <w:rFonts w:hint="eastAsia" w:ascii="宋体" w:hAnsi="宋体" w:eastAsia="宋体" w:cs="宋体"/>
                <w:sz w:val="21"/>
                <w:szCs w:val="21"/>
              </w:rPr>
              <w:t>①</w:t>
            </w:r>
            <w:r>
              <w:rPr>
                <w:rFonts w:ascii="Arial Narrow" w:hAnsi="Arial Narrow" w:cs="Arial Narrow"/>
                <w:sz w:val="21"/>
                <w:szCs w:val="21"/>
              </w:rPr>
              <w:t>是否遵守相关法律法规和项目管理规定；</w:t>
            </w:r>
          </w:p>
          <w:p>
            <w:pPr>
              <w:snapToGrid w:val="0"/>
              <w:ind w:firstLine="0" w:firstLineChars="0"/>
              <w:jc w:val="left"/>
              <w:rPr>
                <w:rFonts w:ascii="Arial Narrow" w:hAnsi="Arial Narrow" w:cs="Arial Narrow"/>
                <w:sz w:val="21"/>
                <w:szCs w:val="21"/>
              </w:rPr>
            </w:pPr>
            <w:r>
              <w:rPr>
                <w:rFonts w:hint="eastAsia" w:ascii="宋体" w:hAnsi="宋体" w:eastAsia="宋体" w:cs="宋体"/>
                <w:sz w:val="21"/>
                <w:szCs w:val="21"/>
              </w:rPr>
              <w:t>②</w:t>
            </w:r>
            <w:r>
              <w:rPr>
                <w:rFonts w:ascii="Arial Narrow" w:hAnsi="Arial Narrow" w:cs="Arial Narrow"/>
                <w:sz w:val="21"/>
                <w:szCs w:val="21"/>
              </w:rPr>
              <w:t>项目调整及支出调整手续是否完备；</w:t>
            </w:r>
          </w:p>
          <w:p>
            <w:pPr>
              <w:snapToGrid w:val="0"/>
              <w:ind w:firstLine="0" w:firstLineChars="0"/>
              <w:jc w:val="left"/>
              <w:rPr>
                <w:rFonts w:ascii="Arial Narrow" w:hAnsi="Arial Narrow" w:cs="Arial Narrow"/>
                <w:sz w:val="21"/>
                <w:szCs w:val="21"/>
              </w:rPr>
            </w:pPr>
            <w:r>
              <w:rPr>
                <w:rFonts w:hint="eastAsia" w:ascii="宋体" w:hAnsi="宋体" w:eastAsia="宋体" w:cs="宋体"/>
                <w:sz w:val="21"/>
                <w:szCs w:val="21"/>
              </w:rPr>
              <w:t>③</w:t>
            </w:r>
            <w:r>
              <w:rPr>
                <w:rFonts w:ascii="Arial Narrow" w:hAnsi="Arial Narrow" w:cs="Arial Narrow"/>
                <w:sz w:val="21"/>
                <w:szCs w:val="21"/>
              </w:rPr>
              <w:t>是否严格执行项目管理程序及招投标制、监理制、合同制、项目公示制、政府采购制等（针对具体项目对应评价）；</w:t>
            </w:r>
          </w:p>
          <w:p>
            <w:pPr>
              <w:snapToGrid w:val="0"/>
              <w:ind w:firstLine="0" w:firstLineChars="0"/>
              <w:jc w:val="left"/>
              <w:rPr>
                <w:rFonts w:ascii="Arial Narrow" w:hAnsi="Arial Narrow" w:cs="Arial Narrow"/>
                <w:sz w:val="21"/>
                <w:szCs w:val="21"/>
              </w:rPr>
            </w:pPr>
            <w:r>
              <w:rPr>
                <w:rFonts w:hint="eastAsia" w:ascii="宋体" w:hAnsi="宋体" w:eastAsia="宋体" w:cs="宋体"/>
                <w:sz w:val="21"/>
                <w:szCs w:val="21"/>
              </w:rPr>
              <w:t>④</w:t>
            </w:r>
            <w:r>
              <w:rPr>
                <w:rFonts w:ascii="Arial Narrow" w:hAnsi="Arial Narrow" w:cs="Arial Narrow"/>
                <w:sz w:val="21"/>
                <w:szCs w:val="21"/>
              </w:rPr>
              <w:t>项目合同书、验收报告、技术鉴定等资料是齐全并及时归档；</w:t>
            </w:r>
          </w:p>
          <w:p>
            <w:pPr>
              <w:snapToGrid w:val="0"/>
              <w:ind w:firstLine="0" w:firstLineChars="0"/>
              <w:jc w:val="left"/>
              <w:rPr>
                <w:rFonts w:ascii="Arial Narrow" w:hAnsi="Arial Narrow" w:cs="Arial Narrow"/>
                <w:sz w:val="21"/>
                <w:szCs w:val="21"/>
              </w:rPr>
            </w:pPr>
            <w:r>
              <w:rPr>
                <w:rFonts w:hint="eastAsia" w:ascii="宋体" w:hAnsi="宋体" w:eastAsia="宋体" w:cs="宋体"/>
                <w:sz w:val="21"/>
                <w:szCs w:val="21"/>
              </w:rPr>
              <w:t>⑤</w:t>
            </w:r>
            <w:r>
              <w:rPr>
                <w:rFonts w:ascii="Arial Narrow" w:hAnsi="Arial Narrow" w:cs="Arial Narrow"/>
                <w:sz w:val="21"/>
                <w:szCs w:val="21"/>
              </w:rPr>
              <w:t>项目实施的人员条件、场地设备、信息支撑等是否落实到位。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116" w:hRule="atLeast"/>
        </w:trPr>
        <w:tc>
          <w:tcPr>
            <w:tcW w:w="870" w:type="dxa"/>
            <w:vMerge w:val="continue"/>
            <w:vAlign w:val="center"/>
          </w:tcPr>
          <w:p>
            <w:pPr>
              <w:snapToGrid w:val="0"/>
              <w:ind w:firstLine="420"/>
              <w:jc w:val="left"/>
              <w:rPr>
                <w:rFonts w:ascii="Arial Narrow" w:hAnsi="Arial Narrow" w:cs="Arial Narrow"/>
                <w:sz w:val="21"/>
                <w:szCs w:val="21"/>
              </w:rPr>
            </w:pPr>
          </w:p>
        </w:tc>
        <w:tc>
          <w:tcPr>
            <w:tcW w:w="151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项目质量可控性</w:t>
            </w:r>
          </w:p>
          <w:p>
            <w:pPr>
              <w:snapToGrid w:val="0"/>
              <w:ind w:firstLine="0" w:firstLineChars="0"/>
              <w:jc w:val="left"/>
              <w:rPr>
                <w:rFonts w:ascii="Arial Narrow" w:hAnsi="Arial Narrow" w:cs="Arial Narrow"/>
                <w:sz w:val="21"/>
                <w:szCs w:val="21"/>
              </w:rPr>
            </w:pPr>
            <w:r>
              <w:rPr>
                <w:rFonts w:ascii="Arial Narrow" w:hAnsi="Arial Narrow" w:cs="Arial Narrow"/>
                <w:sz w:val="21"/>
                <w:szCs w:val="21"/>
              </w:rPr>
              <w:t>（4分）</w:t>
            </w:r>
          </w:p>
        </w:tc>
        <w:tc>
          <w:tcPr>
            <w:tcW w:w="2540"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项目实施单位是否为达到项目质量要求而采取了必需的措施,用以反映和考核项目实施单位对项目质量的控制情况。</w:t>
            </w:r>
          </w:p>
        </w:tc>
        <w:tc>
          <w:tcPr>
            <w:tcW w:w="380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评价要点：</w:t>
            </w:r>
          </w:p>
          <w:p>
            <w:pPr>
              <w:snapToGrid w:val="0"/>
              <w:ind w:firstLine="0" w:firstLineChars="0"/>
              <w:jc w:val="left"/>
              <w:rPr>
                <w:rFonts w:ascii="Arial Narrow" w:hAnsi="Arial Narrow" w:cs="Arial Narrow"/>
                <w:sz w:val="21"/>
                <w:szCs w:val="21"/>
              </w:rPr>
            </w:pPr>
            <w:r>
              <w:rPr>
                <w:rFonts w:hint="eastAsia" w:ascii="宋体" w:hAnsi="宋体" w:eastAsia="宋体" w:cs="宋体"/>
                <w:sz w:val="21"/>
                <w:szCs w:val="21"/>
              </w:rPr>
              <w:t>①</w:t>
            </w:r>
            <w:r>
              <w:rPr>
                <w:rFonts w:ascii="Arial Narrow" w:hAnsi="Arial Narrow" w:cs="Arial Narrow"/>
                <w:sz w:val="21"/>
                <w:szCs w:val="21"/>
              </w:rPr>
              <w:t>是否已制定或具有相应的项目质量要求或标准；</w:t>
            </w:r>
          </w:p>
          <w:p>
            <w:pPr>
              <w:snapToGrid w:val="0"/>
              <w:ind w:firstLine="0" w:firstLineChars="0"/>
              <w:jc w:val="left"/>
              <w:rPr>
                <w:rFonts w:ascii="Arial Narrow" w:hAnsi="Arial Narrow" w:cs="Arial Narrow"/>
                <w:sz w:val="21"/>
                <w:szCs w:val="21"/>
              </w:rPr>
            </w:pPr>
            <w:r>
              <w:rPr>
                <w:rFonts w:hint="eastAsia" w:ascii="宋体" w:hAnsi="宋体" w:eastAsia="宋体" w:cs="宋体"/>
                <w:sz w:val="21"/>
                <w:szCs w:val="21"/>
              </w:rPr>
              <w:t>②</w:t>
            </w:r>
            <w:r>
              <w:rPr>
                <w:rFonts w:ascii="Arial Narrow" w:hAnsi="Arial Narrow" w:cs="Arial Narrow"/>
                <w:sz w:val="21"/>
                <w:szCs w:val="21"/>
              </w:rPr>
              <w:t>是否采取了相应的项目质量检查、验收等必需的控制措施或手段。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986" w:hRule="atLeast"/>
        </w:trPr>
        <w:tc>
          <w:tcPr>
            <w:tcW w:w="870" w:type="dxa"/>
            <w:vMerge w:val="continue"/>
            <w:tcBorders>
              <w:bottom w:val="single" w:color="auto" w:sz="4" w:space="0"/>
            </w:tcBorders>
            <w:vAlign w:val="center"/>
          </w:tcPr>
          <w:p>
            <w:pPr>
              <w:snapToGrid w:val="0"/>
              <w:ind w:firstLine="420"/>
              <w:jc w:val="left"/>
              <w:rPr>
                <w:rFonts w:ascii="Arial Narrow" w:hAnsi="Arial Narrow" w:cs="Arial Narrow"/>
                <w:sz w:val="21"/>
                <w:szCs w:val="21"/>
              </w:rPr>
            </w:pPr>
          </w:p>
        </w:tc>
        <w:tc>
          <w:tcPr>
            <w:tcW w:w="151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项目档案完整性（3分）</w:t>
            </w:r>
          </w:p>
        </w:tc>
        <w:tc>
          <w:tcPr>
            <w:tcW w:w="2540"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工作台账、工作统计表、考勤表、合同及其他档案资料是否齐全，用以反映和考核项目实施单位档案管理的完整性</w:t>
            </w:r>
          </w:p>
        </w:tc>
        <w:tc>
          <w:tcPr>
            <w:tcW w:w="380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评价要点：</w:t>
            </w:r>
          </w:p>
          <w:p>
            <w:pPr>
              <w:snapToGrid w:val="0"/>
              <w:ind w:firstLine="0" w:firstLineChars="0"/>
              <w:jc w:val="left"/>
              <w:rPr>
                <w:rFonts w:ascii="Arial Narrow" w:hAnsi="Arial Narrow" w:cs="Arial Narrow"/>
                <w:sz w:val="21"/>
                <w:szCs w:val="21"/>
              </w:rPr>
            </w:pPr>
            <w:r>
              <w:rPr>
                <w:rFonts w:ascii="Arial Narrow" w:hAnsi="Arial Narrow" w:cs="Arial Narrow"/>
                <w:sz w:val="21"/>
                <w:szCs w:val="21"/>
              </w:rPr>
              <w:t>工作台账、工作统计表、考勤表、合同及其他档案资料是否齐全，用以反映和考核项目实施单位档案管理的完整性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360" w:hRule="atLeast"/>
        </w:trPr>
        <w:tc>
          <w:tcPr>
            <w:tcW w:w="870" w:type="dxa"/>
            <w:vMerge w:val="restart"/>
            <w:tcBorders>
              <w:top w:val="single" w:color="auto" w:sz="4" w:space="0"/>
              <w:bottom w:val="nil"/>
            </w:tcBorders>
            <w:vAlign w:val="center"/>
          </w:tcPr>
          <w:p>
            <w:pPr>
              <w:snapToGrid w:val="0"/>
              <w:ind w:firstLine="0" w:firstLineChars="0"/>
              <w:jc w:val="center"/>
              <w:rPr>
                <w:rFonts w:ascii="Arial Narrow" w:hAnsi="Arial Narrow" w:cs="Arial Narrow"/>
                <w:sz w:val="21"/>
                <w:szCs w:val="21"/>
              </w:rPr>
            </w:pPr>
            <w:r>
              <w:rPr>
                <w:rFonts w:ascii="Arial Narrow" w:hAnsi="Arial Narrow" w:cs="Arial Narrow"/>
                <w:sz w:val="21"/>
                <w:szCs w:val="21"/>
              </w:rPr>
              <w:t>财务</w:t>
            </w:r>
          </w:p>
          <w:p>
            <w:pPr>
              <w:snapToGrid w:val="0"/>
              <w:ind w:firstLine="0" w:firstLineChars="0"/>
              <w:jc w:val="center"/>
              <w:rPr>
                <w:rFonts w:ascii="Arial Narrow" w:hAnsi="Arial Narrow" w:cs="Arial Narrow"/>
                <w:sz w:val="21"/>
                <w:szCs w:val="21"/>
              </w:rPr>
            </w:pPr>
            <w:r>
              <w:rPr>
                <w:rFonts w:ascii="Arial Narrow" w:hAnsi="Arial Narrow" w:cs="Arial Narrow"/>
                <w:sz w:val="21"/>
                <w:szCs w:val="21"/>
              </w:rPr>
              <w:t>管理</w:t>
            </w:r>
          </w:p>
        </w:tc>
        <w:tc>
          <w:tcPr>
            <w:tcW w:w="151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财务制度健全性</w:t>
            </w:r>
          </w:p>
          <w:p>
            <w:pPr>
              <w:snapToGrid w:val="0"/>
              <w:ind w:firstLine="0" w:firstLineChars="0"/>
              <w:jc w:val="left"/>
              <w:rPr>
                <w:rFonts w:ascii="Arial Narrow" w:hAnsi="Arial Narrow" w:cs="Arial Narrow"/>
                <w:sz w:val="21"/>
                <w:szCs w:val="21"/>
              </w:rPr>
            </w:pPr>
            <w:r>
              <w:rPr>
                <w:rFonts w:ascii="Arial Narrow" w:hAnsi="Arial Narrow" w:cs="Arial Narrow"/>
                <w:sz w:val="21"/>
                <w:szCs w:val="21"/>
              </w:rPr>
              <w:t>（4分）</w:t>
            </w:r>
          </w:p>
        </w:tc>
        <w:tc>
          <w:tcPr>
            <w:tcW w:w="2540"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项目实施单位的财务制度是否健全，用以反映和考核财务管理制度对资金规范、安全运行的保障情况。</w:t>
            </w:r>
          </w:p>
        </w:tc>
        <w:tc>
          <w:tcPr>
            <w:tcW w:w="380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评价要点：</w:t>
            </w:r>
            <w:r>
              <w:rPr>
                <w:rFonts w:ascii="Arial Narrow" w:hAnsi="Arial Narrow" w:cs="Arial Narrow"/>
                <w:sz w:val="21"/>
                <w:szCs w:val="21"/>
              </w:rPr>
              <w:br w:type="textWrapping"/>
            </w:r>
            <w:r>
              <w:rPr>
                <w:rFonts w:hint="eastAsia" w:ascii="宋体" w:hAnsi="宋体" w:eastAsia="宋体" w:cs="宋体"/>
                <w:sz w:val="21"/>
                <w:szCs w:val="21"/>
              </w:rPr>
              <w:t>①</w:t>
            </w:r>
            <w:r>
              <w:rPr>
                <w:rFonts w:ascii="Arial Narrow" w:hAnsi="Arial Narrow" w:cs="Arial Narrow"/>
                <w:sz w:val="21"/>
                <w:szCs w:val="21"/>
              </w:rPr>
              <w:t>是否已制定或具有相应的项目资金管理办法；</w:t>
            </w:r>
            <w:r>
              <w:rPr>
                <w:rFonts w:ascii="Arial Narrow" w:hAnsi="Arial Narrow" w:cs="Arial Narrow"/>
                <w:sz w:val="21"/>
                <w:szCs w:val="21"/>
              </w:rPr>
              <w:br w:type="textWrapping"/>
            </w:r>
            <w:r>
              <w:rPr>
                <w:rFonts w:hint="eastAsia" w:ascii="宋体" w:hAnsi="宋体" w:eastAsia="宋体" w:cs="宋体"/>
                <w:sz w:val="21"/>
                <w:szCs w:val="21"/>
              </w:rPr>
              <w:t>②</w:t>
            </w:r>
            <w:r>
              <w:rPr>
                <w:rFonts w:ascii="Arial Narrow" w:hAnsi="Arial Narrow" w:cs="Arial Narrow"/>
                <w:sz w:val="21"/>
                <w:szCs w:val="21"/>
              </w:rPr>
              <w:t>项目资金管理办法是否符合相关财务会计制度的规定。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30" w:hRule="atLeast"/>
        </w:trPr>
        <w:tc>
          <w:tcPr>
            <w:tcW w:w="870" w:type="dxa"/>
            <w:vMerge w:val="continue"/>
            <w:tcBorders>
              <w:top w:val="nil"/>
              <w:bottom w:val="nil"/>
            </w:tcBorders>
            <w:vAlign w:val="center"/>
          </w:tcPr>
          <w:p>
            <w:pPr>
              <w:snapToGrid w:val="0"/>
              <w:ind w:firstLine="420"/>
              <w:jc w:val="left"/>
              <w:rPr>
                <w:rFonts w:ascii="Arial Narrow" w:hAnsi="Arial Narrow" w:cs="Arial Narrow"/>
                <w:sz w:val="21"/>
                <w:szCs w:val="21"/>
              </w:rPr>
            </w:pPr>
          </w:p>
        </w:tc>
        <w:tc>
          <w:tcPr>
            <w:tcW w:w="151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资金使用合规性</w:t>
            </w:r>
          </w:p>
          <w:p>
            <w:pPr>
              <w:snapToGrid w:val="0"/>
              <w:ind w:firstLine="420"/>
              <w:jc w:val="left"/>
              <w:rPr>
                <w:rFonts w:ascii="Arial Narrow" w:hAnsi="Arial Narrow" w:cs="Arial Narrow"/>
                <w:sz w:val="21"/>
                <w:szCs w:val="21"/>
              </w:rPr>
            </w:pPr>
            <w:r>
              <w:rPr>
                <w:rFonts w:ascii="Arial Narrow" w:hAnsi="Arial Narrow" w:cs="Arial Narrow"/>
                <w:sz w:val="21"/>
                <w:szCs w:val="21"/>
              </w:rPr>
              <w:t>（3分）</w:t>
            </w:r>
          </w:p>
        </w:tc>
        <w:tc>
          <w:tcPr>
            <w:tcW w:w="2540"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项目资金使用是否符合相关的财务管理制度规定，用以反映和考核项目资金的规范运行情况。</w:t>
            </w:r>
          </w:p>
        </w:tc>
        <w:tc>
          <w:tcPr>
            <w:tcW w:w="380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评价要点：</w:t>
            </w:r>
            <w:r>
              <w:rPr>
                <w:rFonts w:ascii="Arial Narrow" w:hAnsi="Arial Narrow" w:cs="Arial Narrow"/>
                <w:sz w:val="21"/>
                <w:szCs w:val="21"/>
              </w:rPr>
              <w:br w:type="textWrapping"/>
            </w:r>
            <w:r>
              <w:rPr>
                <w:rFonts w:hint="eastAsia" w:ascii="宋体" w:hAnsi="宋体" w:eastAsia="宋体" w:cs="宋体"/>
                <w:sz w:val="21"/>
                <w:szCs w:val="21"/>
              </w:rPr>
              <w:t>①</w:t>
            </w:r>
            <w:r>
              <w:rPr>
                <w:rFonts w:ascii="Arial Narrow" w:hAnsi="Arial Narrow" w:cs="Arial Narrow"/>
                <w:sz w:val="21"/>
                <w:szCs w:val="21"/>
              </w:rPr>
              <w:t>是否符合国家财经法规和财务管理制度以及有关专项资金管理办法的规定；</w:t>
            </w:r>
            <w:r>
              <w:rPr>
                <w:rFonts w:ascii="Arial Narrow" w:hAnsi="Arial Narrow" w:cs="Arial Narrow"/>
                <w:sz w:val="21"/>
                <w:szCs w:val="21"/>
              </w:rPr>
              <w:br w:type="textWrapping"/>
            </w:r>
            <w:r>
              <w:rPr>
                <w:rFonts w:hint="eastAsia" w:ascii="宋体" w:hAnsi="宋体" w:eastAsia="宋体" w:cs="宋体"/>
                <w:sz w:val="21"/>
                <w:szCs w:val="21"/>
              </w:rPr>
              <w:t>②</w:t>
            </w:r>
            <w:r>
              <w:rPr>
                <w:rFonts w:ascii="Arial Narrow" w:hAnsi="Arial Narrow" w:cs="Arial Narrow"/>
                <w:sz w:val="21"/>
                <w:szCs w:val="21"/>
              </w:rPr>
              <w:t>是否符合项目预算批复或合同规定的用途；</w:t>
            </w:r>
            <w:r>
              <w:rPr>
                <w:rFonts w:ascii="Arial Narrow" w:hAnsi="Arial Narrow" w:cs="Arial Narrow"/>
                <w:sz w:val="21"/>
                <w:szCs w:val="21"/>
              </w:rPr>
              <w:br w:type="textWrapping"/>
            </w:r>
            <w:r>
              <w:rPr>
                <w:rFonts w:hint="eastAsia" w:ascii="宋体" w:hAnsi="宋体" w:eastAsia="宋体" w:cs="宋体"/>
                <w:sz w:val="21"/>
                <w:szCs w:val="21"/>
              </w:rPr>
              <w:t>③</w:t>
            </w:r>
            <w:r>
              <w:rPr>
                <w:rFonts w:ascii="Arial Narrow" w:hAnsi="Arial Narrow" w:cs="Arial Narrow"/>
                <w:sz w:val="21"/>
                <w:szCs w:val="21"/>
              </w:rPr>
              <w:t>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823" w:hRule="atLeast"/>
        </w:trPr>
        <w:tc>
          <w:tcPr>
            <w:tcW w:w="870" w:type="dxa"/>
            <w:vMerge w:val="continue"/>
            <w:tcBorders>
              <w:top w:val="nil"/>
              <w:bottom w:val="single" w:color="auto" w:sz="4" w:space="0"/>
            </w:tcBorders>
            <w:vAlign w:val="center"/>
          </w:tcPr>
          <w:p>
            <w:pPr>
              <w:snapToGrid w:val="0"/>
              <w:ind w:firstLine="420"/>
              <w:jc w:val="left"/>
              <w:rPr>
                <w:rFonts w:ascii="Arial Narrow" w:hAnsi="Arial Narrow" w:cs="Arial Narrow"/>
                <w:sz w:val="21"/>
                <w:szCs w:val="21"/>
              </w:rPr>
            </w:pPr>
          </w:p>
        </w:tc>
        <w:tc>
          <w:tcPr>
            <w:tcW w:w="151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财务监控有效性</w:t>
            </w:r>
          </w:p>
          <w:p>
            <w:pPr>
              <w:snapToGrid w:val="0"/>
              <w:ind w:firstLine="0" w:firstLineChars="0"/>
              <w:jc w:val="left"/>
              <w:rPr>
                <w:rFonts w:ascii="Arial Narrow" w:hAnsi="Arial Narrow" w:cs="Arial Narrow"/>
                <w:sz w:val="21"/>
                <w:szCs w:val="21"/>
              </w:rPr>
            </w:pPr>
            <w:r>
              <w:rPr>
                <w:rFonts w:ascii="Arial Narrow" w:hAnsi="Arial Narrow" w:cs="Arial Narrow"/>
                <w:sz w:val="21"/>
                <w:szCs w:val="21"/>
              </w:rPr>
              <w:t>（4分）</w:t>
            </w:r>
          </w:p>
        </w:tc>
        <w:tc>
          <w:tcPr>
            <w:tcW w:w="2540"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项目实施单位是否为保障资金的安全、规范运行而采取了必要的监控措施，用以反映和考核项目实施单位对资金运行的控制情况。</w:t>
            </w:r>
          </w:p>
        </w:tc>
        <w:tc>
          <w:tcPr>
            <w:tcW w:w="380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评价要点：</w:t>
            </w:r>
          </w:p>
          <w:p>
            <w:pPr>
              <w:snapToGrid w:val="0"/>
              <w:ind w:firstLine="0" w:firstLineChars="0"/>
              <w:jc w:val="left"/>
              <w:rPr>
                <w:rFonts w:ascii="Arial Narrow" w:hAnsi="Arial Narrow" w:cs="Arial Narrow"/>
                <w:sz w:val="21"/>
                <w:szCs w:val="21"/>
              </w:rPr>
            </w:pPr>
            <w:r>
              <w:rPr>
                <w:rFonts w:hint="eastAsia" w:ascii="宋体" w:hAnsi="宋体" w:eastAsia="宋体" w:cs="宋体"/>
                <w:sz w:val="21"/>
                <w:szCs w:val="21"/>
              </w:rPr>
              <w:t>①</w:t>
            </w:r>
            <w:r>
              <w:rPr>
                <w:rFonts w:ascii="Arial Narrow" w:hAnsi="Arial Narrow" w:cs="Arial Narrow"/>
                <w:sz w:val="21"/>
                <w:szCs w:val="21"/>
              </w:rPr>
              <w:t>资金的拨付是否有完整的审批程序和手续；</w:t>
            </w:r>
          </w:p>
          <w:p>
            <w:pPr>
              <w:snapToGrid w:val="0"/>
              <w:ind w:firstLine="0" w:firstLineChars="0"/>
              <w:jc w:val="left"/>
              <w:rPr>
                <w:rFonts w:ascii="Arial Narrow" w:hAnsi="Arial Narrow" w:cs="Arial Narrow"/>
                <w:sz w:val="21"/>
                <w:szCs w:val="21"/>
              </w:rPr>
            </w:pPr>
            <w:r>
              <w:rPr>
                <w:rFonts w:hint="eastAsia" w:ascii="宋体" w:hAnsi="宋体" w:eastAsia="宋体" w:cs="宋体"/>
                <w:sz w:val="21"/>
                <w:szCs w:val="21"/>
              </w:rPr>
              <w:t>②</w:t>
            </w:r>
            <w:r>
              <w:rPr>
                <w:rFonts w:ascii="Arial Narrow" w:hAnsi="Arial Narrow" w:cs="Arial Narrow"/>
                <w:sz w:val="21"/>
                <w:szCs w:val="21"/>
              </w:rPr>
              <w:t>项目的重大开支是否经过集体决策；</w:t>
            </w:r>
          </w:p>
          <w:p>
            <w:pPr>
              <w:snapToGrid w:val="0"/>
              <w:ind w:firstLine="0" w:firstLineChars="0"/>
              <w:jc w:val="left"/>
              <w:rPr>
                <w:rFonts w:ascii="Arial Narrow" w:hAnsi="Arial Narrow" w:cs="Arial Narrow"/>
                <w:sz w:val="21"/>
                <w:szCs w:val="21"/>
              </w:rPr>
            </w:pPr>
            <w:r>
              <w:rPr>
                <w:rFonts w:hint="eastAsia" w:ascii="宋体" w:hAnsi="宋体" w:eastAsia="宋体" w:cs="宋体"/>
                <w:sz w:val="21"/>
                <w:szCs w:val="21"/>
              </w:rPr>
              <w:t>③</w:t>
            </w:r>
            <w:r>
              <w:rPr>
                <w:rFonts w:ascii="Arial Narrow" w:hAnsi="Arial Narrow" w:cs="Arial Narrow"/>
                <w:sz w:val="21"/>
                <w:szCs w:val="21"/>
              </w:rPr>
              <w:t>项目资金是否进行专款专账核算。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17" w:hRule="atLeast"/>
        </w:trPr>
        <w:tc>
          <w:tcPr>
            <w:tcW w:w="870" w:type="dxa"/>
            <w:vMerge w:val="restart"/>
            <w:tcBorders>
              <w:top w:val="single" w:color="auto"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w:t>
            </w:r>
          </w:p>
          <w:p>
            <w:pPr>
              <w:snapToGrid w:val="0"/>
              <w:ind w:firstLine="0" w:firstLineChars="0"/>
              <w:jc w:val="left"/>
              <w:rPr>
                <w:rFonts w:ascii="Arial Narrow" w:hAnsi="Arial Narrow" w:cs="Arial Narrow"/>
                <w:sz w:val="21"/>
                <w:szCs w:val="21"/>
              </w:rPr>
            </w:pPr>
            <w:r>
              <w:rPr>
                <w:rFonts w:ascii="Arial Narrow" w:hAnsi="Arial Narrow" w:cs="Arial Narrow"/>
                <w:sz w:val="21"/>
                <w:szCs w:val="21"/>
              </w:rPr>
              <w:t>产出</w:t>
            </w:r>
          </w:p>
        </w:tc>
        <w:tc>
          <w:tcPr>
            <w:tcW w:w="151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税收完成率</w:t>
            </w:r>
          </w:p>
          <w:p>
            <w:pPr>
              <w:snapToGrid w:val="0"/>
              <w:ind w:firstLine="0" w:firstLineChars="0"/>
              <w:jc w:val="left"/>
              <w:rPr>
                <w:rFonts w:ascii="Arial Narrow" w:hAnsi="Arial Narrow" w:cs="Arial Narrow"/>
                <w:sz w:val="21"/>
                <w:szCs w:val="21"/>
              </w:rPr>
            </w:pPr>
            <w:r>
              <w:rPr>
                <w:rFonts w:ascii="Arial Narrow" w:hAnsi="Arial Narrow" w:cs="Arial Narrow"/>
                <w:sz w:val="21"/>
                <w:szCs w:val="21"/>
              </w:rPr>
              <w:t>（4分）</w:t>
            </w:r>
          </w:p>
        </w:tc>
        <w:tc>
          <w:tcPr>
            <w:tcW w:w="2540"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项目实施单位零散税税收总额占计划总额的百分比，用以反映和考核项目完成情况。</w:t>
            </w:r>
          </w:p>
        </w:tc>
        <w:tc>
          <w:tcPr>
            <w:tcW w:w="380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评价要点：</w:t>
            </w:r>
          </w:p>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项目实施单位税收完成率是否大于90%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317" w:hRule="atLeast"/>
        </w:trPr>
        <w:tc>
          <w:tcPr>
            <w:tcW w:w="870" w:type="dxa"/>
            <w:vMerge w:val="continue"/>
            <w:vAlign w:val="center"/>
          </w:tcPr>
          <w:p>
            <w:pPr>
              <w:snapToGrid w:val="0"/>
              <w:ind w:firstLine="420"/>
              <w:jc w:val="left"/>
              <w:rPr>
                <w:rFonts w:ascii="Arial Narrow" w:hAnsi="Arial Narrow" w:cs="Arial Narrow"/>
                <w:sz w:val="21"/>
                <w:szCs w:val="21"/>
              </w:rPr>
            </w:pPr>
          </w:p>
        </w:tc>
        <w:tc>
          <w:tcPr>
            <w:tcW w:w="151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协税工作人员到位率（3分）</w:t>
            </w:r>
          </w:p>
        </w:tc>
        <w:tc>
          <w:tcPr>
            <w:tcW w:w="2540"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项目实施后，协税站点工作人员到岗率，用以考核和反映项目的完成情况。</w:t>
            </w:r>
          </w:p>
        </w:tc>
        <w:tc>
          <w:tcPr>
            <w:tcW w:w="380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评价要点：</w:t>
            </w:r>
          </w:p>
          <w:p>
            <w:pPr>
              <w:snapToGrid w:val="0"/>
              <w:ind w:firstLine="0" w:firstLineChars="0"/>
              <w:jc w:val="left"/>
              <w:rPr>
                <w:rFonts w:ascii="Arial Narrow" w:hAnsi="Arial Narrow" w:cs="Arial Narrow"/>
                <w:sz w:val="21"/>
                <w:szCs w:val="21"/>
              </w:rPr>
            </w:pPr>
            <w:r>
              <w:rPr>
                <w:rFonts w:ascii="Arial Narrow" w:hAnsi="Arial Narrow" w:cs="Arial Narrow"/>
                <w:sz w:val="21"/>
                <w:szCs w:val="21"/>
              </w:rPr>
              <w:t>对项目协税站工作人员到岗率进行考核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89" w:hRule="atLeast"/>
        </w:trPr>
        <w:tc>
          <w:tcPr>
            <w:tcW w:w="870" w:type="dxa"/>
            <w:vMerge w:val="continue"/>
            <w:vAlign w:val="center"/>
          </w:tcPr>
          <w:p>
            <w:pPr>
              <w:snapToGrid w:val="0"/>
              <w:ind w:firstLine="420"/>
              <w:jc w:val="left"/>
              <w:rPr>
                <w:rFonts w:ascii="Arial Narrow" w:hAnsi="Arial Narrow" w:cs="Arial Narrow"/>
                <w:sz w:val="21"/>
                <w:szCs w:val="21"/>
              </w:rPr>
            </w:pPr>
          </w:p>
        </w:tc>
        <w:tc>
          <w:tcPr>
            <w:tcW w:w="151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重要企业协税服务完成率（4分）</w:t>
            </w:r>
          </w:p>
        </w:tc>
        <w:tc>
          <w:tcPr>
            <w:tcW w:w="2540"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项目实施后，重要企业协税服务完成情况，用以考核和反映项目数量目标的实现程度。</w:t>
            </w:r>
          </w:p>
        </w:tc>
        <w:tc>
          <w:tcPr>
            <w:tcW w:w="380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评价要点：</w:t>
            </w:r>
          </w:p>
          <w:p>
            <w:pPr>
              <w:snapToGrid w:val="0"/>
              <w:ind w:firstLine="0" w:firstLineChars="0"/>
              <w:jc w:val="left"/>
              <w:rPr>
                <w:rFonts w:ascii="Arial Narrow" w:hAnsi="Arial Narrow" w:cs="Arial Narrow"/>
                <w:sz w:val="21"/>
                <w:szCs w:val="21"/>
              </w:rPr>
            </w:pPr>
            <w:r>
              <w:rPr>
                <w:rFonts w:ascii="Arial Narrow" w:hAnsi="Arial Narrow" w:cs="Arial Narrow"/>
                <w:sz w:val="21"/>
                <w:szCs w:val="21"/>
              </w:rPr>
              <w:t>重要企业协税完成率的考核。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05" w:hRule="atLeast"/>
        </w:trPr>
        <w:tc>
          <w:tcPr>
            <w:tcW w:w="870" w:type="dxa"/>
            <w:vMerge w:val="continue"/>
            <w:vAlign w:val="center"/>
          </w:tcPr>
          <w:p>
            <w:pPr>
              <w:snapToGrid w:val="0"/>
              <w:ind w:firstLine="420"/>
              <w:jc w:val="left"/>
              <w:rPr>
                <w:rFonts w:ascii="Arial Narrow" w:hAnsi="Arial Narrow" w:cs="Arial Narrow"/>
                <w:sz w:val="21"/>
                <w:szCs w:val="21"/>
              </w:rPr>
            </w:pPr>
          </w:p>
        </w:tc>
        <w:tc>
          <w:tcPr>
            <w:tcW w:w="151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工作作风与服务意识（3分）</w:t>
            </w:r>
          </w:p>
        </w:tc>
        <w:tc>
          <w:tcPr>
            <w:tcW w:w="2540"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项目实施中，协税工作人员是否存在违法、工作作风不廉洁的行为，工作过程中态度是否良好，用以反映和考核项目的质量。</w:t>
            </w:r>
          </w:p>
        </w:tc>
        <w:tc>
          <w:tcPr>
            <w:tcW w:w="380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评价要点：</w:t>
            </w:r>
          </w:p>
          <w:p>
            <w:pPr>
              <w:snapToGrid w:val="0"/>
              <w:ind w:firstLine="0" w:firstLineChars="0"/>
              <w:jc w:val="left"/>
              <w:rPr>
                <w:rFonts w:ascii="Arial Narrow" w:hAnsi="Arial Narrow" w:cs="Arial Narrow"/>
                <w:sz w:val="21"/>
                <w:szCs w:val="21"/>
              </w:rPr>
            </w:pPr>
            <w:r>
              <w:rPr>
                <w:rFonts w:ascii="Arial Narrow" w:hAnsi="Arial Narrow" w:cs="Arial Narrow"/>
                <w:sz w:val="21"/>
                <w:szCs w:val="21"/>
              </w:rPr>
              <w:t>对协税工作人员是否存在违法违纪、态度进行考核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438" w:hRule="atLeast"/>
        </w:trPr>
        <w:tc>
          <w:tcPr>
            <w:tcW w:w="870" w:type="dxa"/>
            <w:vMerge w:val="continue"/>
            <w:vAlign w:val="center"/>
          </w:tcPr>
          <w:p>
            <w:pPr>
              <w:snapToGrid w:val="0"/>
              <w:ind w:firstLine="420"/>
              <w:jc w:val="left"/>
              <w:rPr>
                <w:rFonts w:ascii="Arial Narrow" w:hAnsi="Arial Narrow" w:cs="Arial Narrow"/>
                <w:sz w:val="21"/>
                <w:szCs w:val="21"/>
              </w:rPr>
            </w:pPr>
          </w:p>
        </w:tc>
        <w:tc>
          <w:tcPr>
            <w:tcW w:w="151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税源户信息完整度（4分）</w:t>
            </w:r>
          </w:p>
        </w:tc>
        <w:tc>
          <w:tcPr>
            <w:tcW w:w="2540"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税源户信息采集全面、完整，重点对楼宇小区、背街小巷、重点市场和交叉地段税源户定期开展摸底和排查，建立税源户台账，数据按月及时更新，保证数据信息真实，用以反映和考核项目的工作管理情况。</w:t>
            </w:r>
          </w:p>
        </w:tc>
        <w:tc>
          <w:tcPr>
            <w:tcW w:w="380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评价要点：</w:t>
            </w:r>
          </w:p>
          <w:p>
            <w:pPr>
              <w:snapToGrid w:val="0"/>
              <w:ind w:firstLine="0" w:firstLineChars="0"/>
              <w:jc w:val="left"/>
              <w:rPr>
                <w:rFonts w:ascii="Arial Narrow" w:hAnsi="Arial Narrow" w:cs="Arial Narrow"/>
                <w:sz w:val="21"/>
                <w:szCs w:val="21"/>
              </w:rPr>
            </w:pPr>
            <w:r>
              <w:rPr>
                <w:rFonts w:ascii="Arial Narrow" w:hAnsi="Arial Narrow" w:cs="Arial Narrow"/>
                <w:sz w:val="21"/>
                <w:szCs w:val="21"/>
              </w:rPr>
              <w:t>对税源户信息采集的全面、完整，重点对楼宇小区、背街小巷、重点市场和交叉地段税源户定期开展摸底和排查，建立税源户台账，数据按月及时更新，保证数据信息真实，用以反映和考核项目的工作管理情况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717" w:hRule="atLeast"/>
        </w:trPr>
        <w:tc>
          <w:tcPr>
            <w:tcW w:w="870" w:type="dxa"/>
            <w:vMerge w:val="continue"/>
            <w:vAlign w:val="center"/>
          </w:tcPr>
          <w:p>
            <w:pPr>
              <w:snapToGrid w:val="0"/>
              <w:ind w:firstLine="420"/>
              <w:jc w:val="left"/>
              <w:rPr>
                <w:rFonts w:ascii="Arial Narrow" w:hAnsi="Arial Narrow" w:cs="Arial Narrow"/>
                <w:sz w:val="21"/>
                <w:szCs w:val="21"/>
              </w:rPr>
            </w:pPr>
          </w:p>
        </w:tc>
        <w:tc>
          <w:tcPr>
            <w:tcW w:w="151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完成及时率(3分）</w:t>
            </w:r>
          </w:p>
        </w:tc>
        <w:tc>
          <w:tcPr>
            <w:tcW w:w="2540"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项目实施中，各项工作任务是否按时完成，用以反映和考核项目产出时效目标的实现程度</w:t>
            </w:r>
          </w:p>
        </w:tc>
        <w:tc>
          <w:tcPr>
            <w:tcW w:w="380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评价要点：各项工作任务是否按时完成，用以反映和考核项目产出时效目标的实现程度。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90" w:hRule="atLeast"/>
        </w:trPr>
        <w:tc>
          <w:tcPr>
            <w:tcW w:w="870" w:type="dxa"/>
            <w:vMerge w:val="continue"/>
            <w:tcBorders>
              <w:bottom w:val="single" w:color="auto" w:sz="4" w:space="0"/>
            </w:tcBorders>
            <w:vAlign w:val="center"/>
          </w:tcPr>
          <w:p>
            <w:pPr>
              <w:snapToGrid w:val="0"/>
              <w:ind w:firstLine="420"/>
              <w:jc w:val="left"/>
              <w:rPr>
                <w:rFonts w:ascii="Arial Narrow" w:hAnsi="Arial Narrow" w:cs="Arial Narrow"/>
                <w:sz w:val="21"/>
                <w:szCs w:val="21"/>
              </w:rPr>
            </w:pPr>
          </w:p>
        </w:tc>
        <w:tc>
          <w:tcPr>
            <w:tcW w:w="151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资金使用率（4分）</w:t>
            </w:r>
          </w:p>
        </w:tc>
        <w:tc>
          <w:tcPr>
            <w:tcW w:w="2540"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项目实施过程中，项目资金是否按照预算及绩效目标进行合理控制，用以反映项目的产出成本。</w:t>
            </w:r>
          </w:p>
        </w:tc>
        <w:tc>
          <w:tcPr>
            <w:tcW w:w="380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评价要点：</w:t>
            </w:r>
          </w:p>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项目实施过程中，项目资金是否按照预算及绩效目标进行合理控制，用以反映项目的产出成本。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398" w:hRule="atLeast"/>
        </w:trPr>
        <w:tc>
          <w:tcPr>
            <w:tcW w:w="870" w:type="dxa"/>
            <w:vMerge w:val="restart"/>
            <w:tcBorders>
              <w:top w:val="single" w:color="auto"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项目效益</w:t>
            </w:r>
          </w:p>
        </w:tc>
        <w:tc>
          <w:tcPr>
            <w:tcW w:w="151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招商引资完成率（3分）</w:t>
            </w:r>
          </w:p>
        </w:tc>
        <w:tc>
          <w:tcPr>
            <w:tcW w:w="2540"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项目完成数与项目计划数之比，用以反正项目完成情况</w:t>
            </w:r>
          </w:p>
        </w:tc>
        <w:tc>
          <w:tcPr>
            <w:tcW w:w="380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评价要点：项目完成数与项目计划数之比，用以反正项目完成情况。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446" w:hRule="atLeast"/>
        </w:trPr>
        <w:tc>
          <w:tcPr>
            <w:tcW w:w="870" w:type="dxa"/>
            <w:vMerge w:val="continue"/>
            <w:vAlign w:val="center"/>
          </w:tcPr>
          <w:p>
            <w:pPr>
              <w:snapToGrid w:val="0"/>
              <w:ind w:firstLine="420"/>
              <w:jc w:val="left"/>
              <w:rPr>
                <w:rFonts w:ascii="Arial Narrow" w:hAnsi="Arial Narrow" w:cs="Arial Narrow"/>
                <w:sz w:val="21"/>
                <w:szCs w:val="21"/>
              </w:rPr>
            </w:pPr>
          </w:p>
        </w:tc>
        <w:tc>
          <w:tcPr>
            <w:tcW w:w="151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税收投入乘数（4分）</w:t>
            </w:r>
          </w:p>
        </w:tc>
        <w:tc>
          <w:tcPr>
            <w:tcW w:w="2540"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项目实施中所收取的零散税收金额与项目实施单位开展工作投入资金之比，用以反映项目的经济效益。</w:t>
            </w:r>
          </w:p>
        </w:tc>
        <w:tc>
          <w:tcPr>
            <w:tcW w:w="380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评价要点：项目实施中所收取的零散税收金额与项目实施单位开展工作投入资金之比，用以反映项目的经济效益。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53" w:hRule="atLeast"/>
        </w:trPr>
        <w:tc>
          <w:tcPr>
            <w:tcW w:w="870" w:type="dxa"/>
            <w:vMerge w:val="continue"/>
            <w:vAlign w:val="center"/>
          </w:tcPr>
          <w:p>
            <w:pPr>
              <w:snapToGrid w:val="0"/>
              <w:ind w:firstLine="420"/>
              <w:jc w:val="left"/>
              <w:rPr>
                <w:rFonts w:ascii="Arial Narrow" w:hAnsi="Arial Narrow" w:cs="Arial Narrow"/>
                <w:sz w:val="21"/>
                <w:szCs w:val="21"/>
              </w:rPr>
            </w:pPr>
          </w:p>
        </w:tc>
        <w:tc>
          <w:tcPr>
            <w:tcW w:w="151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税收增长率（6分）</w:t>
            </w:r>
          </w:p>
        </w:tc>
        <w:tc>
          <w:tcPr>
            <w:tcW w:w="2540"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项目实施后，相较于上年零散税征收额的增长情况，用以反映和考核项目的完成情况。</w:t>
            </w:r>
          </w:p>
        </w:tc>
        <w:tc>
          <w:tcPr>
            <w:tcW w:w="380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评价要点：项目实施后，相较于上年零散税征收额的增长情况，用以反映和考核项目的完成情况。</w:t>
            </w:r>
          </w:p>
          <w:p>
            <w:pPr>
              <w:snapToGrid w:val="0"/>
              <w:ind w:firstLine="420"/>
              <w:jc w:val="left"/>
              <w:rPr>
                <w:rFonts w:ascii="Arial Narrow" w:hAnsi="Arial Narrow" w:cs="Arial Narrow"/>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669" w:hRule="atLeast"/>
        </w:trPr>
        <w:tc>
          <w:tcPr>
            <w:tcW w:w="870" w:type="dxa"/>
            <w:vMerge w:val="continue"/>
            <w:vAlign w:val="center"/>
          </w:tcPr>
          <w:p>
            <w:pPr>
              <w:snapToGrid w:val="0"/>
              <w:ind w:firstLine="420"/>
              <w:jc w:val="left"/>
              <w:rPr>
                <w:rFonts w:ascii="Arial Narrow" w:hAnsi="Arial Narrow" w:cs="Arial Narrow"/>
                <w:sz w:val="21"/>
                <w:szCs w:val="21"/>
              </w:rPr>
            </w:pPr>
          </w:p>
        </w:tc>
        <w:tc>
          <w:tcPr>
            <w:tcW w:w="151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税源分析预测情况（4分）</w:t>
            </w:r>
          </w:p>
        </w:tc>
        <w:tc>
          <w:tcPr>
            <w:tcW w:w="2540"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项目实施后，是否对税源情况进行分析和预测，掌握重点税源户的发展及变化，充分挖掘税收潜力，用以反映和考核项目的完成情况。</w:t>
            </w:r>
          </w:p>
        </w:tc>
        <w:tc>
          <w:tcPr>
            <w:tcW w:w="380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评价要点：项目实施后，是否对税源情况进行分析和预测，掌握重点税源户的发展及变化，充分挖掘税收潜力，用以反映和考核项目的完成情况。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681" w:hRule="atLeast"/>
        </w:trPr>
        <w:tc>
          <w:tcPr>
            <w:tcW w:w="870" w:type="dxa"/>
            <w:vMerge w:val="continue"/>
            <w:vAlign w:val="center"/>
          </w:tcPr>
          <w:p>
            <w:pPr>
              <w:snapToGrid w:val="0"/>
              <w:ind w:firstLine="420"/>
              <w:jc w:val="left"/>
              <w:rPr>
                <w:rFonts w:ascii="Arial Narrow" w:hAnsi="Arial Narrow" w:cs="Arial Narrow"/>
                <w:sz w:val="21"/>
                <w:szCs w:val="21"/>
              </w:rPr>
            </w:pPr>
          </w:p>
        </w:tc>
        <w:tc>
          <w:tcPr>
            <w:tcW w:w="151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涉税政策业务指导（6分）</w:t>
            </w:r>
          </w:p>
        </w:tc>
        <w:tc>
          <w:tcPr>
            <w:tcW w:w="2540"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项目实施单位是否为辖区从事生产经营的纳税人提供政策宣传、业务咨询等服务，为纳税人办理涉税事项提供业务指导。</w:t>
            </w:r>
          </w:p>
        </w:tc>
        <w:tc>
          <w:tcPr>
            <w:tcW w:w="380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评价要点：项目实施单位是否为辖区从事生产经营的纳税人提供政策宣传、业务咨询等服务，为纳税人办理涉税事项提供业务指导。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190" w:hRule="atLeast"/>
        </w:trPr>
        <w:tc>
          <w:tcPr>
            <w:tcW w:w="870" w:type="dxa"/>
            <w:vMerge w:val="continue"/>
            <w:vAlign w:val="center"/>
          </w:tcPr>
          <w:p>
            <w:pPr>
              <w:snapToGrid w:val="0"/>
              <w:ind w:firstLine="420"/>
              <w:jc w:val="left"/>
              <w:rPr>
                <w:rFonts w:ascii="Arial Narrow" w:hAnsi="Arial Narrow" w:cs="Arial Narrow"/>
                <w:sz w:val="21"/>
                <w:szCs w:val="21"/>
              </w:rPr>
            </w:pPr>
          </w:p>
        </w:tc>
        <w:tc>
          <w:tcPr>
            <w:tcW w:w="151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可持续性（4分）</w:t>
            </w:r>
          </w:p>
        </w:tc>
        <w:tc>
          <w:tcPr>
            <w:tcW w:w="2540"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项目实施单位是否支持项目长期运行，是否有相关的管理机构及人力资源满足项目实施的要求，用以反映和考核项目的可持续性。</w:t>
            </w:r>
          </w:p>
        </w:tc>
        <w:tc>
          <w:tcPr>
            <w:tcW w:w="380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评价要点：项目实施单位是否支持项目长期运行，是否有相关的管理机构及人力资源满足项目实施的要求，用以反映和考核项目的可持续性。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360" w:hRule="atLeast"/>
        </w:trPr>
        <w:tc>
          <w:tcPr>
            <w:tcW w:w="870" w:type="dxa"/>
            <w:vMerge w:val="continue"/>
            <w:tcBorders>
              <w:bottom w:val="single" w:color="auto" w:sz="4" w:space="0"/>
            </w:tcBorders>
            <w:vAlign w:val="center"/>
          </w:tcPr>
          <w:p>
            <w:pPr>
              <w:snapToGrid w:val="0"/>
              <w:ind w:firstLine="420"/>
              <w:jc w:val="left"/>
              <w:rPr>
                <w:rFonts w:ascii="Arial Narrow" w:hAnsi="Arial Narrow" w:cs="Arial Narrow"/>
                <w:sz w:val="21"/>
                <w:szCs w:val="21"/>
              </w:rPr>
            </w:pPr>
          </w:p>
        </w:tc>
        <w:tc>
          <w:tcPr>
            <w:tcW w:w="151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服务对象满意度（8分）</w:t>
            </w:r>
          </w:p>
        </w:tc>
        <w:tc>
          <w:tcPr>
            <w:tcW w:w="2540"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社会公众或服务对象对项目实施效果的满意程度。</w:t>
            </w:r>
          </w:p>
        </w:tc>
        <w:tc>
          <w:tcPr>
            <w:tcW w:w="3805" w:type="dxa"/>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评价要点：社会公众或服务对象对项目实施效果的满意程度。</w:t>
            </w:r>
          </w:p>
        </w:tc>
      </w:tr>
    </w:tbl>
    <w:p>
      <w:pPr>
        <w:snapToGrid w:val="0"/>
        <w:ind w:firstLine="480"/>
        <w:jc w:val="left"/>
        <w:rPr>
          <w:rFonts w:ascii="Arial Narrow" w:hAnsi="Arial Narrow" w:cs="Arial Narrow"/>
        </w:rPr>
      </w:pPr>
    </w:p>
    <w:p>
      <w:pPr>
        <w:snapToGrid w:val="0"/>
        <w:ind w:firstLine="480"/>
        <w:jc w:val="left"/>
        <w:rPr>
          <w:rFonts w:hint="eastAsia" w:ascii="Arial Narrow" w:hAnsi="Arial Narrow" w:cs="Arial Narrow"/>
        </w:rPr>
      </w:pPr>
      <w:r>
        <w:rPr>
          <w:rFonts w:ascii="Arial Narrow" w:hAnsi="Arial Narrow" w:cs="Arial Narrow"/>
        </w:rPr>
        <w:t>具体指标目标值、绩效标准、评分细则如下表所示：</w:t>
      </w:r>
    </w:p>
    <w:p>
      <w:pPr>
        <w:snapToGrid w:val="0"/>
        <w:ind w:firstLine="480"/>
        <w:jc w:val="left"/>
        <w:rPr>
          <w:rFonts w:ascii="Arial Narrow" w:hAnsi="Arial Narrow" w:cs="Arial Narrow"/>
        </w:rPr>
      </w:pPr>
    </w:p>
    <w:tbl>
      <w:tblPr>
        <w:tblStyle w:val="25"/>
        <w:tblpPr w:leftFromText="180" w:rightFromText="180" w:vertAnchor="text" w:horzAnchor="page" w:tblpX="1738" w:tblpY="911"/>
        <w:tblOverlap w:val="never"/>
        <w:tblW w:w="8640" w:type="dxa"/>
        <w:tblInd w:w="0" w:type="dxa"/>
        <w:tblLayout w:type="fixed"/>
        <w:tblCellMar>
          <w:top w:w="15" w:type="dxa"/>
          <w:left w:w="15" w:type="dxa"/>
          <w:bottom w:w="15" w:type="dxa"/>
          <w:right w:w="15" w:type="dxa"/>
        </w:tblCellMar>
      </w:tblPr>
      <w:tblGrid>
        <w:gridCol w:w="819"/>
        <w:gridCol w:w="1464"/>
        <w:gridCol w:w="851"/>
        <w:gridCol w:w="4252"/>
        <w:gridCol w:w="1254"/>
      </w:tblGrid>
      <w:tr>
        <w:tblPrEx>
          <w:tblLayout w:type="fixed"/>
          <w:tblCellMar>
            <w:top w:w="15" w:type="dxa"/>
            <w:left w:w="15" w:type="dxa"/>
            <w:bottom w:w="15" w:type="dxa"/>
            <w:right w:w="15" w:type="dxa"/>
          </w:tblCellMar>
        </w:tblPrEx>
        <w:trPr>
          <w:trHeight w:val="482" w:hRule="atLeast"/>
          <w:tblHeader/>
        </w:trPr>
        <w:tc>
          <w:tcPr>
            <w:tcW w:w="2283" w:type="dxa"/>
            <w:gridSpan w:val="2"/>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指标名称（权重）</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参照值</w:t>
            </w: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r>
              <w:rPr>
                <w:rFonts w:ascii="Arial Narrow" w:hAnsi="Arial Narrow" w:cs="Arial Narrow"/>
                <w:sz w:val="21"/>
                <w:szCs w:val="21"/>
              </w:rPr>
              <w:t>评分细则</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绩效标准</w:t>
            </w:r>
          </w:p>
        </w:tc>
      </w:tr>
      <w:tr>
        <w:tblPrEx>
          <w:tblLayout w:type="fixed"/>
          <w:tblCellMar>
            <w:top w:w="15" w:type="dxa"/>
            <w:left w:w="15" w:type="dxa"/>
            <w:bottom w:w="15" w:type="dxa"/>
            <w:right w:w="15" w:type="dxa"/>
          </w:tblCellMar>
        </w:tblPrEx>
        <w:trPr>
          <w:trHeight w:val="1301" w:hRule="atLeast"/>
          <w:tblHeader/>
        </w:trPr>
        <w:tc>
          <w:tcPr>
            <w:tcW w:w="819" w:type="dxa"/>
            <w:vMerge w:val="restart"/>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w:t>
            </w:r>
            <w:r>
              <w:rPr>
                <w:rFonts w:ascii="Arial Narrow" w:hAnsi="Arial Narrow" w:cs="Arial Narrow"/>
                <w:sz w:val="21"/>
                <w:szCs w:val="21"/>
              </w:rPr>
              <w:br w:type="textWrapping"/>
            </w:r>
            <w:r>
              <w:rPr>
                <w:rFonts w:ascii="Arial Narrow" w:hAnsi="Arial Narrow" w:cs="Arial Narrow"/>
                <w:sz w:val="21"/>
                <w:szCs w:val="21"/>
              </w:rPr>
              <w:t>立项</w:t>
            </w:r>
          </w:p>
        </w:tc>
        <w:tc>
          <w:tcPr>
            <w:tcW w:w="146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项目立项规范性（3分）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项目按照规定的程序申请设立，提交的文件、材料符合相关要求计1.5分；事前已经过必要的可行性研究、专家论证、风险评估、集体决策的，计1.5分；</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r>
      <w:tr>
        <w:tblPrEx>
          <w:tblLayout w:type="fixed"/>
          <w:tblCellMar>
            <w:top w:w="15" w:type="dxa"/>
            <w:left w:w="15" w:type="dxa"/>
            <w:bottom w:w="15" w:type="dxa"/>
            <w:right w:w="15" w:type="dxa"/>
          </w:tblCellMar>
        </w:tblPrEx>
        <w:trPr>
          <w:trHeight w:val="947" w:hRule="atLeast"/>
          <w:tblHead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绩效目标合理性（4分）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依据充分、符合客观实际计4分，不符合计0分</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r>
      <w:tr>
        <w:tblPrEx>
          <w:tblLayout w:type="fixed"/>
          <w:tblCellMar>
            <w:top w:w="15" w:type="dxa"/>
            <w:left w:w="15" w:type="dxa"/>
            <w:bottom w:w="15" w:type="dxa"/>
            <w:right w:w="15" w:type="dxa"/>
          </w:tblCellMar>
        </w:tblPrEx>
        <w:trPr>
          <w:trHeight w:val="1090" w:hRule="atLeast"/>
          <w:tblHeader/>
        </w:trPr>
        <w:tc>
          <w:tcPr>
            <w:tcW w:w="819" w:type="dxa"/>
            <w:vMerge w:val="restart"/>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资金</w:t>
            </w:r>
            <w:r>
              <w:rPr>
                <w:rFonts w:ascii="Arial Narrow" w:hAnsi="Arial Narrow" w:cs="Arial Narrow"/>
                <w:sz w:val="21"/>
                <w:szCs w:val="21"/>
              </w:rPr>
              <w:br w:type="textWrapping"/>
            </w:r>
            <w:r>
              <w:rPr>
                <w:rFonts w:ascii="Arial Narrow" w:hAnsi="Arial Narrow" w:cs="Arial Narrow"/>
                <w:sz w:val="21"/>
                <w:szCs w:val="21"/>
              </w:rPr>
              <w:t>落实</w:t>
            </w:r>
          </w:p>
        </w:tc>
        <w:tc>
          <w:tcPr>
            <w:tcW w:w="146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资金到位率（4分）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center"/>
              <w:rPr>
                <w:rFonts w:ascii="Arial Narrow" w:hAnsi="Arial Narrow" w:cs="Arial Narrow"/>
                <w:sz w:val="21"/>
                <w:szCs w:val="21"/>
              </w:rPr>
            </w:pPr>
            <w:r>
              <w:rPr>
                <w:rFonts w:ascii="Arial Narrow" w:hAnsi="Arial Narrow" w:cs="Arial Narrow"/>
                <w:sz w:val="21"/>
                <w:szCs w:val="21"/>
              </w:rPr>
              <w:t>100%</w:t>
            </w: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预算资金全部到位计4分，到位率每降低10%，扣1分。</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r>
              <w:rPr>
                <w:rFonts w:hint="eastAsia" w:ascii="Arial Narrow" w:hAnsi="Arial Narrow" w:cs="Arial Narrow"/>
                <w:sz w:val="21"/>
                <w:szCs w:val="21"/>
              </w:rPr>
              <w:t>100%</w:t>
            </w:r>
          </w:p>
        </w:tc>
      </w:tr>
      <w:tr>
        <w:tblPrEx>
          <w:tblLayout w:type="fixed"/>
          <w:tblCellMar>
            <w:top w:w="15" w:type="dxa"/>
            <w:left w:w="15" w:type="dxa"/>
            <w:bottom w:w="15" w:type="dxa"/>
            <w:right w:w="15" w:type="dxa"/>
          </w:tblCellMar>
        </w:tblPrEx>
        <w:trPr>
          <w:trHeight w:val="949" w:hRule="atLeast"/>
          <w:tblHead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到位及时率（4分）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center"/>
              <w:rPr>
                <w:rFonts w:ascii="Arial Narrow" w:hAnsi="Arial Narrow" w:cs="Arial Narrow"/>
                <w:sz w:val="21"/>
                <w:szCs w:val="21"/>
              </w:rPr>
            </w:pPr>
            <w:r>
              <w:rPr>
                <w:rFonts w:ascii="Arial Narrow" w:hAnsi="Arial Narrow" w:cs="Arial Narrow"/>
                <w:sz w:val="21"/>
                <w:szCs w:val="21"/>
              </w:rPr>
              <w:t>100%</w:t>
            </w: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资金全部到位计4分，每降低10%，扣1分</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r>
              <w:rPr>
                <w:rFonts w:hint="eastAsia" w:ascii="Arial Narrow" w:hAnsi="Arial Narrow" w:cs="Arial Narrow"/>
                <w:sz w:val="21"/>
                <w:szCs w:val="21"/>
              </w:rPr>
              <w:t>100%</w:t>
            </w:r>
          </w:p>
        </w:tc>
      </w:tr>
      <w:tr>
        <w:tblPrEx>
          <w:tblLayout w:type="fixed"/>
        </w:tblPrEx>
        <w:trPr>
          <w:trHeight w:val="1105" w:hRule="atLeast"/>
          <w:tblHeader/>
        </w:trPr>
        <w:tc>
          <w:tcPr>
            <w:tcW w:w="819" w:type="dxa"/>
            <w:vMerge w:val="restart"/>
            <w:tcBorders>
              <w:top w:val="single" w:color="000000" w:sz="4" w:space="0"/>
              <w:left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业务</w:t>
            </w:r>
            <w:r>
              <w:rPr>
                <w:rFonts w:ascii="Arial Narrow" w:hAnsi="Arial Narrow" w:cs="Arial Narrow"/>
                <w:sz w:val="21"/>
                <w:szCs w:val="21"/>
              </w:rPr>
              <w:br w:type="textWrapping"/>
            </w:r>
            <w:r>
              <w:rPr>
                <w:rFonts w:ascii="Arial Narrow" w:hAnsi="Arial Narrow" w:cs="Arial Narrow"/>
                <w:sz w:val="21"/>
                <w:szCs w:val="21"/>
              </w:rPr>
              <w:t>管理</w:t>
            </w:r>
          </w:p>
        </w:tc>
        <w:tc>
          <w:tcPr>
            <w:tcW w:w="146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管理制度健全性（3分）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center"/>
              <w:rPr>
                <w:rFonts w:ascii="Arial Narrow" w:hAnsi="Arial Narrow" w:cs="Arial Narrow"/>
                <w:sz w:val="21"/>
                <w:szCs w:val="21"/>
              </w:rPr>
            </w:pP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值班考勤制、台账制、工作管理办法健全计3分，一处不健全扣1分</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r>
      <w:tr>
        <w:tblPrEx>
          <w:tblLayout w:type="fixed"/>
          <w:tblCellMar>
            <w:top w:w="15" w:type="dxa"/>
            <w:left w:w="15" w:type="dxa"/>
            <w:bottom w:w="15" w:type="dxa"/>
            <w:right w:w="15" w:type="dxa"/>
          </w:tblCellMar>
        </w:tblPrEx>
        <w:trPr>
          <w:trHeight w:val="1826" w:hRule="atLeast"/>
          <w:tblHeader/>
        </w:trPr>
        <w:tc>
          <w:tcPr>
            <w:tcW w:w="819" w:type="dxa"/>
            <w:vMerge w:val="continue"/>
            <w:tcBorders>
              <w:left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制度执行有效性（4分）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center"/>
              <w:rPr>
                <w:rFonts w:ascii="Arial Narrow" w:hAnsi="Arial Narrow" w:cs="Arial Narrow"/>
                <w:sz w:val="21"/>
                <w:szCs w:val="21"/>
              </w:rPr>
            </w:pP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按照项目管理制度进行管理，遵守相关法律法规和业务管理规定，计2分；严格执行项目管理程序及招投标制、监理制、合同制、项目公示制、政府采购制，计1分；项目实施的人员条件、场地设备、信息支撑等落实到位，计1分</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r>
      <w:tr>
        <w:tblPrEx>
          <w:tblLayout w:type="fixed"/>
          <w:tblCellMar>
            <w:top w:w="15" w:type="dxa"/>
            <w:left w:w="15" w:type="dxa"/>
            <w:bottom w:w="15" w:type="dxa"/>
            <w:right w:w="15" w:type="dxa"/>
          </w:tblCellMar>
        </w:tblPrEx>
        <w:trPr>
          <w:trHeight w:val="1489" w:hRule="atLeast"/>
          <w:tblHeader/>
        </w:trPr>
        <w:tc>
          <w:tcPr>
            <w:tcW w:w="819" w:type="dxa"/>
            <w:vMerge w:val="continue"/>
            <w:tcBorders>
              <w:left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项目质量可控性（4分）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已制定或具有相应的项目质量要求或标准，计2分；采取了相应的项目质量检查、验收等必需的控制措施或手段，计2分。</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r>
      <w:tr>
        <w:tblPrEx>
          <w:tblLayout w:type="fixed"/>
          <w:tblCellMar>
            <w:top w:w="15" w:type="dxa"/>
            <w:left w:w="15" w:type="dxa"/>
            <w:bottom w:w="15" w:type="dxa"/>
            <w:right w:w="15" w:type="dxa"/>
          </w:tblCellMar>
        </w:tblPrEx>
        <w:trPr>
          <w:trHeight w:val="1233" w:hRule="atLeast"/>
          <w:tblHeader/>
        </w:trPr>
        <w:tc>
          <w:tcPr>
            <w:tcW w:w="819" w:type="dxa"/>
            <w:vMerge w:val="continue"/>
            <w:tcBorders>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项目档案完整性（4分）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项目档案资料齐全计3分，比较齐全计2分，不太齐全计1分，没有档案资料计0分</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r>
      <w:tr>
        <w:tblPrEx>
          <w:tblLayout w:type="fixed"/>
          <w:tblCellMar>
            <w:top w:w="15" w:type="dxa"/>
            <w:left w:w="15" w:type="dxa"/>
            <w:bottom w:w="15" w:type="dxa"/>
            <w:right w:w="15" w:type="dxa"/>
          </w:tblCellMar>
        </w:tblPrEx>
        <w:trPr>
          <w:trHeight w:val="399" w:hRule="atLeast"/>
          <w:tblHeader/>
        </w:trPr>
        <w:tc>
          <w:tcPr>
            <w:tcW w:w="2283" w:type="dxa"/>
            <w:gridSpan w:val="2"/>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指标名称（权重）</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参照值</w:t>
            </w: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r>
              <w:rPr>
                <w:rFonts w:ascii="Arial Narrow" w:hAnsi="Arial Narrow" w:cs="Arial Narrow"/>
                <w:sz w:val="21"/>
                <w:szCs w:val="21"/>
              </w:rPr>
              <w:t>评分细则</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绩效标准</w:t>
            </w:r>
          </w:p>
        </w:tc>
      </w:tr>
      <w:tr>
        <w:tblPrEx>
          <w:tblLayout w:type="fixed"/>
          <w:tblCellMar>
            <w:top w:w="15" w:type="dxa"/>
            <w:left w:w="15" w:type="dxa"/>
            <w:bottom w:w="15" w:type="dxa"/>
            <w:right w:w="15" w:type="dxa"/>
          </w:tblCellMar>
        </w:tblPrEx>
        <w:trPr>
          <w:trHeight w:val="1220" w:hRule="atLeast"/>
          <w:tblHeader/>
        </w:trPr>
        <w:tc>
          <w:tcPr>
            <w:tcW w:w="819" w:type="dxa"/>
            <w:vMerge w:val="restart"/>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财务</w:t>
            </w:r>
            <w:r>
              <w:rPr>
                <w:rFonts w:ascii="Arial Narrow" w:hAnsi="Arial Narrow" w:cs="Arial Narrow"/>
                <w:sz w:val="21"/>
                <w:szCs w:val="21"/>
              </w:rPr>
              <w:br w:type="textWrapping"/>
            </w:r>
            <w:r>
              <w:rPr>
                <w:rFonts w:ascii="Arial Narrow" w:hAnsi="Arial Narrow" w:cs="Arial Narrow"/>
                <w:sz w:val="21"/>
                <w:szCs w:val="21"/>
              </w:rPr>
              <w:t>管理</w:t>
            </w:r>
          </w:p>
        </w:tc>
        <w:tc>
          <w:tcPr>
            <w:tcW w:w="146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财务制度健全性（3分）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资金管理、费用支出等制度健全计1分，能严格执行计1分，会计核算规范计1分，否则计0分</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r>
      <w:tr>
        <w:tblPrEx>
          <w:tblLayout w:type="fixed"/>
        </w:tblPrEx>
        <w:trPr>
          <w:trHeight w:val="1990" w:hRule="atLeast"/>
          <w:tblHead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资金使用合规性（4分）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项目实施单位不存在虚列项目支出的情况计1分，不存在支出依据不合规计1分，否则计0分；项目实施单位不存在截留、挤占、挪用项目资金情况计1分，项目实施单位不存在超标准开支情况计1分否则计0分</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r>
      <w:tr>
        <w:tblPrEx>
          <w:tblLayout w:type="fixed"/>
          <w:tblCellMar>
            <w:top w:w="15" w:type="dxa"/>
            <w:left w:w="15" w:type="dxa"/>
            <w:bottom w:w="15" w:type="dxa"/>
            <w:right w:w="15" w:type="dxa"/>
          </w:tblCellMar>
        </w:tblPrEx>
        <w:trPr>
          <w:trHeight w:val="1125" w:hRule="atLeast"/>
          <w:tblHead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财务监控有效性（4分）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资金的拨付及支出有完整的审批程序和手续，计2分；项目的重大开支经过集体决策，计1分；项目资金进行专款专账核算，计1分。</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r>
      <w:tr>
        <w:tblPrEx>
          <w:tblLayout w:type="fixed"/>
          <w:tblCellMar>
            <w:top w:w="15" w:type="dxa"/>
            <w:left w:w="15" w:type="dxa"/>
            <w:bottom w:w="15" w:type="dxa"/>
            <w:right w:w="15" w:type="dxa"/>
          </w:tblCellMar>
        </w:tblPrEx>
        <w:trPr>
          <w:trHeight w:val="1173" w:hRule="atLeast"/>
          <w:tblHeader/>
        </w:trPr>
        <w:tc>
          <w:tcPr>
            <w:tcW w:w="819" w:type="dxa"/>
            <w:vMerge w:val="restart"/>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w:t>
            </w:r>
            <w:r>
              <w:rPr>
                <w:rFonts w:ascii="Arial Narrow" w:hAnsi="Arial Narrow" w:cs="Arial Narrow"/>
                <w:sz w:val="21"/>
                <w:szCs w:val="21"/>
              </w:rPr>
              <w:br w:type="textWrapping"/>
            </w:r>
            <w:r>
              <w:rPr>
                <w:rFonts w:ascii="Arial Narrow" w:hAnsi="Arial Narrow" w:cs="Arial Narrow"/>
                <w:sz w:val="21"/>
                <w:szCs w:val="21"/>
              </w:rPr>
              <w:t>产出</w:t>
            </w:r>
          </w:p>
        </w:tc>
        <w:tc>
          <w:tcPr>
            <w:tcW w:w="146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税收完成率（4分）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全口径税收完成率=（实际税收总额/计划税收总额）*100%，超过90%得4分，每降低10%扣1分。</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r>
              <w:rPr>
                <w:rFonts w:hint="eastAsia" w:ascii="Arial Narrow" w:hAnsi="Arial Narrow" w:cs="Arial Narrow"/>
                <w:sz w:val="21"/>
                <w:szCs w:val="21"/>
              </w:rPr>
              <w:t>≥90%</w:t>
            </w:r>
          </w:p>
        </w:tc>
      </w:tr>
      <w:tr>
        <w:tblPrEx>
          <w:tblLayout w:type="fixed"/>
          <w:tblCellMar>
            <w:top w:w="15" w:type="dxa"/>
            <w:left w:w="15" w:type="dxa"/>
            <w:bottom w:w="15" w:type="dxa"/>
            <w:right w:w="15" w:type="dxa"/>
          </w:tblCellMar>
        </w:tblPrEx>
        <w:trPr>
          <w:trHeight w:val="1027" w:hRule="atLeast"/>
          <w:tblHead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协税工作人员到位率（3分）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工作站点协税人员到岗率达到100%计3分，每降低1%扣1分。</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r>
              <w:rPr>
                <w:rFonts w:hint="eastAsia" w:ascii="Arial Narrow" w:hAnsi="Arial Narrow" w:cs="Arial Narrow"/>
                <w:sz w:val="21"/>
                <w:szCs w:val="21"/>
              </w:rPr>
              <w:t>≥100%</w:t>
            </w:r>
          </w:p>
        </w:tc>
      </w:tr>
      <w:tr>
        <w:tblPrEx>
          <w:tblLayout w:type="fixed"/>
          <w:tblCellMar>
            <w:top w:w="15" w:type="dxa"/>
            <w:left w:w="15" w:type="dxa"/>
            <w:bottom w:w="15" w:type="dxa"/>
            <w:right w:w="15" w:type="dxa"/>
          </w:tblCellMar>
        </w:tblPrEx>
        <w:trPr>
          <w:trHeight w:val="1269" w:hRule="atLeast"/>
          <w:tblHead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重要企业协税服务完成率（4分）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协税服务完成率=实际完成的服务对象（重要企业数）/计划服务对象数（重要企业数）×100%，超过100%计4分，每降低10%扣1分。</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r>
              <w:rPr>
                <w:rFonts w:hint="eastAsia" w:ascii="Arial Narrow" w:hAnsi="Arial Narrow" w:cs="Arial Narrow"/>
                <w:sz w:val="21"/>
                <w:szCs w:val="21"/>
              </w:rPr>
              <w:t>≥100%</w:t>
            </w:r>
          </w:p>
        </w:tc>
      </w:tr>
      <w:tr>
        <w:tblPrEx>
          <w:tblLayout w:type="fixed"/>
          <w:tblCellMar>
            <w:top w:w="15" w:type="dxa"/>
            <w:left w:w="15" w:type="dxa"/>
            <w:bottom w:w="15" w:type="dxa"/>
            <w:right w:w="15" w:type="dxa"/>
          </w:tblCellMar>
        </w:tblPrEx>
        <w:trPr>
          <w:trHeight w:val="876" w:hRule="atLeast"/>
          <w:tblHead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工作作风与服务意识（3分）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如存在违法或不廉洁行为，不得分。</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r>
      <w:tr>
        <w:tblPrEx>
          <w:tblLayout w:type="fixed"/>
        </w:tblPrEx>
        <w:trPr>
          <w:trHeight w:val="835" w:hRule="atLeast"/>
          <w:tblHead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税源户信息完整度（4分）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建立了税源户台账制度计2分，信息全面完整性、信息真实性每项2分。</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r>
      <w:tr>
        <w:tblPrEx>
          <w:tblLayout w:type="fixed"/>
          <w:tblCellMar>
            <w:top w:w="15" w:type="dxa"/>
            <w:left w:w="15" w:type="dxa"/>
            <w:bottom w:w="15" w:type="dxa"/>
            <w:right w:w="15" w:type="dxa"/>
          </w:tblCellMar>
        </w:tblPrEx>
        <w:trPr>
          <w:trHeight w:val="1245" w:hRule="atLeast"/>
          <w:tblHead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完成及时率（3分）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100%</w:t>
            </w: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完成及时率=[1-(实际完成时间-计划完成时间）/计划完成时间]×100%，项目均及时完成计2分，一项未完成扣0.5分</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r>
              <w:rPr>
                <w:rFonts w:hint="eastAsia" w:ascii="Arial Narrow" w:hAnsi="Arial Narrow" w:cs="Arial Narrow"/>
                <w:sz w:val="21"/>
                <w:szCs w:val="21"/>
              </w:rPr>
              <w:t>≥100%</w:t>
            </w:r>
          </w:p>
        </w:tc>
      </w:tr>
      <w:tr>
        <w:tblPrEx>
          <w:tblLayout w:type="fixed"/>
          <w:tblCellMar>
            <w:top w:w="15" w:type="dxa"/>
            <w:left w:w="15" w:type="dxa"/>
            <w:bottom w:w="15" w:type="dxa"/>
            <w:right w:w="15" w:type="dxa"/>
          </w:tblCellMar>
        </w:tblPrEx>
        <w:trPr>
          <w:trHeight w:val="939" w:hRule="atLeast"/>
          <w:tblHead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资金使用率（4分）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资金使用率=项目实际支出金额/项目计划支出额×100%</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r>
              <w:rPr>
                <w:rFonts w:hint="eastAsia" w:ascii="Arial Narrow" w:hAnsi="Arial Narrow" w:cs="Arial Narrow"/>
                <w:sz w:val="21"/>
                <w:szCs w:val="21"/>
              </w:rPr>
              <w:t>≥95%</w:t>
            </w:r>
          </w:p>
        </w:tc>
      </w:tr>
      <w:tr>
        <w:tblPrEx>
          <w:tblLayout w:type="fixed"/>
          <w:tblCellMar>
            <w:top w:w="15" w:type="dxa"/>
            <w:left w:w="15" w:type="dxa"/>
            <w:bottom w:w="15" w:type="dxa"/>
            <w:right w:w="15" w:type="dxa"/>
          </w:tblCellMar>
        </w:tblPrEx>
        <w:trPr>
          <w:trHeight w:val="541" w:hRule="atLeast"/>
          <w:tblHeader/>
        </w:trPr>
        <w:tc>
          <w:tcPr>
            <w:tcW w:w="2283" w:type="dxa"/>
            <w:gridSpan w:val="2"/>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指标名称（权重）</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参照值</w:t>
            </w: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r>
              <w:rPr>
                <w:rFonts w:ascii="Arial Narrow" w:hAnsi="Arial Narrow" w:cs="Arial Narrow"/>
                <w:sz w:val="21"/>
                <w:szCs w:val="21"/>
              </w:rPr>
              <w:t>评分细则</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绩效标准</w:t>
            </w:r>
          </w:p>
        </w:tc>
      </w:tr>
      <w:tr>
        <w:tblPrEx>
          <w:tblLayout w:type="fixed"/>
          <w:tblCellMar>
            <w:top w:w="15" w:type="dxa"/>
            <w:left w:w="15" w:type="dxa"/>
            <w:bottom w:w="15" w:type="dxa"/>
            <w:right w:w="15" w:type="dxa"/>
          </w:tblCellMar>
        </w:tblPrEx>
        <w:trPr>
          <w:trHeight w:val="949" w:hRule="atLeast"/>
          <w:tblHeader/>
        </w:trPr>
        <w:tc>
          <w:tcPr>
            <w:tcW w:w="819" w:type="dxa"/>
            <w:vMerge w:val="restart"/>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center"/>
              <w:rPr>
                <w:rFonts w:ascii="Arial Narrow" w:hAnsi="Arial Narrow" w:cs="Arial Narrow"/>
                <w:sz w:val="21"/>
                <w:szCs w:val="21"/>
              </w:rPr>
            </w:pPr>
            <w:r>
              <w:rPr>
                <w:rFonts w:ascii="Arial Narrow" w:hAnsi="Arial Narrow" w:cs="Arial Narrow"/>
                <w:sz w:val="21"/>
                <w:szCs w:val="21"/>
              </w:rPr>
              <w:t>项目效益</w:t>
            </w:r>
          </w:p>
        </w:tc>
        <w:tc>
          <w:tcPr>
            <w:tcW w:w="146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招商引资完成率（3分）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招商引资完成率=项目实际完成数/项目计划完成数，大于95%，计3分</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r>
              <w:rPr>
                <w:rFonts w:hint="eastAsia" w:ascii="Arial Narrow" w:hAnsi="Arial Narrow" w:cs="Arial Narrow"/>
                <w:sz w:val="21"/>
                <w:szCs w:val="21"/>
              </w:rPr>
              <w:t>≧95%</w:t>
            </w:r>
          </w:p>
        </w:tc>
      </w:tr>
      <w:tr>
        <w:tblPrEx>
          <w:tblLayout w:type="fixed"/>
          <w:tblCellMar>
            <w:top w:w="15" w:type="dxa"/>
            <w:left w:w="15" w:type="dxa"/>
            <w:bottom w:w="15" w:type="dxa"/>
            <w:right w:w="15" w:type="dxa"/>
          </w:tblCellMar>
        </w:tblPrEx>
        <w:trPr>
          <w:trHeight w:val="1377" w:hRule="atLeast"/>
          <w:tblHead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税收投入乘数（4分）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税收投入乘数=今年实际收取的税收金额/开展工作投入资金×100%,超过9计4分，每降低2%扣1分。</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r>
              <w:rPr>
                <w:rFonts w:hint="eastAsia" w:ascii="Arial Narrow" w:hAnsi="Arial Narrow" w:cs="Arial Narrow"/>
                <w:sz w:val="21"/>
                <w:szCs w:val="21"/>
              </w:rPr>
              <w:t>≥9</w:t>
            </w:r>
          </w:p>
        </w:tc>
      </w:tr>
      <w:tr>
        <w:tblPrEx>
          <w:tblLayout w:type="fixed"/>
        </w:tblPrEx>
        <w:trPr>
          <w:trHeight w:val="927" w:hRule="atLeast"/>
          <w:tblHead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税收增长率（6分）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税收增长率=（今年税收总额-上年税收总额）/上年税收总额×100%。</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r>
      <w:tr>
        <w:tblPrEx>
          <w:tblLayout w:type="fixed"/>
          <w:tblCellMar>
            <w:top w:w="15" w:type="dxa"/>
            <w:left w:w="15" w:type="dxa"/>
            <w:bottom w:w="15" w:type="dxa"/>
            <w:right w:w="15" w:type="dxa"/>
          </w:tblCellMar>
        </w:tblPrEx>
        <w:trPr>
          <w:trHeight w:val="1289" w:hRule="atLeast"/>
          <w:tblHead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税源分析预测情况（6分）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若项目实施单位为辖区从事生产经营的纳税人提供政策宣传、业务咨询等服务，为纳税人办理涉税事项提供业务指导，计6分，每少一项扣2分。</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r>
      <w:tr>
        <w:tblPrEx>
          <w:tblLayout w:type="fixed"/>
          <w:tblCellMar>
            <w:top w:w="15" w:type="dxa"/>
            <w:left w:w="15" w:type="dxa"/>
            <w:bottom w:w="15" w:type="dxa"/>
            <w:right w:w="15" w:type="dxa"/>
          </w:tblCellMar>
        </w:tblPrEx>
        <w:trPr>
          <w:trHeight w:val="1301" w:hRule="atLeast"/>
          <w:tblHead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涉税政策业务指导（6分）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若项目实施单位为辖区从事生产经营的纳税人提供政策宣传、业务咨询等服务，为纳税人办理涉税事项提供业务指导，计6分，每少一项扣2分。</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r>
      <w:tr>
        <w:tblPrEx>
          <w:tblLayout w:type="fixed"/>
          <w:tblCellMar>
            <w:top w:w="15" w:type="dxa"/>
            <w:left w:w="15" w:type="dxa"/>
            <w:bottom w:w="15" w:type="dxa"/>
            <w:right w:w="15" w:type="dxa"/>
          </w:tblCellMar>
        </w:tblPrEx>
        <w:trPr>
          <w:trHeight w:val="1265" w:hRule="atLeast"/>
          <w:tblHead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可持续性（4分）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项目实施单位有机构设置和充足的人员配备支持项目实施的后续运行计2分，有进行后续跟踪服务和回访服务的计2分，否则计0分。</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r>
      <w:tr>
        <w:tblPrEx>
          <w:tblLayout w:type="fixed"/>
          <w:tblCellMar>
            <w:top w:w="15" w:type="dxa"/>
            <w:left w:w="15" w:type="dxa"/>
            <w:bottom w:w="15" w:type="dxa"/>
            <w:right w:w="15" w:type="dxa"/>
          </w:tblCellMar>
        </w:tblPrEx>
        <w:trPr>
          <w:trHeight w:val="894" w:hRule="atLeast"/>
          <w:tblHeader/>
        </w:trPr>
        <w:tc>
          <w:tcPr>
            <w:tcW w:w="81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1464"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服务对象满意度（8分）</w:t>
            </w:r>
          </w:p>
        </w:tc>
        <w:tc>
          <w:tcPr>
            <w:tcW w:w="851"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p>
        </w:tc>
        <w:tc>
          <w:tcPr>
            <w:tcW w:w="4252" w:type="dxa"/>
            <w:tcBorders>
              <w:top w:val="single" w:color="000000" w:sz="4" w:space="0"/>
              <w:left w:val="single" w:color="000000" w:sz="4" w:space="0"/>
              <w:bottom w:val="single" w:color="000000" w:sz="4" w:space="0"/>
              <w:right w:val="single" w:color="000000" w:sz="4" w:space="0"/>
            </w:tcBorders>
            <w:vAlign w:val="center"/>
          </w:tcPr>
          <w:p>
            <w:pPr>
              <w:snapToGrid w:val="0"/>
              <w:ind w:firstLine="0" w:firstLineChars="0"/>
              <w:jc w:val="left"/>
              <w:rPr>
                <w:rFonts w:ascii="Arial Narrow" w:hAnsi="Arial Narrow" w:cs="Arial Narrow"/>
                <w:sz w:val="21"/>
                <w:szCs w:val="21"/>
              </w:rPr>
            </w:pPr>
            <w:r>
              <w:rPr>
                <w:rFonts w:ascii="Arial Narrow" w:hAnsi="Arial Narrow" w:cs="Arial Narrow"/>
                <w:sz w:val="21"/>
                <w:szCs w:val="21"/>
              </w:rPr>
              <w:t>服务对象的满意度，采取问卷调查的方式获取。每降低10%，扣1分</w:t>
            </w:r>
          </w:p>
        </w:tc>
        <w:tc>
          <w:tcPr>
            <w:tcW w:w="1254" w:type="dxa"/>
            <w:tcBorders>
              <w:top w:val="single" w:color="000000" w:sz="4" w:space="0"/>
              <w:left w:val="single" w:color="000000" w:sz="4" w:space="0"/>
              <w:bottom w:val="single" w:color="000000" w:sz="4" w:space="0"/>
              <w:right w:val="single" w:color="000000" w:sz="4" w:space="0"/>
            </w:tcBorders>
            <w:vAlign w:val="center"/>
          </w:tcPr>
          <w:p>
            <w:pPr>
              <w:snapToGrid w:val="0"/>
              <w:ind w:firstLine="420"/>
              <w:jc w:val="left"/>
              <w:rPr>
                <w:rFonts w:ascii="Arial Narrow" w:hAnsi="Arial Narrow" w:cs="Arial Narrow"/>
                <w:sz w:val="21"/>
                <w:szCs w:val="21"/>
              </w:rPr>
            </w:pPr>
            <w:r>
              <w:rPr>
                <w:rFonts w:hint="eastAsia" w:ascii="Arial Narrow" w:hAnsi="Arial Narrow" w:cs="Arial Narrow"/>
                <w:sz w:val="21"/>
                <w:szCs w:val="21"/>
              </w:rPr>
              <w:t>≥85%</w:t>
            </w:r>
          </w:p>
        </w:tc>
      </w:tr>
    </w:tbl>
    <w:p>
      <w:pPr>
        <w:snapToGrid w:val="0"/>
        <w:ind w:firstLine="0" w:firstLineChars="0"/>
        <w:jc w:val="left"/>
        <w:rPr>
          <w:rFonts w:ascii="Arial Narrow" w:hAnsi="Arial Narrow" w:cs="Arial Narrow"/>
          <w:b/>
        </w:rPr>
      </w:pPr>
    </w:p>
    <w:p>
      <w:pPr>
        <w:numPr>
          <w:ilvl w:val="0"/>
          <w:numId w:val="1"/>
        </w:numPr>
        <w:snapToGrid w:val="0"/>
        <w:ind w:firstLineChars="0"/>
        <w:jc w:val="left"/>
        <w:rPr>
          <w:rFonts w:ascii="Arial Narrow" w:hAnsi="Arial Narrow" w:cs="Arial Narrow"/>
          <w:bCs/>
        </w:rPr>
      </w:pPr>
      <w:r>
        <w:rPr>
          <w:rFonts w:ascii="Arial Narrow" w:hAnsi="Arial Narrow" w:cs="Arial Narrow"/>
          <w:bCs/>
        </w:rPr>
        <w:t>绩效评价指标体系补充说明</w:t>
      </w:r>
    </w:p>
    <w:p>
      <w:pPr>
        <w:snapToGrid w:val="0"/>
        <w:ind w:left="360" w:firstLine="0" w:firstLineChars="0"/>
        <w:jc w:val="left"/>
        <w:rPr>
          <w:rFonts w:ascii="Arial Narrow" w:hAnsi="Arial Narrow" w:cs="Arial Narrow"/>
          <w:bCs/>
        </w:rPr>
      </w:pPr>
      <w:r>
        <w:rPr>
          <w:rFonts w:ascii="Arial Narrow" w:hAnsi="Arial Narrow" w:cs="Arial Narrow"/>
          <w:bCs/>
        </w:rPr>
        <w:t>以下评价指标均为新增，调整情况如下</w:t>
      </w:r>
    </w:p>
    <w:p>
      <w:pPr>
        <w:snapToGrid w:val="0"/>
        <w:ind w:firstLine="480"/>
        <w:jc w:val="left"/>
        <w:rPr>
          <w:rFonts w:ascii="Arial Narrow" w:hAnsi="Arial Narrow" w:cs="Arial Narrow"/>
          <w:bCs/>
        </w:rPr>
      </w:pPr>
      <w:r>
        <w:rPr>
          <w:rFonts w:hint="eastAsia" w:ascii="宋体" w:hAnsi="宋体" w:eastAsia="宋体" w:cs="宋体"/>
          <w:bCs/>
        </w:rPr>
        <w:t>①</w:t>
      </w:r>
      <w:r>
        <w:rPr>
          <w:rFonts w:ascii="Arial Narrow" w:hAnsi="Arial Narrow" w:cs="Arial Narrow"/>
          <w:bCs/>
        </w:rPr>
        <w:t>新增“税收完成率”“协税工作人员到位率”“重要企业协税服务完成率”“工作作风与服务意识”“税源户信息完整度”，调整原因：根据项目实际产出与社会效益，新增上述指标以反映项目数量、质量目标的实现程度以及项目的社会效益。</w:t>
      </w:r>
    </w:p>
    <w:p>
      <w:pPr>
        <w:snapToGrid w:val="0"/>
        <w:ind w:firstLine="480"/>
        <w:jc w:val="left"/>
        <w:rPr>
          <w:rFonts w:ascii="Arial Narrow" w:hAnsi="Arial Narrow" w:cs="Arial Narrow"/>
          <w:bCs/>
        </w:rPr>
      </w:pPr>
      <w:r>
        <w:rPr>
          <w:rFonts w:hint="eastAsia" w:ascii="宋体" w:hAnsi="宋体" w:eastAsia="宋体" w:cs="宋体"/>
          <w:bCs/>
        </w:rPr>
        <w:t>②</w:t>
      </w:r>
      <w:r>
        <w:rPr>
          <w:rFonts w:ascii="Arial Narrow" w:hAnsi="Arial Narrow" w:cs="Arial Narrow"/>
          <w:bCs/>
        </w:rPr>
        <w:t>新增 “招商引资完成率”“税收投入乘数”“税收增长率”“税源分析预测情况”“涉税政策业务指导”，调整原因：根据项目实际产出与社会效益，新增上述指标从协税过程、协税结果等多方面反映项目的社会效益。</w:t>
      </w:r>
    </w:p>
    <w:p>
      <w:pPr>
        <w:snapToGrid w:val="0"/>
        <w:ind w:firstLine="241" w:firstLineChars="100"/>
        <w:jc w:val="left"/>
        <w:rPr>
          <w:rFonts w:ascii="Arial Narrow" w:hAnsi="Arial Narrow" w:cs="Arial Narrow"/>
          <w:b/>
        </w:rPr>
      </w:pPr>
      <w:r>
        <w:rPr>
          <w:rFonts w:ascii="Arial Narrow" w:hAnsi="Arial Narrow" w:cs="Arial Narrow"/>
          <w:b/>
        </w:rPr>
        <w:t>4.评价方法</w:t>
      </w:r>
    </w:p>
    <w:p>
      <w:pPr>
        <w:snapToGrid w:val="0"/>
        <w:ind w:firstLine="482"/>
        <w:jc w:val="center"/>
        <w:rPr>
          <w:rFonts w:ascii="Arial Narrow" w:hAnsi="Arial Narrow" w:cs="Arial Narrow"/>
          <w:b/>
        </w:rPr>
      </w:pPr>
      <w:r>
        <w:rPr>
          <w:rFonts w:ascii="Arial Narrow" w:hAnsi="Arial Narrow" w:cs="Arial Narrow"/>
          <w:b/>
          <w:bCs/>
        </w:rPr>
        <w:drawing>
          <wp:inline distT="0" distB="0" distL="0" distR="0">
            <wp:extent cx="3754755" cy="1942465"/>
            <wp:effectExtent l="76200" t="0" r="74295" b="0"/>
            <wp:docPr id="9" name="组织结构图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pPr>
        <w:snapToGrid w:val="0"/>
        <w:ind w:firstLine="480"/>
        <w:rPr>
          <w:rFonts w:ascii="Arial Narrow" w:hAnsi="Arial Narrow" w:cs="Arial Narrow"/>
        </w:rPr>
      </w:pPr>
      <w:r>
        <w:rPr>
          <w:rFonts w:ascii="Arial Narrow" w:hAnsi="Arial Narrow" w:cs="Arial Narrow"/>
        </w:rPr>
        <w:t>（1）综合评分方法</w:t>
      </w:r>
    </w:p>
    <w:p>
      <w:pPr>
        <w:snapToGrid w:val="0"/>
        <w:ind w:firstLine="480"/>
        <w:rPr>
          <w:rFonts w:ascii="Arial Narrow" w:hAnsi="Arial Narrow" w:cs="Arial Narrow"/>
        </w:rPr>
      </w:pPr>
      <w:r>
        <w:rPr>
          <w:rFonts w:ascii="Arial Narrow" w:hAnsi="Arial Narrow" w:cs="Arial Narrow"/>
        </w:rPr>
        <w:t>评价采用加权平均法进行综合评分，通过对</w:t>
      </w:r>
      <w:r>
        <w:rPr>
          <w:rFonts w:hint="eastAsia" w:ascii="Arial Narrow" w:hAnsi="Arial Narrow" w:cs="Arial Narrow"/>
        </w:rPr>
        <w:t>协税工作经费项目</w:t>
      </w:r>
      <w:r>
        <w:rPr>
          <w:rFonts w:ascii="Arial Narrow" w:hAnsi="Arial Narrow" w:cs="Arial Narrow"/>
        </w:rPr>
        <w:t>绩效目标与实际实施效果的对比，综合分析其绩效目标实现程度，对各项指标要素评分，结合各项评分值与指标要素权重得出评价综合分值。</w:t>
      </w:r>
    </w:p>
    <w:p>
      <w:pPr>
        <w:snapToGrid w:val="0"/>
        <w:ind w:firstLine="480"/>
        <w:rPr>
          <w:rFonts w:ascii="Arial Narrow" w:hAnsi="Arial Narrow" w:cs="Arial Narrow"/>
        </w:rPr>
      </w:pPr>
      <w:r>
        <w:rPr>
          <w:rFonts w:ascii="Arial Narrow" w:hAnsi="Arial Narrow" w:cs="Arial Narrow"/>
        </w:rPr>
        <w:t>（2）指标计算方法</w:t>
      </w:r>
    </w:p>
    <w:p>
      <w:pPr>
        <w:snapToGrid w:val="0"/>
        <w:ind w:firstLine="480"/>
        <w:rPr>
          <w:rFonts w:ascii="Arial Narrow" w:hAnsi="Arial Narrow" w:cs="Arial Narrow"/>
        </w:rPr>
      </w:pPr>
      <w:r>
        <w:rPr>
          <w:rFonts w:ascii="Arial Narrow" w:hAnsi="Arial Narrow" w:cs="Arial Narrow"/>
        </w:rPr>
        <w:t>评价采用比率法对指标进行计算，先计算出指标实现值与指标标准值的比率，再将该项比率和对应指标满分值相乘，取整后得出指标评分值。</w:t>
      </w:r>
    </w:p>
    <w:p>
      <w:pPr>
        <w:snapToGrid w:val="0"/>
        <w:ind w:firstLine="480"/>
        <w:rPr>
          <w:rFonts w:ascii="Arial Narrow" w:hAnsi="Arial Narrow" w:cs="Arial Narrow"/>
        </w:rPr>
      </w:pPr>
      <w:r>
        <w:rPr>
          <w:rFonts w:ascii="Arial Narrow" w:hAnsi="Arial Narrow" w:cs="Arial Narrow"/>
        </w:rPr>
        <w:t>（3）权重确定方法</w:t>
      </w:r>
    </w:p>
    <w:p>
      <w:pPr>
        <w:snapToGrid w:val="0"/>
        <w:ind w:firstLine="480"/>
        <w:rPr>
          <w:rFonts w:ascii="Arial Narrow" w:hAnsi="Arial Narrow" w:cs="Arial Narrow"/>
        </w:rPr>
      </w:pPr>
      <w:r>
        <w:rPr>
          <w:rFonts w:ascii="Arial Narrow" w:hAnsi="Arial Narrow" w:cs="Arial Narrow"/>
        </w:rPr>
        <w:t>评价指标的权重量化参考《武昌区财政支出绩效评价管理暂行办法》，同时采用了逐项对比法和层次分析法，对每个层次的指标根据重要性依次进行比较并确定权重值。</w:t>
      </w:r>
    </w:p>
    <w:p>
      <w:pPr>
        <w:snapToGrid w:val="0"/>
        <w:ind w:firstLine="480"/>
        <w:rPr>
          <w:rFonts w:ascii="Arial Narrow" w:hAnsi="Arial Narrow" w:cs="Arial Narrow"/>
        </w:rPr>
      </w:pPr>
      <w:r>
        <w:rPr>
          <w:rFonts w:ascii="Arial Narrow" w:hAnsi="Arial Narrow" w:cs="Arial Narrow"/>
        </w:rPr>
        <w:t>（4）标准值的确定方法</w:t>
      </w:r>
    </w:p>
    <w:p>
      <w:pPr>
        <w:snapToGrid w:val="0"/>
        <w:ind w:firstLine="480"/>
        <w:rPr>
          <w:rFonts w:ascii="Arial Narrow" w:hAnsi="Arial Narrow" w:cs="Arial Narrow"/>
        </w:rPr>
      </w:pPr>
      <w:r>
        <w:rPr>
          <w:rFonts w:ascii="Arial Narrow" w:hAnsi="Arial Narrow" w:cs="Arial Narrow"/>
        </w:rPr>
        <w:t>本次评价采用了计划标准、历史标准或经验标准来确定标准值。以预先制定的目标、计划、预算、定额等数据作为评价标准，或者参照同类指标的历史数据或经验数据确定标准值。</w:t>
      </w:r>
    </w:p>
    <w:p>
      <w:pPr>
        <w:snapToGrid w:val="0"/>
        <w:ind w:firstLine="482"/>
        <w:jc w:val="left"/>
        <w:rPr>
          <w:rFonts w:ascii="Arial Narrow" w:hAnsi="Arial Narrow" w:cs="Arial Narrow"/>
          <w:b/>
        </w:rPr>
      </w:pPr>
      <w:r>
        <w:rPr>
          <w:rFonts w:ascii="Arial Narrow" w:hAnsi="Arial Narrow" w:cs="Arial Narrow"/>
          <w:b/>
        </w:rPr>
        <w:t>（四）证据收集方式</w:t>
      </w:r>
    </w:p>
    <w:p>
      <w:pPr>
        <w:snapToGrid w:val="0"/>
        <w:ind w:firstLine="480"/>
        <w:rPr>
          <w:rFonts w:ascii="Arial Narrow" w:hAnsi="Arial Narrow" w:cs="Arial Narrow"/>
        </w:rPr>
      </w:pPr>
      <w:r>
        <w:rPr>
          <w:rFonts w:ascii="Arial Narrow" w:hAnsi="Arial Narrow" w:cs="Arial Narrow"/>
        </w:rPr>
        <w:t>“</w:t>
      </w:r>
      <w:r>
        <w:rPr>
          <w:rFonts w:hint="eastAsia" w:ascii="Arial Narrow" w:hAnsi="Arial Narrow" w:cs="Arial Narrow"/>
        </w:rPr>
        <w:t>协税工作经费项目</w:t>
      </w:r>
      <w:r>
        <w:rPr>
          <w:rFonts w:ascii="Arial Narrow" w:hAnsi="Arial Narrow" w:cs="Arial Narrow"/>
        </w:rPr>
        <w:t>”绩效评价计划采取深入项目单位实地察看、面访、座谈、查阅相关资料、核查财务凭证等证据收集方法，获取大量高质量和准确可靠的数据信息，同时对项目实施相关机构进行访谈，发放调查问卷，收集绩效评价所需的基础性资料。</w:t>
      </w:r>
    </w:p>
    <w:p>
      <w:pPr>
        <w:snapToGrid w:val="0"/>
        <w:ind w:firstLine="480"/>
        <w:rPr>
          <w:rFonts w:ascii="Arial Narrow" w:hAnsi="Arial Narrow" w:cs="Arial Narrow"/>
        </w:rPr>
      </w:pPr>
      <w:r>
        <w:rPr>
          <w:rFonts w:hint="eastAsia" w:ascii="Arial Narrow" w:hAnsi="Arial Narrow" w:cs="Arial Narrow"/>
        </w:rPr>
        <w:t>1、</w:t>
      </w:r>
      <w:r>
        <w:rPr>
          <w:rFonts w:ascii="Arial Narrow" w:hAnsi="Arial Narrow" w:cs="Arial Narrow"/>
        </w:rPr>
        <w:t>评价信息资料的收集途径。评价小组前往项目实施单位，负责人和财务人员收集相关资料文件，对其进行访谈，了解各项目的开展过程和效果，并向社区居民直接发放调查问卷采集信息。</w:t>
      </w:r>
    </w:p>
    <w:p>
      <w:pPr>
        <w:snapToGrid w:val="0"/>
        <w:ind w:firstLine="480"/>
        <w:rPr>
          <w:rFonts w:ascii="Arial Narrow" w:hAnsi="Arial Narrow" w:cs="Arial Narrow"/>
        </w:rPr>
      </w:pPr>
      <w:r>
        <w:rPr>
          <w:rFonts w:hint="eastAsia" w:ascii="Arial Narrow" w:hAnsi="Arial Narrow" w:cs="Arial Narrow"/>
        </w:rPr>
        <w:t>2、</w:t>
      </w:r>
      <w:r>
        <w:rPr>
          <w:rFonts w:ascii="Arial Narrow" w:hAnsi="Arial Narrow" w:cs="Arial Narrow"/>
        </w:rPr>
        <w:t>信息资料的验证方式。财务数据方面，评价小组在项目现场查阅项目经费使用凭证、经费支出明细表及原始附件，将统计表与凭证明细进行核对，与项目相关人员进行经费使用情况的核实；项目实施方面，评价小组通过现场访谈、调查问卷的方式，从项目实施单位和服务对象多方面了解，将了解的信息与收集的资料进行对比验证。</w:t>
      </w:r>
    </w:p>
    <w:p>
      <w:pPr>
        <w:snapToGrid w:val="0"/>
        <w:ind w:firstLine="480"/>
        <w:rPr>
          <w:rFonts w:ascii="Arial Narrow" w:hAnsi="Arial Narrow" w:cs="Arial Narrow"/>
        </w:rPr>
      </w:pPr>
      <w:r>
        <w:rPr>
          <w:rFonts w:hint="eastAsia" w:ascii="Arial Narrow" w:hAnsi="Arial Narrow" w:cs="Arial Narrow"/>
        </w:rPr>
        <w:t>3、</w:t>
      </w:r>
      <w:r>
        <w:rPr>
          <w:rFonts w:ascii="Arial Narrow" w:hAnsi="Arial Narrow" w:cs="Arial Narrow"/>
        </w:rPr>
        <w:t>调查访谈、现场查勘方式与安排。2018年05月07-08日在现场收集、整理资料并了解情况，并于2018年05月16日与项目负责人进行访谈；2018年05月18日对社区居民进行问卷调查，收集相关证据。</w:t>
      </w:r>
    </w:p>
    <w:p>
      <w:pPr>
        <w:snapToGrid w:val="0"/>
        <w:ind w:firstLine="480"/>
        <w:rPr>
          <w:rFonts w:ascii="Arial Narrow" w:hAnsi="Arial Narrow" w:cs="Arial Narrow"/>
        </w:rPr>
      </w:pPr>
      <w:r>
        <w:rPr>
          <w:rFonts w:hint="eastAsia" w:ascii="Arial Narrow" w:hAnsi="Arial Narrow" w:cs="Arial Narrow"/>
        </w:rPr>
        <w:t>4、</w:t>
      </w:r>
      <w:r>
        <w:rPr>
          <w:rFonts w:ascii="Arial Narrow" w:hAnsi="Arial Narrow" w:cs="Arial Narrow"/>
        </w:rPr>
        <w:t>调查问卷的制作与安排。调查问卷由绩效评价小组根据项目资料，结合绩效指标框架，针对项目实际情况，设计合理的调查问题，收集相关、有效的问卷信息，综合分析调查结果，便于对项目进行评价。评价小组根据统计抽样法</w:t>
      </w:r>
      <w:r>
        <w:rPr>
          <w:rFonts w:hint="eastAsia" w:ascii="Arial Narrow" w:hAnsi="Arial Narrow" w:cs="Arial Narrow"/>
          <w:lang w:eastAsia="zh-CN"/>
        </w:rPr>
        <w:t>对</w:t>
      </w:r>
      <w:r>
        <w:rPr>
          <w:rFonts w:ascii="Arial Narrow" w:hAnsi="Arial Narrow" w:cs="Arial Narrow"/>
        </w:rPr>
        <w:t>水果湖街的</w:t>
      </w:r>
      <w:r>
        <w:rPr>
          <w:rFonts w:hint="eastAsia" w:ascii="Arial Narrow" w:hAnsi="Arial Narrow" w:cs="Arial Narrow"/>
          <w:lang w:eastAsia="zh-CN"/>
        </w:rPr>
        <w:t>调查辖区内企业</w:t>
      </w:r>
      <w:r>
        <w:rPr>
          <w:rFonts w:ascii="Arial Narrow" w:hAnsi="Arial Narrow" w:cs="Arial Narrow"/>
        </w:rPr>
        <w:t>发放调查问卷</w:t>
      </w:r>
      <w:r>
        <w:rPr>
          <w:rFonts w:ascii="Arial Narrow" w:hAnsi="Arial Narrow" w:cs="Arial Narrow"/>
        </w:rPr>
        <w:t>。</w:t>
      </w:r>
    </w:p>
    <w:bookmarkEnd w:id="39"/>
    <w:bookmarkEnd w:id="40"/>
    <w:bookmarkEnd w:id="41"/>
    <w:bookmarkEnd w:id="42"/>
    <w:bookmarkEnd w:id="43"/>
    <w:p>
      <w:pPr>
        <w:snapToGrid w:val="0"/>
        <w:ind w:firstLine="482"/>
        <w:outlineLvl w:val="0"/>
        <w:rPr>
          <w:rFonts w:ascii="Arial Narrow" w:hAnsi="Arial Narrow" w:cs="Arial Narrow"/>
          <w:b/>
        </w:rPr>
      </w:pPr>
      <w:bookmarkStart w:id="44" w:name="_Toc479252059"/>
      <w:bookmarkStart w:id="45" w:name="_Toc361304693"/>
      <w:bookmarkStart w:id="46" w:name="_Toc18443"/>
      <w:bookmarkStart w:id="47" w:name="_Toc406668044"/>
      <w:bookmarkStart w:id="48" w:name="_Toc406666370"/>
      <w:bookmarkStart w:id="49" w:name="_Toc387957819"/>
      <w:bookmarkStart w:id="50" w:name="_Toc5732"/>
      <w:bookmarkStart w:id="51" w:name="_Toc406668049"/>
      <w:bookmarkStart w:id="52" w:name="_Toc479252062"/>
      <w:bookmarkStart w:id="53" w:name="_Toc406666375"/>
      <w:bookmarkStart w:id="54" w:name="_Toc387957824"/>
      <w:r>
        <w:rPr>
          <w:rFonts w:ascii="Arial Narrow" w:hAnsi="Arial Narrow" w:cs="Arial Narrow"/>
          <w:b/>
        </w:rPr>
        <w:t>三、绩效分析</w:t>
      </w:r>
      <w:bookmarkEnd w:id="44"/>
      <w:bookmarkEnd w:id="45"/>
      <w:bookmarkEnd w:id="46"/>
      <w:bookmarkEnd w:id="47"/>
      <w:bookmarkEnd w:id="48"/>
      <w:bookmarkEnd w:id="49"/>
    </w:p>
    <w:p>
      <w:pPr>
        <w:snapToGrid w:val="0"/>
        <w:ind w:firstLine="482"/>
        <w:outlineLvl w:val="1"/>
        <w:rPr>
          <w:rFonts w:ascii="Arial Narrow" w:hAnsi="Arial Narrow" w:cs="Arial Narrow"/>
          <w:b/>
          <w:bCs/>
        </w:rPr>
      </w:pPr>
      <w:bookmarkStart w:id="55" w:name="_Toc2992"/>
      <w:bookmarkStart w:id="56" w:name="_Toc479252060"/>
      <w:bookmarkStart w:id="57" w:name="_Toc361304697"/>
      <w:bookmarkStart w:id="58" w:name="_Toc361302034"/>
      <w:bookmarkStart w:id="59" w:name="_Toc406668047"/>
      <w:bookmarkStart w:id="60" w:name="_Toc387957822"/>
      <w:bookmarkStart w:id="61" w:name="_Toc406666373"/>
      <w:r>
        <w:rPr>
          <w:rFonts w:ascii="Arial Narrow" w:hAnsi="Arial Narrow" w:cs="Arial Narrow"/>
          <w:b/>
          <w:bCs/>
        </w:rPr>
        <w:t>（一）项目</w:t>
      </w:r>
      <w:bookmarkStart w:id="62" w:name="_Toc394181010"/>
      <w:r>
        <w:rPr>
          <w:rFonts w:ascii="Arial Narrow" w:hAnsi="Arial Narrow" w:cs="Arial Narrow"/>
          <w:b/>
          <w:bCs/>
        </w:rPr>
        <w:t>投入（15分）</w:t>
      </w:r>
      <w:bookmarkEnd w:id="55"/>
      <w:bookmarkEnd w:id="56"/>
      <w:bookmarkEnd w:id="62"/>
    </w:p>
    <w:p>
      <w:pPr>
        <w:snapToGrid w:val="0"/>
        <w:ind w:firstLine="480"/>
        <w:rPr>
          <w:rFonts w:hint="eastAsia" w:ascii="Arial Narrow" w:hAnsi="Arial Narrow" w:cs="Arial Narrow"/>
        </w:rPr>
      </w:pPr>
      <w:bookmarkStart w:id="63" w:name="_Toc394490596"/>
      <w:bookmarkStart w:id="64" w:name="_Toc394181009"/>
      <w:r>
        <w:rPr>
          <w:rFonts w:ascii="Arial Narrow" w:hAnsi="Arial Narrow" w:cs="Arial Narrow"/>
        </w:rPr>
        <w:t>根据评价原则，项目投入评价得分为13.5分，评价结果为优。</w:t>
      </w:r>
      <w:bookmarkEnd w:id="63"/>
      <w:bookmarkEnd w:id="64"/>
      <w:bookmarkStart w:id="65" w:name="_Toc394490597"/>
    </w:p>
    <w:p>
      <w:pPr>
        <w:snapToGrid w:val="0"/>
        <w:ind w:firstLine="480"/>
        <w:rPr>
          <w:rFonts w:ascii="Arial Narrow" w:hAnsi="Arial Narrow" w:cs="Arial Narrow"/>
        </w:rPr>
      </w:pPr>
      <w:r>
        <w:drawing>
          <wp:inline distT="0" distB="0" distL="114300" distR="114300">
            <wp:extent cx="4070350" cy="24434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2"/>
                    <a:srcRect r="727" b="-1119"/>
                    <a:stretch>
                      <a:fillRect/>
                    </a:stretch>
                  </pic:blipFill>
                  <pic:spPr>
                    <a:xfrm>
                      <a:off x="0" y="0"/>
                      <a:ext cx="4072385" cy="2445253"/>
                    </a:xfrm>
                    <a:prstGeom prst="rect">
                      <a:avLst/>
                    </a:prstGeom>
                    <a:noFill/>
                    <a:ln w="9525">
                      <a:noFill/>
                    </a:ln>
                  </pic:spPr>
                </pic:pic>
              </a:graphicData>
            </a:graphic>
          </wp:inline>
        </w:drawing>
      </w:r>
    </w:p>
    <w:p>
      <w:pPr>
        <w:snapToGrid w:val="0"/>
        <w:ind w:firstLine="480"/>
        <w:rPr>
          <w:rFonts w:ascii="Arial Narrow" w:hAnsi="Arial Narrow" w:cs="Arial Narrow"/>
        </w:rPr>
      </w:pPr>
      <w:r>
        <w:rPr>
          <w:rFonts w:ascii="Arial Narrow" w:hAnsi="Arial Narrow" w:cs="Arial Narrow"/>
        </w:rPr>
        <w:t>投入方面主要评价项目立项规范性、绩效目标合理性、资金到位率、到位及时率情况。对于该项的评价，绩效评价工作小组主要采取了案卷研究、访谈等方式进行资料收集、整理和分析，我们还查看了水果湖街道办事处预算批复</w:t>
      </w:r>
      <w:r>
        <w:rPr>
          <w:rFonts w:hint="eastAsia" w:ascii="Arial Narrow" w:hAnsi="Arial Narrow" w:cs="Arial Narrow"/>
        </w:rPr>
        <w:t>及协税工作经费项目支出明细账</w:t>
      </w:r>
      <w:r>
        <w:rPr>
          <w:rFonts w:ascii="Arial Narrow" w:hAnsi="Arial Narrow" w:cs="Arial Narrow"/>
        </w:rPr>
        <w:t>等资料，对项目投入涉及的指标进行打分，并逐级加权计算结果。</w:t>
      </w:r>
    </w:p>
    <w:bookmarkEnd w:id="65"/>
    <w:p>
      <w:pPr>
        <w:pStyle w:val="38"/>
        <w:numPr>
          <w:ilvl w:val="0"/>
          <w:numId w:val="2"/>
        </w:numPr>
        <w:snapToGrid w:val="0"/>
        <w:ind w:firstLineChars="0"/>
        <w:rPr>
          <w:rFonts w:ascii="Arial Narrow" w:hAnsi="Arial Narrow" w:cs="Arial Narrow"/>
          <w:b/>
          <w:bCs/>
        </w:rPr>
      </w:pPr>
      <w:r>
        <w:rPr>
          <w:rFonts w:ascii="Arial Narrow" w:hAnsi="Arial Narrow" w:cs="Arial Narrow"/>
          <w:b/>
          <w:bCs/>
        </w:rPr>
        <w:t>项目立项（7分）</w:t>
      </w:r>
    </w:p>
    <w:p>
      <w:pPr>
        <w:snapToGrid w:val="0"/>
        <w:ind w:firstLine="480"/>
        <w:rPr>
          <w:rFonts w:ascii="Arial Narrow" w:hAnsi="Arial Narrow" w:cs="Arial Narrow"/>
        </w:rPr>
      </w:pPr>
      <w:r>
        <w:rPr>
          <w:rFonts w:ascii="Arial Narrow" w:hAnsi="Arial Narrow" w:cs="Arial Narrow"/>
        </w:rPr>
        <w:t>项目立项是指项目所设定的绩效目标是否参考相关的依据，并且对项目的具体目标进行细化、量化。项目目标主要通过绩效目标合理性与项目目标规范性两个指标反映。该项指标评价得分为5.5分，评价结果为中。</w:t>
      </w:r>
    </w:p>
    <w:p>
      <w:pPr>
        <w:snapToGrid w:val="0"/>
        <w:ind w:firstLine="480"/>
        <w:rPr>
          <w:rFonts w:ascii="Arial Narrow" w:hAnsi="Arial Narrow" w:cs="Arial Narrow"/>
        </w:rPr>
      </w:pPr>
      <w:r>
        <w:rPr>
          <w:rFonts w:ascii="Arial Narrow" w:hAnsi="Arial Narrow" w:cs="Arial Narrow"/>
        </w:rPr>
        <w:t>（1）项目立项规范性是指</w:t>
      </w:r>
      <w:r>
        <w:rPr>
          <w:rFonts w:hint="eastAsia" w:ascii="Arial Narrow" w:hAnsi="Arial Narrow" w:cs="Arial Narrow"/>
        </w:rPr>
        <w:t>项目的申请、设立过程是否符合相关要求，用以反映和考核项目立项的规范情况</w:t>
      </w:r>
      <w:r>
        <w:rPr>
          <w:rFonts w:ascii="Arial Narrow" w:hAnsi="Arial Narrow" w:cs="Arial Narrow"/>
        </w:rPr>
        <w:t>。</w:t>
      </w:r>
      <w:r>
        <w:rPr>
          <w:rFonts w:hint="eastAsia" w:ascii="Arial Narrow" w:hAnsi="Arial Narrow" w:cs="Arial Narrow"/>
        </w:rPr>
        <w:t>项目评价小组通过《武昌区财政局关于武昌区人民政府水果湖街办事处2017年部门预算的批复》了解到</w:t>
      </w:r>
      <w:r>
        <w:rPr>
          <w:rFonts w:ascii="Arial Narrow" w:hAnsi="Arial Narrow" w:cs="Arial Narrow"/>
        </w:rPr>
        <w:t>，</w:t>
      </w:r>
      <w:r>
        <w:rPr>
          <w:rFonts w:hint="eastAsia" w:ascii="Arial Narrow" w:hAnsi="Arial Narrow" w:cs="Arial Narrow"/>
        </w:rPr>
        <w:t>项目仅有武昌区财政局关于武昌区人民政府水果湖街办事处2017年部门预算的批复，未制定合理资金规划方案，扣1.5分，该项指标得分1.5分</w:t>
      </w:r>
      <w:r>
        <w:rPr>
          <w:rFonts w:ascii="Arial Narrow" w:hAnsi="Arial Narrow" w:cs="Arial Narrow"/>
        </w:rPr>
        <w:t>。</w:t>
      </w:r>
    </w:p>
    <w:p>
      <w:pPr>
        <w:snapToGrid w:val="0"/>
        <w:ind w:firstLine="480"/>
        <w:rPr>
          <w:rFonts w:ascii="Arial Narrow" w:hAnsi="Arial Narrow" w:cs="Arial Narrow"/>
        </w:rPr>
      </w:pPr>
      <w:r>
        <w:rPr>
          <w:rFonts w:ascii="Arial Narrow" w:hAnsi="Arial Narrow" w:cs="Arial Narrow"/>
        </w:rPr>
        <w:t>（2）绩效目标合理性指标是指项目所设定的绩效目标是否依据充分，是否符合客观实际，用以反映和考核项目绩效目标与项目实施的相符情况。依据《关于2017年街道协税护税指标考评计分办法》、《招商引资考评计分办法》和《2017年精准服务企业指标考评计分办法》</w:t>
      </w:r>
      <w:r>
        <w:rPr>
          <w:rFonts w:hint="eastAsia" w:ascii="Arial Narrow" w:hAnsi="Arial Narrow" w:cs="Arial Narrow"/>
        </w:rPr>
        <w:t>了解到，该项目符合国家相关法律法规并与项目实施单位职责密切相关，该项指标得分4分</w:t>
      </w:r>
      <w:r>
        <w:rPr>
          <w:rFonts w:ascii="Arial Narrow" w:hAnsi="Arial Narrow" w:cs="Arial Narrow"/>
        </w:rPr>
        <w:t>。</w:t>
      </w:r>
    </w:p>
    <w:bookmarkEnd w:id="57"/>
    <w:bookmarkEnd w:id="58"/>
    <w:bookmarkEnd w:id="59"/>
    <w:bookmarkEnd w:id="60"/>
    <w:bookmarkEnd w:id="61"/>
    <w:p>
      <w:pPr>
        <w:snapToGrid w:val="0"/>
        <w:ind w:firstLine="318" w:firstLineChars="132"/>
        <w:rPr>
          <w:rFonts w:ascii="Arial Narrow" w:hAnsi="Arial Narrow" w:cs="Arial Narrow"/>
          <w:b/>
          <w:bCs/>
        </w:rPr>
      </w:pPr>
      <w:bookmarkStart w:id="66" w:name="_Toc11787"/>
      <w:bookmarkStart w:id="67" w:name="_Toc406668048"/>
      <w:bookmarkStart w:id="68" w:name="_Toc406666374"/>
      <w:bookmarkStart w:id="69" w:name="_Toc387957823"/>
      <w:bookmarkStart w:id="70" w:name="_Toc361302036"/>
      <w:bookmarkStart w:id="71" w:name="_Toc361304699"/>
      <w:r>
        <w:rPr>
          <w:rFonts w:ascii="Arial Narrow" w:hAnsi="Arial Narrow" w:cs="Arial Narrow"/>
          <w:b/>
          <w:bCs/>
        </w:rPr>
        <w:t>2、资金落实（8分）</w:t>
      </w:r>
    </w:p>
    <w:p>
      <w:pPr>
        <w:snapToGrid w:val="0"/>
        <w:ind w:firstLine="480"/>
        <w:rPr>
          <w:rFonts w:ascii="Arial Narrow" w:hAnsi="Arial Narrow" w:cs="Arial Narrow"/>
        </w:rPr>
      </w:pPr>
      <w:r>
        <w:rPr>
          <w:rFonts w:ascii="Arial Narrow" w:hAnsi="Arial Narrow" w:cs="Arial Narrow"/>
        </w:rPr>
        <w:t>资金落实主要评价一定时期（本年度或项目期）内实际落实到具体项目的资金和截至规定时点实际落实到具体项目的资金。该指标主要通过资金到位率指标与到位及时率指标来反映的。该项指标评价得分为8分，评价结果为优。</w:t>
      </w:r>
    </w:p>
    <w:p>
      <w:pPr>
        <w:snapToGrid w:val="0"/>
        <w:ind w:firstLine="480"/>
        <w:rPr>
          <w:rFonts w:ascii="Arial Narrow" w:hAnsi="Arial Narrow" w:cs="Arial Narrow"/>
        </w:rPr>
      </w:pPr>
      <w:r>
        <w:rPr>
          <w:rFonts w:ascii="Arial Narrow" w:hAnsi="Arial Narrow" w:cs="Arial Narrow"/>
        </w:rPr>
        <w:t>（1）资金到位率指标是指</w:t>
      </w:r>
      <w:r>
        <w:rPr>
          <w:rFonts w:hint="eastAsia" w:ascii="Arial Narrow" w:hAnsi="Arial Narrow" w:cs="Arial Narrow"/>
        </w:rPr>
        <w:t>实际到位项目资金与计划项目资金的比率，用以反映和考核资金落实情况对项目实施的总体保障程度。</w:t>
      </w:r>
      <w:r>
        <w:rPr>
          <w:rFonts w:ascii="Arial Narrow" w:hAnsi="Arial Narrow" w:cs="Arial Narrow"/>
        </w:rPr>
        <w:t>根据《武昌区财政局关于武昌区人民政府水果湖街办事处2017年部门预算的批复》了解到，该项目资金预算30万元，实际到位项目资金为30万，资金到位率100%，</w:t>
      </w:r>
      <w:r>
        <w:rPr>
          <w:rFonts w:hint="eastAsia" w:ascii="Arial Narrow" w:hAnsi="Arial Narrow" w:cs="Arial Narrow"/>
        </w:rPr>
        <w:t>该项指标得分4分</w:t>
      </w:r>
      <w:r>
        <w:rPr>
          <w:rFonts w:ascii="Arial Narrow" w:hAnsi="Arial Narrow" w:cs="Arial Narrow"/>
        </w:rPr>
        <w:t>。</w:t>
      </w:r>
    </w:p>
    <w:p>
      <w:pPr>
        <w:snapToGrid w:val="0"/>
        <w:ind w:firstLine="480"/>
        <w:rPr>
          <w:rFonts w:ascii="Arial Narrow" w:hAnsi="Arial Narrow" w:cs="Arial Narrow"/>
        </w:rPr>
      </w:pPr>
      <w:r>
        <w:rPr>
          <w:rFonts w:ascii="Arial Narrow" w:hAnsi="Arial Narrow" w:cs="Arial Narrow"/>
        </w:rPr>
        <w:t>（2）到位及时率指标是及时到位资金与应到位资金的比率，用以反映和考核项目资金落实的及时性程度。</w:t>
      </w:r>
      <w:r>
        <w:rPr>
          <w:rFonts w:hint="eastAsia" w:ascii="Arial Narrow" w:hAnsi="Arial Narrow" w:cs="Arial Narrow"/>
        </w:rPr>
        <w:t>根据《武昌区财政局关于武昌区人民政府水果湖街办事处2017年部门预算的批复》了解到，项目资金于2016年12月26日到位30万元，到位时间及时，不影响项目开展</w:t>
      </w:r>
      <w:r>
        <w:rPr>
          <w:rFonts w:ascii="Arial Narrow" w:hAnsi="Arial Narrow" w:cs="Arial Narrow"/>
        </w:rPr>
        <w:t>。</w:t>
      </w:r>
    </w:p>
    <w:p>
      <w:pPr>
        <w:snapToGrid w:val="0"/>
        <w:ind w:firstLine="482"/>
        <w:outlineLvl w:val="1"/>
        <w:rPr>
          <w:rFonts w:ascii="Arial Narrow" w:hAnsi="Arial Narrow" w:cs="Arial Narrow"/>
          <w:b/>
          <w:bCs/>
        </w:rPr>
      </w:pPr>
      <w:bookmarkStart w:id="72" w:name="_Toc479252061"/>
      <w:r>
        <w:rPr>
          <w:rFonts w:ascii="Arial Narrow" w:hAnsi="Arial Narrow" w:cs="Arial Narrow"/>
          <w:b/>
          <w:bCs/>
        </w:rPr>
        <w:t>（二）项目过程（25分）</w:t>
      </w:r>
      <w:bookmarkEnd w:id="66"/>
      <w:bookmarkEnd w:id="72"/>
    </w:p>
    <w:p>
      <w:pPr>
        <w:snapToGrid w:val="0"/>
        <w:ind w:firstLine="480"/>
        <w:rPr>
          <w:rFonts w:ascii="Arial Narrow" w:hAnsi="Arial Narrow" w:cs="Arial Narrow"/>
        </w:rPr>
      </w:pPr>
      <w:bookmarkStart w:id="73" w:name="_Toc394490599"/>
      <w:bookmarkStart w:id="74" w:name="_Toc394181012"/>
      <w:r>
        <w:rPr>
          <w:rFonts w:ascii="Arial Narrow" w:hAnsi="Arial Narrow" w:cs="Arial Narrow"/>
        </w:rPr>
        <w:t>根据评价原则，项目过程评价得分为23分，评价结果为优。</w:t>
      </w:r>
      <w:bookmarkEnd w:id="73"/>
      <w:bookmarkEnd w:id="74"/>
    </w:p>
    <w:p>
      <w:pPr>
        <w:snapToGrid w:val="0"/>
        <w:ind w:firstLine="480"/>
        <w:rPr>
          <w:rFonts w:ascii="Arial Narrow" w:hAnsi="Arial Narrow" w:cs="Arial Narrow"/>
        </w:rPr>
      </w:pPr>
      <w:r>
        <w:drawing>
          <wp:inline distT="0" distB="0" distL="114300" distR="114300">
            <wp:extent cx="4778375" cy="3215640"/>
            <wp:effectExtent l="0" t="0" r="698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3"/>
                    <a:stretch>
                      <a:fillRect/>
                    </a:stretch>
                  </pic:blipFill>
                  <pic:spPr>
                    <a:xfrm>
                      <a:off x="0" y="0"/>
                      <a:ext cx="4778375" cy="3215640"/>
                    </a:xfrm>
                    <a:prstGeom prst="rect">
                      <a:avLst/>
                    </a:prstGeom>
                    <a:noFill/>
                    <a:ln w="9525">
                      <a:noFill/>
                    </a:ln>
                  </pic:spPr>
                </pic:pic>
              </a:graphicData>
            </a:graphic>
          </wp:inline>
        </w:drawing>
      </w:r>
    </w:p>
    <w:p>
      <w:pPr>
        <w:snapToGrid w:val="0"/>
        <w:ind w:firstLine="566" w:firstLineChars="236"/>
        <w:rPr>
          <w:rFonts w:ascii="Arial Narrow" w:hAnsi="Arial Narrow" w:cs="Arial Narrow"/>
        </w:rPr>
      </w:pPr>
      <w:r>
        <w:rPr>
          <w:rFonts w:ascii="Arial Narrow" w:hAnsi="Arial Narrow" w:cs="Arial Narrow"/>
        </w:rPr>
        <w:t>项目过程方面主要评价业务管理情况、财务管理情况。对于该项的评价，绩效评价工作小组主要采取了案卷研究方式进行资料收集、整理和分析，收集了项目实施单位的业务管理制度及财务管理制度，查看了财政专项资金的收付凭证，核查其账务处理是否符合规范、资金安全能否得到保障。同时绩效评价工作小组通过查看《武昌区财政局关于武昌区人民政府水果湖街办事处2017年部门预算的批复》、《区人民政府关于印发武昌区街道财政财务管理暂行办法的通知》、《武汉市武昌区水果湖街道办事处财务管理（试行）办法》、协税工作经费项目调研汇报、税源户台账明细(房屋出租人、楼宇里的企业）、《水果湖街协税员绩效目标考核奖惩办法》和2017年协税员每月考核工作册、协税工作经费项目支出明细账等资料，对项目过程涉及的指标进行打分，并逐级加权计算结果。</w:t>
      </w:r>
    </w:p>
    <w:bookmarkEnd w:id="67"/>
    <w:bookmarkEnd w:id="68"/>
    <w:bookmarkEnd w:id="69"/>
    <w:bookmarkEnd w:id="70"/>
    <w:bookmarkEnd w:id="71"/>
    <w:p>
      <w:pPr>
        <w:snapToGrid w:val="0"/>
        <w:ind w:firstLine="319" w:firstLineChars="133"/>
        <w:rPr>
          <w:rFonts w:ascii="Arial Narrow" w:hAnsi="Arial Narrow" w:cs="Arial Narrow"/>
          <w:b/>
          <w:bCs/>
        </w:rPr>
      </w:pPr>
      <w:r>
        <w:rPr>
          <w:rFonts w:ascii="Arial Narrow" w:hAnsi="Arial Narrow"/>
        </w:rPr>
        <w:t xml:space="preserve"> </w:t>
      </w:r>
      <w:r>
        <w:rPr>
          <w:rFonts w:ascii="Arial Narrow" w:hAnsi="Arial Narrow" w:cs="Arial Narrow"/>
          <w:b/>
          <w:bCs/>
        </w:rPr>
        <w:t>1、业务管理（14分）</w:t>
      </w:r>
    </w:p>
    <w:p>
      <w:pPr>
        <w:snapToGrid w:val="0"/>
        <w:ind w:firstLine="480"/>
        <w:rPr>
          <w:rFonts w:ascii="Arial Narrow" w:hAnsi="Arial Narrow" w:cs="Arial Narrow"/>
        </w:rPr>
      </w:pPr>
      <w:r>
        <w:rPr>
          <w:rFonts w:ascii="Arial Narrow" w:hAnsi="Arial Narrow" w:cs="Arial Narrow"/>
        </w:rPr>
        <w:t>业务管理主要评价管理制度健全性，制度执行有效性，项目质量可控性，项目档案完整性。该项指标评价得分为14分，评价结果为优。</w:t>
      </w:r>
    </w:p>
    <w:p>
      <w:pPr>
        <w:numPr>
          <w:ilvl w:val="0"/>
          <w:numId w:val="3"/>
        </w:numPr>
        <w:snapToGrid w:val="0"/>
        <w:ind w:firstLine="480"/>
        <w:rPr>
          <w:rFonts w:ascii="Arial Narrow" w:hAnsi="Arial Narrow" w:cs="Arial Narrow"/>
        </w:rPr>
      </w:pPr>
      <w:r>
        <w:rPr>
          <w:rFonts w:ascii="Arial Narrow" w:hAnsi="Arial Narrow" w:cs="Arial Narrow"/>
        </w:rPr>
        <w:t>管理制度健全性是指项目实施单位的业务管理制度是否健全，用以反映和考核业务管理制度对项目顺利实施的保障情况。项目实施单位制定了值班考勤制、台账制、工作管理办法健全，并为协税员绩效目标考核制定专门的《水果湖街协税员绩效目标考核奖惩办法》且已制定的业务管理制度合法、合规、完整。</w:t>
      </w:r>
    </w:p>
    <w:p>
      <w:pPr>
        <w:numPr>
          <w:ilvl w:val="0"/>
          <w:numId w:val="3"/>
        </w:numPr>
        <w:snapToGrid w:val="0"/>
        <w:ind w:firstLine="480"/>
        <w:rPr>
          <w:rFonts w:ascii="Arial Narrow" w:hAnsi="Arial Narrow" w:cs="Arial Narrow"/>
        </w:rPr>
      </w:pPr>
      <w:r>
        <w:rPr>
          <w:rFonts w:ascii="Arial Narrow" w:hAnsi="Arial Narrow" w:cs="Arial Narrow"/>
        </w:rPr>
        <w:t>制度执行有效性是指项目实施是否符合相关项目管理规定，用以反映和考核项目管理制度的有效执行情况。项目实施单位按照已制定的管理制度严格执行相关工作，且遵守相关法律法规和业务管理规定；严格执行了项目管理程序及招投标制、监理制、合同制、项目公示制、政府采购制；项目实施的人员条件、场地设备、信息支撑等落实到位。</w:t>
      </w:r>
    </w:p>
    <w:p>
      <w:pPr>
        <w:numPr>
          <w:ilvl w:val="0"/>
          <w:numId w:val="3"/>
        </w:numPr>
        <w:snapToGrid w:val="0"/>
        <w:ind w:firstLine="480"/>
        <w:rPr>
          <w:rFonts w:ascii="Arial Narrow" w:hAnsi="Arial Narrow" w:cs="Arial Narrow"/>
        </w:rPr>
      </w:pPr>
      <w:r>
        <w:rPr>
          <w:rFonts w:ascii="Arial Narrow" w:hAnsi="Arial Narrow" w:cs="Arial Narrow"/>
        </w:rPr>
        <w:t>项目质量可控性是指项目实施单位是否为达到项目质量要求而采取了必需的措施,用以反映和考核项目实施单位对项目质量的控制情况。协税员都在水果湖街道办事处进行考勤，同时每年协税员考勤情况汇总成表，交予税务部门检查；为税源户建立完整的台账，信息真实；严格执行水果湖街道办事处的工作管理办法，并为协税员绩效目标考核制定专门的《水果湖街协税员绩效目标考核奖惩办法》，每月根据此奖惩办法计算协税员绩效工资。</w:t>
      </w:r>
    </w:p>
    <w:p>
      <w:pPr>
        <w:numPr>
          <w:ilvl w:val="0"/>
          <w:numId w:val="3"/>
        </w:numPr>
        <w:snapToGrid w:val="0"/>
        <w:ind w:firstLine="480"/>
        <w:rPr>
          <w:rFonts w:ascii="Arial Narrow" w:hAnsi="Arial Narrow" w:cs="Arial Narrow"/>
        </w:rPr>
      </w:pPr>
      <w:r>
        <w:rPr>
          <w:rFonts w:ascii="Arial Narrow" w:hAnsi="Arial Narrow" w:cs="Arial Narrow"/>
        </w:rPr>
        <w:t>项目档案完整性是指工作台账、工作统计表、考勤表、合同及其他档案资料是否齐全，用以反映和考核项目实施单位档案管理的完整性。根据工作台账、协税员考勤表、协税员每月工作目标考核表以及和协税工作人员签订的劳务派遣协议齐全，同时项目实施单位对每月该项目各方面工作内容都归档成册，档案资料管理完整、齐全。</w:t>
      </w:r>
    </w:p>
    <w:p>
      <w:pPr>
        <w:snapToGrid w:val="0"/>
        <w:ind w:firstLine="482"/>
        <w:jc w:val="left"/>
        <w:rPr>
          <w:rFonts w:ascii="Arial Narrow" w:hAnsi="Arial Narrow" w:cs="Arial Narrow"/>
          <w:b/>
          <w:bCs/>
        </w:rPr>
      </w:pPr>
      <w:r>
        <w:rPr>
          <w:rFonts w:ascii="Arial Narrow" w:hAnsi="Arial Narrow" w:cs="Arial Narrow"/>
          <w:b/>
          <w:bCs/>
        </w:rPr>
        <w:t>2、财务管理（11分）</w:t>
      </w:r>
    </w:p>
    <w:p>
      <w:pPr>
        <w:snapToGrid w:val="0"/>
        <w:ind w:firstLine="480"/>
        <w:rPr>
          <w:rFonts w:ascii="Arial Narrow" w:hAnsi="Arial Narrow" w:cs="Arial Narrow"/>
        </w:rPr>
      </w:pPr>
      <w:r>
        <w:rPr>
          <w:rFonts w:ascii="Arial Narrow" w:hAnsi="Arial Narrow" w:cs="Arial Narrow"/>
        </w:rPr>
        <w:t>财务管理指标主要评价项目资金管理办法的制定情况。项目资金使用情况以及财务监控措施的实施情况。该指标主要由财务制度健全性、资金使用合规性、财务监控有效性三个二级指标反映。该项指标评价得分为9分，评价结果为良。</w:t>
      </w:r>
    </w:p>
    <w:p>
      <w:pPr>
        <w:numPr>
          <w:ilvl w:val="0"/>
          <w:numId w:val="4"/>
        </w:numPr>
        <w:snapToGrid w:val="0"/>
        <w:ind w:firstLine="480"/>
        <w:rPr>
          <w:rFonts w:ascii="Arial Narrow" w:hAnsi="Arial Narrow" w:cs="Arial Narrow"/>
        </w:rPr>
      </w:pPr>
      <w:r>
        <w:rPr>
          <w:rFonts w:ascii="Arial Narrow" w:hAnsi="Arial Narrow" w:cs="Arial Narrow"/>
        </w:rPr>
        <w:t>财务制度健全性指标是指项目实施单位的资金管理、费用支出等制度是否健全，是否严格执行，会计核算是否规范，用以反映和考核财务管理制度对资金规范、安全运行的保障情况。项目实施单位的资金管理、费用支出等制度健全，严格执行《武汉市武昌区水果湖街道办事处财务管理（试行）办法》，</w:t>
      </w:r>
      <w:r>
        <w:rPr>
          <w:rFonts w:hint="eastAsia" w:ascii="Arial Narrow" w:hAnsi="Arial Narrow" w:cs="Arial Narrow"/>
          <w:lang w:eastAsia="zh-CN"/>
        </w:rPr>
        <w:t>项目实施单位设立协税工作经费项目科目用于专项核算，因协税的过程也是服务企业的过程，故超出预算部分项目实施单位在服务企业经费科目下核算，</w:t>
      </w:r>
      <w:r>
        <w:rPr>
          <w:rFonts w:ascii="Arial Narrow" w:hAnsi="Arial Narrow" w:cs="Arial Narrow"/>
        </w:rPr>
        <w:t>但</w:t>
      </w:r>
      <w:r>
        <w:rPr>
          <w:rFonts w:hint="eastAsia" w:ascii="Arial Narrow" w:hAnsi="Arial Narrow" w:cs="Arial Narrow"/>
          <w:lang w:eastAsia="zh-CN"/>
        </w:rPr>
        <w:t>这样无法很直观的统计协税项目资金实际使用情况，</w:t>
      </w:r>
      <w:r>
        <w:rPr>
          <w:rFonts w:ascii="Arial Narrow" w:hAnsi="Arial Narrow" w:cs="Arial Narrow"/>
        </w:rPr>
        <w:t>扣1分</w:t>
      </w:r>
      <w:r>
        <w:rPr>
          <w:rFonts w:ascii="Arial Narrow" w:hAnsi="Arial Narrow" w:cs="Arial Narrow"/>
        </w:rPr>
        <w:t>。</w:t>
      </w:r>
    </w:p>
    <w:p>
      <w:pPr>
        <w:numPr>
          <w:ilvl w:val="0"/>
          <w:numId w:val="4"/>
        </w:numPr>
        <w:snapToGrid w:val="0"/>
        <w:ind w:firstLine="480"/>
        <w:rPr>
          <w:rFonts w:ascii="Arial Narrow" w:hAnsi="Arial Narrow" w:cs="Arial Narrow"/>
        </w:rPr>
      </w:pPr>
      <w:r>
        <w:rPr>
          <w:rFonts w:ascii="Arial Narrow" w:hAnsi="Arial Narrow" w:cs="Arial Narrow"/>
        </w:rPr>
        <w:t>资金使用合规性是指项目资金使用是否符合相关的财务管理制度规定，用以反映和考核项目资金的规范运行情况。项目实施单位项目支出符合国家财经法规和财务管理制度以及有关专项资金管理办法的规定；资金拨付有完整的审批程序和手续，符合项目预算的规定，不存在截留、挤占、挪用、虚列等情况。</w:t>
      </w:r>
    </w:p>
    <w:p>
      <w:pPr>
        <w:numPr>
          <w:ilvl w:val="0"/>
          <w:numId w:val="4"/>
        </w:numPr>
        <w:snapToGrid w:val="0"/>
        <w:ind w:firstLine="480"/>
        <w:rPr>
          <w:rFonts w:ascii="Arial Narrow" w:hAnsi="Arial Narrow" w:cs="Arial Narrow"/>
        </w:rPr>
      </w:pPr>
      <w:r>
        <w:rPr>
          <w:rFonts w:ascii="Arial Narrow" w:hAnsi="Arial Narrow" w:cs="Arial Narrow"/>
        </w:rPr>
        <w:t>财务监控有效性是指项目实施单位是否为保障资金的安全、规范运行而采取了必要的监控措施，用以反映和考核项目实施单位对资金运行的控制情况。</w:t>
      </w:r>
      <w:r>
        <w:rPr>
          <w:rFonts w:hint="eastAsia" w:ascii="Arial Narrow" w:hAnsi="Arial Narrow" w:cs="Arial Narrow"/>
          <w:lang w:eastAsia="zh-CN"/>
        </w:rPr>
        <w:t>通过抽查凭证了解到，资金的拨付及支出有完整的审批程序和手续，重大开支经过了集体决策，项目资金进行了专款转账核算。</w:t>
      </w:r>
    </w:p>
    <w:bookmarkEnd w:id="50"/>
    <w:bookmarkEnd w:id="51"/>
    <w:bookmarkEnd w:id="52"/>
    <w:bookmarkEnd w:id="53"/>
    <w:bookmarkEnd w:id="54"/>
    <w:p>
      <w:pPr>
        <w:snapToGrid w:val="0"/>
        <w:ind w:firstLine="482"/>
        <w:outlineLvl w:val="1"/>
        <w:rPr>
          <w:rFonts w:ascii="Arial Narrow" w:hAnsi="Arial Narrow" w:cs="Arial Narrow"/>
          <w:b/>
          <w:bCs/>
        </w:rPr>
      </w:pPr>
      <w:bookmarkStart w:id="75" w:name="_Toc361302038"/>
      <w:bookmarkStart w:id="76" w:name="_Toc361304701"/>
      <w:bookmarkStart w:id="77" w:name="_Toc479252063"/>
      <w:bookmarkStart w:id="78" w:name="_Toc406668051"/>
      <w:bookmarkStart w:id="79" w:name="_Toc387957826"/>
      <w:bookmarkStart w:id="80" w:name="_Toc406666377"/>
      <w:bookmarkStart w:id="81" w:name="_Toc17932"/>
      <w:r>
        <w:rPr>
          <w:rFonts w:ascii="Arial Narrow" w:hAnsi="Arial Narrow" w:cs="Arial Narrow"/>
          <w:b/>
          <w:bCs/>
        </w:rPr>
        <w:t>（三）项目产出（25分）</w:t>
      </w:r>
    </w:p>
    <w:p>
      <w:pPr>
        <w:snapToGrid w:val="0"/>
        <w:ind w:firstLine="480"/>
        <w:rPr>
          <w:rFonts w:ascii="Arial Narrow" w:hAnsi="Arial Narrow" w:cs="Arial Narrow"/>
        </w:rPr>
      </w:pPr>
      <w:r>
        <w:rPr>
          <w:rFonts w:ascii="Arial Narrow" w:hAnsi="Arial Narrow" w:cs="Arial Narrow"/>
        </w:rPr>
        <w:t>根据评价原则，绩效评价得分为23分，评价结果为优。</w:t>
      </w:r>
    </w:p>
    <w:p>
      <w:pPr>
        <w:snapToGrid w:val="0"/>
        <w:ind w:firstLine="480"/>
        <w:rPr>
          <w:rFonts w:ascii="Arial Narrow" w:hAnsi="Arial Narrow" w:cs="Arial Narrow"/>
        </w:rPr>
      </w:pPr>
      <w:r>
        <w:drawing>
          <wp:inline distT="0" distB="0" distL="114300" distR="114300">
            <wp:extent cx="4498975" cy="2959735"/>
            <wp:effectExtent l="0" t="0" r="12065" b="1206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24"/>
                    <a:srcRect l="-97" t="402" r="1599" b="67"/>
                    <a:stretch>
                      <a:fillRect/>
                    </a:stretch>
                  </pic:blipFill>
                  <pic:spPr>
                    <a:xfrm>
                      <a:off x="0" y="0"/>
                      <a:ext cx="4498975" cy="2959735"/>
                    </a:xfrm>
                    <a:prstGeom prst="rect">
                      <a:avLst/>
                    </a:prstGeom>
                    <a:noFill/>
                    <a:ln w="9525">
                      <a:noFill/>
                    </a:ln>
                  </pic:spPr>
                </pic:pic>
              </a:graphicData>
            </a:graphic>
          </wp:inline>
        </w:drawing>
      </w:r>
    </w:p>
    <w:p>
      <w:pPr>
        <w:snapToGrid w:val="0"/>
        <w:ind w:firstLine="480"/>
        <w:rPr>
          <w:rFonts w:ascii="Arial Narrow" w:hAnsi="Arial Narrow" w:cs="Arial Narrow"/>
        </w:rPr>
      </w:pPr>
      <w:r>
        <w:rPr>
          <w:rFonts w:ascii="Arial Narrow" w:hAnsi="Arial Narrow" w:cs="Arial Narrow"/>
        </w:rPr>
        <w:t>项目产出主要包括项目产出这一方面，以下是对这一方面进行阐述。</w:t>
      </w:r>
    </w:p>
    <w:p>
      <w:pPr>
        <w:snapToGrid w:val="0"/>
        <w:ind w:firstLine="482"/>
        <w:rPr>
          <w:rFonts w:ascii="Arial Narrow" w:hAnsi="Arial Narrow" w:cs="Arial Narrow"/>
          <w:b/>
          <w:bCs/>
        </w:rPr>
      </w:pPr>
      <w:r>
        <w:rPr>
          <w:rFonts w:ascii="Arial Narrow" w:hAnsi="Arial Narrow" w:cs="Arial Narrow"/>
          <w:b/>
          <w:bCs/>
        </w:rPr>
        <w:t>1、项目产出（25分）</w:t>
      </w:r>
    </w:p>
    <w:p>
      <w:pPr>
        <w:snapToGrid w:val="0"/>
        <w:ind w:firstLine="480"/>
        <w:rPr>
          <w:rFonts w:ascii="Arial Narrow" w:hAnsi="Arial Narrow" w:cs="Arial Narrow"/>
        </w:rPr>
      </w:pPr>
      <w:r>
        <w:rPr>
          <w:rFonts w:ascii="Arial Narrow" w:hAnsi="Arial Narrow" w:cs="Arial Narrow"/>
        </w:rPr>
        <w:t>项目产出方面，绩效评价得分为23分，评价结果为优。产出方面主要评价项目申报实施内容的完成情况，包括完成数量、质量以及时效。对于该项的评价，绩效评价工作小组主要采取了案卷研究、询问、访谈、观察、实地调研等方式进行资料收集、整理和分析，对项目产出涉及的指标进行打分，并逐级加权计算结果。</w:t>
      </w:r>
    </w:p>
    <w:p>
      <w:pPr>
        <w:snapToGrid w:val="0"/>
        <w:ind w:firstLine="480"/>
        <w:rPr>
          <w:rFonts w:ascii="Arial Narrow" w:hAnsi="Arial Narrow" w:cs="Arial Narrow"/>
        </w:rPr>
      </w:pPr>
      <w:r>
        <w:rPr>
          <w:rFonts w:ascii="Arial Narrow" w:hAnsi="Arial Narrow" w:cs="Arial Narrow"/>
        </w:rPr>
        <w:t>（1）税收完成率指标是指项目实施单位收取零散税的税收数额额占计划数额额的百分比，用以反映和考核项目完成情况。2017年度税务部门并未下达零散税项目绩效目标，根据每年10%的增长率要求，2017年计划收取零散税数额1528.31万元。2017年零散税收取数额为1503万元，2017年度税收完成率为98.34%。</w:t>
      </w:r>
    </w:p>
    <w:p>
      <w:pPr>
        <w:snapToGrid w:val="0"/>
        <w:ind w:firstLine="480"/>
        <w:rPr>
          <w:rFonts w:ascii="Arial Narrow" w:hAnsi="Arial Narrow" w:cs="Arial Narrow"/>
        </w:rPr>
      </w:pPr>
      <w:r>
        <w:rPr>
          <w:rFonts w:ascii="Arial Narrow" w:hAnsi="Arial Narrow" w:cs="Arial Narrow"/>
        </w:rPr>
        <w:t>（2）协税工作人员到位率指标是指项目实施后，协税站点工作人员到岗率，用以考核和反映项目的完成情况。根据协税员每月考勤表情况，有个别天数有协税员在考勤表上未签字，工作站点协税人员到岗率为99%。</w:t>
      </w:r>
    </w:p>
    <w:p>
      <w:pPr>
        <w:snapToGrid w:val="0"/>
        <w:ind w:firstLine="480"/>
        <w:rPr>
          <w:rFonts w:ascii="Arial Narrow" w:hAnsi="Arial Narrow" w:cs="Arial Narrow"/>
        </w:rPr>
      </w:pPr>
      <w:r>
        <w:rPr>
          <w:rFonts w:ascii="Arial Narrow" w:hAnsi="Arial Narrow" w:cs="Arial Narrow"/>
        </w:rPr>
        <w:t>（3）重要企业协税服务完成率是项目实施后，重要企业协税服务完成情况，用以考核和反映项目数量目标的实现程度。项目实施单位2017年度计划进行协税服务的重要企业（纳税达500万以上企业）数为82户，实际完成协税服务的重要企业数为82户，服务完成率100.00%。</w:t>
      </w:r>
    </w:p>
    <w:p>
      <w:pPr>
        <w:snapToGrid w:val="0"/>
        <w:ind w:firstLine="480"/>
        <w:rPr>
          <w:rFonts w:ascii="Arial Narrow" w:hAnsi="Arial Narrow" w:cs="Arial Narrow"/>
        </w:rPr>
      </w:pPr>
      <w:r>
        <w:rPr>
          <w:rFonts w:ascii="Arial Narrow" w:hAnsi="Arial Narrow" w:cs="Arial Narrow"/>
        </w:rPr>
        <w:t>（4）工作作风与服务意识指标是指项目实施中，协税工作人员是否存在违法、工作作风不廉洁的行为，工作过程中态度是否良好，用以反映和考核项目的质量。根据每月协税员工作考核中对协税员在接待纳税人、征税、登记信息等方面的考评，协税工作人员不存在违法、工作作风不廉洁行为，工作过程中态度良好。</w:t>
      </w:r>
    </w:p>
    <w:p>
      <w:pPr>
        <w:snapToGrid w:val="0"/>
        <w:ind w:firstLine="480"/>
        <w:rPr>
          <w:rFonts w:ascii="Arial Narrow" w:hAnsi="Arial Narrow" w:cs="Arial Narrow"/>
        </w:rPr>
      </w:pPr>
      <w:r>
        <w:rPr>
          <w:rFonts w:ascii="Arial Narrow" w:hAnsi="Arial Narrow" w:cs="Arial Narrow"/>
        </w:rPr>
        <w:t>（5）税源户信息完整度指标是指税源户信息采集全面、完整，重点对楼宇小区、背街小巷、重点市场和交叉地段税源户定期开展摸底和排查，建立税源户台账，数据按月及时更新，保证数据信息真实，用以反映和考核项目的工作管理情况。税源户信息采集全面、完整，因为工作重点为楼宇排查和服务企业，因此对于排查和服务过的企业的信息都汇总制定成册。建立了税源户台账制度，并按月追踪更新，保证数据完整、全面、真实、可靠。</w:t>
      </w:r>
    </w:p>
    <w:p>
      <w:pPr>
        <w:snapToGrid w:val="0"/>
        <w:ind w:firstLine="480"/>
        <w:rPr>
          <w:rFonts w:ascii="Arial Narrow" w:hAnsi="Arial Narrow" w:cs="Arial Narrow"/>
        </w:rPr>
      </w:pPr>
      <w:r>
        <w:rPr>
          <w:rFonts w:ascii="Arial Narrow" w:hAnsi="Arial Narrow" w:cs="Arial Narrow"/>
        </w:rPr>
        <w:t>（6）完成及时率指标是指项目实施中，各项工作任务是否按时完成，用以反映和考核项目产出时效目标的实现程度。该项目计划完成时间为1年，实际完成时间为1年，完成及时率为100%，项目均及时完成。</w:t>
      </w:r>
    </w:p>
    <w:p>
      <w:pPr>
        <w:snapToGrid w:val="0"/>
        <w:ind w:firstLine="480" w:firstLineChars="0"/>
        <w:rPr>
          <w:rFonts w:hint="eastAsia" w:ascii="Arial Narrow" w:hAnsi="Arial Narrow" w:cs="Arial Narrow"/>
          <w:lang w:val="en-US" w:eastAsia="zh-CN"/>
        </w:rPr>
      </w:pPr>
      <w:r>
        <w:rPr>
          <w:rFonts w:ascii="Arial Narrow" w:hAnsi="Arial Narrow" w:cs="Arial Narrow"/>
        </w:rPr>
        <w:t>（7）资金使用率指标是指项目实施过程中，项目资金是否按照预算及绩效目标进行合理控制，用以反映项目的产出成本。</w:t>
      </w:r>
      <w:r>
        <w:rPr>
          <w:rFonts w:hint="eastAsia" w:ascii="Arial Narrow" w:hAnsi="Arial Narrow" w:cs="Arial Narrow"/>
          <w:lang w:eastAsia="zh-CN"/>
        </w:rPr>
        <w:t>根据预算批复了解到，项目资金到位</w:t>
      </w:r>
      <w:r>
        <w:rPr>
          <w:rFonts w:hint="eastAsia" w:ascii="Arial Narrow" w:hAnsi="Arial Narrow" w:cs="Arial Narrow"/>
          <w:lang w:val="en-US" w:eastAsia="zh-CN"/>
        </w:rPr>
        <w:t>30万元，实际在2017年6月全部用完，超过30.16万元从服务企业经费支出，费用难以归集，扣2分。</w:t>
      </w:r>
    </w:p>
    <w:p>
      <w:pPr>
        <w:snapToGrid w:val="0"/>
        <w:ind w:firstLine="482"/>
        <w:outlineLvl w:val="1"/>
        <w:rPr>
          <w:rFonts w:ascii="Arial Narrow" w:hAnsi="Arial Narrow" w:cs="Arial Narrow"/>
          <w:b/>
          <w:bCs/>
        </w:rPr>
      </w:pPr>
      <w:r>
        <w:rPr>
          <w:rFonts w:ascii="Arial Narrow" w:hAnsi="Arial Narrow" w:cs="Arial Narrow"/>
          <w:b/>
          <w:bCs/>
        </w:rPr>
        <w:t>（四）项目效果（35分）</w:t>
      </w:r>
    </w:p>
    <w:p>
      <w:pPr>
        <w:snapToGrid w:val="0"/>
        <w:ind w:firstLine="480" w:firstLineChars="0"/>
        <w:rPr>
          <w:rFonts w:ascii="Arial Narrow" w:hAnsi="Arial Narrow" w:cs="Arial Narrow"/>
        </w:rPr>
      </w:pPr>
      <w:r>
        <w:rPr>
          <w:rFonts w:ascii="Arial Narrow" w:hAnsi="Arial Narrow" w:cs="Arial Narrow"/>
        </w:rPr>
        <w:t>根据评价原则，绩效评价得分为33分，评价结果为优。</w:t>
      </w:r>
    </w:p>
    <w:p>
      <w:pPr>
        <w:snapToGrid w:val="0"/>
        <w:ind w:firstLine="480" w:firstLineChars="0"/>
        <w:rPr>
          <w:rFonts w:ascii="Arial Narrow" w:hAnsi="Arial Narrow" w:cs="Arial Narrow"/>
        </w:rPr>
      </w:pPr>
      <w:r>
        <w:drawing>
          <wp:inline distT="0" distB="0" distL="114300" distR="114300">
            <wp:extent cx="4526915" cy="3048000"/>
            <wp:effectExtent l="0" t="0" r="14605" b="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25"/>
                    <a:stretch>
                      <a:fillRect/>
                    </a:stretch>
                  </pic:blipFill>
                  <pic:spPr>
                    <a:xfrm>
                      <a:off x="0" y="0"/>
                      <a:ext cx="4526915" cy="3048000"/>
                    </a:xfrm>
                    <a:prstGeom prst="rect">
                      <a:avLst/>
                    </a:prstGeom>
                    <a:noFill/>
                    <a:ln w="9525">
                      <a:noFill/>
                    </a:ln>
                  </pic:spPr>
                </pic:pic>
              </a:graphicData>
            </a:graphic>
          </wp:inline>
        </w:drawing>
      </w:r>
    </w:p>
    <w:p>
      <w:pPr>
        <w:snapToGrid w:val="0"/>
        <w:ind w:firstLine="480"/>
        <w:rPr>
          <w:rFonts w:ascii="Arial Narrow" w:hAnsi="Arial Narrow" w:cs="Arial Narrow"/>
        </w:rPr>
      </w:pPr>
      <w:r>
        <w:rPr>
          <w:rFonts w:ascii="Arial Narrow" w:hAnsi="Arial Narrow" w:cs="Arial Narrow"/>
        </w:rPr>
        <w:t>项目效果主要包括项目效益这一方面，以下是对这一方面进行阐述。</w:t>
      </w:r>
    </w:p>
    <w:p>
      <w:pPr>
        <w:snapToGrid w:val="0"/>
        <w:ind w:firstLine="482"/>
        <w:rPr>
          <w:rFonts w:ascii="Arial Narrow" w:hAnsi="Arial Narrow" w:cs="Arial Narrow"/>
          <w:b/>
          <w:bCs/>
        </w:rPr>
      </w:pPr>
      <w:r>
        <w:rPr>
          <w:rFonts w:ascii="Arial Narrow" w:hAnsi="Arial Narrow" w:cs="Arial Narrow"/>
          <w:b/>
          <w:bCs/>
        </w:rPr>
        <w:t>1、项目效益（35分）</w:t>
      </w:r>
    </w:p>
    <w:p>
      <w:pPr>
        <w:snapToGrid w:val="0"/>
        <w:ind w:firstLine="480"/>
        <w:rPr>
          <w:rFonts w:ascii="Arial Narrow" w:hAnsi="Arial Narrow" w:cs="Arial Narrow"/>
        </w:rPr>
      </w:pPr>
      <w:r>
        <w:rPr>
          <w:rFonts w:ascii="Arial Narrow" w:hAnsi="Arial Narrow" w:cs="Arial Narrow"/>
        </w:rPr>
        <w:t>项目效益方面，绩效评价得分为33分，评价结果为优。效果方面主要评价项目实施所产生的经济效益，以及对社会的需求和发展所带来的直接或间接影响，反映项目后续运行及成效发挥的可持续影响情况。对于该项的评价，绩效评价工作小组主要采取了案卷研究、询问、访谈、观察等方式进行资料收集、整理和分析，查看了项目实施单位的绩效报告，发放调查问卷，采集相关信息，对项目效果涉及的指标进行打分，并逐级加权计算结果。</w:t>
      </w:r>
    </w:p>
    <w:p>
      <w:pPr>
        <w:snapToGrid w:val="0"/>
        <w:ind w:firstLine="480"/>
        <w:rPr>
          <w:rFonts w:ascii="Arial Narrow" w:hAnsi="Arial Narrow" w:cs="Arial Narrow"/>
        </w:rPr>
      </w:pPr>
      <w:r>
        <w:rPr>
          <w:rFonts w:ascii="Arial Narrow" w:hAnsi="Arial Narrow" w:cs="Arial Narrow"/>
        </w:rPr>
        <w:t>（1）招商引资完成率是指项目完成数与项目计划数之比，用以反映项目完成情况。项目实施单位今年计划完成招商引资数为80亿元，实际完成108.58亿元，招商引资完成率为135.73%。</w:t>
      </w:r>
    </w:p>
    <w:p>
      <w:pPr>
        <w:snapToGrid w:val="0"/>
        <w:ind w:firstLine="480"/>
        <w:rPr>
          <w:rFonts w:ascii="Arial Narrow" w:hAnsi="Arial Narrow" w:cs="Arial Narrow"/>
        </w:rPr>
      </w:pPr>
      <w:r>
        <w:rPr>
          <w:rFonts w:ascii="Arial Narrow" w:hAnsi="Arial Narrow" w:cs="Arial Narrow"/>
        </w:rPr>
        <w:t>（2）税收投入乘数指标是指项目实施中所收取的零散税收金额与项目实施单位开展工作投入资金之比，用以反映项目的经济效益。该项目今年实际收取的零散税税收金额为1503万元，开展协税工作投入资金总额为60.16万元，税收投入乘数为24.98。</w:t>
      </w:r>
    </w:p>
    <w:p>
      <w:pPr>
        <w:snapToGrid w:val="0"/>
        <w:ind w:firstLine="480"/>
        <w:rPr>
          <w:rFonts w:ascii="Arial Narrow" w:hAnsi="Arial Narrow" w:cs="Arial Narrow"/>
        </w:rPr>
      </w:pPr>
      <w:r>
        <w:rPr>
          <w:rFonts w:ascii="Arial Narrow" w:hAnsi="Arial Narrow" w:cs="Arial Narrow"/>
        </w:rPr>
        <w:t>（3）税收增长率指标是指项目实施后，相较于上年零散税征收额的增长情况，用以反映和考核项目的完成情况。项目实施单位今年零散税税收总额为1503万元，上年零散税税收总额为1389.37万元，税收增长率为8.18%。</w:t>
      </w:r>
    </w:p>
    <w:p>
      <w:pPr>
        <w:snapToGrid w:val="0"/>
        <w:ind w:firstLine="480"/>
        <w:rPr>
          <w:rFonts w:ascii="Arial Narrow" w:hAnsi="Arial Narrow" w:cs="Arial Narrow"/>
        </w:rPr>
      </w:pPr>
      <w:r>
        <w:rPr>
          <w:rFonts w:ascii="Arial Narrow" w:hAnsi="Arial Narrow" w:cs="Arial Narrow"/>
        </w:rPr>
        <w:t>（4）税源分析预测情况指标是指项目实施后，是否对税源情况进行分析和预测，掌握重点税源户的发展及变化，充分挖掘税收潜力，用以反映和考核项目的完成情况。通过现场访谈和查看2017年度水果湖街服务企业记录表、2017年协税各方面工作内容册（建安项目、属地纳税、精准服务企业工程等），该项目实施单位通过每年2次的企业走访和楼宇调查，了解企业经营状况和判断经济发展情况，从而对税源进行分析和预测，并能够掌握重点税源户的发展和税收变化。但未对税源分析和预测过程与结果形成总结性文件，同时也未和税务部门进行合作，进行专业税源分析和预测，根据评分标准，扣2分。</w:t>
      </w:r>
    </w:p>
    <w:p>
      <w:pPr>
        <w:snapToGrid w:val="0"/>
        <w:ind w:firstLine="480"/>
        <w:rPr>
          <w:rFonts w:ascii="Arial Narrow" w:hAnsi="Arial Narrow" w:cs="Arial Narrow"/>
        </w:rPr>
      </w:pPr>
      <w:r>
        <w:rPr>
          <w:rFonts w:ascii="Arial Narrow" w:hAnsi="Arial Narrow" w:cs="Arial Narrow"/>
        </w:rPr>
        <w:t>（5）涉税政策业务指导指标是指项目实施单位是否为辖区从事生产经营的纳税人提供政策宣传、业务咨询等服务，为纳税人办理涉税事项提供业务指导。该项目实施单位通过陈列政策宣传展板，发放宣传手册等方式为辖区从事生产经营的纳税人提供政策宣传、业务咨询等服务。税收服务站内有专业的协税工作人员为纳税人办理涉税事项提供业务指导。</w:t>
      </w:r>
    </w:p>
    <w:p>
      <w:pPr>
        <w:snapToGrid w:val="0"/>
        <w:ind w:firstLine="480"/>
        <w:rPr>
          <w:rFonts w:ascii="Arial Narrow" w:hAnsi="Arial Narrow" w:cs="Arial Narrow"/>
        </w:rPr>
      </w:pPr>
      <w:r>
        <w:rPr>
          <w:rFonts w:ascii="Arial Narrow" w:hAnsi="Arial Narrow" w:cs="Arial Narrow"/>
        </w:rPr>
        <w:t>（6）可持续性指标是指项目实施单位是否支持项目长期运行，是否有相关的管理机构及人力资源满足项目实施的要求，用以反映和考核项目的可持续性。项目实施单位有机构设置和充足的人员配备支持项目实施的后续运行，协税工作人员每月定期对重点税源户进行后续跟踪服务，并定期收集企业相关问题，向有关单位进行反映，且不定时的对税源户进行回访服务。</w:t>
      </w:r>
    </w:p>
    <w:p>
      <w:pPr>
        <w:snapToGrid w:val="0"/>
        <w:ind w:firstLine="480"/>
        <w:rPr>
          <w:rFonts w:ascii="Arial Narrow" w:hAnsi="Arial Narrow" w:cs="Arial Narrow"/>
        </w:rPr>
      </w:pPr>
      <w:r>
        <w:rPr>
          <w:rFonts w:ascii="Arial Narrow" w:hAnsi="Arial Narrow" w:cs="Arial Narrow"/>
        </w:rPr>
        <w:t>（7）服务对象满意度指标是指社会公众或服务对象对项目实施效果的满意程度。评价小组共发放20份调查问卷，有效问卷20份，15人表示满意，5人表示比较满意，服务对象调查满意度为91.67%</w:t>
      </w:r>
      <w:r>
        <w:rPr>
          <w:rFonts w:ascii="Arial Narrow" w:hAnsi="Arial Narrow" w:cs="Arial Narrow"/>
        </w:rPr>
        <w:t>。</w:t>
      </w:r>
    </w:p>
    <w:p>
      <w:pPr>
        <w:pStyle w:val="2"/>
        <w:rPr>
          <w:rFonts w:ascii="Arial Narrow" w:hAnsi="Arial Narrow" w:cs="Arial Narrow"/>
          <w:sz w:val="24"/>
          <w:szCs w:val="24"/>
        </w:rPr>
      </w:pPr>
      <w:r>
        <w:rPr>
          <w:rFonts w:ascii="Arial Narrow" w:hAnsi="Arial Narrow" w:cs="Arial Narrow"/>
          <w:sz w:val="24"/>
          <w:szCs w:val="24"/>
        </w:rPr>
        <w:t>四、评价结论</w:t>
      </w:r>
      <w:bookmarkEnd w:id="75"/>
      <w:bookmarkEnd w:id="76"/>
      <w:bookmarkEnd w:id="77"/>
      <w:bookmarkEnd w:id="78"/>
      <w:bookmarkEnd w:id="79"/>
      <w:bookmarkEnd w:id="80"/>
      <w:bookmarkEnd w:id="81"/>
      <w:bookmarkStart w:id="82" w:name="_Toc361302039"/>
      <w:bookmarkStart w:id="83" w:name="_Toc361304702"/>
    </w:p>
    <w:bookmarkEnd w:id="82"/>
    <w:bookmarkEnd w:id="83"/>
    <w:p>
      <w:pPr>
        <w:snapToGrid w:val="0"/>
        <w:ind w:firstLine="482"/>
        <w:outlineLvl w:val="1"/>
        <w:rPr>
          <w:rFonts w:ascii="Arial Narrow" w:hAnsi="Arial Narrow" w:cs="Arial Narrow"/>
          <w:b/>
          <w:bCs/>
        </w:rPr>
      </w:pPr>
      <w:bookmarkStart w:id="84" w:name="_Toc479252064"/>
      <w:r>
        <w:rPr>
          <w:rFonts w:ascii="Arial Narrow" w:hAnsi="Arial Narrow" w:cs="Arial Narrow"/>
          <w:b/>
          <w:bCs/>
        </w:rPr>
        <w:t>（一）评分结果</w:t>
      </w:r>
      <w:bookmarkEnd w:id="84"/>
    </w:p>
    <w:p>
      <w:pPr>
        <w:snapToGrid w:val="0"/>
        <w:ind w:firstLine="480"/>
        <w:rPr>
          <w:rFonts w:ascii="Arial Narrow" w:hAnsi="Arial Narrow" w:cs="Arial Narrow"/>
        </w:rPr>
      </w:pPr>
      <w:bookmarkStart w:id="85" w:name="_Toc406666380"/>
      <w:bookmarkStart w:id="86" w:name="_Toc406668054"/>
      <w:bookmarkStart w:id="87" w:name="_Toc387957829"/>
      <w:bookmarkStart w:id="88" w:name="_Toc361304705"/>
      <w:r>
        <w:rPr>
          <w:rFonts w:ascii="Arial Narrow" w:hAnsi="Arial Narrow" w:cs="Arial Narrow"/>
        </w:rPr>
        <w:t>协税工作经费项目绩效评价得分为92.5分，评价结果为优，具体各指标评分情况如下：</w:t>
      </w:r>
    </w:p>
    <w:p>
      <w:pPr>
        <w:snapToGrid w:val="0"/>
        <w:ind w:firstLine="482"/>
        <w:outlineLvl w:val="1"/>
        <w:rPr>
          <w:rFonts w:ascii="Arial Narrow" w:hAnsi="Arial Narrow" w:cs="Arial Narrow"/>
          <w:b/>
          <w:bCs/>
        </w:rPr>
      </w:pPr>
      <w:bookmarkStart w:id="89" w:name="_Toc479252065"/>
      <w:r>
        <w:rPr>
          <w:rFonts w:ascii="Arial Narrow" w:hAnsi="Arial Narrow" w:cs="Arial Narrow"/>
          <w:b/>
          <w:bCs/>
        </w:rPr>
        <w:t>（二）主要结论</w:t>
      </w:r>
      <w:bookmarkEnd w:id="89"/>
    </w:p>
    <w:p>
      <w:pPr>
        <w:snapToGrid w:val="0"/>
        <w:ind w:firstLine="480"/>
        <w:rPr>
          <w:rFonts w:ascii="Arial Narrow" w:hAnsi="Arial Narrow" w:cs="Arial Narrow"/>
        </w:rPr>
      </w:pPr>
      <w:bookmarkStart w:id="90" w:name="_Toc14373"/>
      <w:r>
        <w:drawing>
          <wp:anchor distT="0" distB="0" distL="114300" distR="114300" simplePos="0" relativeHeight="251670528" behindDoc="0" locked="0" layoutInCell="1" allowOverlap="1">
            <wp:simplePos x="0" y="0"/>
            <wp:positionH relativeFrom="column">
              <wp:posOffset>190500</wp:posOffset>
            </wp:positionH>
            <wp:positionV relativeFrom="paragraph">
              <wp:posOffset>84455</wp:posOffset>
            </wp:positionV>
            <wp:extent cx="4618355" cy="3352800"/>
            <wp:effectExtent l="0" t="0" r="14605" b="0"/>
            <wp:wrapTopAndBottom/>
            <wp:docPr id="1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pic:cNvPicPr>
                      <a:picLocks noChangeAspect="1"/>
                    </pic:cNvPicPr>
                  </pic:nvPicPr>
                  <pic:blipFill>
                    <a:blip r:embed="rId26"/>
                    <a:stretch>
                      <a:fillRect/>
                    </a:stretch>
                  </pic:blipFill>
                  <pic:spPr>
                    <a:xfrm>
                      <a:off x="0" y="0"/>
                      <a:ext cx="4618355" cy="3352800"/>
                    </a:xfrm>
                    <a:prstGeom prst="rect">
                      <a:avLst/>
                    </a:prstGeom>
                    <a:noFill/>
                    <a:ln w="9525">
                      <a:noFill/>
                    </a:ln>
                  </pic:spPr>
                </pic:pic>
              </a:graphicData>
            </a:graphic>
          </wp:anchor>
        </w:drawing>
      </w:r>
      <w:r>
        <w:rPr>
          <w:rFonts w:ascii="Arial Narrow" w:hAnsi="Arial Narrow" w:cs="Arial Narrow"/>
        </w:rPr>
        <w:t>1、项目投入指标评分结果为13.5分，评价等级为优。协税工作经费项目依据《关于2017年街道协税护税指标考评计分办法》、《2017年精准服务企业指标考评计分办法》和《招商引资考评计分办法》设定该项目绩效目标，符合客观事实。项目立项时提交了向区财政局提交了预算申报并于12月26日收到了批复，申报、批复程序符合规定，但未制定合理资金规划方案。项目实施单位主要依据《武汉市武昌区水果湖街道办事处财务管理（试行）办法》进行资金核算项目，资金主要用于支付协税工作人员工资（基本工资和绩效工资）和办公费用，分配结果全面、合理。</w:t>
      </w:r>
    </w:p>
    <w:p>
      <w:pPr>
        <w:snapToGrid w:val="0"/>
        <w:ind w:firstLine="480"/>
        <w:rPr>
          <w:rFonts w:ascii="Arial Narrow" w:hAnsi="Arial Narrow" w:cs="Arial Narrow"/>
        </w:rPr>
      </w:pPr>
      <w:r>
        <w:rPr>
          <w:rFonts w:ascii="Arial Narrow" w:hAnsi="Arial Narrow" w:cs="Arial Narrow"/>
        </w:rPr>
        <w:t>2、项目管理指标评分结果为23分，评价等级为优。项目的资金到位率以及及时率均为100%；严格执行《武汉市武昌区水果湖街道办事处财务管理（试行）办法》进行会计处理，但未对协税工作经费进行分项目核算；资金使用合规，不存在虚列项目支出、支出依据不合规或截留、挤占、挪用项目资金、超标准开支的情况；项目实施单位的组织机构健全，明确规划了各部门成员情况，同时对该项目实施过程中的组织人员进行了详细配置；项目实施单位建立并严格执行了值班考勤制、台账制、工作管理办法等，同时为协税员建立专门的工作绩效奖惩管理办法；档案资料齐全，工作台账、协税员考勤表、协税员每月工作目标考核表以及和协税工作人员签订的劳务派遣协议等档案资料齐全。</w:t>
      </w:r>
    </w:p>
    <w:p>
      <w:pPr>
        <w:snapToGrid w:val="0"/>
        <w:ind w:firstLine="480"/>
        <w:rPr>
          <w:rFonts w:ascii="Arial Narrow" w:hAnsi="Arial Narrow" w:cs="Arial Narrow"/>
        </w:rPr>
      </w:pPr>
      <w:r>
        <w:rPr>
          <w:rFonts w:ascii="Arial Narrow" w:hAnsi="Arial Narrow" w:cs="Arial Narrow"/>
        </w:rPr>
        <w:t>3、项目产出指标评分结果为23分，评价等级为优。项目产出方面， 2017年度全口径税收完成率为110.99%，；协税工作人员工作到岗率为99%，有个别天数协税员未在考勤表上签到，考核表中亦无工作作风不廉洁的行为；项目在项目年度内及时完成；计划服务重点企业82户，实际服务82户，完成率达100.00%。</w:t>
      </w:r>
    </w:p>
    <w:p>
      <w:pPr>
        <w:snapToGrid w:val="0"/>
        <w:ind w:firstLine="480"/>
        <w:rPr>
          <w:rFonts w:ascii="Arial Narrow" w:hAnsi="Arial Narrow" w:cs="Arial Narrow"/>
          <w:highlight w:val="yellow"/>
        </w:rPr>
      </w:pPr>
      <w:r>
        <w:rPr>
          <w:rFonts w:ascii="Arial Narrow" w:hAnsi="Arial Narrow" w:cs="Arial Narrow"/>
        </w:rPr>
        <w:t>4、项目效益指标评分结果为33分，评价等级为优。项目效益方面，该项目的经济效益较高，税收投入乘数达19.53，招商引资完成率高达135.73%；项目完成情况良好，税收增长率达8.18%。该项目通过走访等方式，掌握重点税源户的发展情况，但未形成税源分析和预测结果的总结性文件；项目为辖区内从事生产工作的纳税人提供政策宣传和涉税业务的咨询；项目实施单位设立1个税收服务站和协税护税领导小组，有足够的人员配备支持项目实施的后续运行，</w:t>
      </w:r>
      <w:r>
        <w:rPr>
          <w:rFonts w:ascii="Arial Narrow" w:hAnsi="Arial Narrow" w:cs="Arial Narrow"/>
          <w:highlight w:val="yellow"/>
        </w:rPr>
        <w:t>通过问卷调查，服务对象满意度为91.67%。</w:t>
      </w:r>
    </w:p>
    <w:p>
      <w:pPr>
        <w:snapToGrid w:val="0"/>
        <w:ind w:firstLine="482"/>
        <w:jc w:val="left"/>
        <w:outlineLvl w:val="0"/>
        <w:rPr>
          <w:rFonts w:ascii="Arial Narrow" w:hAnsi="Arial Narrow" w:cs="Arial Narrow"/>
          <w:b/>
        </w:rPr>
      </w:pPr>
      <w:bookmarkStart w:id="91" w:name="_Toc479252066"/>
      <w:r>
        <w:rPr>
          <w:rFonts w:ascii="Arial Narrow" w:hAnsi="Arial Narrow" w:cs="Arial Narrow"/>
          <w:b/>
        </w:rPr>
        <w:t>五、</w:t>
      </w:r>
      <w:bookmarkEnd w:id="85"/>
      <w:bookmarkEnd w:id="86"/>
      <w:bookmarkEnd w:id="87"/>
      <w:bookmarkEnd w:id="88"/>
      <w:r>
        <w:rPr>
          <w:rFonts w:ascii="Arial Narrow" w:hAnsi="Arial Narrow" w:cs="Arial Narrow"/>
          <w:b/>
        </w:rPr>
        <w:t>主要经验及做法、存在的问题和建议</w:t>
      </w:r>
      <w:bookmarkEnd w:id="90"/>
      <w:bookmarkEnd w:id="91"/>
    </w:p>
    <w:p>
      <w:pPr>
        <w:snapToGrid w:val="0"/>
        <w:ind w:firstLine="482"/>
        <w:outlineLvl w:val="1"/>
        <w:rPr>
          <w:rFonts w:ascii="Arial Narrow" w:hAnsi="Arial Narrow" w:cs="仿宋_GB2312"/>
          <w:b/>
          <w:bCs/>
        </w:rPr>
      </w:pPr>
      <w:bookmarkStart w:id="92" w:name="_Toc406666381"/>
      <w:bookmarkStart w:id="93" w:name="_Toc27928"/>
      <w:bookmarkStart w:id="94" w:name="_Toc387957830"/>
      <w:bookmarkStart w:id="95" w:name="_Toc19857"/>
      <w:bookmarkStart w:id="96" w:name="_Toc361304706"/>
      <w:bookmarkStart w:id="97" w:name="_Toc18455"/>
      <w:bookmarkStart w:id="98" w:name="_Toc406668055"/>
      <w:r>
        <w:rPr>
          <w:rFonts w:ascii="Arial Narrow" w:hAnsi="Arial Narrow" w:cs="Arial Narrow"/>
          <w:b/>
          <w:bCs/>
        </w:rPr>
        <w:t>（一）主要经验及做法</w:t>
      </w:r>
      <w:bookmarkEnd w:id="92"/>
      <w:bookmarkEnd w:id="93"/>
      <w:bookmarkEnd w:id="94"/>
      <w:bookmarkEnd w:id="95"/>
      <w:bookmarkEnd w:id="96"/>
      <w:bookmarkEnd w:id="97"/>
      <w:bookmarkEnd w:id="98"/>
    </w:p>
    <w:p>
      <w:pPr>
        <w:snapToGrid w:val="0"/>
        <w:ind w:firstLine="480"/>
        <w:rPr>
          <w:rFonts w:ascii="Arial Narrow" w:hAnsi="Arial Narrow" w:cs="Arial Narrow"/>
          <w:bCs/>
        </w:rPr>
      </w:pPr>
      <w:r>
        <w:rPr>
          <w:rFonts w:ascii="Arial Narrow" w:hAnsi="Arial Narrow" w:cs="Arial Narrow"/>
          <w:bCs/>
        </w:rPr>
        <w:t>1、项目实施单位的协税工作内容主要为五个方面：新增企业税收落户、核查楼宇企业属地纳税、重点行业纳税服务行动、招商引资以及辖区内零散税收取。项目实施单位每个月都对协税人员按照不同的工作内容进行在接待纳税人、征税、登记信息等方面的考评，同时记录成册。不仅全面贯彻和落实协税员绩效奖惩机制，管理协税员工作内容和效率有理有据；同时，这也和税源户台账、2017年协税各方面工作内容汇总册（建安项目、属地纳税、精准服务企业工程等）形成一个完整、成熟的协税工作档案管理体系。</w:t>
      </w:r>
    </w:p>
    <w:p>
      <w:pPr>
        <w:snapToGrid w:val="0"/>
        <w:ind w:firstLine="480"/>
        <w:rPr>
          <w:rFonts w:ascii="Arial Narrow" w:hAnsi="Arial Narrow" w:cs="Arial Narrow"/>
          <w:bCs/>
        </w:rPr>
      </w:pPr>
      <w:r>
        <w:rPr>
          <w:rFonts w:ascii="Arial Narrow" w:hAnsi="Arial Narrow" w:cs="Arial Narrow"/>
          <w:bCs/>
        </w:rPr>
        <w:t>2、建立并严格执行完整的工作内容管理体系。项目实施单位根据协税工作的四个方面，建立专门的工作内容汇总册。建立完整健全的税源户台账制度。该项目实施单位为每位税源户建立专门的信息档案和台账，每月定时追踪数据更新状况，以保证数据真实、可靠、有效。将2017年协税各方面工作内容（建安项目、属地纳税、精准服务企业工程等）汇总制定成册。对于服务过的每一个企业和项目都保证企业的基本信息、税务所属关系、项目施工合同等资料齐全。同时及时收集并反馈企业意见和建议，形成有效的文字说明，为上级部门和企业之间提供了一个良好的沟通闭环。</w:t>
      </w:r>
    </w:p>
    <w:p>
      <w:pPr>
        <w:snapToGrid w:val="0"/>
        <w:ind w:firstLine="482"/>
        <w:outlineLvl w:val="1"/>
        <w:rPr>
          <w:rFonts w:ascii="Arial Narrow" w:hAnsi="Arial Narrow" w:cs="Arial Narrow"/>
          <w:b/>
          <w:bCs/>
        </w:rPr>
      </w:pPr>
      <w:bookmarkStart w:id="99" w:name="_Toc406666382"/>
      <w:bookmarkStart w:id="100" w:name="_Toc479252068"/>
      <w:bookmarkStart w:id="101" w:name="_Toc406668056"/>
      <w:bookmarkStart w:id="102" w:name="_Toc16696"/>
      <w:bookmarkStart w:id="103" w:name="_Toc387957833"/>
      <w:r>
        <w:rPr>
          <w:rFonts w:ascii="Arial Narrow" w:hAnsi="Arial Narrow" w:cs="Arial Narrow"/>
          <w:b/>
          <w:bCs/>
        </w:rPr>
        <w:t>（二）存在的问题</w:t>
      </w:r>
      <w:bookmarkEnd w:id="99"/>
      <w:bookmarkEnd w:id="100"/>
      <w:bookmarkEnd w:id="101"/>
      <w:bookmarkEnd w:id="102"/>
    </w:p>
    <w:p>
      <w:pPr>
        <w:snapToGrid w:val="0"/>
        <w:ind w:firstLine="424" w:firstLineChars="177"/>
        <w:rPr>
          <w:rFonts w:ascii="Arial Narrow" w:hAnsi="Arial Narrow" w:cs="Arial Narrow"/>
        </w:rPr>
      </w:pPr>
      <w:bookmarkStart w:id="104" w:name="_Toc28128"/>
      <w:r>
        <w:rPr>
          <w:rFonts w:ascii="Arial Narrow" w:hAnsi="Arial Narrow" w:cs="Arial Narrow"/>
        </w:rPr>
        <w:t>协税工作经费项目</w:t>
      </w:r>
      <w:r>
        <w:rPr>
          <w:rFonts w:ascii="Arial Narrow" w:hAnsi="Arial Narrow" w:cs="Arial Narrow"/>
          <w:bCs/>
        </w:rPr>
        <w:t>总体实施情况为优</w:t>
      </w:r>
      <w:r>
        <w:rPr>
          <w:rFonts w:ascii="Arial Narrow" w:hAnsi="Arial Narrow" w:cs="Arial Narrow"/>
        </w:rPr>
        <w:t>，但也有一些瑕疵：</w:t>
      </w:r>
    </w:p>
    <w:p>
      <w:pPr>
        <w:snapToGrid w:val="0"/>
        <w:ind w:firstLine="480"/>
        <w:rPr>
          <w:rFonts w:ascii="Arial Narrow" w:hAnsi="Arial Narrow" w:cs="Arial Narrow"/>
        </w:rPr>
      </w:pPr>
      <w:bookmarkStart w:id="105" w:name="_Toc479252069"/>
      <w:r>
        <w:rPr>
          <w:rFonts w:hint="eastAsia" w:ascii="Arial Narrow" w:hAnsi="Arial Narrow" w:cs="Arial Narrow"/>
        </w:rPr>
        <w:t>1、</w:t>
      </w:r>
      <w:r>
        <w:rPr>
          <w:rFonts w:ascii="Arial Narrow" w:hAnsi="Arial Narrow" w:cs="Arial Narrow"/>
        </w:rPr>
        <w:t>零散税收取未设立绩效指标。2017年度税务部门及水果湖街道未对零散税收取设立绩效目标，未针对项目具体内容设立绩效指标，不利于对实施单位项目的控制管理，更不利于后期对项目进行绩效考核。</w:t>
      </w:r>
    </w:p>
    <w:p>
      <w:pPr>
        <w:snapToGrid w:val="0"/>
        <w:ind w:firstLine="480"/>
        <w:rPr>
          <w:rFonts w:ascii="Arial Narrow" w:hAnsi="Arial Narrow" w:cs="Arial Narrow"/>
        </w:rPr>
      </w:pPr>
      <w:r>
        <w:rPr>
          <w:rFonts w:hint="eastAsia" w:ascii="Arial Narrow" w:hAnsi="Arial Narrow" w:cs="Arial Narrow"/>
        </w:rPr>
        <w:t>2、</w:t>
      </w:r>
      <w:r>
        <w:rPr>
          <w:rFonts w:ascii="Arial Narrow" w:hAnsi="Arial Narrow" w:cs="Arial Narrow"/>
        </w:rPr>
        <w:t>资金分配方法不明确。项目实施单位虽严格按照《武汉市武昌区水果湖街道办事处财务管理（试行）办法》进行会计核算，但未针对本项目制定具体的项目资金管理办法和资金分配等办法，不利于项目资金的管理。</w:t>
      </w:r>
    </w:p>
    <w:p>
      <w:pPr>
        <w:snapToGrid w:val="0"/>
        <w:ind w:firstLine="480"/>
        <w:rPr>
          <w:rFonts w:ascii="Arial Narrow" w:hAnsi="Arial Narrow" w:cs="Arial Narrow"/>
        </w:rPr>
      </w:pPr>
      <w:r>
        <w:rPr>
          <w:rFonts w:hint="eastAsia" w:ascii="Arial Narrow" w:hAnsi="Arial Narrow" w:cs="Arial Narrow"/>
        </w:rPr>
        <w:t>3、</w:t>
      </w:r>
      <w:r>
        <w:rPr>
          <w:rFonts w:ascii="Arial Narrow" w:hAnsi="Arial Narrow" w:cs="Arial Narrow"/>
        </w:rPr>
        <w:t>税源分析和预测工作成果未形成结果性描述。项目实施单位通过走访掌握重点税源户的发展和税收变化并形成走访记录，此举虽能敦促企业按期缴税并充分挖掘税收潜力，但未根据走访记录行成结果性描述，也未与相关部门合作预测分析，不利于后续工作提供更好的开展，税源分析预测工作有待加强。</w:t>
      </w:r>
    </w:p>
    <w:p>
      <w:pPr>
        <w:numPr>
          <w:ilvl w:val="0"/>
          <w:numId w:val="5"/>
        </w:numPr>
        <w:snapToGrid w:val="0"/>
        <w:ind w:firstLine="426" w:firstLineChars="0"/>
        <w:outlineLvl w:val="1"/>
        <w:rPr>
          <w:rFonts w:ascii="Arial Narrow" w:hAnsi="Arial Narrow" w:cs="Arial Narrow"/>
          <w:b/>
          <w:bCs/>
        </w:rPr>
      </w:pPr>
      <w:r>
        <w:rPr>
          <w:rFonts w:ascii="Arial Narrow" w:hAnsi="Arial Narrow" w:cs="Arial Narrow"/>
          <w:b/>
          <w:bCs/>
        </w:rPr>
        <w:t>建议</w:t>
      </w:r>
      <w:bookmarkEnd w:id="103"/>
      <w:bookmarkEnd w:id="104"/>
      <w:bookmarkEnd w:id="105"/>
      <w:bookmarkStart w:id="106" w:name="_Toc387957834"/>
    </w:p>
    <w:p>
      <w:pPr>
        <w:snapToGrid w:val="0"/>
        <w:ind w:firstLine="480"/>
        <w:outlineLvl w:val="1"/>
        <w:rPr>
          <w:rFonts w:ascii="Arial Narrow" w:hAnsi="Arial Narrow" w:cs="Arial Narrow"/>
          <w:shd w:val="clear" w:color="auto" w:fill="FFFFFF"/>
        </w:rPr>
      </w:pPr>
      <w:bookmarkStart w:id="107" w:name="_Toc479252070"/>
      <w:bookmarkStart w:id="108" w:name="_Toc9981"/>
      <w:r>
        <w:rPr>
          <w:rFonts w:hint="eastAsia" w:ascii="Arial Narrow" w:hAnsi="Arial Narrow" w:cs="Arial Narrow"/>
          <w:shd w:val="clear" w:color="auto" w:fill="FFFFFF"/>
        </w:rPr>
        <w:t>1、</w:t>
      </w:r>
      <w:r>
        <w:rPr>
          <w:rFonts w:ascii="Arial Narrow" w:hAnsi="Arial Narrow" w:cs="Arial Narrow"/>
          <w:shd w:val="clear" w:color="auto" w:fill="FFFFFF"/>
        </w:rPr>
        <w:t>设置绩效考核指标具体到各项工作。在设置绩效目标时应认真梳理各项重点工作目标，针对目标任务，提出具体的量化指标。确实难以量化的，也应提炼出能够反映工作质量和成效的结果性描述，</w:t>
      </w:r>
      <w:r>
        <w:t>有利于</w:t>
      </w:r>
      <w:r>
        <w:rPr>
          <w:rFonts w:hint="eastAsia"/>
        </w:rPr>
        <w:t>对比</w:t>
      </w:r>
      <w:r>
        <w:t>和总结年度工作完成情况</w:t>
      </w:r>
      <w:r>
        <w:rPr>
          <w:rFonts w:hint="eastAsia"/>
        </w:rPr>
        <w:t>，</w:t>
      </w:r>
      <w:r>
        <w:rPr>
          <w:rFonts w:ascii="Arial Narrow" w:hAnsi="Arial Narrow" w:cs="Arial Narrow"/>
          <w:shd w:val="clear" w:color="auto" w:fill="FFFFFF"/>
        </w:rPr>
        <w:t>为后期工作更好的开展奠定基础。</w:t>
      </w:r>
    </w:p>
    <w:p>
      <w:pPr>
        <w:snapToGrid w:val="0"/>
        <w:ind w:firstLine="480"/>
        <w:outlineLvl w:val="1"/>
        <w:rPr>
          <w:rFonts w:ascii="Arial Narrow" w:hAnsi="Arial Narrow" w:cs="Arial Narrow"/>
          <w:shd w:val="clear" w:color="auto" w:fill="FFFFFF"/>
        </w:rPr>
      </w:pPr>
      <w:r>
        <w:rPr>
          <w:rFonts w:hint="eastAsia" w:ascii="Arial Narrow" w:hAnsi="Arial Narrow" w:cs="Arial Narrow"/>
          <w:shd w:val="clear" w:color="auto" w:fill="FFFFFF"/>
        </w:rPr>
        <w:t>2、</w:t>
      </w:r>
      <w:r>
        <w:rPr>
          <w:rFonts w:ascii="Arial Narrow" w:hAnsi="Arial Narrow" w:cs="Arial Narrow"/>
          <w:shd w:val="clear" w:color="auto" w:fill="FFFFFF"/>
        </w:rPr>
        <w:t>明确资</w:t>
      </w:r>
      <w:bookmarkStart w:id="116" w:name="_GoBack"/>
      <w:bookmarkEnd w:id="116"/>
      <w:r>
        <w:rPr>
          <w:rFonts w:ascii="Arial Narrow" w:hAnsi="Arial Narrow" w:cs="Arial Narrow"/>
          <w:shd w:val="clear" w:color="auto" w:fill="FFFFFF"/>
        </w:rPr>
        <w:t>金分配方法。</w:t>
      </w:r>
      <w:r>
        <w:rPr>
          <w:rFonts w:ascii="Arial Narrow" w:hAnsi="Arial Narrow" w:cs="Arial Narrow"/>
        </w:rPr>
        <w:t>根据国家有关专项资金使用管理办法的规定，为切实规范专项资金管理，保障资金安全、高效运行，发挥资金使用效益，</w:t>
      </w:r>
      <w:r>
        <w:rPr>
          <w:rFonts w:hint="eastAsia" w:ascii="Arial Narrow" w:hAnsi="Arial Narrow" w:cs="Arial Narrow"/>
        </w:rPr>
        <w:t>项目实施单位应对协税经费的使用范围、支出标准、分配因素进行明确规定，以规范项目资金的支出。</w:t>
      </w:r>
      <w:r>
        <w:rPr>
          <w:rFonts w:hint="eastAsia" w:ascii="Arial Narrow" w:hAnsi="Arial Narrow" w:cs="Arial Narrow"/>
          <w:shd w:val="clear" w:color="auto" w:fill="FFFFFF"/>
        </w:rPr>
        <w:t>资金实行专款专用，独立核算，与其他项目资金严格区分开来，促进项目核算的规范性。</w:t>
      </w:r>
    </w:p>
    <w:p>
      <w:pPr>
        <w:snapToGrid w:val="0"/>
        <w:ind w:firstLine="480"/>
        <w:outlineLvl w:val="1"/>
        <w:rPr>
          <w:rFonts w:ascii="Arial Narrow" w:hAnsi="Arial Narrow" w:cs="Arial Narrow"/>
          <w:shd w:val="clear" w:color="auto" w:fill="FFFFFF"/>
        </w:rPr>
      </w:pPr>
      <w:r>
        <w:rPr>
          <w:rFonts w:hint="eastAsia" w:ascii="Arial Narrow" w:hAnsi="Arial Narrow" w:cs="Arial Narrow"/>
          <w:shd w:val="clear" w:color="auto" w:fill="FFFFFF"/>
        </w:rPr>
        <w:t>3、</w:t>
      </w:r>
      <w:r>
        <w:rPr>
          <w:rFonts w:ascii="Arial Narrow" w:hAnsi="Arial Narrow" w:cs="Arial Narrow"/>
          <w:shd w:val="clear" w:color="auto" w:fill="FFFFFF"/>
        </w:rPr>
        <w:t>税源分析和预测工作成果未形成结果性描述。</w:t>
      </w:r>
      <w:r>
        <w:rPr>
          <w:rFonts w:hint="eastAsia" w:ascii="Arial Narrow" w:hAnsi="Arial Narrow" w:cs="Arial Narrow"/>
          <w:shd w:val="clear" w:color="auto" w:fill="FFFFFF"/>
        </w:rPr>
        <w:t>项目实施单位应</w:t>
      </w:r>
      <w:r>
        <w:rPr>
          <w:rFonts w:ascii="Arial Narrow" w:hAnsi="Arial Narrow" w:cs="Arial Narrow"/>
          <w:shd w:val="clear" w:color="auto" w:fill="FFFFFF"/>
        </w:rPr>
        <w:t>加强和税务部门的联系与合作，通过走访掌握重点税源户的发展和税收变化形成的工作资料，对辖区内的税源户的发展情况进行专业预测与分析，更全面、有效的掌握重点税源户的发展状况，努力挖掘税收潜力，掌握税收发展动态，并对分析结果定期进行总结归纳，及时转化成后续协税工作的指导性文件。</w:t>
      </w:r>
    </w:p>
    <w:p>
      <w:pPr>
        <w:snapToGrid w:val="0"/>
        <w:ind w:firstLine="482"/>
        <w:jc w:val="left"/>
        <w:outlineLvl w:val="0"/>
        <w:rPr>
          <w:rFonts w:ascii="Arial Narrow" w:hAnsi="Arial Narrow" w:cs="Arial Narrow"/>
          <w:b/>
        </w:rPr>
      </w:pPr>
      <w:r>
        <w:rPr>
          <w:rFonts w:ascii="Arial Narrow" w:hAnsi="Arial Narrow" w:cs="Arial Narrow"/>
          <w:b/>
        </w:rPr>
        <w:t>六、其他需说明的问题</w:t>
      </w:r>
      <w:bookmarkEnd w:id="107"/>
    </w:p>
    <w:p>
      <w:pPr>
        <w:snapToGrid w:val="0"/>
        <w:ind w:firstLine="482"/>
        <w:outlineLvl w:val="1"/>
        <w:rPr>
          <w:rFonts w:ascii="Arial Narrow" w:hAnsi="Arial Narrow" w:cs="Arial Narrow"/>
          <w:b/>
          <w:bCs/>
        </w:rPr>
      </w:pPr>
      <w:bookmarkStart w:id="109" w:name="_Toc479252071"/>
      <w:r>
        <w:rPr>
          <w:rFonts w:ascii="Arial Narrow" w:hAnsi="Arial Narrow" w:cs="Arial Narrow"/>
          <w:b/>
          <w:bCs/>
        </w:rPr>
        <w:t>（一）关于评价责任的说明</w:t>
      </w:r>
      <w:bookmarkEnd w:id="109"/>
    </w:p>
    <w:p>
      <w:pPr>
        <w:snapToGrid w:val="0"/>
        <w:ind w:firstLine="436" w:firstLineChars="182"/>
        <w:rPr>
          <w:rFonts w:ascii="Arial Narrow" w:hAnsi="Arial Narrow" w:cs="Arial Narrow"/>
          <w:bCs/>
        </w:rPr>
      </w:pPr>
      <w:r>
        <w:rPr>
          <w:rFonts w:ascii="Arial Narrow" w:hAnsi="Arial Narrow" w:cs="Arial Narrow"/>
          <w:bCs/>
        </w:rPr>
        <w:t>本评价结果依据评价客体提供的各项基础资料，运用规定的评价方法，评价工作组保证本次评价工作全过程的公正和公平，各项评价基础资料的真实性与完整性由评价客体负责，未经评价组织机构同意，任何单位和个人不得将本评价结果对外公布。</w:t>
      </w:r>
    </w:p>
    <w:p>
      <w:pPr>
        <w:numPr>
          <w:ilvl w:val="0"/>
          <w:numId w:val="5"/>
        </w:numPr>
        <w:snapToGrid w:val="0"/>
        <w:ind w:firstLine="426" w:firstLineChars="0"/>
        <w:outlineLvl w:val="1"/>
        <w:rPr>
          <w:rFonts w:ascii="Arial Narrow" w:hAnsi="Arial Narrow" w:cs="Arial Narrow"/>
          <w:b/>
          <w:bCs/>
        </w:rPr>
      </w:pPr>
      <w:bookmarkStart w:id="110" w:name="_Toc479252072"/>
      <w:r>
        <w:rPr>
          <w:rFonts w:ascii="Arial Narrow" w:hAnsi="Arial Narrow" w:cs="Arial Narrow"/>
          <w:b/>
          <w:bCs/>
        </w:rPr>
        <w:t>关于本项目评价中局限性的说明</w:t>
      </w:r>
      <w:bookmarkEnd w:id="110"/>
    </w:p>
    <w:p>
      <w:pPr>
        <w:snapToGrid w:val="0"/>
        <w:ind w:firstLine="480"/>
        <w:jc w:val="left"/>
        <w:rPr>
          <w:rFonts w:ascii="Arial Narrow" w:hAnsi="Arial Narrow" w:cs="Arial Narrow"/>
        </w:rPr>
      </w:pPr>
      <w:r>
        <w:rPr>
          <w:rFonts w:hint="eastAsia" w:ascii="Arial Narrow" w:hAnsi="Arial Narrow" w:cs="Arial Narrow"/>
        </w:rPr>
        <w:t>1</w:t>
      </w:r>
      <w:r>
        <w:rPr>
          <w:rFonts w:ascii="Arial Narrow" w:hAnsi="Arial Narrow" w:cs="Arial Narrow"/>
        </w:rPr>
        <w:t>、本次评价项目数据是基于</w:t>
      </w:r>
      <w:r>
        <w:rPr>
          <w:rFonts w:hint="eastAsia" w:ascii="Arial Narrow" w:hAnsi="Arial Narrow" w:cs="Arial Narrow"/>
        </w:rPr>
        <w:t>水果湖街</w:t>
      </w:r>
      <w:r>
        <w:rPr>
          <w:rFonts w:ascii="Arial Narrow" w:hAnsi="Arial Narrow" w:cs="Arial Narrow"/>
        </w:rPr>
        <w:t>统计的，涉及范围较广、数据多，无法一一核实其真实性，因此可能对结果的准确性产生一定的影响。</w:t>
      </w:r>
    </w:p>
    <w:p>
      <w:pPr>
        <w:snapToGrid w:val="0"/>
        <w:ind w:firstLine="480"/>
        <w:jc w:val="left"/>
      </w:pPr>
      <w:r>
        <w:rPr>
          <w:rFonts w:hint="eastAsia" w:ascii="Arial Narrow" w:hAnsi="Arial Narrow" w:cs="Arial Narrow"/>
        </w:rPr>
        <w:t>2</w:t>
      </w:r>
      <w:r>
        <w:rPr>
          <w:rFonts w:ascii="Arial Narrow" w:hAnsi="Arial Narrow" w:cs="Arial Narrow"/>
        </w:rPr>
        <w:t>、对于</w:t>
      </w:r>
      <w:r>
        <w:rPr>
          <w:rFonts w:hint="eastAsia"/>
        </w:rPr>
        <w:t>绩效评价框架中的部分定性指标，无法根据量化的数据评价并得出分数，评议结果主要依据评价人员的职业判断。</w:t>
      </w:r>
    </w:p>
    <w:p>
      <w:pPr>
        <w:snapToGrid w:val="0"/>
        <w:ind w:firstLine="480"/>
        <w:jc w:val="left"/>
        <w:rPr>
          <w:rFonts w:ascii="Arial Narrow" w:hAnsi="Arial Narrow" w:cs="Arial Narrow"/>
        </w:rPr>
      </w:pPr>
      <w:r>
        <w:rPr>
          <w:rFonts w:hint="eastAsia" w:ascii="Arial Narrow" w:hAnsi="Arial Narrow" w:cs="Arial Narrow"/>
        </w:rPr>
        <w:t>3、</w:t>
      </w:r>
      <w:r>
        <w:rPr>
          <w:rFonts w:hint="eastAsia"/>
        </w:rPr>
        <w:t>服务对象满意度我们主要采取发放问卷调查的方式进行的，本次绩效评价我们对服务企业进行问卷调查，收集的信息存在一定的局限性和片面性，可能会导致统计性偏差，对评价结果产生一定的影响。</w:t>
      </w:r>
    </w:p>
    <w:p>
      <w:pPr>
        <w:snapToGrid w:val="0"/>
        <w:ind w:firstLine="480"/>
        <w:rPr>
          <w:rFonts w:ascii="Arial Narrow" w:hAnsi="Arial Narrow" w:cs="Arial Narrow"/>
          <w:bCs/>
        </w:rPr>
      </w:pPr>
      <w:r>
        <w:rPr>
          <w:rFonts w:hint="eastAsia" w:ascii="Arial Narrow" w:hAnsi="Arial Narrow" w:cs="Arial Narrow"/>
          <w:bCs/>
        </w:rPr>
        <w:t>4</w:t>
      </w:r>
      <w:r>
        <w:rPr>
          <w:rFonts w:ascii="Arial Narrow" w:hAnsi="Arial Narrow" w:cs="Arial Narrow"/>
          <w:bCs/>
        </w:rPr>
        <w:t>、评价结论是致同会计师事务所（特殊普通合伙）武汉分所出具的，受具体参加本次项目的评价人员的水平和能力的限制。鉴于这种评价工作存在资料的有限性和调查、分析、判断的局限性，因此，评价结论无法考虑影响资金使用的所有因素，评价结论存在一定的局限性。</w:t>
      </w:r>
    </w:p>
    <w:p>
      <w:pPr>
        <w:snapToGrid w:val="0"/>
        <w:ind w:firstLine="480" w:firstLineChars="0"/>
        <w:rPr>
          <w:rFonts w:ascii="Arial Narrow" w:hAnsi="Arial Narrow" w:cs="Arial Narrow"/>
          <w:bCs/>
        </w:rPr>
      </w:pPr>
      <w:r>
        <w:rPr>
          <w:rFonts w:hint="eastAsia" w:ascii="Arial Narrow" w:hAnsi="Arial Narrow" w:cs="Arial Narrow"/>
          <w:bCs/>
        </w:rPr>
        <w:t>5</w:t>
      </w:r>
      <w:r>
        <w:rPr>
          <w:rFonts w:ascii="Arial Narrow" w:hAnsi="Arial Narrow" w:cs="Arial Narrow"/>
          <w:bCs/>
        </w:rPr>
        <w:t>、本项目是经常性的资金使用项目，而且专业性较强。受具体参加本次项目的评价人员的专业能力的影响，对专业指标设定的全面性以及问题、建议提出的专业性可能存在一定的局限性。</w:t>
      </w:r>
      <w:bookmarkEnd w:id="106"/>
      <w:bookmarkEnd w:id="108"/>
      <w:bookmarkStart w:id="111" w:name="_Toc387957836"/>
      <w:bookmarkStart w:id="112" w:name="_Toc406668061"/>
      <w:bookmarkStart w:id="113" w:name="_Toc479252073"/>
      <w:bookmarkStart w:id="114" w:name="_Toc5673"/>
      <w:bookmarkStart w:id="115" w:name="_Toc406666387"/>
    </w:p>
    <w:p>
      <w:pPr>
        <w:snapToGrid w:val="0"/>
        <w:ind w:firstLine="480" w:firstLineChars="0"/>
        <w:rPr>
          <w:rFonts w:ascii="Arial Narrow" w:hAnsi="Arial Narrow" w:cs="Arial Narrow"/>
          <w:bCs/>
        </w:rPr>
      </w:pPr>
    </w:p>
    <w:p>
      <w:pPr>
        <w:snapToGrid w:val="0"/>
        <w:ind w:firstLine="0" w:firstLineChars="0"/>
        <w:outlineLvl w:val="1"/>
        <w:rPr>
          <w:rFonts w:ascii="Arial Narrow" w:hAnsi="Arial Narrow" w:cs="Arial Narrow"/>
          <w:b/>
          <w:bCs/>
        </w:rPr>
      </w:pPr>
    </w:p>
    <w:p>
      <w:pPr>
        <w:ind w:firstLine="0" w:firstLineChars="0"/>
        <w:jc w:val="center"/>
        <w:rPr>
          <w:rFonts w:ascii="Arial Narrow" w:hAnsi="Arial Narrow" w:cs="Arial Narrow"/>
          <w:b/>
          <w:sz w:val="44"/>
          <w:szCs w:val="44"/>
        </w:rPr>
      </w:pPr>
    </w:p>
    <w:p>
      <w:pPr>
        <w:ind w:firstLine="0" w:firstLineChars="0"/>
        <w:jc w:val="center"/>
        <w:rPr>
          <w:rFonts w:ascii="Arial Narrow" w:hAnsi="Arial Narrow" w:cs="Arial Narrow"/>
          <w:b/>
          <w:sz w:val="44"/>
          <w:szCs w:val="44"/>
        </w:rPr>
      </w:pPr>
    </w:p>
    <w:p>
      <w:pPr>
        <w:ind w:firstLine="0" w:firstLineChars="0"/>
        <w:jc w:val="center"/>
        <w:rPr>
          <w:rFonts w:ascii="Arial Narrow" w:hAnsi="Arial Narrow" w:cs="Arial Narrow"/>
          <w:b/>
          <w:sz w:val="44"/>
          <w:szCs w:val="44"/>
        </w:rPr>
      </w:pPr>
    </w:p>
    <w:p>
      <w:pPr>
        <w:ind w:firstLine="0" w:firstLineChars="0"/>
        <w:jc w:val="center"/>
        <w:rPr>
          <w:rFonts w:ascii="Arial Narrow" w:hAnsi="Arial Narrow" w:cs="Arial Narrow"/>
          <w:b/>
          <w:sz w:val="44"/>
          <w:szCs w:val="44"/>
        </w:rPr>
      </w:pPr>
    </w:p>
    <w:p>
      <w:pPr>
        <w:ind w:firstLine="0" w:firstLineChars="0"/>
        <w:jc w:val="center"/>
        <w:rPr>
          <w:rFonts w:ascii="Arial Narrow" w:hAnsi="Arial Narrow" w:cs="Arial Narrow"/>
          <w:b/>
          <w:sz w:val="28"/>
          <w:szCs w:val="28"/>
        </w:rPr>
      </w:pPr>
      <w:r>
        <w:rPr>
          <w:rFonts w:ascii="Arial Narrow" w:hAnsi="Arial Narrow" w:cs="Arial Narrow"/>
          <w:b/>
          <w:sz w:val="28"/>
          <w:szCs w:val="28"/>
        </w:rPr>
        <w:t>【武昌区2017年度协税工作经费项目绩效评价报告】</w:t>
      </w:r>
    </w:p>
    <w:p>
      <w:pPr>
        <w:snapToGrid w:val="0"/>
        <w:ind w:firstLine="0" w:firstLineChars="0"/>
        <w:outlineLvl w:val="1"/>
        <w:rPr>
          <w:rFonts w:ascii="Arial Narrow" w:hAnsi="Arial Narrow" w:cs="Arial Narrow"/>
          <w:b/>
          <w:bCs/>
        </w:rPr>
      </w:pPr>
    </w:p>
    <w:p>
      <w:pPr>
        <w:snapToGrid w:val="0"/>
        <w:ind w:firstLine="0" w:firstLineChars="0"/>
        <w:outlineLvl w:val="1"/>
        <w:rPr>
          <w:rFonts w:ascii="Arial Narrow" w:hAnsi="Arial Narrow" w:cs="Arial Narrow"/>
          <w:b/>
          <w:bCs/>
        </w:rPr>
      </w:pPr>
    </w:p>
    <w:p>
      <w:pPr>
        <w:snapToGrid w:val="0"/>
        <w:ind w:firstLine="0" w:firstLineChars="0"/>
        <w:outlineLvl w:val="1"/>
        <w:rPr>
          <w:rFonts w:ascii="Arial Narrow" w:hAnsi="Arial Narrow" w:cs="Arial Narrow"/>
          <w:b/>
          <w:bCs/>
        </w:rPr>
      </w:pPr>
    </w:p>
    <w:p>
      <w:pPr>
        <w:snapToGrid w:val="0"/>
        <w:ind w:firstLine="0" w:firstLineChars="0"/>
        <w:outlineLvl w:val="1"/>
        <w:rPr>
          <w:rFonts w:ascii="Arial Narrow" w:hAnsi="Arial Narrow" w:cs="Arial Narrow"/>
        </w:rPr>
      </w:pPr>
      <w:r>
        <w:rPr>
          <w:rFonts w:ascii="Arial Narrow" w:hAnsi="Arial Narrow" w:cs="Arial Narrow"/>
          <w:b/>
          <w:bCs/>
        </w:rPr>
        <w:t>附件</w:t>
      </w:r>
      <w:bookmarkEnd w:id="111"/>
      <w:r>
        <w:rPr>
          <w:rFonts w:ascii="Arial Narrow" w:hAnsi="Arial Narrow" w:cs="Arial Narrow"/>
          <w:b/>
          <w:bCs/>
        </w:rPr>
        <w:t>：</w:t>
      </w:r>
      <w:bookmarkEnd w:id="112"/>
      <w:bookmarkEnd w:id="113"/>
      <w:bookmarkEnd w:id="114"/>
      <w:bookmarkEnd w:id="115"/>
    </w:p>
    <w:p>
      <w:pPr>
        <w:snapToGrid w:val="0"/>
        <w:ind w:firstLine="480"/>
        <w:rPr>
          <w:rFonts w:ascii="Arial Narrow" w:hAnsi="Arial Narrow" w:cs="Arial Narrow"/>
        </w:rPr>
      </w:pPr>
      <w:r>
        <w:rPr>
          <w:rFonts w:ascii="Arial Narrow" w:hAnsi="Arial Narrow" w:cs="Arial Narrow"/>
        </w:rPr>
        <w:t>1：项目绩效评价评分表及说明</w:t>
      </w:r>
    </w:p>
    <w:p>
      <w:pPr>
        <w:snapToGrid w:val="0"/>
        <w:ind w:firstLine="480"/>
        <w:rPr>
          <w:rFonts w:ascii="Arial Narrow" w:hAnsi="Arial Narrow" w:cs="Arial Narrow"/>
        </w:rPr>
      </w:pPr>
      <w:r>
        <w:rPr>
          <w:rFonts w:ascii="Arial Narrow" w:hAnsi="Arial Narrow" w:cs="Arial Narrow"/>
        </w:rPr>
        <w:t>2：绩效目标完成情况对比表</w:t>
      </w:r>
    </w:p>
    <w:p>
      <w:pPr>
        <w:snapToGrid w:val="0"/>
        <w:ind w:firstLine="480"/>
        <w:rPr>
          <w:rFonts w:ascii="Arial Narrow" w:hAnsi="Arial Narrow" w:cs="Arial Narrow"/>
        </w:rPr>
      </w:pPr>
      <w:r>
        <w:rPr>
          <w:rFonts w:ascii="Arial Narrow" w:hAnsi="Arial Narrow" w:cs="Arial Narrow"/>
        </w:rPr>
        <w:t>3：基础数据表</w:t>
      </w:r>
    </w:p>
    <w:p>
      <w:pPr>
        <w:snapToGrid w:val="0"/>
        <w:ind w:firstLine="480"/>
        <w:rPr>
          <w:rFonts w:ascii="Arial Narrow" w:hAnsi="Arial Narrow" w:cs="Arial Narrow"/>
        </w:rPr>
      </w:pPr>
      <w:r>
        <w:rPr>
          <w:rFonts w:ascii="Arial Narrow" w:hAnsi="Arial Narrow" w:cs="Arial Narrow"/>
        </w:rPr>
        <w:t>4：访谈大纲</w:t>
      </w:r>
    </w:p>
    <w:p>
      <w:pPr>
        <w:snapToGrid w:val="0"/>
        <w:ind w:firstLine="480"/>
        <w:rPr>
          <w:rFonts w:ascii="Arial Narrow" w:hAnsi="Arial Narrow" w:cs="Arial Narrow"/>
        </w:rPr>
      </w:pPr>
      <w:r>
        <w:rPr>
          <w:rFonts w:ascii="Arial Narrow" w:hAnsi="Arial Narrow" w:cs="Arial Narrow"/>
        </w:rPr>
        <w:t>5：访谈记录</w:t>
      </w:r>
    </w:p>
    <w:p>
      <w:pPr>
        <w:snapToGrid w:val="0"/>
        <w:ind w:firstLine="480"/>
        <w:rPr>
          <w:rFonts w:ascii="Arial Narrow" w:hAnsi="Arial Narrow" w:cs="Arial Narrow"/>
        </w:rPr>
      </w:pPr>
      <w:r>
        <w:rPr>
          <w:rFonts w:ascii="Arial Narrow" w:hAnsi="Arial Narrow" w:cs="Arial Narrow"/>
        </w:rPr>
        <w:t>6：调查问卷</w:t>
      </w:r>
    </w:p>
    <w:p>
      <w:pPr>
        <w:snapToGrid w:val="0"/>
        <w:ind w:firstLine="480"/>
        <w:rPr>
          <w:rFonts w:ascii="Arial Narrow" w:hAnsi="Arial Narrow" w:cs="Arial Narrow"/>
        </w:rPr>
      </w:pPr>
      <w:r>
        <w:rPr>
          <w:rFonts w:ascii="Arial Narrow" w:hAnsi="Arial Narrow" w:cs="Arial Narrow"/>
        </w:rPr>
        <w:t>7：调查问卷分析</w:t>
      </w:r>
    </w:p>
    <w:p>
      <w:pPr>
        <w:snapToGrid w:val="0"/>
        <w:ind w:firstLine="480"/>
        <w:rPr>
          <w:rFonts w:ascii="Arial Narrow" w:hAnsi="Arial Narrow" w:cs="Arial Narrow"/>
        </w:rPr>
      </w:pPr>
      <w:r>
        <w:rPr>
          <w:rFonts w:ascii="Arial Narrow" w:hAnsi="Arial Narrow" w:cs="Arial Narrow"/>
        </w:rPr>
        <w:t>8：评价现场照片</w:t>
      </w:r>
    </w:p>
    <w:p>
      <w:pPr>
        <w:snapToGrid w:val="0"/>
        <w:ind w:firstLine="480"/>
        <w:rPr>
          <w:rFonts w:ascii="Arial Narrow" w:hAnsi="Arial Narrow" w:cs="Arial Narrow"/>
        </w:rPr>
      </w:pPr>
      <w:r>
        <w:rPr>
          <w:rFonts w:ascii="Arial Narrow" w:hAnsi="Arial Narrow" w:cs="Arial Narrow"/>
        </w:rPr>
        <w:t>9：绩效评价实施方案</w:t>
      </w:r>
    </w:p>
    <w:p>
      <w:pPr>
        <w:snapToGrid w:val="0"/>
        <w:ind w:firstLine="480"/>
        <w:rPr>
          <w:rFonts w:ascii="Arial Narrow" w:hAnsi="Arial Narrow" w:cs="Arial Narrow"/>
        </w:rPr>
      </w:pPr>
      <w:r>
        <w:rPr>
          <w:rFonts w:ascii="Arial Narrow" w:hAnsi="Arial Narrow" w:cs="Arial Narrow"/>
        </w:rPr>
        <w:t>10:其他支持评价结论的相关资料</w:t>
      </w:r>
    </w:p>
    <w:p>
      <w:pPr>
        <w:snapToGrid w:val="0"/>
        <w:ind w:firstLine="480"/>
        <w:rPr>
          <w:rFonts w:ascii="Arial Narrow" w:hAnsi="Arial Narrow" w:cs="Arial Narrow"/>
        </w:rPr>
      </w:pPr>
      <w:r>
        <w:rPr>
          <w:rFonts w:ascii="Arial Narrow" w:hAnsi="Arial Narrow" w:cs="Arial Narrow"/>
        </w:rPr>
        <w:t>11:评价机构营业执照（复印件）</w:t>
      </w:r>
    </w:p>
    <w:p>
      <w:pPr>
        <w:snapToGrid w:val="0"/>
        <w:ind w:firstLine="480"/>
        <w:rPr>
          <w:rFonts w:ascii="Arial Narrow" w:hAnsi="Arial Narrow" w:cs="Arial Narrow"/>
        </w:rPr>
      </w:pPr>
      <w:r>
        <w:rPr>
          <w:rFonts w:ascii="Arial Narrow" w:hAnsi="Arial Narrow" w:cs="Arial Narrow"/>
        </w:rPr>
        <w:t>12:相关评价人员执业证明文件（复印件）</w:t>
      </w:r>
    </w:p>
    <w:p>
      <w:pPr>
        <w:snapToGrid w:val="0"/>
        <w:ind w:firstLine="480"/>
        <w:rPr>
          <w:rFonts w:ascii="Arial Narrow" w:hAnsi="Arial Narrow" w:cs="Arial Narrow"/>
        </w:rPr>
      </w:pPr>
    </w:p>
    <w:p>
      <w:pPr>
        <w:snapToGrid w:val="0"/>
        <w:ind w:firstLine="480"/>
        <w:rPr>
          <w:rFonts w:ascii="Arial Narrow" w:hAnsi="Arial Narrow" w:cs="Arial Narrow"/>
        </w:rPr>
      </w:pPr>
    </w:p>
    <w:p>
      <w:pPr>
        <w:snapToGrid w:val="0"/>
        <w:ind w:firstLine="480"/>
        <w:rPr>
          <w:rFonts w:ascii="Arial Narrow" w:hAnsi="Arial Narrow" w:cs="Arial Narrow"/>
        </w:rPr>
      </w:pPr>
    </w:p>
    <w:p>
      <w:pPr>
        <w:snapToGrid w:val="0"/>
        <w:ind w:firstLine="0" w:firstLineChars="0"/>
        <w:jc w:val="right"/>
        <w:rPr>
          <w:rFonts w:ascii="Arial Narrow" w:hAnsi="Arial Narrow" w:cs="Arial Narrow"/>
        </w:rPr>
      </w:pPr>
      <w:r>
        <w:rPr>
          <w:rFonts w:ascii="Arial Narrow" w:hAnsi="Arial Narrow" w:cs="Arial Narrow"/>
        </w:rPr>
        <w:t>致同会计师事务所（特殊普通合伙）</w:t>
      </w:r>
    </w:p>
    <w:p>
      <w:pPr>
        <w:snapToGrid w:val="0"/>
        <w:ind w:firstLine="0" w:firstLineChars="0"/>
        <w:jc w:val="right"/>
        <w:rPr>
          <w:rFonts w:ascii="Arial Narrow" w:hAnsi="Arial Narrow" w:cs="Arial Narrow"/>
        </w:rPr>
      </w:pPr>
      <w:r>
        <w:rPr>
          <w:rFonts w:ascii="Arial Narrow" w:hAnsi="Arial Narrow" w:cs="Arial Narrow"/>
        </w:rPr>
        <w:t>武汉分所</w:t>
      </w:r>
    </w:p>
    <w:p>
      <w:pPr>
        <w:snapToGrid w:val="0"/>
        <w:ind w:firstLine="6960" w:firstLineChars="2900"/>
        <w:rPr>
          <w:rFonts w:ascii="Arial Narrow" w:hAnsi="Arial Narrow" w:cs="Arial Narrow"/>
        </w:rPr>
      </w:pPr>
      <w:r>
        <w:rPr>
          <w:rFonts w:ascii="Arial Narrow" w:hAnsi="Arial Narrow" w:cs="Arial Narrow"/>
        </w:rPr>
        <w:t>2018年5月25日</w:t>
      </w:r>
    </w:p>
    <w:sectPr>
      <w:headerReference r:id="rId9" w:type="default"/>
      <w:footerReference r:id="rId10" w:type="default"/>
      <w:pgSz w:w="11906" w:h="16838"/>
      <w:pgMar w:top="1440" w:right="1406" w:bottom="1089" w:left="1800" w:header="2041" w:footer="1134" w:gutter="0"/>
      <w:pgNumType w:start="1"/>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 w:name="Arial Narrow">
    <w:panose1 w:val="020B0606020202030204"/>
    <w:charset w:val="00"/>
    <w:family w:val="swiss"/>
    <w:pitch w:val="default"/>
    <w:sig w:usb0="00000287" w:usb1="00000800" w:usb2="00000000" w:usb3="00000000" w:csb0="2000009F" w:csb1="DFD70000"/>
  </w:font>
  <w:font w:name="华文细黑">
    <w:altName w:val="微软雅黑"/>
    <w:panose1 w:val="02010600040101010101"/>
    <w:charset w:val="86"/>
    <w:family w:val="swiss"/>
    <w:pitch w:val="default"/>
    <w:sig w:usb0="00000000" w:usb1="00000000" w:usb2="00000000" w:usb3="00000000" w:csb0="00000000" w:csb1="00000000"/>
  </w:font>
  <w:font w:name="Calibri">
    <w:panose1 w:val="020F0502020204030204"/>
    <w:charset w:val="01"/>
    <w:family w:val="auto"/>
    <w:pitch w:val="default"/>
    <w:sig w:usb0="A00002EF" w:usb1="4000207B" w:usb2="00000000" w:usb3="00000000" w:csb0="2000009F"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w:c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210" w:firstLineChars="100"/>
      <w:jc w:val="center"/>
      <w:rPr>
        <w:rStyle w:val="22"/>
        <w:rFonts w:ascii="Arial Narrow" w:hAnsi="Arial Narrow" w:eastAsia="宋体"/>
        <w:sz w:val="21"/>
        <w:szCs w:val="21"/>
      </w:rPr>
    </w:pPr>
    <w:r>
      <w:rPr>
        <w:rFonts w:ascii="Arial Narrow" w:hAnsi="Arial Narrow"/>
        <w:sz w:val="21"/>
        <w:szCs w:val="21"/>
      </w:rPr>
      <w:fldChar w:fldCharType="begin"/>
    </w:r>
    <w:r>
      <w:rPr>
        <w:rFonts w:ascii="Arial Narrow" w:hAnsi="Arial Narrow"/>
        <w:sz w:val="21"/>
        <w:szCs w:val="21"/>
      </w:rPr>
      <w:instrText xml:space="preserve"> PAGE </w:instrText>
    </w:r>
    <w:r>
      <w:rPr>
        <w:rFonts w:ascii="Arial Narrow" w:hAnsi="Arial Narrow"/>
        <w:sz w:val="21"/>
        <w:szCs w:val="21"/>
      </w:rPr>
      <w:fldChar w:fldCharType="separate"/>
    </w:r>
    <w:r>
      <w:rPr>
        <w:rFonts w:ascii="Arial Narrow" w:hAnsi="Arial Narrow"/>
        <w:sz w:val="21"/>
        <w:szCs w:val="21"/>
      </w:rPr>
      <w:t>30</w:t>
    </w:r>
    <w:r>
      <w:rPr>
        <w:rFonts w:ascii="Arial Narrow" w:hAnsi="Arial Narrow"/>
        <w:sz w:val="21"/>
        <w:szCs w:val="21"/>
      </w:rPr>
      <w:fldChar w:fldCharType="end"/>
    </w:r>
  </w:p>
  <w:p>
    <w:pPr>
      <w:pStyle w:val="1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0" w:firstLineChars="0"/>
      <w:jc w:val="both"/>
    </w:pPr>
    <w:r>
      <w:rPr>
        <w:rFonts w:ascii="Calibri" w:hAnsi="Calibri" w:eastAsia="黑体" w:cs="黑体"/>
        <w:b/>
        <w:sz w:val="14"/>
        <w:szCs w:val="14"/>
      </w:rPr>
      <w:drawing>
        <wp:anchor distT="0" distB="0" distL="114300" distR="114300" simplePos="0" relativeHeight="251660288" behindDoc="0" locked="0" layoutInCell="1" allowOverlap="1">
          <wp:simplePos x="0" y="0"/>
          <wp:positionH relativeFrom="page">
            <wp:posOffset>1304925</wp:posOffset>
          </wp:positionH>
          <wp:positionV relativeFrom="page">
            <wp:posOffset>447675</wp:posOffset>
          </wp:positionV>
          <wp:extent cx="2200275" cy="638175"/>
          <wp:effectExtent l="19050" t="0" r="9525" b="0"/>
          <wp:wrapNone/>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srcRect/>
                  <a:stretch>
                    <a:fillRect/>
                  </a:stretch>
                </pic:blipFill>
                <pic:spPr>
                  <a:xfrm>
                    <a:off x="0" y="0"/>
                    <a:ext cx="2200275" cy="638175"/>
                  </a:xfrm>
                  <a:prstGeom prst="rect">
                    <a:avLst/>
                  </a:prstGeom>
                  <a:noFill/>
                  <a:ln w="9525">
                    <a:noFill/>
                    <a:miter lim="800000"/>
                    <a:headEnd/>
                    <a:tailEnd/>
                  </a:ln>
                </pic:spPr>
              </pic:pic>
            </a:graphicData>
          </a:graphic>
        </wp:anchor>
      </w:drawing>
    </w:r>
    <w:r>
      <w:rPr>
        <w:rFonts w:ascii="Calibri" w:hAnsi="Calibri" w:eastAsia="黑体" w:cs="黑体"/>
        <w:b/>
        <w:sz w:val="14"/>
        <w:szCs w:val="14"/>
      </w:rPr>
      <w:pict>
        <v:rect id="_x0000_s3073" o:spid="_x0000_s3073" o:spt="1" style="position:absolute;left:0pt;margin-left:371.05pt;margin-top:30pt;height:74.45pt;width:150.15pt;mso-position-horizontal-relative:page;mso-position-vertical-relative:page;z-index:251659264;mso-width-relative:page;mso-height-relative:page;" filled="f" stroked="f" coordsize="21600,21600">
          <v:path/>
          <v:fill on="f" focussize="0,0"/>
          <v:stroke on="f"/>
          <v:imagedata o:title=""/>
          <o:lock v:ext="edit"/>
          <v:textbox>
            <w:txbxContent>
              <w:p>
                <w:pPr>
                  <w:spacing w:line="240" w:lineRule="auto"/>
                  <w:ind w:firstLine="281"/>
                  <w:rPr>
                    <w:rFonts w:ascii="Arial Narrow" w:hAnsi="Arial Narrow" w:eastAsia="黑体" w:cs="Arial Narrow"/>
                    <w:b/>
                    <w:sz w:val="14"/>
                    <w:szCs w:val="14"/>
                  </w:rPr>
                </w:pPr>
                <w:r>
                  <w:rPr>
                    <w:rFonts w:ascii="Arial Narrow" w:hAnsi="Arial Narrow" w:eastAsia="黑体" w:cs="Arial Narrow"/>
                    <w:b/>
                    <w:sz w:val="14"/>
                    <w:szCs w:val="14"/>
                  </w:rPr>
                  <w:t>致同会计师事务所（特殊普通合伙）</w:t>
                </w:r>
              </w:p>
              <w:p>
                <w:pPr>
                  <w:spacing w:line="240" w:lineRule="auto"/>
                  <w:ind w:firstLine="281"/>
                  <w:rPr>
                    <w:rFonts w:ascii="Arial Narrow" w:hAnsi="Arial Narrow" w:eastAsia="黑体" w:cs="Arial Narrow"/>
                    <w:b/>
                    <w:sz w:val="14"/>
                    <w:szCs w:val="14"/>
                  </w:rPr>
                </w:pPr>
                <w:r>
                  <w:rPr>
                    <w:rFonts w:ascii="Arial Narrow" w:hAnsi="Arial Narrow" w:eastAsia="黑体" w:cs="Arial Narrow"/>
                    <w:b/>
                    <w:sz w:val="14"/>
                    <w:szCs w:val="14"/>
                  </w:rPr>
                  <w:t>武汉分所</w:t>
                </w:r>
              </w:p>
              <w:p>
                <w:pPr>
                  <w:spacing w:line="240" w:lineRule="auto"/>
                  <w:ind w:left="281" w:leftChars="115" w:hanging="5" w:hangingChars="4"/>
                  <w:rPr>
                    <w:rFonts w:ascii="Arial Narrow" w:hAnsi="Arial Narrow" w:eastAsia="黑体" w:cs="Arial Narrow"/>
                    <w:sz w:val="14"/>
                    <w:szCs w:val="14"/>
                  </w:rPr>
                </w:pPr>
                <w:r>
                  <w:rPr>
                    <w:rFonts w:ascii="Arial Narrow" w:hAnsi="Arial Narrow" w:eastAsia="黑体" w:cs="Arial Narrow"/>
                    <w:sz w:val="14"/>
                    <w:szCs w:val="14"/>
                  </w:rPr>
                  <w:t>中国武汉武昌区中北路58号汉街总部国际E座29层邮编430071</w:t>
                </w:r>
              </w:p>
              <w:p>
                <w:pPr>
                  <w:spacing w:line="240" w:lineRule="auto"/>
                  <w:ind w:firstLine="280"/>
                  <w:rPr>
                    <w:rFonts w:ascii="Arial Narrow" w:hAnsi="Arial Narrow" w:eastAsia="黑体" w:cs="Arial Narrow"/>
                    <w:sz w:val="14"/>
                    <w:szCs w:val="14"/>
                  </w:rPr>
                </w:pPr>
                <w:r>
                  <w:rPr>
                    <w:rFonts w:ascii="Arial Narrow" w:hAnsi="Arial Narrow" w:eastAsia="黑体" w:cs="Arial Narrow"/>
                    <w:sz w:val="14"/>
                    <w:szCs w:val="14"/>
                  </w:rPr>
                  <w:t>电话 +86 27 87819677</w:t>
                </w:r>
              </w:p>
              <w:p>
                <w:pPr>
                  <w:ind w:firstLine="280"/>
                  <w:rPr>
                    <w:rFonts w:ascii="Arial Narrow" w:hAnsi="Arial Narrow" w:eastAsia="黑体" w:cs="Arial Narrow"/>
                    <w:sz w:val="14"/>
                    <w:szCs w:val="14"/>
                  </w:rPr>
                </w:pPr>
                <w:r>
                  <w:rPr>
                    <w:rFonts w:ascii="Arial Narrow" w:hAnsi="Arial Narrow" w:eastAsia="黑体" w:cs="Arial Narrow"/>
                    <w:sz w:val="14"/>
                    <w:szCs w:val="14"/>
                  </w:rPr>
                  <w:t>传真 +86 27 87812377</w:t>
                </w:r>
              </w:p>
              <w:p>
                <w:pPr>
                  <w:ind w:firstLine="280"/>
                  <w:rPr>
                    <w:rFonts w:ascii="Arial Narrow" w:hAnsi="Arial Narrow" w:eastAsia="黑体" w:cs="Arial Narrow"/>
                    <w:sz w:val="14"/>
                    <w:szCs w:val="14"/>
                  </w:rPr>
                </w:pPr>
                <w:r>
                  <w:rPr>
                    <w:rFonts w:ascii="Arial Narrow" w:hAnsi="Arial Narrow" w:eastAsia="黑体" w:cs="Arial Narrow"/>
                    <w:sz w:val="14"/>
                    <w:szCs w:val="14"/>
                  </w:rPr>
                  <w:t>www.grantthornton.cn</w:t>
                </w:r>
              </w:p>
            </w:txbxContent>
          </v:textbox>
        </v:rect>
      </w:pict>
    </w:r>
    <w:r>
      <w:rPr>
        <w:rFonts w:ascii="Calibri" w:hAnsi="Calibri" w:eastAsia="黑体" w:cs="黑体"/>
        <w:b/>
        <w:sz w:val="14"/>
        <w:szCs w:val="14"/>
      </w:rPr>
      <w:pict>
        <v:rect id="文本框 26" o:spid="_x0000_s3074" o:spt="1" style="position:absolute;left:0pt;margin-left:359.05pt;margin-top:39.95pt;height:74.45pt;width:150.15pt;mso-position-horizontal-relative:page;mso-position-vertical-relative:page;z-index:251658240;mso-width-relative:page;mso-height-relative:page;" filled="f" stroked="f" coordsize="21600,21600">
          <v:path/>
          <v:fill on="f" focussize="0,0"/>
          <v:stroke on="f"/>
          <v:imagedata o:title=""/>
          <o:lock v:ext="edit"/>
          <v:textbox>
            <w:txbxContent>
              <w:p>
                <w:pPr>
                  <w:ind w:firstLine="280"/>
                  <w:rPr>
                    <w:rFonts w:ascii="Arial Narrow" w:hAnsi="Arial Narrow" w:eastAsia="黑体" w:cs="Arial Narrow"/>
                    <w:sz w:val="14"/>
                    <w:szCs w:val="14"/>
                  </w:rPr>
                </w:pPr>
              </w:p>
            </w:txbxContent>
          </v:textbox>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94B62"/>
    <w:multiLevelType w:val="multilevel"/>
    <w:tmpl w:val="21294B6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AFD342F"/>
    <w:multiLevelType w:val="singleLevel"/>
    <w:tmpl w:val="5AFD342F"/>
    <w:lvl w:ilvl="0" w:tentative="0">
      <w:start w:val="1"/>
      <w:numFmt w:val="decimal"/>
      <w:suff w:val="nothing"/>
      <w:lvlText w:val="（%1）"/>
      <w:lvlJc w:val="left"/>
    </w:lvl>
  </w:abstractNum>
  <w:abstractNum w:abstractNumId="2">
    <w:nsid w:val="5AFD37B2"/>
    <w:multiLevelType w:val="singleLevel"/>
    <w:tmpl w:val="5AFD37B2"/>
    <w:lvl w:ilvl="0" w:tentative="0">
      <w:start w:val="1"/>
      <w:numFmt w:val="decimal"/>
      <w:suff w:val="nothing"/>
      <w:lvlText w:val="（%1）"/>
      <w:lvlJc w:val="left"/>
    </w:lvl>
  </w:abstractNum>
  <w:abstractNum w:abstractNumId="3">
    <w:nsid w:val="5CB7283F"/>
    <w:multiLevelType w:val="multilevel"/>
    <w:tmpl w:val="5CB7283F"/>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C4436D7"/>
    <w:multiLevelType w:val="singleLevel"/>
    <w:tmpl w:val="6C4436D7"/>
    <w:lvl w:ilvl="0" w:tentative="0">
      <w:start w:val="1"/>
      <w:numFmt w:val="japaneseCounting"/>
      <w:suff w:val="nothing"/>
      <w:lvlText w:val="（%1）"/>
      <w:lvlJc w:val="left"/>
      <w:rPr>
        <w:rFonts w:ascii="Arial Narrow" w:hAnsi="Arial Narrow" w:eastAsia="仿宋_GB2312" w:cs="Arial Narrow"/>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20"/>
  <w:drawingGridVerticalSpacing w:val="204"/>
  <w:noPunctuationKerning w:val="1"/>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955"/>
    <w:rsid w:val="00002A69"/>
    <w:rsid w:val="000107B2"/>
    <w:rsid w:val="00012B09"/>
    <w:rsid w:val="000153F5"/>
    <w:rsid w:val="00016011"/>
    <w:rsid w:val="000225A4"/>
    <w:rsid w:val="000231B2"/>
    <w:rsid w:val="000235EA"/>
    <w:rsid w:val="00027617"/>
    <w:rsid w:val="00030459"/>
    <w:rsid w:val="00034CB1"/>
    <w:rsid w:val="00037160"/>
    <w:rsid w:val="00037FDA"/>
    <w:rsid w:val="00041931"/>
    <w:rsid w:val="0004320E"/>
    <w:rsid w:val="000435FD"/>
    <w:rsid w:val="00051092"/>
    <w:rsid w:val="0005129C"/>
    <w:rsid w:val="0005263F"/>
    <w:rsid w:val="00060B99"/>
    <w:rsid w:val="000647BB"/>
    <w:rsid w:val="00065443"/>
    <w:rsid w:val="00065FD9"/>
    <w:rsid w:val="00066C90"/>
    <w:rsid w:val="00070099"/>
    <w:rsid w:val="0007044D"/>
    <w:rsid w:val="00071B04"/>
    <w:rsid w:val="00071C74"/>
    <w:rsid w:val="00081C5A"/>
    <w:rsid w:val="00082AA1"/>
    <w:rsid w:val="000839C4"/>
    <w:rsid w:val="00083F0C"/>
    <w:rsid w:val="00084D1A"/>
    <w:rsid w:val="000850E9"/>
    <w:rsid w:val="00086B6B"/>
    <w:rsid w:val="00087337"/>
    <w:rsid w:val="00092652"/>
    <w:rsid w:val="00092834"/>
    <w:rsid w:val="00095860"/>
    <w:rsid w:val="00097F61"/>
    <w:rsid w:val="000A2B58"/>
    <w:rsid w:val="000A38CF"/>
    <w:rsid w:val="000B0707"/>
    <w:rsid w:val="000B351B"/>
    <w:rsid w:val="000C0AC8"/>
    <w:rsid w:val="000C2C67"/>
    <w:rsid w:val="000C4653"/>
    <w:rsid w:val="000C4C40"/>
    <w:rsid w:val="000C7932"/>
    <w:rsid w:val="000C793B"/>
    <w:rsid w:val="000D124B"/>
    <w:rsid w:val="000D264B"/>
    <w:rsid w:val="000D32E5"/>
    <w:rsid w:val="000D34A6"/>
    <w:rsid w:val="000D34D1"/>
    <w:rsid w:val="000D37BE"/>
    <w:rsid w:val="000D5CCA"/>
    <w:rsid w:val="000D7608"/>
    <w:rsid w:val="000E16BD"/>
    <w:rsid w:val="000E1A4F"/>
    <w:rsid w:val="000E3E46"/>
    <w:rsid w:val="000E5026"/>
    <w:rsid w:val="000E5B9F"/>
    <w:rsid w:val="000E5F81"/>
    <w:rsid w:val="000F1F5E"/>
    <w:rsid w:val="000F2AE1"/>
    <w:rsid w:val="000F482F"/>
    <w:rsid w:val="00101AA1"/>
    <w:rsid w:val="00107C77"/>
    <w:rsid w:val="00107E2F"/>
    <w:rsid w:val="00110469"/>
    <w:rsid w:val="00115891"/>
    <w:rsid w:val="00117519"/>
    <w:rsid w:val="00121F3F"/>
    <w:rsid w:val="00134F95"/>
    <w:rsid w:val="00140B86"/>
    <w:rsid w:val="00141DBA"/>
    <w:rsid w:val="00142BA0"/>
    <w:rsid w:val="00143DA4"/>
    <w:rsid w:val="001441F8"/>
    <w:rsid w:val="0014542F"/>
    <w:rsid w:val="00147E31"/>
    <w:rsid w:val="00152D32"/>
    <w:rsid w:val="00152FB6"/>
    <w:rsid w:val="001542F3"/>
    <w:rsid w:val="001548CF"/>
    <w:rsid w:val="00156601"/>
    <w:rsid w:val="00157614"/>
    <w:rsid w:val="0016074D"/>
    <w:rsid w:val="00164900"/>
    <w:rsid w:val="001676D8"/>
    <w:rsid w:val="001707DC"/>
    <w:rsid w:val="00172A27"/>
    <w:rsid w:val="00173694"/>
    <w:rsid w:val="0017597C"/>
    <w:rsid w:val="0018053D"/>
    <w:rsid w:val="00180C97"/>
    <w:rsid w:val="0018363A"/>
    <w:rsid w:val="001871E1"/>
    <w:rsid w:val="001907A0"/>
    <w:rsid w:val="001907BC"/>
    <w:rsid w:val="00197977"/>
    <w:rsid w:val="001A02C6"/>
    <w:rsid w:val="001A4611"/>
    <w:rsid w:val="001A6E1D"/>
    <w:rsid w:val="001A7035"/>
    <w:rsid w:val="001A71D3"/>
    <w:rsid w:val="001A7BCC"/>
    <w:rsid w:val="001B058A"/>
    <w:rsid w:val="001B156C"/>
    <w:rsid w:val="001B206F"/>
    <w:rsid w:val="001B2C2B"/>
    <w:rsid w:val="001B3FD3"/>
    <w:rsid w:val="001B564E"/>
    <w:rsid w:val="001B60AB"/>
    <w:rsid w:val="001C1AB0"/>
    <w:rsid w:val="001C44C1"/>
    <w:rsid w:val="001C6498"/>
    <w:rsid w:val="001C7FC5"/>
    <w:rsid w:val="001D4085"/>
    <w:rsid w:val="001D50A9"/>
    <w:rsid w:val="001E1192"/>
    <w:rsid w:val="001E3766"/>
    <w:rsid w:val="001E4DD7"/>
    <w:rsid w:val="001E57AC"/>
    <w:rsid w:val="001E63EB"/>
    <w:rsid w:val="001E73FF"/>
    <w:rsid w:val="001F0DE7"/>
    <w:rsid w:val="00203E55"/>
    <w:rsid w:val="00205C9D"/>
    <w:rsid w:val="002060DB"/>
    <w:rsid w:val="002067E6"/>
    <w:rsid w:val="00206B01"/>
    <w:rsid w:val="00206B46"/>
    <w:rsid w:val="0020706B"/>
    <w:rsid w:val="002109B1"/>
    <w:rsid w:val="00214BA4"/>
    <w:rsid w:val="00220AE1"/>
    <w:rsid w:val="00226CA1"/>
    <w:rsid w:val="00227F82"/>
    <w:rsid w:val="002331CD"/>
    <w:rsid w:val="00242395"/>
    <w:rsid w:val="00242589"/>
    <w:rsid w:val="00243172"/>
    <w:rsid w:val="00243D70"/>
    <w:rsid w:val="00244813"/>
    <w:rsid w:val="0024753B"/>
    <w:rsid w:val="0024762E"/>
    <w:rsid w:val="00247862"/>
    <w:rsid w:val="00247BA5"/>
    <w:rsid w:val="00251B7B"/>
    <w:rsid w:val="002520DB"/>
    <w:rsid w:val="002604FB"/>
    <w:rsid w:val="002612E9"/>
    <w:rsid w:val="00263172"/>
    <w:rsid w:val="00263E33"/>
    <w:rsid w:val="00263E5D"/>
    <w:rsid w:val="002652D5"/>
    <w:rsid w:val="00267DA6"/>
    <w:rsid w:val="002706C6"/>
    <w:rsid w:val="00273665"/>
    <w:rsid w:val="0027412C"/>
    <w:rsid w:val="0027499A"/>
    <w:rsid w:val="00275585"/>
    <w:rsid w:val="00275D0D"/>
    <w:rsid w:val="00280B02"/>
    <w:rsid w:val="0028633D"/>
    <w:rsid w:val="002911A7"/>
    <w:rsid w:val="00291951"/>
    <w:rsid w:val="002953EE"/>
    <w:rsid w:val="00297908"/>
    <w:rsid w:val="002A0822"/>
    <w:rsid w:val="002A565A"/>
    <w:rsid w:val="002A731C"/>
    <w:rsid w:val="002A7693"/>
    <w:rsid w:val="002B55AD"/>
    <w:rsid w:val="002C012C"/>
    <w:rsid w:val="002C05DC"/>
    <w:rsid w:val="002C21EB"/>
    <w:rsid w:val="002C38B6"/>
    <w:rsid w:val="002C439E"/>
    <w:rsid w:val="002C5757"/>
    <w:rsid w:val="002C5D77"/>
    <w:rsid w:val="002C7E57"/>
    <w:rsid w:val="002D1D84"/>
    <w:rsid w:val="002D7B2B"/>
    <w:rsid w:val="002E11FA"/>
    <w:rsid w:val="002E21D6"/>
    <w:rsid w:val="002E5DD5"/>
    <w:rsid w:val="002F1C3F"/>
    <w:rsid w:val="002F44AB"/>
    <w:rsid w:val="002F7973"/>
    <w:rsid w:val="00307E93"/>
    <w:rsid w:val="0031024E"/>
    <w:rsid w:val="00312F11"/>
    <w:rsid w:val="003132F6"/>
    <w:rsid w:val="00315407"/>
    <w:rsid w:val="00320EE1"/>
    <w:rsid w:val="00322C3A"/>
    <w:rsid w:val="00325EAB"/>
    <w:rsid w:val="003313C3"/>
    <w:rsid w:val="003363C3"/>
    <w:rsid w:val="0034018A"/>
    <w:rsid w:val="00343216"/>
    <w:rsid w:val="00344CC3"/>
    <w:rsid w:val="0034515E"/>
    <w:rsid w:val="00347FD1"/>
    <w:rsid w:val="003506E6"/>
    <w:rsid w:val="00352DF8"/>
    <w:rsid w:val="00356E00"/>
    <w:rsid w:val="0036466F"/>
    <w:rsid w:val="00365BDD"/>
    <w:rsid w:val="00366E36"/>
    <w:rsid w:val="003712A9"/>
    <w:rsid w:val="00372944"/>
    <w:rsid w:val="00374FFF"/>
    <w:rsid w:val="003750CC"/>
    <w:rsid w:val="0037593E"/>
    <w:rsid w:val="00376DC7"/>
    <w:rsid w:val="0038083D"/>
    <w:rsid w:val="00387964"/>
    <w:rsid w:val="00387E3E"/>
    <w:rsid w:val="0039007B"/>
    <w:rsid w:val="00390399"/>
    <w:rsid w:val="0039079D"/>
    <w:rsid w:val="003919EC"/>
    <w:rsid w:val="003920BE"/>
    <w:rsid w:val="0039236F"/>
    <w:rsid w:val="00392AA2"/>
    <w:rsid w:val="00392F5E"/>
    <w:rsid w:val="00394FAF"/>
    <w:rsid w:val="0039690B"/>
    <w:rsid w:val="003B1278"/>
    <w:rsid w:val="003C10E7"/>
    <w:rsid w:val="003C49E8"/>
    <w:rsid w:val="003C5736"/>
    <w:rsid w:val="003D37E8"/>
    <w:rsid w:val="003D5E40"/>
    <w:rsid w:val="003D6BE5"/>
    <w:rsid w:val="003D7EF3"/>
    <w:rsid w:val="003D7FF0"/>
    <w:rsid w:val="003E16C4"/>
    <w:rsid w:val="003E2919"/>
    <w:rsid w:val="003E3C53"/>
    <w:rsid w:val="003E6369"/>
    <w:rsid w:val="003E732D"/>
    <w:rsid w:val="003F0641"/>
    <w:rsid w:val="003F2581"/>
    <w:rsid w:val="003F3003"/>
    <w:rsid w:val="003F4A08"/>
    <w:rsid w:val="003F640B"/>
    <w:rsid w:val="003F78E3"/>
    <w:rsid w:val="004016BF"/>
    <w:rsid w:val="00402380"/>
    <w:rsid w:val="00404194"/>
    <w:rsid w:val="0040727E"/>
    <w:rsid w:val="00412C52"/>
    <w:rsid w:val="0041356F"/>
    <w:rsid w:val="00414470"/>
    <w:rsid w:val="004156F2"/>
    <w:rsid w:val="0041689F"/>
    <w:rsid w:val="00417F32"/>
    <w:rsid w:val="0042114C"/>
    <w:rsid w:val="00422364"/>
    <w:rsid w:val="00424A8D"/>
    <w:rsid w:val="004251FE"/>
    <w:rsid w:val="00432769"/>
    <w:rsid w:val="00434AF6"/>
    <w:rsid w:val="00436630"/>
    <w:rsid w:val="00436685"/>
    <w:rsid w:val="00436978"/>
    <w:rsid w:val="00437ABF"/>
    <w:rsid w:val="00437D72"/>
    <w:rsid w:val="004406CE"/>
    <w:rsid w:val="004413F9"/>
    <w:rsid w:val="004416B6"/>
    <w:rsid w:val="00444C92"/>
    <w:rsid w:val="00444F7A"/>
    <w:rsid w:val="00446C56"/>
    <w:rsid w:val="00446E9B"/>
    <w:rsid w:val="00447CE1"/>
    <w:rsid w:val="00461176"/>
    <w:rsid w:val="00461FB4"/>
    <w:rsid w:val="004637D6"/>
    <w:rsid w:val="004641C5"/>
    <w:rsid w:val="00465728"/>
    <w:rsid w:val="004720AA"/>
    <w:rsid w:val="0047308C"/>
    <w:rsid w:val="00480CB4"/>
    <w:rsid w:val="00482A64"/>
    <w:rsid w:val="00484A78"/>
    <w:rsid w:val="0049123B"/>
    <w:rsid w:val="00496736"/>
    <w:rsid w:val="00497DCD"/>
    <w:rsid w:val="004A4024"/>
    <w:rsid w:val="004A4B07"/>
    <w:rsid w:val="004A4C34"/>
    <w:rsid w:val="004A5982"/>
    <w:rsid w:val="004A5CFE"/>
    <w:rsid w:val="004B0A18"/>
    <w:rsid w:val="004B2A1B"/>
    <w:rsid w:val="004B2DE5"/>
    <w:rsid w:val="004B331B"/>
    <w:rsid w:val="004B6F1C"/>
    <w:rsid w:val="004C2F4D"/>
    <w:rsid w:val="004C3638"/>
    <w:rsid w:val="004C39A4"/>
    <w:rsid w:val="004C52FF"/>
    <w:rsid w:val="004D33DF"/>
    <w:rsid w:val="004D749D"/>
    <w:rsid w:val="004D7DEA"/>
    <w:rsid w:val="004E04DA"/>
    <w:rsid w:val="004E1D06"/>
    <w:rsid w:val="004E1FA4"/>
    <w:rsid w:val="004E20B1"/>
    <w:rsid w:val="004E3457"/>
    <w:rsid w:val="004E3DAA"/>
    <w:rsid w:val="004E6203"/>
    <w:rsid w:val="004F42A1"/>
    <w:rsid w:val="004F5FA6"/>
    <w:rsid w:val="00500581"/>
    <w:rsid w:val="005041BE"/>
    <w:rsid w:val="005134B0"/>
    <w:rsid w:val="0051441E"/>
    <w:rsid w:val="005155D3"/>
    <w:rsid w:val="00524A52"/>
    <w:rsid w:val="00525692"/>
    <w:rsid w:val="00526883"/>
    <w:rsid w:val="00527E66"/>
    <w:rsid w:val="00534945"/>
    <w:rsid w:val="005360A1"/>
    <w:rsid w:val="00537C3E"/>
    <w:rsid w:val="0054431F"/>
    <w:rsid w:val="00544890"/>
    <w:rsid w:val="00545968"/>
    <w:rsid w:val="00547FC6"/>
    <w:rsid w:val="00551294"/>
    <w:rsid w:val="00552615"/>
    <w:rsid w:val="005567B3"/>
    <w:rsid w:val="005632D3"/>
    <w:rsid w:val="005655D1"/>
    <w:rsid w:val="005658C9"/>
    <w:rsid w:val="00565929"/>
    <w:rsid w:val="005659EE"/>
    <w:rsid w:val="00565D9A"/>
    <w:rsid w:val="00566498"/>
    <w:rsid w:val="005708E6"/>
    <w:rsid w:val="005810B2"/>
    <w:rsid w:val="005812C2"/>
    <w:rsid w:val="00583F95"/>
    <w:rsid w:val="005845EA"/>
    <w:rsid w:val="00591E77"/>
    <w:rsid w:val="00594979"/>
    <w:rsid w:val="005965B3"/>
    <w:rsid w:val="0059690C"/>
    <w:rsid w:val="00596AF0"/>
    <w:rsid w:val="00597947"/>
    <w:rsid w:val="005A0AF1"/>
    <w:rsid w:val="005A21FC"/>
    <w:rsid w:val="005B05F6"/>
    <w:rsid w:val="005B1178"/>
    <w:rsid w:val="005B159F"/>
    <w:rsid w:val="005B22D4"/>
    <w:rsid w:val="005C7BB8"/>
    <w:rsid w:val="005D24E1"/>
    <w:rsid w:val="005D7826"/>
    <w:rsid w:val="005E016C"/>
    <w:rsid w:val="005E06C2"/>
    <w:rsid w:val="005E0E0C"/>
    <w:rsid w:val="005E38D2"/>
    <w:rsid w:val="005E4DF6"/>
    <w:rsid w:val="005E6A5B"/>
    <w:rsid w:val="005E7290"/>
    <w:rsid w:val="005F072F"/>
    <w:rsid w:val="005F0A83"/>
    <w:rsid w:val="005F234F"/>
    <w:rsid w:val="005F3C50"/>
    <w:rsid w:val="006047F8"/>
    <w:rsid w:val="006066A6"/>
    <w:rsid w:val="00606CC4"/>
    <w:rsid w:val="006138EE"/>
    <w:rsid w:val="0061452E"/>
    <w:rsid w:val="00615D9E"/>
    <w:rsid w:val="00621643"/>
    <w:rsid w:val="00624274"/>
    <w:rsid w:val="00626CD9"/>
    <w:rsid w:val="00630956"/>
    <w:rsid w:val="00636115"/>
    <w:rsid w:val="00640016"/>
    <w:rsid w:val="00641EED"/>
    <w:rsid w:val="00642106"/>
    <w:rsid w:val="00643F3C"/>
    <w:rsid w:val="00646876"/>
    <w:rsid w:val="00650DEF"/>
    <w:rsid w:val="00651741"/>
    <w:rsid w:val="00656BC8"/>
    <w:rsid w:val="0066273D"/>
    <w:rsid w:val="00662D0D"/>
    <w:rsid w:val="006642D3"/>
    <w:rsid w:val="006711A5"/>
    <w:rsid w:val="00676441"/>
    <w:rsid w:val="00677567"/>
    <w:rsid w:val="006800D1"/>
    <w:rsid w:val="00682BA7"/>
    <w:rsid w:val="00687B7B"/>
    <w:rsid w:val="00691499"/>
    <w:rsid w:val="00692356"/>
    <w:rsid w:val="0069340D"/>
    <w:rsid w:val="006A769A"/>
    <w:rsid w:val="006A7A55"/>
    <w:rsid w:val="006B2AD2"/>
    <w:rsid w:val="006B2DDC"/>
    <w:rsid w:val="006B4232"/>
    <w:rsid w:val="006B4E85"/>
    <w:rsid w:val="006B5939"/>
    <w:rsid w:val="006B6D45"/>
    <w:rsid w:val="006B776D"/>
    <w:rsid w:val="006C0C87"/>
    <w:rsid w:val="006C2D83"/>
    <w:rsid w:val="006C3F2E"/>
    <w:rsid w:val="006C4D9E"/>
    <w:rsid w:val="006D10DC"/>
    <w:rsid w:val="006D22CB"/>
    <w:rsid w:val="006D281E"/>
    <w:rsid w:val="006D3823"/>
    <w:rsid w:val="006D3E5C"/>
    <w:rsid w:val="006D431A"/>
    <w:rsid w:val="006D6DB9"/>
    <w:rsid w:val="006E149F"/>
    <w:rsid w:val="006E4514"/>
    <w:rsid w:val="006E5C42"/>
    <w:rsid w:val="006E7DB3"/>
    <w:rsid w:val="006F581B"/>
    <w:rsid w:val="006F74F7"/>
    <w:rsid w:val="006F7E68"/>
    <w:rsid w:val="00702AE3"/>
    <w:rsid w:val="00703B81"/>
    <w:rsid w:val="0070567E"/>
    <w:rsid w:val="00705ADC"/>
    <w:rsid w:val="0070659F"/>
    <w:rsid w:val="007148E9"/>
    <w:rsid w:val="00720290"/>
    <w:rsid w:val="00720F90"/>
    <w:rsid w:val="00721C9B"/>
    <w:rsid w:val="0072285B"/>
    <w:rsid w:val="00722909"/>
    <w:rsid w:val="00723249"/>
    <w:rsid w:val="00723BD9"/>
    <w:rsid w:val="00724766"/>
    <w:rsid w:val="007260DC"/>
    <w:rsid w:val="00726E74"/>
    <w:rsid w:val="00727EF2"/>
    <w:rsid w:val="00731661"/>
    <w:rsid w:val="00733038"/>
    <w:rsid w:val="0073421A"/>
    <w:rsid w:val="00737E3E"/>
    <w:rsid w:val="00744E3D"/>
    <w:rsid w:val="007455A5"/>
    <w:rsid w:val="00747C3E"/>
    <w:rsid w:val="00750C7B"/>
    <w:rsid w:val="00753FB8"/>
    <w:rsid w:val="00756213"/>
    <w:rsid w:val="00757369"/>
    <w:rsid w:val="00760264"/>
    <w:rsid w:val="0076125E"/>
    <w:rsid w:val="007614A0"/>
    <w:rsid w:val="00766CC5"/>
    <w:rsid w:val="0076789B"/>
    <w:rsid w:val="0077612D"/>
    <w:rsid w:val="0078403F"/>
    <w:rsid w:val="007857C2"/>
    <w:rsid w:val="007951AE"/>
    <w:rsid w:val="007960FC"/>
    <w:rsid w:val="007A1325"/>
    <w:rsid w:val="007A260C"/>
    <w:rsid w:val="007A4561"/>
    <w:rsid w:val="007B096A"/>
    <w:rsid w:val="007B3C5D"/>
    <w:rsid w:val="007B5BCC"/>
    <w:rsid w:val="007B63BA"/>
    <w:rsid w:val="007C0582"/>
    <w:rsid w:val="007C2929"/>
    <w:rsid w:val="007C3FA5"/>
    <w:rsid w:val="007C5815"/>
    <w:rsid w:val="007D0A9C"/>
    <w:rsid w:val="007D12ED"/>
    <w:rsid w:val="007D518A"/>
    <w:rsid w:val="007D6002"/>
    <w:rsid w:val="007D6F8A"/>
    <w:rsid w:val="007E062F"/>
    <w:rsid w:val="007E5FF6"/>
    <w:rsid w:val="007F0CD4"/>
    <w:rsid w:val="007F15F0"/>
    <w:rsid w:val="007F3EA6"/>
    <w:rsid w:val="007F581B"/>
    <w:rsid w:val="00800800"/>
    <w:rsid w:val="00800E4A"/>
    <w:rsid w:val="008015DF"/>
    <w:rsid w:val="00801640"/>
    <w:rsid w:val="0080288E"/>
    <w:rsid w:val="008053EB"/>
    <w:rsid w:val="00805A0A"/>
    <w:rsid w:val="00810C9D"/>
    <w:rsid w:val="0081201D"/>
    <w:rsid w:val="00812ECD"/>
    <w:rsid w:val="0081473D"/>
    <w:rsid w:val="008157AE"/>
    <w:rsid w:val="008167AB"/>
    <w:rsid w:val="00816E94"/>
    <w:rsid w:val="00820A25"/>
    <w:rsid w:val="00822104"/>
    <w:rsid w:val="0082440D"/>
    <w:rsid w:val="008325FA"/>
    <w:rsid w:val="00835356"/>
    <w:rsid w:val="00844F4F"/>
    <w:rsid w:val="008453B8"/>
    <w:rsid w:val="0084547F"/>
    <w:rsid w:val="008468CD"/>
    <w:rsid w:val="00847827"/>
    <w:rsid w:val="0085148F"/>
    <w:rsid w:val="00854541"/>
    <w:rsid w:val="008616A6"/>
    <w:rsid w:val="00862075"/>
    <w:rsid w:val="00864B38"/>
    <w:rsid w:val="008662A2"/>
    <w:rsid w:val="0087108E"/>
    <w:rsid w:val="00871DE9"/>
    <w:rsid w:val="00883C3D"/>
    <w:rsid w:val="00885CF7"/>
    <w:rsid w:val="00886E69"/>
    <w:rsid w:val="008934FA"/>
    <w:rsid w:val="008A06E4"/>
    <w:rsid w:val="008A0F83"/>
    <w:rsid w:val="008A175E"/>
    <w:rsid w:val="008A2E40"/>
    <w:rsid w:val="008B15BE"/>
    <w:rsid w:val="008B7645"/>
    <w:rsid w:val="008C5857"/>
    <w:rsid w:val="008C6161"/>
    <w:rsid w:val="008D0512"/>
    <w:rsid w:val="008D1468"/>
    <w:rsid w:val="008D33D6"/>
    <w:rsid w:val="008D5A00"/>
    <w:rsid w:val="008E0EA8"/>
    <w:rsid w:val="008E5FB9"/>
    <w:rsid w:val="008E751D"/>
    <w:rsid w:val="008F5689"/>
    <w:rsid w:val="008F624B"/>
    <w:rsid w:val="008F69BF"/>
    <w:rsid w:val="009003B0"/>
    <w:rsid w:val="009015AD"/>
    <w:rsid w:val="009036DE"/>
    <w:rsid w:val="00903DAE"/>
    <w:rsid w:val="00903EC0"/>
    <w:rsid w:val="0090416C"/>
    <w:rsid w:val="009043EF"/>
    <w:rsid w:val="00905763"/>
    <w:rsid w:val="00907956"/>
    <w:rsid w:val="00907A8F"/>
    <w:rsid w:val="0091079F"/>
    <w:rsid w:val="009153E3"/>
    <w:rsid w:val="0091597F"/>
    <w:rsid w:val="009177D8"/>
    <w:rsid w:val="0092056E"/>
    <w:rsid w:val="00921DCF"/>
    <w:rsid w:val="00923D59"/>
    <w:rsid w:val="0092464E"/>
    <w:rsid w:val="00924F4C"/>
    <w:rsid w:val="009337F2"/>
    <w:rsid w:val="00934B5A"/>
    <w:rsid w:val="0094138A"/>
    <w:rsid w:val="00946554"/>
    <w:rsid w:val="00953385"/>
    <w:rsid w:val="009536E4"/>
    <w:rsid w:val="009553EB"/>
    <w:rsid w:val="009556E8"/>
    <w:rsid w:val="00960332"/>
    <w:rsid w:val="00963C82"/>
    <w:rsid w:val="009754A1"/>
    <w:rsid w:val="00977B6C"/>
    <w:rsid w:val="00981B94"/>
    <w:rsid w:val="009850DD"/>
    <w:rsid w:val="009852EE"/>
    <w:rsid w:val="009918A8"/>
    <w:rsid w:val="00995CC6"/>
    <w:rsid w:val="009964F7"/>
    <w:rsid w:val="009A06D1"/>
    <w:rsid w:val="009A07B6"/>
    <w:rsid w:val="009A1016"/>
    <w:rsid w:val="009A15AE"/>
    <w:rsid w:val="009A2934"/>
    <w:rsid w:val="009A3167"/>
    <w:rsid w:val="009A488C"/>
    <w:rsid w:val="009A6B01"/>
    <w:rsid w:val="009B0E77"/>
    <w:rsid w:val="009B693F"/>
    <w:rsid w:val="009B7C3D"/>
    <w:rsid w:val="009C21D3"/>
    <w:rsid w:val="009C3BDF"/>
    <w:rsid w:val="009C6399"/>
    <w:rsid w:val="009C700D"/>
    <w:rsid w:val="009D117E"/>
    <w:rsid w:val="009D2C81"/>
    <w:rsid w:val="009D3BCE"/>
    <w:rsid w:val="009D4762"/>
    <w:rsid w:val="009D61D3"/>
    <w:rsid w:val="009D6FD8"/>
    <w:rsid w:val="009E0181"/>
    <w:rsid w:val="009E1ED3"/>
    <w:rsid w:val="009E33EB"/>
    <w:rsid w:val="009E493E"/>
    <w:rsid w:val="009E6619"/>
    <w:rsid w:val="009F0897"/>
    <w:rsid w:val="009F5345"/>
    <w:rsid w:val="009F53C2"/>
    <w:rsid w:val="009F58A2"/>
    <w:rsid w:val="009F6F50"/>
    <w:rsid w:val="00A00406"/>
    <w:rsid w:val="00A0057C"/>
    <w:rsid w:val="00A0210F"/>
    <w:rsid w:val="00A058CF"/>
    <w:rsid w:val="00A072FE"/>
    <w:rsid w:val="00A07475"/>
    <w:rsid w:val="00A07496"/>
    <w:rsid w:val="00A10865"/>
    <w:rsid w:val="00A11537"/>
    <w:rsid w:val="00A11A7A"/>
    <w:rsid w:val="00A128C5"/>
    <w:rsid w:val="00A20055"/>
    <w:rsid w:val="00A210A1"/>
    <w:rsid w:val="00A22D6C"/>
    <w:rsid w:val="00A231F8"/>
    <w:rsid w:val="00A24CA1"/>
    <w:rsid w:val="00A269A7"/>
    <w:rsid w:val="00A31277"/>
    <w:rsid w:val="00A34428"/>
    <w:rsid w:val="00A44C1F"/>
    <w:rsid w:val="00A46DAF"/>
    <w:rsid w:val="00A47C58"/>
    <w:rsid w:val="00A529A1"/>
    <w:rsid w:val="00A52BA6"/>
    <w:rsid w:val="00A52F2C"/>
    <w:rsid w:val="00A54B3F"/>
    <w:rsid w:val="00A61261"/>
    <w:rsid w:val="00A61FD4"/>
    <w:rsid w:val="00A63AA9"/>
    <w:rsid w:val="00A669E9"/>
    <w:rsid w:val="00A67D0F"/>
    <w:rsid w:val="00A86542"/>
    <w:rsid w:val="00A87F7C"/>
    <w:rsid w:val="00A908A5"/>
    <w:rsid w:val="00A91DAE"/>
    <w:rsid w:val="00A9633A"/>
    <w:rsid w:val="00A96D24"/>
    <w:rsid w:val="00AA46EA"/>
    <w:rsid w:val="00AA559B"/>
    <w:rsid w:val="00AB29C4"/>
    <w:rsid w:val="00AB60C4"/>
    <w:rsid w:val="00AC14F0"/>
    <w:rsid w:val="00AC2DF7"/>
    <w:rsid w:val="00AC548A"/>
    <w:rsid w:val="00AD163E"/>
    <w:rsid w:val="00AD5C59"/>
    <w:rsid w:val="00AE270B"/>
    <w:rsid w:val="00AE5064"/>
    <w:rsid w:val="00AE5365"/>
    <w:rsid w:val="00AE55CB"/>
    <w:rsid w:val="00AF3FDF"/>
    <w:rsid w:val="00AF5069"/>
    <w:rsid w:val="00AF564E"/>
    <w:rsid w:val="00B01326"/>
    <w:rsid w:val="00B0164D"/>
    <w:rsid w:val="00B019F5"/>
    <w:rsid w:val="00B02152"/>
    <w:rsid w:val="00B04AAB"/>
    <w:rsid w:val="00B04CC4"/>
    <w:rsid w:val="00B04F4E"/>
    <w:rsid w:val="00B052BC"/>
    <w:rsid w:val="00B05BCA"/>
    <w:rsid w:val="00B05CB2"/>
    <w:rsid w:val="00B10C00"/>
    <w:rsid w:val="00B14301"/>
    <w:rsid w:val="00B222AE"/>
    <w:rsid w:val="00B22D6C"/>
    <w:rsid w:val="00B26494"/>
    <w:rsid w:val="00B318B0"/>
    <w:rsid w:val="00B33B98"/>
    <w:rsid w:val="00B349F7"/>
    <w:rsid w:val="00B3578A"/>
    <w:rsid w:val="00B431EF"/>
    <w:rsid w:val="00B51ADD"/>
    <w:rsid w:val="00B553D8"/>
    <w:rsid w:val="00B569AD"/>
    <w:rsid w:val="00B56E34"/>
    <w:rsid w:val="00B57039"/>
    <w:rsid w:val="00B6093A"/>
    <w:rsid w:val="00B668D2"/>
    <w:rsid w:val="00B72C1F"/>
    <w:rsid w:val="00B73C5F"/>
    <w:rsid w:val="00B74177"/>
    <w:rsid w:val="00B76D53"/>
    <w:rsid w:val="00B82656"/>
    <w:rsid w:val="00B83704"/>
    <w:rsid w:val="00B90CC2"/>
    <w:rsid w:val="00B93330"/>
    <w:rsid w:val="00B96017"/>
    <w:rsid w:val="00B96778"/>
    <w:rsid w:val="00BA12F6"/>
    <w:rsid w:val="00BA2BEC"/>
    <w:rsid w:val="00BA4E80"/>
    <w:rsid w:val="00BA56B6"/>
    <w:rsid w:val="00BB1475"/>
    <w:rsid w:val="00BB60A8"/>
    <w:rsid w:val="00BC3E88"/>
    <w:rsid w:val="00BD0BA4"/>
    <w:rsid w:val="00BD1F78"/>
    <w:rsid w:val="00BD1FC3"/>
    <w:rsid w:val="00BE1259"/>
    <w:rsid w:val="00BE73A7"/>
    <w:rsid w:val="00BE78BF"/>
    <w:rsid w:val="00BF0647"/>
    <w:rsid w:val="00BF33D3"/>
    <w:rsid w:val="00C00CEE"/>
    <w:rsid w:val="00C00FC0"/>
    <w:rsid w:val="00C06624"/>
    <w:rsid w:val="00C10B17"/>
    <w:rsid w:val="00C117C2"/>
    <w:rsid w:val="00C11868"/>
    <w:rsid w:val="00C14396"/>
    <w:rsid w:val="00C16188"/>
    <w:rsid w:val="00C2019D"/>
    <w:rsid w:val="00C22374"/>
    <w:rsid w:val="00C2276F"/>
    <w:rsid w:val="00C23FFB"/>
    <w:rsid w:val="00C2698A"/>
    <w:rsid w:val="00C308CC"/>
    <w:rsid w:val="00C30A7C"/>
    <w:rsid w:val="00C30E54"/>
    <w:rsid w:val="00C32BC8"/>
    <w:rsid w:val="00C34157"/>
    <w:rsid w:val="00C348C3"/>
    <w:rsid w:val="00C36D77"/>
    <w:rsid w:val="00C40891"/>
    <w:rsid w:val="00C41CE3"/>
    <w:rsid w:val="00C44CDE"/>
    <w:rsid w:val="00C515F8"/>
    <w:rsid w:val="00C5195C"/>
    <w:rsid w:val="00C52063"/>
    <w:rsid w:val="00C60D35"/>
    <w:rsid w:val="00C61427"/>
    <w:rsid w:val="00C62BD1"/>
    <w:rsid w:val="00C6411B"/>
    <w:rsid w:val="00C66CD2"/>
    <w:rsid w:val="00C71222"/>
    <w:rsid w:val="00C72429"/>
    <w:rsid w:val="00C746AD"/>
    <w:rsid w:val="00C75D95"/>
    <w:rsid w:val="00C76049"/>
    <w:rsid w:val="00C76437"/>
    <w:rsid w:val="00C770DB"/>
    <w:rsid w:val="00C80786"/>
    <w:rsid w:val="00C807F9"/>
    <w:rsid w:val="00C81852"/>
    <w:rsid w:val="00C81D03"/>
    <w:rsid w:val="00C830AA"/>
    <w:rsid w:val="00C83E2E"/>
    <w:rsid w:val="00C853F1"/>
    <w:rsid w:val="00C8640F"/>
    <w:rsid w:val="00C92A41"/>
    <w:rsid w:val="00C9321D"/>
    <w:rsid w:val="00C96FF9"/>
    <w:rsid w:val="00CA0447"/>
    <w:rsid w:val="00CA3E28"/>
    <w:rsid w:val="00CB0887"/>
    <w:rsid w:val="00CC032B"/>
    <w:rsid w:val="00CC1988"/>
    <w:rsid w:val="00CC19AA"/>
    <w:rsid w:val="00CC3865"/>
    <w:rsid w:val="00CC5C28"/>
    <w:rsid w:val="00CC6A6D"/>
    <w:rsid w:val="00CD01A6"/>
    <w:rsid w:val="00CD4E1A"/>
    <w:rsid w:val="00CD5D7A"/>
    <w:rsid w:val="00CD740C"/>
    <w:rsid w:val="00CE0E46"/>
    <w:rsid w:val="00CE1BE6"/>
    <w:rsid w:val="00CE36B8"/>
    <w:rsid w:val="00CE4D5D"/>
    <w:rsid w:val="00CE6248"/>
    <w:rsid w:val="00CE6E37"/>
    <w:rsid w:val="00CE7334"/>
    <w:rsid w:val="00CF161B"/>
    <w:rsid w:val="00CF4907"/>
    <w:rsid w:val="00CF7BA7"/>
    <w:rsid w:val="00D00EA8"/>
    <w:rsid w:val="00D01135"/>
    <w:rsid w:val="00D015C5"/>
    <w:rsid w:val="00D03455"/>
    <w:rsid w:val="00D05BF5"/>
    <w:rsid w:val="00D0705D"/>
    <w:rsid w:val="00D10173"/>
    <w:rsid w:val="00D14C73"/>
    <w:rsid w:val="00D20E3B"/>
    <w:rsid w:val="00D23BBE"/>
    <w:rsid w:val="00D27AF2"/>
    <w:rsid w:val="00D30805"/>
    <w:rsid w:val="00D32D8D"/>
    <w:rsid w:val="00D33266"/>
    <w:rsid w:val="00D33644"/>
    <w:rsid w:val="00D36474"/>
    <w:rsid w:val="00D41D85"/>
    <w:rsid w:val="00D41E86"/>
    <w:rsid w:val="00D4220E"/>
    <w:rsid w:val="00D42316"/>
    <w:rsid w:val="00D427FC"/>
    <w:rsid w:val="00D445AA"/>
    <w:rsid w:val="00D44D3A"/>
    <w:rsid w:val="00D44F9B"/>
    <w:rsid w:val="00D45885"/>
    <w:rsid w:val="00D45961"/>
    <w:rsid w:val="00D45983"/>
    <w:rsid w:val="00D459BF"/>
    <w:rsid w:val="00D47231"/>
    <w:rsid w:val="00D47A53"/>
    <w:rsid w:val="00D52E6E"/>
    <w:rsid w:val="00D54B02"/>
    <w:rsid w:val="00D554CB"/>
    <w:rsid w:val="00D60680"/>
    <w:rsid w:val="00D61B4E"/>
    <w:rsid w:val="00D623DF"/>
    <w:rsid w:val="00D726C9"/>
    <w:rsid w:val="00D77B55"/>
    <w:rsid w:val="00D77F22"/>
    <w:rsid w:val="00D800EA"/>
    <w:rsid w:val="00D80302"/>
    <w:rsid w:val="00D83991"/>
    <w:rsid w:val="00D83A75"/>
    <w:rsid w:val="00D848FF"/>
    <w:rsid w:val="00D85F1D"/>
    <w:rsid w:val="00D86515"/>
    <w:rsid w:val="00D92BF6"/>
    <w:rsid w:val="00D92DBF"/>
    <w:rsid w:val="00D942F0"/>
    <w:rsid w:val="00D9704A"/>
    <w:rsid w:val="00DA2837"/>
    <w:rsid w:val="00DA2C69"/>
    <w:rsid w:val="00DA3DE8"/>
    <w:rsid w:val="00DB0341"/>
    <w:rsid w:val="00DB1144"/>
    <w:rsid w:val="00DB1A6E"/>
    <w:rsid w:val="00DB29FD"/>
    <w:rsid w:val="00DB3373"/>
    <w:rsid w:val="00DB3ACE"/>
    <w:rsid w:val="00DB4415"/>
    <w:rsid w:val="00DB552C"/>
    <w:rsid w:val="00DB5C1E"/>
    <w:rsid w:val="00DB662D"/>
    <w:rsid w:val="00DB6793"/>
    <w:rsid w:val="00DC3A77"/>
    <w:rsid w:val="00DC4310"/>
    <w:rsid w:val="00DC69A7"/>
    <w:rsid w:val="00DC7E56"/>
    <w:rsid w:val="00DD07D3"/>
    <w:rsid w:val="00DD19A1"/>
    <w:rsid w:val="00DD2557"/>
    <w:rsid w:val="00DE0934"/>
    <w:rsid w:val="00DE105F"/>
    <w:rsid w:val="00DE658A"/>
    <w:rsid w:val="00DE6720"/>
    <w:rsid w:val="00DF0BEC"/>
    <w:rsid w:val="00DF1CFB"/>
    <w:rsid w:val="00DF47DD"/>
    <w:rsid w:val="00DF73FE"/>
    <w:rsid w:val="00E01478"/>
    <w:rsid w:val="00E01655"/>
    <w:rsid w:val="00E01E5D"/>
    <w:rsid w:val="00E04274"/>
    <w:rsid w:val="00E1166E"/>
    <w:rsid w:val="00E11DC5"/>
    <w:rsid w:val="00E12295"/>
    <w:rsid w:val="00E20C05"/>
    <w:rsid w:val="00E22B62"/>
    <w:rsid w:val="00E2632C"/>
    <w:rsid w:val="00E31C4A"/>
    <w:rsid w:val="00E377AB"/>
    <w:rsid w:val="00E40AE7"/>
    <w:rsid w:val="00E42612"/>
    <w:rsid w:val="00E53A1D"/>
    <w:rsid w:val="00E560DE"/>
    <w:rsid w:val="00E56786"/>
    <w:rsid w:val="00E63C72"/>
    <w:rsid w:val="00E67CC2"/>
    <w:rsid w:val="00E720E0"/>
    <w:rsid w:val="00E735DF"/>
    <w:rsid w:val="00E77782"/>
    <w:rsid w:val="00E77DC4"/>
    <w:rsid w:val="00E84161"/>
    <w:rsid w:val="00E854ED"/>
    <w:rsid w:val="00E8595D"/>
    <w:rsid w:val="00E94946"/>
    <w:rsid w:val="00E957DC"/>
    <w:rsid w:val="00E96F22"/>
    <w:rsid w:val="00EA2BEB"/>
    <w:rsid w:val="00EA35ED"/>
    <w:rsid w:val="00EA7259"/>
    <w:rsid w:val="00EA7F9E"/>
    <w:rsid w:val="00EB1926"/>
    <w:rsid w:val="00EB2560"/>
    <w:rsid w:val="00EB44D6"/>
    <w:rsid w:val="00EB5268"/>
    <w:rsid w:val="00EB5CE9"/>
    <w:rsid w:val="00EB690B"/>
    <w:rsid w:val="00EB69EC"/>
    <w:rsid w:val="00EB7D02"/>
    <w:rsid w:val="00EC0D33"/>
    <w:rsid w:val="00EC14AC"/>
    <w:rsid w:val="00EC243C"/>
    <w:rsid w:val="00EC3D5E"/>
    <w:rsid w:val="00EC5C8F"/>
    <w:rsid w:val="00ED3252"/>
    <w:rsid w:val="00ED625C"/>
    <w:rsid w:val="00EE3359"/>
    <w:rsid w:val="00EE3BC1"/>
    <w:rsid w:val="00EE6CEB"/>
    <w:rsid w:val="00EF2329"/>
    <w:rsid w:val="00EF3750"/>
    <w:rsid w:val="00EF3AD0"/>
    <w:rsid w:val="00EF51D9"/>
    <w:rsid w:val="00EF6670"/>
    <w:rsid w:val="00EF7867"/>
    <w:rsid w:val="00F007F5"/>
    <w:rsid w:val="00F034DE"/>
    <w:rsid w:val="00F03B5C"/>
    <w:rsid w:val="00F105BB"/>
    <w:rsid w:val="00F11D13"/>
    <w:rsid w:val="00F15BC0"/>
    <w:rsid w:val="00F22E11"/>
    <w:rsid w:val="00F245AA"/>
    <w:rsid w:val="00F32201"/>
    <w:rsid w:val="00F346F0"/>
    <w:rsid w:val="00F34780"/>
    <w:rsid w:val="00F42462"/>
    <w:rsid w:val="00F42C07"/>
    <w:rsid w:val="00F43025"/>
    <w:rsid w:val="00F43CA0"/>
    <w:rsid w:val="00F479AC"/>
    <w:rsid w:val="00F47AC0"/>
    <w:rsid w:val="00F50C5F"/>
    <w:rsid w:val="00F537E6"/>
    <w:rsid w:val="00F54C72"/>
    <w:rsid w:val="00F5586D"/>
    <w:rsid w:val="00F56F36"/>
    <w:rsid w:val="00F579C1"/>
    <w:rsid w:val="00F61705"/>
    <w:rsid w:val="00F62D96"/>
    <w:rsid w:val="00F75A94"/>
    <w:rsid w:val="00F7643C"/>
    <w:rsid w:val="00F84E2F"/>
    <w:rsid w:val="00F866DF"/>
    <w:rsid w:val="00F87BB1"/>
    <w:rsid w:val="00F91449"/>
    <w:rsid w:val="00F91525"/>
    <w:rsid w:val="00F9237C"/>
    <w:rsid w:val="00F93A2D"/>
    <w:rsid w:val="00F945F2"/>
    <w:rsid w:val="00F9606C"/>
    <w:rsid w:val="00F96E1E"/>
    <w:rsid w:val="00F973C9"/>
    <w:rsid w:val="00FA017F"/>
    <w:rsid w:val="00FA39B2"/>
    <w:rsid w:val="00FA614A"/>
    <w:rsid w:val="00FA66DE"/>
    <w:rsid w:val="00FB2DEF"/>
    <w:rsid w:val="00FB4149"/>
    <w:rsid w:val="00FB57F6"/>
    <w:rsid w:val="00FB67DC"/>
    <w:rsid w:val="00FB7D78"/>
    <w:rsid w:val="00FC0F8E"/>
    <w:rsid w:val="00FC429A"/>
    <w:rsid w:val="00FC451B"/>
    <w:rsid w:val="00FC4EB6"/>
    <w:rsid w:val="00FC52B0"/>
    <w:rsid w:val="00FC69D4"/>
    <w:rsid w:val="00FD1348"/>
    <w:rsid w:val="00FD4B23"/>
    <w:rsid w:val="00FE15C5"/>
    <w:rsid w:val="00FE1DB5"/>
    <w:rsid w:val="00FE1F54"/>
    <w:rsid w:val="00FE5BA5"/>
    <w:rsid w:val="00FE5F0E"/>
    <w:rsid w:val="00FE7174"/>
    <w:rsid w:val="00FF018C"/>
    <w:rsid w:val="00FF0713"/>
    <w:rsid w:val="00FF1DC6"/>
    <w:rsid w:val="00FF6F97"/>
    <w:rsid w:val="00FF7089"/>
    <w:rsid w:val="00FF7A70"/>
    <w:rsid w:val="01F268C5"/>
    <w:rsid w:val="0250108F"/>
    <w:rsid w:val="02572AE5"/>
    <w:rsid w:val="094114D9"/>
    <w:rsid w:val="099069B9"/>
    <w:rsid w:val="0A213CF7"/>
    <w:rsid w:val="0B44216A"/>
    <w:rsid w:val="0BA0786C"/>
    <w:rsid w:val="0BA229BB"/>
    <w:rsid w:val="0C3F1805"/>
    <w:rsid w:val="10491F44"/>
    <w:rsid w:val="19543E4F"/>
    <w:rsid w:val="19FE147D"/>
    <w:rsid w:val="1B973473"/>
    <w:rsid w:val="1C4211A7"/>
    <w:rsid w:val="1C683C36"/>
    <w:rsid w:val="240402CE"/>
    <w:rsid w:val="289E1334"/>
    <w:rsid w:val="2A4B2692"/>
    <w:rsid w:val="2A5361F2"/>
    <w:rsid w:val="2D551FC8"/>
    <w:rsid w:val="2D6835E4"/>
    <w:rsid w:val="2DFA7EBE"/>
    <w:rsid w:val="2DFE4597"/>
    <w:rsid w:val="32C93C3E"/>
    <w:rsid w:val="342F2695"/>
    <w:rsid w:val="35AB3143"/>
    <w:rsid w:val="368F2387"/>
    <w:rsid w:val="3A1A263B"/>
    <w:rsid w:val="3A2A1B78"/>
    <w:rsid w:val="3AC577F8"/>
    <w:rsid w:val="3B056382"/>
    <w:rsid w:val="3B76162A"/>
    <w:rsid w:val="3E594668"/>
    <w:rsid w:val="3ED92C0A"/>
    <w:rsid w:val="489A543D"/>
    <w:rsid w:val="496F0415"/>
    <w:rsid w:val="4C241F07"/>
    <w:rsid w:val="4DD5670D"/>
    <w:rsid w:val="4E0C1ED3"/>
    <w:rsid w:val="4F466D37"/>
    <w:rsid w:val="517E0914"/>
    <w:rsid w:val="519A21C8"/>
    <w:rsid w:val="553B5139"/>
    <w:rsid w:val="55D27DC3"/>
    <w:rsid w:val="56323CEC"/>
    <w:rsid w:val="56885F65"/>
    <w:rsid w:val="577D48AF"/>
    <w:rsid w:val="585061A9"/>
    <w:rsid w:val="58555019"/>
    <w:rsid w:val="58D42B2B"/>
    <w:rsid w:val="5A4820BF"/>
    <w:rsid w:val="5C796398"/>
    <w:rsid w:val="613F645A"/>
    <w:rsid w:val="61D268B8"/>
    <w:rsid w:val="68212A0A"/>
    <w:rsid w:val="698C03D3"/>
    <w:rsid w:val="6B8A43BE"/>
    <w:rsid w:val="6D246B8D"/>
    <w:rsid w:val="6D7D00A2"/>
    <w:rsid w:val="6EC77504"/>
    <w:rsid w:val="70105FEF"/>
    <w:rsid w:val="70344EA3"/>
    <w:rsid w:val="71352F1C"/>
    <w:rsid w:val="71C852BA"/>
    <w:rsid w:val="721E2208"/>
    <w:rsid w:val="73573B34"/>
    <w:rsid w:val="74D14068"/>
    <w:rsid w:val="7B1B5F30"/>
    <w:rsid w:val="7B693A75"/>
    <w:rsid w:val="7DDF5E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qFormat/>
    <w:uiPriority w:val="0"/>
    <w:pPr>
      <w:keepNext/>
      <w:keepLines/>
      <w:ind w:firstLine="0" w:firstLineChars="0"/>
      <w:jc w:val="left"/>
      <w:outlineLvl w:val="0"/>
    </w:pPr>
    <w:rPr>
      <w:b/>
      <w:bCs/>
      <w:kern w:val="44"/>
      <w:sz w:val="28"/>
      <w:szCs w:val="44"/>
    </w:rPr>
  </w:style>
  <w:style w:type="paragraph" w:styleId="3">
    <w:name w:val="heading 3"/>
    <w:basedOn w:val="1"/>
    <w:next w:val="1"/>
    <w:qFormat/>
    <w:uiPriority w:val="0"/>
    <w:pPr>
      <w:keepNext/>
      <w:keepLines/>
      <w:ind w:firstLine="0" w:firstLineChars="0"/>
      <w:jc w:val="left"/>
      <w:outlineLvl w:val="2"/>
    </w:pPr>
    <w:rPr>
      <w:b/>
      <w:bCs/>
      <w:szCs w:val="32"/>
    </w:rPr>
  </w:style>
  <w:style w:type="character" w:default="1" w:styleId="21">
    <w:name w:val="Default Paragraph Font"/>
    <w:semiHidden/>
    <w:unhideWhenUsed/>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32"/>
    <w:unhideWhenUsed/>
    <w:qFormat/>
    <w:uiPriority w:val="99"/>
    <w:rPr>
      <w:b/>
      <w:bCs/>
    </w:rPr>
  </w:style>
  <w:style w:type="paragraph" w:styleId="5">
    <w:name w:val="annotation text"/>
    <w:basedOn w:val="1"/>
    <w:link w:val="30"/>
    <w:unhideWhenUsed/>
    <w:qFormat/>
    <w:uiPriority w:val="99"/>
    <w:pPr>
      <w:jc w:val="left"/>
    </w:pPr>
  </w:style>
  <w:style w:type="paragraph" w:styleId="6">
    <w:name w:val="toc 7"/>
    <w:basedOn w:val="1"/>
    <w:next w:val="1"/>
    <w:qFormat/>
    <w:uiPriority w:val="39"/>
    <w:pPr>
      <w:ind w:left="1800"/>
      <w:jc w:val="left"/>
    </w:pPr>
    <w:rPr>
      <w:sz w:val="18"/>
      <w:szCs w:val="18"/>
    </w:rPr>
  </w:style>
  <w:style w:type="paragraph" w:styleId="7">
    <w:name w:val="Document Map"/>
    <w:basedOn w:val="1"/>
    <w:link w:val="33"/>
    <w:unhideWhenUsed/>
    <w:qFormat/>
    <w:uiPriority w:val="99"/>
    <w:rPr>
      <w:rFonts w:ascii="宋体" w:eastAsia="宋体"/>
      <w:sz w:val="18"/>
      <w:szCs w:val="18"/>
    </w:rPr>
  </w:style>
  <w:style w:type="paragraph" w:styleId="8">
    <w:name w:val="toc 5"/>
    <w:basedOn w:val="1"/>
    <w:next w:val="1"/>
    <w:qFormat/>
    <w:uiPriority w:val="39"/>
    <w:pPr>
      <w:ind w:left="1200"/>
      <w:jc w:val="left"/>
    </w:pPr>
    <w:rPr>
      <w:sz w:val="18"/>
      <w:szCs w:val="18"/>
    </w:rPr>
  </w:style>
  <w:style w:type="paragraph" w:styleId="9">
    <w:name w:val="toc 3"/>
    <w:basedOn w:val="1"/>
    <w:next w:val="1"/>
    <w:qFormat/>
    <w:uiPriority w:val="39"/>
    <w:pPr>
      <w:spacing w:line="300" w:lineRule="exact"/>
      <w:ind w:left="567"/>
      <w:jc w:val="left"/>
    </w:pPr>
    <w:rPr>
      <w:iCs/>
      <w:sz w:val="28"/>
      <w:szCs w:val="20"/>
    </w:rPr>
  </w:style>
  <w:style w:type="paragraph" w:styleId="10">
    <w:name w:val="toc 8"/>
    <w:basedOn w:val="1"/>
    <w:next w:val="1"/>
    <w:qFormat/>
    <w:uiPriority w:val="39"/>
    <w:pPr>
      <w:ind w:left="2100"/>
      <w:jc w:val="left"/>
    </w:pPr>
    <w:rPr>
      <w:sz w:val="18"/>
      <w:szCs w:val="18"/>
    </w:rPr>
  </w:style>
  <w:style w:type="paragraph" w:styleId="11">
    <w:name w:val="Date"/>
    <w:basedOn w:val="1"/>
    <w:next w:val="1"/>
    <w:qFormat/>
    <w:uiPriority w:val="0"/>
    <w:pPr>
      <w:ind w:left="100" w:leftChars="2500"/>
    </w:pPr>
    <w:rPr>
      <w:rFonts w:eastAsia="宋体"/>
      <w:sz w:val="21"/>
    </w:rPr>
  </w:style>
  <w:style w:type="paragraph" w:styleId="12">
    <w:name w:val="Balloon Text"/>
    <w:basedOn w:val="1"/>
    <w:link w:val="27"/>
    <w:qFormat/>
    <w:uiPriority w:val="0"/>
    <w:rPr>
      <w:sz w:val="18"/>
      <w:szCs w:val="18"/>
    </w:rPr>
  </w:style>
  <w:style w:type="paragraph" w:styleId="13">
    <w:name w:val="footer"/>
    <w:basedOn w:val="1"/>
    <w:link w:val="28"/>
    <w:qFormat/>
    <w:uiPriority w:val="99"/>
    <w:pPr>
      <w:tabs>
        <w:tab w:val="center" w:pos="4153"/>
        <w:tab w:val="right" w:pos="8306"/>
      </w:tabs>
      <w:snapToGrid w:val="0"/>
      <w:jc w:val="left"/>
    </w:pPr>
    <w:rPr>
      <w:sz w:val="18"/>
      <w:szCs w:val="18"/>
    </w:rPr>
  </w:style>
  <w:style w:type="paragraph" w:styleId="14">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b/>
      <w:bCs/>
      <w:caps/>
      <w:sz w:val="28"/>
      <w:szCs w:val="20"/>
    </w:rPr>
  </w:style>
  <w:style w:type="paragraph" w:styleId="16">
    <w:name w:val="toc 4"/>
    <w:basedOn w:val="1"/>
    <w:next w:val="1"/>
    <w:qFormat/>
    <w:uiPriority w:val="39"/>
    <w:pPr>
      <w:tabs>
        <w:tab w:val="right" w:leader="dot" w:pos="8693"/>
      </w:tabs>
      <w:spacing w:line="300" w:lineRule="exact"/>
      <w:ind w:left="902"/>
      <w:jc w:val="left"/>
    </w:pPr>
    <w:rPr>
      <w:sz w:val="28"/>
      <w:szCs w:val="18"/>
    </w:rPr>
  </w:style>
  <w:style w:type="paragraph" w:styleId="17">
    <w:name w:val="toc 6"/>
    <w:basedOn w:val="1"/>
    <w:next w:val="1"/>
    <w:qFormat/>
    <w:uiPriority w:val="39"/>
    <w:pPr>
      <w:ind w:left="1500"/>
      <w:jc w:val="left"/>
    </w:pPr>
    <w:rPr>
      <w:sz w:val="18"/>
      <w:szCs w:val="18"/>
    </w:rPr>
  </w:style>
  <w:style w:type="paragraph" w:styleId="18">
    <w:name w:val="toc 2"/>
    <w:basedOn w:val="1"/>
    <w:next w:val="1"/>
    <w:qFormat/>
    <w:uiPriority w:val="39"/>
    <w:pPr>
      <w:spacing w:line="300" w:lineRule="exact"/>
      <w:jc w:val="left"/>
    </w:pPr>
    <w:rPr>
      <w:smallCaps/>
      <w:sz w:val="28"/>
      <w:szCs w:val="20"/>
    </w:rPr>
  </w:style>
  <w:style w:type="paragraph" w:styleId="19">
    <w:name w:val="toc 9"/>
    <w:basedOn w:val="1"/>
    <w:next w:val="1"/>
    <w:qFormat/>
    <w:uiPriority w:val="39"/>
    <w:pPr>
      <w:ind w:left="2400"/>
      <w:jc w:val="left"/>
    </w:pPr>
    <w:rPr>
      <w:sz w:val="18"/>
      <w:szCs w:val="18"/>
    </w:rPr>
  </w:style>
  <w:style w:type="paragraph" w:styleId="20">
    <w:name w:val="Title"/>
    <w:basedOn w:val="1"/>
    <w:next w:val="1"/>
    <w:link w:val="26"/>
    <w:qFormat/>
    <w:uiPriority w:val="10"/>
    <w:pPr>
      <w:jc w:val="left"/>
      <w:outlineLvl w:val="3"/>
    </w:pPr>
    <w:rPr>
      <w:rFonts w:ascii="Cambria" w:hAnsi="Cambria"/>
      <w:bCs/>
      <w:szCs w:val="32"/>
    </w:r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basedOn w:val="21"/>
    <w:unhideWhenUsed/>
    <w:qFormat/>
    <w:uiPriority w:val="99"/>
    <w:rPr>
      <w:sz w:val="21"/>
      <w:szCs w:val="21"/>
    </w:rPr>
  </w:style>
  <w:style w:type="character" w:customStyle="1" w:styleId="26">
    <w:name w:val="标题 Char"/>
    <w:basedOn w:val="21"/>
    <w:link w:val="20"/>
    <w:qFormat/>
    <w:uiPriority w:val="10"/>
    <w:rPr>
      <w:rFonts w:ascii="Cambria" w:hAnsi="Cambria" w:eastAsia="仿宋_GB2312" w:cs="Times New Roman"/>
      <w:bCs/>
      <w:kern w:val="2"/>
      <w:sz w:val="24"/>
      <w:szCs w:val="32"/>
    </w:rPr>
  </w:style>
  <w:style w:type="character" w:customStyle="1" w:styleId="27">
    <w:name w:val="批注框文本 Char"/>
    <w:link w:val="12"/>
    <w:qFormat/>
    <w:uiPriority w:val="0"/>
    <w:rPr>
      <w:rFonts w:eastAsia="仿宋_GB2312"/>
      <w:kern w:val="2"/>
      <w:sz w:val="18"/>
      <w:szCs w:val="18"/>
    </w:rPr>
  </w:style>
  <w:style w:type="character" w:customStyle="1" w:styleId="28">
    <w:name w:val="页脚 Char"/>
    <w:link w:val="13"/>
    <w:qFormat/>
    <w:uiPriority w:val="99"/>
    <w:rPr>
      <w:rFonts w:eastAsia="仿宋_GB2312"/>
      <w:kern w:val="2"/>
      <w:sz w:val="18"/>
      <w:szCs w:val="18"/>
    </w:rPr>
  </w:style>
  <w:style w:type="character" w:customStyle="1" w:styleId="29">
    <w:name w:val="apple-converted-space"/>
    <w:basedOn w:val="21"/>
    <w:qFormat/>
    <w:uiPriority w:val="0"/>
  </w:style>
  <w:style w:type="character" w:customStyle="1" w:styleId="30">
    <w:name w:val="批注文字 Char"/>
    <w:basedOn w:val="21"/>
    <w:link w:val="5"/>
    <w:semiHidden/>
    <w:qFormat/>
    <w:uiPriority w:val="99"/>
    <w:rPr>
      <w:rFonts w:eastAsia="仿宋_GB2312"/>
      <w:kern w:val="2"/>
      <w:sz w:val="24"/>
      <w:szCs w:val="24"/>
    </w:rPr>
  </w:style>
  <w:style w:type="character" w:customStyle="1" w:styleId="31">
    <w:name w:val="页眉 Char"/>
    <w:link w:val="14"/>
    <w:qFormat/>
    <w:uiPriority w:val="0"/>
    <w:rPr>
      <w:rFonts w:eastAsia="仿宋_GB2312"/>
      <w:kern w:val="2"/>
      <w:sz w:val="18"/>
      <w:szCs w:val="18"/>
    </w:rPr>
  </w:style>
  <w:style w:type="character" w:customStyle="1" w:styleId="32">
    <w:name w:val="批注主题 Char"/>
    <w:basedOn w:val="30"/>
    <w:link w:val="4"/>
    <w:semiHidden/>
    <w:qFormat/>
    <w:uiPriority w:val="99"/>
    <w:rPr>
      <w:rFonts w:eastAsia="仿宋_GB2312"/>
      <w:b/>
      <w:bCs/>
      <w:kern w:val="2"/>
      <w:sz w:val="24"/>
      <w:szCs w:val="24"/>
    </w:rPr>
  </w:style>
  <w:style w:type="character" w:customStyle="1" w:styleId="33">
    <w:name w:val="文档结构图 Char"/>
    <w:basedOn w:val="21"/>
    <w:link w:val="7"/>
    <w:semiHidden/>
    <w:qFormat/>
    <w:uiPriority w:val="99"/>
    <w:rPr>
      <w:rFonts w:ascii="宋体"/>
      <w:kern w:val="2"/>
      <w:sz w:val="18"/>
      <w:szCs w:val="18"/>
    </w:rPr>
  </w:style>
  <w:style w:type="paragraph" w:customStyle="1" w:styleId="34">
    <w:name w:val="_Style 1"/>
    <w:basedOn w:val="1"/>
    <w:qFormat/>
    <w:uiPriority w:val="0"/>
    <w:rPr>
      <w:rFonts w:eastAsia="宋体"/>
      <w:sz w:val="21"/>
    </w:rPr>
  </w:style>
  <w:style w:type="paragraph" w:customStyle="1" w:styleId="35">
    <w:name w:val="无间隔1"/>
    <w:qFormat/>
    <w:uiPriority w:val="1"/>
    <w:pPr>
      <w:widowControl w:val="0"/>
      <w:spacing w:line="360" w:lineRule="auto"/>
      <w:ind w:firstLine="200" w:firstLineChars="200"/>
      <w:outlineLvl w:val="2"/>
    </w:pPr>
    <w:rPr>
      <w:rFonts w:ascii="Times New Roman" w:hAnsi="Times New Roman" w:eastAsia="仿宋_GB2312" w:cs="Times New Roman"/>
      <w:kern w:val="2"/>
      <w:sz w:val="24"/>
      <w:szCs w:val="24"/>
      <w:lang w:val="en-US" w:eastAsia="zh-CN" w:bidi="ar-SA"/>
    </w:rPr>
  </w:style>
  <w:style w:type="paragraph" w:customStyle="1" w:styleId="36">
    <w:name w:val="TOC 标题1"/>
    <w:basedOn w:val="2"/>
    <w:next w:val="1"/>
    <w:qFormat/>
    <w:uiPriority w:val="39"/>
    <w:pPr>
      <w:widowControl/>
      <w:spacing w:before="480" w:line="276" w:lineRule="auto"/>
      <w:outlineLvl w:val="9"/>
    </w:pPr>
    <w:rPr>
      <w:rFonts w:ascii="Cambria" w:hAnsi="Cambria" w:eastAsia="宋体"/>
      <w:color w:val="365F91"/>
      <w:kern w:val="0"/>
      <w:szCs w:val="28"/>
    </w:rPr>
  </w:style>
  <w:style w:type="paragraph" w:customStyle="1" w:styleId="37">
    <w:name w:val="列出段落1"/>
    <w:basedOn w:val="1"/>
    <w:qFormat/>
    <w:uiPriority w:val="34"/>
    <w:pPr>
      <w:ind w:firstLine="420"/>
    </w:pPr>
  </w:style>
  <w:style w:type="paragraph" w:customStyle="1" w:styleId="38">
    <w:name w:val="列出段落2"/>
    <w:basedOn w:val="1"/>
    <w:qFormat/>
    <w:uiPriority w:val="34"/>
    <w:pPr>
      <w:ind w:firstLine="420"/>
    </w:pPr>
  </w:style>
  <w:style w:type="paragraph" w:customStyle="1" w:styleId="39">
    <w:name w:val="修订1"/>
    <w:semiHidden/>
    <w:qFormat/>
    <w:uiPriority w:val="99"/>
    <w:rPr>
      <w:rFonts w:ascii="Times New Roman" w:hAnsi="Times New Roman" w:eastAsia="仿宋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diagramColors" Target="diagrams/colors2.xml"/><Relationship Id="rId20" Type="http://schemas.openxmlformats.org/officeDocument/2006/relationships/diagramQuickStyle" Target="diagrams/quickStyle2.xml"/><Relationship Id="rId2" Type="http://schemas.openxmlformats.org/officeDocument/2006/relationships/settings" Target="settings.xml"/><Relationship Id="rId19" Type="http://schemas.openxmlformats.org/officeDocument/2006/relationships/diagramLayout" Target="diagrams/layout2.xml"/><Relationship Id="rId18" Type="http://schemas.openxmlformats.org/officeDocument/2006/relationships/diagramData" Target="diagrams/data2.xml"/><Relationship Id="rId17" Type="http://schemas.openxmlformats.org/officeDocument/2006/relationships/image" Target="media/image3.png"/><Relationship Id="rId16" Type="http://schemas.openxmlformats.org/officeDocument/2006/relationships/diagramColors" Target="diagrams/colors1.xml"/><Relationship Id="rId15" Type="http://schemas.openxmlformats.org/officeDocument/2006/relationships/diagramQuickStyle" Target="diagrams/quickStyle1.xml"/><Relationship Id="rId14" Type="http://schemas.openxmlformats.org/officeDocument/2006/relationships/diagramLayout" Target="diagrams/layout1.xml"/><Relationship Id="rId13" Type="http://schemas.openxmlformats.org/officeDocument/2006/relationships/diagramData" Target="diagrams/data1.xml"/><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4#1">
  <dgm:title val=""/>
  <dgm:desc val=""/>
  <dgm:catLst>
    <dgm:cat type="colorful" pri="10400"/>
  </dgm:catLst>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4B7C27DC-5868-4F38-A9F2-056BB1C2E427}" type="doc">
      <dgm:prSet loTypeId="urn:microsoft.com/office/officeart/2005/8/layout/lProcess3#1" loCatId="process" qsTypeId="urn:microsoft.com/office/officeart/2005/8/quickstyle/simple5#1" qsCatId="simple" csTypeId="urn:microsoft.com/office/officeart/2005/8/colors/colorful4#1" csCatId="colorful" phldr="1"/>
      <dgm:spPr/>
      <dgm:t>
        <a:bodyPr/>
        <a:p>
          <a:endParaRPr lang="zh-CN" altLang="en-US"/>
        </a:p>
      </dgm:t>
    </dgm:pt>
    <dgm:pt modelId="{AE44D3A4-6643-4157-86EA-2E0899415F11}">
      <dgm:prSet phldrT="[文本]"/>
      <dgm:spPr>
        <a:xfrm rot="5400000">
          <a:off x="938715" y="372194"/>
          <a:ext cx="1067023" cy="746916"/>
        </a:xfr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gm:spPr>
      <dgm:t>
        <a:bodyPr/>
        <a:p>
          <a:r>
            <a:rPr lang="zh-CN" altLang="en-US">
              <a:solidFill>
                <a:sysClr val="window" lastClr="CCE8CF"/>
              </a:solidFill>
              <a:latin typeface="华文细黑" panose="02010600040101010101" pitchFamily="2" charset="-122"/>
              <a:ea typeface="华文细黑" panose="02010600040101010101" pitchFamily="2" charset="-122"/>
              <a:cs typeface="+mn-cs"/>
            </a:rPr>
            <a:t>绩效评价的评价原则</a:t>
          </a:r>
        </a:p>
      </dgm:t>
    </dgm:pt>
    <dgm:pt modelId="{5657338A-E5FA-4EF5-BD8A-D52F54EE1777}" cxnId="{9039BC57-CC96-4B32-B42B-BB651741E847}" type="parTrans">
      <dgm:prSet/>
      <dgm:spPr/>
      <dgm:t>
        <a:bodyPr/>
        <a:p>
          <a:endParaRPr lang="zh-CN" altLang="en-US">
            <a:latin typeface="华文细黑" panose="02010600040101010101" pitchFamily="2" charset="-122"/>
            <a:ea typeface="华文细黑" panose="02010600040101010101" pitchFamily="2" charset="-122"/>
          </a:endParaRPr>
        </a:p>
      </dgm:t>
    </dgm:pt>
    <dgm:pt modelId="{A07EC271-6073-4E00-B05E-681FAB7ADB1E}" cxnId="{9039BC57-CC96-4B32-B42B-BB651741E847}" type="sibTrans">
      <dgm:prSet/>
      <dgm:spPr/>
      <dgm:t>
        <a:bodyPr/>
        <a:p>
          <a:endParaRPr lang="zh-CN" altLang="en-US">
            <a:latin typeface="华文细黑" panose="02010600040101010101" pitchFamily="2" charset="-122"/>
            <a:ea typeface="华文细黑" panose="02010600040101010101" pitchFamily="2" charset="-122"/>
          </a:endParaRPr>
        </a:p>
      </dgm:t>
    </dgm:pt>
    <dgm:pt modelId="{15882016-B55C-44E9-8F1F-2EA976ABCA60}">
      <dgm:prSet phldrT="[文本]" custT="1"/>
      <dgm:spPr>
        <a:xfrm rot="5400000">
          <a:off x="2407435" y="-416491"/>
          <a:ext cx="1057485" cy="2133762"/>
        </a:xfrm>
        <a:solidFill>
          <a:sysClr val="window" lastClr="CCE8C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sz="1000" b="0">
              <a:latin typeface="+mj-lt"/>
            </a:rPr>
            <a:t>相关性原则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2FB28D79-3636-4821-82E3-476D88957CAC}" cxnId="{646836D6-B5FF-45ED-96B0-A9055A7B4AD8}" type="parTrans">
      <dgm:prSet/>
      <dgm:spPr/>
      <dgm:t>
        <a:bodyPr/>
        <a:p>
          <a:endParaRPr lang="zh-CN" altLang="en-US">
            <a:latin typeface="华文细黑" panose="02010600040101010101" pitchFamily="2" charset="-122"/>
            <a:ea typeface="华文细黑" panose="02010600040101010101" pitchFamily="2" charset="-122"/>
          </a:endParaRPr>
        </a:p>
      </dgm:t>
    </dgm:pt>
    <dgm:pt modelId="{80A89C0F-3ACD-4F85-903F-9949EB715D51}" cxnId="{646836D6-B5FF-45ED-96B0-A9055A7B4AD8}" type="sibTrans">
      <dgm:prSet/>
      <dgm:spPr/>
      <dgm:t>
        <a:bodyPr/>
        <a:p>
          <a:endParaRPr lang="zh-CN" altLang="en-US">
            <a:latin typeface="华文细黑" panose="02010600040101010101" pitchFamily="2" charset="-122"/>
            <a:ea typeface="华文细黑" panose="02010600040101010101" pitchFamily="2" charset="-122"/>
          </a:endParaRPr>
        </a:p>
      </dgm:t>
    </dgm:pt>
    <dgm:pt modelId="{42B1CAFA-34EB-45A3-9248-7D2EFA1D06C6}">
      <dgm:prSet phldrT="[文本]" custT="1"/>
      <dgm:spPr>
        <a:xfrm rot="5400000">
          <a:off x="2407435" y="-416491"/>
          <a:ext cx="1057485" cy="2133762"/>
        </a:xfrm>
        <a:solidFill>
          <a:sysClr val="window" lastClr="CCE8C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sz="1000" b="0">
              <a:latin typeface="+mj-lt"/>
            </a:rPr>
            <a:t>系统性原则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FEA0136C-8D14-4E35-8EC9-C5DD07D12C57}" cxnId="{7FEF86F8-D727-4C94-B442-E1DDF3E8D6F1}" type="parTrans">
      <dgm:prSet/>
      <dgm:spPr/>
      <dgm:t>
        <a:bodyPr/>
        <a:p>
          <a:endParaRPr lang="zh-CN" altLang="en-US">
            <a:latin typeface="华文细黑" panose="02010600040101010101" pitchFamily="2" charset="-122"/>
            <a:ea typeface="华文细黑" panose="02010600040101010101" pitchFamily="2" charset="-122"/>
          </a:endParaRPr>
        </a:p>
      </dgm:t>
    </dgm:pt>
    <dgm:pt modelId="{7DAB7E00-1A3D-4C54-A458-C96DDB96490E}" cxnId="{7FEF86F8-D727-4C94-B442-E1DDF3E8D6F1}" type="sibTrans">
      <dgm:prSet/>
      <dgm:spPr/>
      <dgm:t>
        <a:bodyPr/>
        <a:p>
          <a:endParaRPr lang="zh-CN" altLang="en-US">
            <a:latin typeface="华文细黑" panose="02010600040101010101" pitchFamily="2" charset="-122"/>
            <a:ea typeface="华文细黑" panose="02010600040101010101" pitchFamily="2" charset="-122"/>
          </a:endParaRPr>
        </a:p>
      </dgm:t>
    </dgm:pt>
    <dgm:pt modelId="{0CB1D884-927A-4CD8-ADA4-973A535D4546}">
      <dgm:prSet phldrT="[文本]" custT="1"/>
      <dgm:spPr>
        <a:xfrm rot="5400000">
          <a:off x="2407435" y="-416491"/>
          <a:ext cx="1057485" cy="2133762"/>
        </a:xfrm>
        <a:solidFill>
          <a:sysClr val="window" lastClr="CCE8C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sz="1000" b="0">
              <a:latin typeface="+mj-lt"/>
            </a:rPr>
            <a:t>可比性原则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6A1C25AB-A71C-4D3F-82EB-94D27A4562CA}" cxnId="{C14EB5EA-53F3-46A1-B228-6D57BB79EA00}" type="sibTrans">
      <dgm:prSet/>
      <dgm:spPr/>
      <dgm:t>
        <a:bodyPr/>
        <a:p>
          <a:endParaRPr lang="zh-CN" altLang="en-US">
            <a:latin typeface="华文细黑" panose="02010600040101010101" pitchFamily="2" charset="-122"/>
            <a:ea typeface="华文细黑" panose="02010600040101010101" pitchFamily="2" charset="-122"/>
          </a:endParaRPr>
        </a:p>
      </dgm:t>
    </dgm:pt>
    <dgm:pt modelId="{C9A3DF1B-B75E-48F3-ADBD-D866FE005DD2}" cxnId="{C14EB5EA-53F3-46A1-B228-6D57BB79EA00}" type="parTrans">
      <dgm:prSet/>
      <dgm:spPr/>
      <dgm:t>
        <a:bodyPr/>
        <a:p>
          <a:endParaRPr lang="zh-CN" altLang="en-US">
            <a:latin typeface="华文细黑" panose="02010600040101010101" pitchFamily="2" charset="-122"/>
            <a:ea typeface="华文细黑" panose="02010600040101010101" pitchFamily="2" charset="-122"/>
          </a:endParaRPr>
        </a:p>
      </dgm:t>
    </dgm:pt>
    <dgm:pt modelId="{ED222693-D855-4D4D-BFDE-6812A6E41E9C}">
      <dgm:prSet phldrT="[文本]" custT="1"/>
      <dgm:spPr>
        <a:xfrm rot="5400000">
          <a:off x="2407435" y="-416491"/>
          <a:ext cx="1057485" cy="2133762"/>
        </a:xfrm>
        <a:solidFill>
          <a:sysClr val="window" lastClr="CCE8C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sz="1000" b="0">
              <a:latin typeface="+mj-lt"/>
            </a:rPr>
            <a:t>重要性原则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8EACE757-831E-4655-8450-6C7DC2935722}" cxnId="{C24ADC57-E4D4-4CFD-8AA4-8AF9378520A6}" type="sibTrans">
      <dgm:prSet/>
      <dgm:spPr/>
      <dgm:t>
        <a:bodyPr/>
        <a:p>
          <a:endParaRPr lang="zh-CN" altLang="en-US">
            <a:latin typeface="华文细黑" panose="02010600040101010101" pitchFamily="2" charset="-122"/>
            <a:ea typeface="华文细黑" panose="02010600040101010101" pitchFamily="2" charset="-122"/>
          </a:endParaRPr>
        </a:p>
      </dgm:t>
    </dgm:pt>
    <dgm:pt modelId="{ADEAD72F-D2CF-4287-9279-C31D0DCB7910}" cxnId="{C24ADC57-E4D4-4CFD-8AA4-8AF9378520A6}" type="parTrans">
      <dgm:prSet/>
      <dgm:spPr/>
      <dgm:t>
        <a:bodyPr/>
        <a:p>
          <a:endParaRPr lang="zh-CN" altLang="en-US">
            <a:latin typeface="华文细黑" panose="02010600040101010101" pitchFamily="2" charset="-122"/>
            <a:ea typeface="华文细黑" panose="02010600040101010101" pitchFamily="2" charset="-122"/>
          </a:endParaRPr>
        </a:p>
      </dgm:t>
    </dgm:pt>
    <dgm:pt modelId="{802CEB23-70DC-44EA-A221-D2B4F2AC6070}">
      <dgm:prSet phldrT="[文本]" custT="1"/>
      <dgm:spPr>
        <a:xfrm rot="5400000">
          <a:off x="2407435" y="-416491"/>
          <a:ext cx="1057485" cy="2133762"/>
        </a:xfrm>
        <a:solidFill>
          <a:sysClr val="window" lastClr="CCE8C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gm:spPr>
      <dgm:t>
        <a:bodyPr/>
        <a:p>
          <a:r>
            <a:rPr lang="zh-CN" altLang="en-US" sz="1000" b="0">
              <a:latin typeface="+mj-lt"/>
            </a:rPr>
            <a:t>经济性原则</a:t>
          </a:r>
          <a:endParaRPr lang="zh-CN" altLang="en-US" sz="1000" b="0">
            <a:solidFill>
              <a:sysClr val="windowText" lastClr="000000">
                <a:hueOff val="0"/>
                <a:satOff val="0"/>
                <a:lumOff val="0"/>
                <a:alphaOff val="0"/>
              </a:sysClr>
            </a:solidFill>
            <a:latin typeface="+mj-lt"/>
            <a:ea typeface="华文细黑" panose="02010600040101010101" pitchFamily="2" charset="-122"/>
            <a:cs typeface="+mn-cs"/>
          </a:endParaRPr>
        </a:p>
      </dgm:t>
    </dgm:pt>
    <dgm:pt modelId="{225303CF-67E3-4C26-8D66-2B3238776171}" cxnId="{6666FC02-9C8D-4DA8-94F5-983077957394}" type="parTrans">
      <dgm:prSet/>
      <dgm:spPr/>
      <dgm:t>
        <a:bodyPr/>
        <a:p>
          <a:endParaRPr lang="zh-CN" altLang="en-US"/>
        </a:p>
      </dgm:t>
    </dgm:pt>
    <dgm:pt modelId="{7D2CB469-A4CC-40FA-99F6-C4C66367721B}" cxnId="{6666FC02-9C8D-4DA8-94F5-983077957394}" type="sibTrans">
      <dgm:prSet/>
      <dgm:spPr/>
      <dgm:t>
        <a:bodyPr/>
        <a:p>
          <a:endParaRPr lang="zh-CN" altLang="en-US"/>
        </a:p>
      </dgm:t>
    </dgm:pt>
    <dgm:pt modelId="{1B7179B6-C9DE-4BDA-8663-4B679997E5DA}" type="pres">
      <dgm:prSet presAssocID="{4B7C27DC-5868-4F38-A9F2-056BB1C2E427}" presName="Name0" presStyleCnt="0">
        <dgm:presLayoutVars>
          <dgm:chPref val="3"/>
          <dgm:dir/>
          <dgm:animLvl val="lvl"/>
          <dgm:resizeHandles/>
        </dgm:presLayoutVars>
      </dgm:prSet>
      <dgm:spPr/>
      <dgm:t>
        <a:bodyPr/>
        <a:p>
          <a:endParaRPr lang="zh-CN" altLang="en-US"/>
        </a:p>
      </dgm:t>
    </dgm:pt>
    <dgm:pt modelId="{3F78EC4B-0C67-44FB-979D-2F5321EED4DA}" type="pres">
      <dgm:prSet presAssocID="{AE44D3A4-6643-4157-86EA-2E0899415F11}" presName="horFlow" presStyleCnt="0"/>
      <dgm:spPr/>
    </dgm:pt>
    <dgm:pt modelId="{77482DA5-41E1-41D0-A9D6-79B1CCF7F452}" type="pres">
      <dgm:prSet presAssocID="{AE44D3A4-6643-4157-86EA-2E0899415F11}" presName="bigChev" presStyleLbl="node1" presStyleIdx="0" presStyleCnt="1"/>
      <dgm:spPr/>
      <dgm:t>
        <a:bodyPr/>
        <a:p>
          <a:endParaRPr lang="zh-CN" altLang="en-US"/>
        </a:p>
      </dgm:t>
    </dgm:pt>
    <dgm:pt modelId="{A94D0795-03CA-49E3-BD5E-7CA45A077131}" type="pres">
      <dgm:prSet presAssocID="{2FB28D79-3636-4821-82E3-476D88957CAC}" presName="parTrans" presStyleCnt="0"/>
      <dgm:spPr/>
    </dgm:pt>
    <dgm:pt modelId="{6E8D7C1F-A22A-42B0-A090-A57413634287}" type="pres">
      <dgm:prSet presAssocID="{15882016-B55C-44E9-8F1F-2EA976ABCA60}" presName="node" presStyleLbl="alignAccFollowNode1" presStyleIdx="0" presStyleCnt="5">
        <dgm:presLayoutVars>
          <dgm:bulletEnabled val="1"/>
        </dgm:presLayoutVars>
      </dgm:prSet>
      <dgm:spPr/>
      <dgm:t>
        <a:bodyPr/>
        <a:p>
          <a:endParaRPr lang="zh-CN" altLang="en-US"/>
        </a:p>
      </dgm:t>
    </dgm:pt>
    <dgm:pt modelId="{CFC898DE-59DC-4028-BA1D-378513CCEA10}" type="pres">
      <dgm:prSet presAssocID="{80A89C0F-3ACD-4F85-903F-9949EB715D51}" presName="sibTrans" presStyleCnt="0"/>
      <dgm:spPr/>
    </dgm:pt>
    <dgm:pt modelId="{B8691B77-4694-4BFA-9DAF-40A313A447BB}" type="pres">
      <dgm:prSet presAssocID="{ED222693-D855-4D4D-BFDE-6812A6E41E9C}" presName="node" presStyleLbl="alignAccFollowNode1" presStyleIdx="1" presStyleCnt="5">
        <dgm:presLayoutVars>
          <dgm:bulletEnabled val="1"/>
        </dgm:presLayoutVars>
      </dgm:prSet>
      <dgm:spPr/>
      <dgm:t>
        <a:bodyPr/>
        <a:p>
          <a:endParaRPr lang="zh-CN" altLang="en-US"/>
        </a:p>
      </dgm:t>
    </dgm:pt>
    <dgm:pt modelId="{1751DC88-55FC-4BBC-AEEB-04B17C466DA1}" type="pres">
      <dgm:prSet presAssocID="{8EACE757-831E-4655-8450-6C7DC2935722}" presName="sibTrans" presStyleCnt="0"/>
      <dgm:spPr/>
    </dgm:pt>
    <dgm:pt modelId="{C330E3A1-3D1D-4453-A315-50DA58578E8B}" type="pres">
      <dgm:prSet presAssocID="{0CB1D884-927A-4CD8-ADA4-973A535D4546}" presName="node" presStyleLbl="alignAccFollowNode1" presStyleIdx="2" presStyleCnt="5">
        <dgm:presLayoutVars>
          <dgm:bulletEnabled val="1"/>
        </dgm:presLayoutVars>
      </dgm:prSet>
      <dgm:spPr/>
      <dgm:t>
        <a:bodyPr/>
        <a:p>
          <a:endParaRPr lang="zh-CN" altLang="en-US"/>
        </a:p>
      </dgm:t>
    </dgm:pt>
    <dgm:pt modelId="{498544C9-6F56-4FBB-A67B-E4A4562CC411}" type="pres">
      <dgm:prSet presAssocID="{6A1C25AB-A71C-4D3F-82EB-94D27A4562CA}" presName="sibTrans" presStyleCnt="0"/>
      <dgm:spPr/>
    </dgm:pt>
    <dgm:pt modelId="{15B667A0-41D3-4D24-9402-E2D0A9F3193D}" type="pres">
      <dgm:prSet presAssocID="{42B1CAFA-34EB-45A3-9248-7D2EFA1D06C6}" presName="node" presStyleLbl="alignAccFollowNode1" presStyleIdx="3" presStyleCnt="5">
        <dgm:presLayoutVars>
          <dgm:bulletEnabled val="1"/>
        </dgm:presLayoutVars>
      </dgm:prSet>
      <dgm:spPr/>
      <dgm:t>
        <a:bodyPr/>
        <a:p>
          <a:endParaRPr lang="zh-CN" altLang="en-US"/>
        </a:p>
      </dgm:t>
    </dgm:pt>
    <dgm:pt modelId="{8A99CEBA-B231-4BAF-A04C-18FDE9C4FB8D}" type="pres">
      <dgm:prSet presAssocID="{7DAB7E00-1A3D-4C54-A458-C96DDB96490E}" presName="sibTrans" presStyleCnt="0"/>
      <dgm:spPr/>
    </dgm:pt>
    <dgm:pt modelId="{3133D0F3-2920-497C-9B75-49DB36BD1C0F}" type="pres">
      <dgm:prSet presAssocID="{802CEB23-70DC-44EA-A221-D2B4F2AC6070}" presName="node" presStyleLbl="alignAccFollowNode1" presStyleIdx="4" presStyleCnt="5">
        <dgm:presLayoutVars>
          <dgm:bulletEnabled val="1"/>
        </dgm:presLayoutVars>
      </dgm:prSet>
      <dgm:spPr/>
      <dgm:t>
        <a:bodyPr/>
        <a:p>
          <a:endParaRPr lang="zh-CN" altLang="en-US"/>
        </a:p>
      </dgm:t>
    </dgm:pt>
  </dgm:ptLst>
  <dgm:cxnLst>
    <dgm:cxn modelId="{17B3D1BC-2C77-4118-925B-9AAF3438ACD7}" type="presOf" srcId="{4B7C27DC-5868-4F38-A9F2-056BB1C2E427}" destId="{1B7179B6-C9DE-4BDA-8663-4B679997E5DA}" srcOrd="0" destOrd="0" presId="urn:microsoft.com/office/officeart/2005/8/layout/lProcess3#1"/>
    <dgm:cxn modelId="{42EA54C1-B0B6-471D-8640-D0D0DA58BF2C}" type="presOf" srcId="{0CB1D884-927A-4CD8-ADA4-973A535D4546}" destId="{C330E3A1-3D1D-4453-A315-50DA58578E8B}" srcOrd="0" destOrd="0" presId="urn:microsoft.com/office/officeart/2005/8/layout/lProcess3#1"/>
    <dgm:cxn modelId="{7FEF86F8-D727-4C94-B442-E1DDF3E8D6F1}" srcId="{AE44D3A4-6643-4157-86EA-2E0899415F11}" destId="{42B1CAFA-34EB-45A3-9248-7D2EFA1D06C6}" srcOrd="3" destOrd="0" parTransId="{FEA0136C-8D14-4E35-8EC9-C5DD07D12C57}" sibTransId="{7DAB7E00-1A3D-4C54-A458-C96DDB96490E}"/>
    <dgm:cxn modelId="{5881126A-12D5-4BB6-8630-9A27347A7D5D}" type="presOf" srcId="{15882016-B55C-44E9-8F1F-2EA976ABCA60}" destId="{6E8D7C1F-A22A-42B0-A090-A57413634287}" srcOrd="0" destOrd="0" presId="urn:microsoft.com/office/officeart/2005/8/layout/lProcess3#1"/>
    <dgm:cxn modelId="{7729BDE9-1300-416A-B3A5-9B313C088E29}" type="presOf" srcId="{802CEB23-70DC-44EA-A221-D2B4F2AC6070}" destId="{3133D0F3-2920-497C-9B75-49DB36BD1C0F}" srcOrd="0" destOrd="0" presId="urn:microsoft.com/office/officeart/2005/8/layout/lProcess3#1"/>
    <dgm:cxn modelId="{C14EB5EA-53F3-46A1-B228-6D57BB79EA00}" srcId="{AE44D3A4-6643-4157-86EA-2E0899415F11}" destId="{0CB1D884-927A-4CD8-ADA4-973A535D4546}" srcOrd="2" destOrd="0" parTransId="{C9A3DF1B-B75E-48F3-ADBD-D866FE005DD2}" sibTransId="{6A1C25AB-A71C-4D3F-82EB-94D27A4562CA}"/>
    <dgm:cxn modelId="{646836D6-B5FF-45ED-96B0-A9055A7B4AD8}" srcId="{AE44D3A4-6643-4157-86EA-2E0899415F11}" destId="{15882016-B55C-44E9-8F1F-2EA976ABCA60}" srcOrd="0" destOrd="0" parTransId="{2FB28D79-3636-4821-82E3-476D88957CAC}" sibTransId="{80A89C0F-3ACD-4F85-903F-9949EB715D51}"/>
    <dgm:cxn modelId="{31359F5D-B298-47D5-8C50-02B152CCC12B}" type="presOf" srcId="{AE44D3A4-6643-4157-86EA-2E0899415F11}" destId="{77482DA5-41E1-41D0-A9D6-79B1CCF7F452}" srcOrd="0" destOrd="0" presId="urn:microsoft.com/office/officeart/2005/8/layout/lProcess3#1"/>
    <dgm:cxn modelId="{C24ADC57-E4D4-4CFD-8AA4-8AF9378520A6}" srcId="{AE44D3A4-6643-4157-86EA-2E0899415F11}" destId="{ED222693-D855-4D4D-BFDE-6812A6E41E9C}" srcOrd="1" destOrd="0" parTransId="{ADEAD72F-D2CF-4287-9279-C31D0DCB7910}" sibTransId="{8EACE757-831E-4655-8450-6C7DC2935722}"/>
    <dgm:cxn modelId="{9039BC57-CC96-4B32-B42B-BB651741E847}" srcId="{4B7C27DC-5868-4F38-A9F2-056BB1C2E427}" destId="{AE44D3A4-6643-4157-86EA-2E0899415F11}" srcOrd="0" destOrd="0" parTransId="{5657338A-E5FA-4EF5-BD8A-D52F54EE1777}" sibTransId="{A07EC271-6073-4E00-B05E-681FAB7ADB1E}"/>
    <dgm:cxn modelId="{6666FC02-9C8D-4DA8-94F5-983077957394}" srcId="{AE44D3A4-6643-4157-86EA-2E0899415F11}" destId="{802CEB23-70DC-44EA-A221-D2B4F2AC6070}" srcOrd="4" destOrd="0" parTransId="{225303CF-67E3-4C26-8D66-2B3238776171}" sibTransId="{7D2CB469-A4CC-40FA-99F6-C4C66367721B}"/>
    <dgm:cxn modelId="{88076B6D-23FC-47CB-91F2-AD2B1BB41EC5}" type="presOf" srcId="{ED222693-D855-4D4D-BFDE-6812A6E41E9C}" destId="{B8691B77-4694-4BFA-9DAF-40A313A447BB}" srcOrd="0" destOrd="0" presId="urn:microsoft.com/office/officeart/2005/8/layout/lProcess3#1"/>
    <dgm:cxn modelId="{30EF61B4-B2D5-4EDF-B423-A21A1BAFA41A}" type="presOf" srcId="{42B1CAFA-34EB-45A3-9248-7D2EFA1D06C6}" destId="{15B667A0-41D3-4D24-9402-E2D0A9F3193D}" srcOrd="0" destOrd="0" presId="urn:microsoft.com/office/officeart/2005/8/layout/lProcess3#1"/>
    <dgm:cxn modelId="{6DB4416A-B0E2-40FA-B83B-E797E3060FD0}" type="presParOf" srcId="{1B7179B6-C9DE-4BDA-8663-4B679997E5DA}" destId="{3F78EC4B-0C67-44FB-979D-2F5321EED4DA}" srcOrd="0" destOrd="0" presId="urn:microsoft.com/office/officeart/2005/8/layout/lProcess3#1"/>
    <dgm:cxn modelId="{13F9ED1E-A1BD-4EEA-9E25-6B1FFEA73C4A}" type="presParOf" srcId="{3F78EC4B-0C67-44FB-979D-2F5321EED4DA}" destId="{77482DA5-41E1-41D0-A9D6-79B1CCF7F452}" srcOrd="0" destOrd="0" presId="urn:microsoft.com/office/officeart/2005/8/layout/lProcess3#1"/>
    <dgm:cxn modelId="{589E7E1C-0C7E-4DF7-807A-38BA369225FC}" type="presParOf" srcId="{3F78EC4B-0C67-44FB-979D-2F5321EED4DA}" destId="{A94D0795-03CA-49E3-BD5E-7CA45A077131}" srcOrd="1" destOrd="0" presId="urn:microsoft.com/office/officeart/2005/8/layout/lProcess3#1"/>
    <dgm:cxn modelId="{2C5641F8-3EE2-4193-910F-F46D4A53A1DE}" type="presParOf" srcId="{3F78EC4B-0C67-44FB-979D-2F5321EED4DA}" destId="{6E8D7C1F-A22A-42B0-A090-A57413634287}" srcOrd="2" destOrd="0" presId="urn:microsoft.com/office/officeart/2005/8/layout/lProcess3#1"/>
    <dgm:cxn modelId="{6D2879B5-6D57-44EC-94BD-18F812E5E566}" type="presParOf" srcId="{3F78EC4B-0C67-44FB-979D-2F5321EED4DA}" destId="{CFC898DE-59DC-4028-BA1D-378513CCEA10}" srcOrd="3" destOrd="0" presId="urn:microsoft.com/office/officeart/2005/8/layout/lProcess3#1"/>
    <dgm:cxn modelId="{2AC3179F-D725-4B85-9659-DBDD2237D7BE}" type="presParOf" srcId="{3F78EC4B-0C67-44FB-979D-2F5321EED4DA}" destId="{B8691B77-4694-4BFA-9DAF-40A313A447BB}" srcOrd="4" destOrd="0" presId="urn:microsoft.com/office/officeart/2005/8/layout/lProcess3#1"/>
    <dgm:cxn modelId="{029BBF2C-6588-4030-B459-066F11353C12}" type="presParOf" srcId="{3F78EC4B-0C67-44FB-979D-2F5321EED4DA}" destId="{1751DC88-55FC-4BBC-AEEB-04B17C466DA1}" srcOrd="5" destOrd="0" presId="urn:microsoft.com/office/officeart/2005/8/layout/lProcess3#1"/>
    <dgm:cxn modelId="{6483A102-2370-4064-A96C-50B3D0F40FE0}" type="presParOf" srcId="{3F78EC4B-0C67-44FB-979D-2F5321EED4DA}" destId="{C330E3A1-3D1D-4453-A315-50DA58578E8B}" srcOrd="6" destOrd="0" presId="urn:microsoft.com/office/officeart/2005/8/layout/lProcess3#1"/>
    <dgm:cxn modelId="{F19B5C76-10D4-4430-AA71-6A0196362EC3}" type="presParOf" srcId="{3F78EC4B-0C67-44FB-979D-2F5321EED4DA}" destId="{498544C9-6F56-4FBB-A67B-E4A4562CC411}" srcOrd="7" destOrd="0" presId="urn:microsoft.com/office/officeart/2005/8/layout/lProcess3#1"/>
    <dgm:cxn modelId="{778FC764-345D-4E6C-8B1C-3D2CBB41A086}" type="presParOf" srcId="{3F78EC4B-0C67-44FB-979D-2F5321EED4DA}" destId="{15B667A0-41D3-4D24-9402-E2D0A9F3193D}" srcOrd="8" destOrd="0" presId="urn:microsoft.com/office/officeart/2005/8/layout/lProcess3#1"/>
    <dgm:cxn modelId="{5FF95FD6-59D0-41B4-926B-960197FCCE5C}" type="presParOf" srcId="{3F78EC4B-0C67-44FB-979D-2F5321EED4DA}" destId="{8A99CEBA-B231-4BAF-A04C-18FDE9C4FB8D}" srcOrd="9" destOrd="0" presId="urn:microsoft.com/office/officeart/2005/8/layout/lProcess3#1"/>
    <dgm:cxn modelId="{AAF24A17-C314-405B-89A3-92BFB3912C8E}" type="presParOf" srcId="{3F78EC4B-0C67-44FB-979D-2F5321EED4DA}" destId="{3133D0F3-2920-497C-9B75-49DB36BD1C0F}" srcOrd="10" destOrd="0" presId="urn:microsoft.com/office/officeart/2005/8/layout/lProcess3#1"/>
  </dgm:cxnLst>
  <dgm:bg/>
  <dgm:whole/>
</dgm:dataModel>
</file>

<file path=word/diagrams/data2.xml><?xml version="1.0" encoding="utf-8"?>
<dgm:dataModel xmlns:dgm="http://schemas.openxmlformats.org/drawingml/2006/diagram" xmlns:a="http://schemas.openxmlformats.org/drawingml/2006/main">
  <dgm:ptLst>
    <dgm:pt modelId="{4AB39CE6-8694-4950-B22F-225F5DBD4979}" type="doc">
      <dgm:prSet loTypeId="urn:microsoft.com/office/officeart/2005/8/layout/orgChart1#1" loCatId="hierarchy" qsTypeId="urn:microsoft.com/office/officeart/2005/8/quickstyle/simple3#1" qsCatId="simple" csTypeId="urn:microsoft.com/office/officeart/2005/8/colors/accent1_2#1" csCatId="accent1"/>
      <dgm:spPr/>
    </dgm:pt>
    <dgm:pt modelId="{F55D47FB-B244-4BF6-A763-A0AD3B9643A7}">
      <dgm:prSet/>
      <dgm:spPr/>
      <dgm:t>
        <a:bodyPr/>
        <a:p>
          <a:pPr marR="0" algn="ctr" rtl="0"/>
          <a:r>
            <a:rPr lang="zh-CN" altLang="en-US" kern="100" baseline="0" smtClean="0">
              <a:latin typeface="Calibri" panose="020F0502020204030204"/>
              <a:ea typeface="宋体" panose="02010600030101010101" charset="-122"/>
            </a:rPr>
            <a:t>评价</a:t>
          </a:r>
          <a:endParaRPr lang="zh-CN" altLang="en-US" kern="100" baseline="0" smtClean="0">
            <a:latin typeface="Times New Roman" panose="02020603050405020304"/>
            <a:ea typeface="宋体" panose="02010600030101010101" charset="-122"/>
          </a:endParaRPr>
        </a:p>
        <a:p>
          <a:pPr marR="0" algn="ctr" rtl="0"/>
          <a:r>
            <a:rPr lang="zh-CN" altLang="en-US" kern="100" baseline="0" smtClean="0">
              <a:latin typeface="Calibri" panose="020F0502020204030204"/>
              <a:ea typeface="宋体" panose="02010600030101010101" charset="-122"/>
            </a:rPr>
            <a:t>方法</a:t>
          </a:r>
          <a:endParaRPr lang="zh-CN" altLang="en-US" smtClean="0"/>
        </a:p>
      </dgm:t>
    </dgm:pt>
    <dgm:pt modelId="{DC0B8490-3BA9-4FBF-B51B-53B5A5224024}" cxnId="{831A5438-F450-49D9-A35C-9053F1E17119}" type="parTrans">
      <dgm:prSet/>
      <dgm:spPr/>
      <dgm:t>
        <a:bodyPr/>
        <a:p>
          <a:endParaRPr lang="zh-CN" altLang="en-US"/>
        </a:p>
      </dgm:t>
    </dgm:pt>
    <dgm:pt modelId="{E83A482E-381F-40BF-9692-1C24B3D8BAAA}" cxnId="{831A5438-F450-49D9-A35C-9053F1E17119}" type="sibTrans">
      <dgm:prSet/>
      <dgm:spPr/>
      <dgm:t>
        <a:bodyPr/>
        <a:p>
          <a:endParaRPr lang="zh-CN" altLang="en-US"/>
        </a:p>
      </dgm:t>
    </dgm:pt>
    <dgm:pt modelId="{11A856C5-8151-4432-86A6-01B7EA58E527}">
      <dgm:prSet/>
      <dgm:spPr/>
      <dgm:t>
        <a:bodyPr/>
        <a:p>
          <a:pPr marR="0" algn="ctr" rtl="0"/>
          <a:r>
            <a:rPr lang="zh-CN" altLang="en-US" kern="100" baseline="0" smtClean="0">
              <a:latin typeface="Calibri" panose="020F0502020204030204"/>
              <a:ea typeface="宋体" panose="02010600030101010101" charset="-122"/>
            </a:rPr>
            <a:t>综合</a:t>
          </a:r>
          <a:endParaRPr lang="zh-CN" altLang="en-US" kern="100" baseline="0" smtClean="0">
            <a:latin typeface="Times New Roman" panose="02020603050405020304"/>
            <a:ea typeface="宋体" panose="02010600030101010101" charset="-122"/>
          </a:endParaRPr>
        </a:p>
        <a:p>
          <a:pPr marR="0" algn="ctr" rtl="0"/>
          <a:r>
            <a:rPr lang="zh-CN" altLang="en-US" kern="100" baseline="0" smtClean="0">
              <a:latin typeface="Calibri" panose="020F0502020204030204"/>
              <a:ea typeface="宋体" panose="02010600030101010101" charset="-122"/>
            </a:rPr>
            <a:t>评分方法</a:t>
          </a:r>
          <a:endParaRPr lang="zh-CN" altLang="en-US" smtClean="0"/>
        </a:p>
      </dgm:t>
    </dgm:pt>
    <dgm:pt modelId="{45EF185F-4B71-4A1B-8407-48B080B9A9C4}" cxnId="{F3081D4C-18B0-4F3D-A128-BF628B317C7D}" type="parTrans">
      <dgm:prSet/>
      <dgm:spPr/>
      <dgm:t>
        <a:bodyPr/>
        <a:p>
          <a:endParaRPr lang="zh-CN" altLang="en-US"/>
        </a:p>
      </dgm:t>
    </dgm:pt>
    <dgm:pt modelId="{D4101CEE-9EAA-4BB0-A64F-4EA00F58FC9B}" cxnId="{F3081D4C-18B0-4F3D-A128-BF628B317C7D}" type="sibTrans">
      <dgm:prSet/>
      <dgm:spPr/>
      <dgm:t>
        <a:bodyPr/>
        <a:p>
          <a:endParaRPr lang="zh-CN" altLang="en-US"/>
        </a:p>
      </dgm:t>
    </dgm:pt>
    <dgm:pt modelId="{070D7D26-D2DB-40E7-89F2-EFEE83E261A6}">
      <dgm:prSet/>
      <dgm:spPr/>
      <dgm:t>
        <a:bodyPr/>
        <a:p>
          <a:pPr marR="0" algn="ctr" rtl="0"/>
          <a:r>
            <a:rPr lang="zh-CN" altLang="en-US" kern="100" baseline="0" smtClean="0">
              <a:latin typeface="Calibri" panose="020F0502020204030204"/>
              <a:ea typeface="宋体" panose="02010600030101010101" charset="-122"/>
            </a:rPr>
            <a:t>指标</a:t>
          </a:r>
          <a:endParaRPr lang="zh-CN" altLang="en-US" kern="100" baseline="0" smtClean="0">
            <a:latin typeface="Times New Roman" panose="02020603050405020304"/>
            <a:ea typeface="宋体" panose="02010600030101010101" charset="-122"/>
          </a:endParaRPr>
        </a:p>
        <a:p>
          <a:pPr marR="0" algn="ctr" rtl="0"/>
          <a:r>
            <a:rPr lang="zh-CN" altLang="en-US" kern="100" baseline="0" smtClean="0">
              <a:latin typeface="Calibri" panose="020F0502020204030204"/>
              <a:ea typeface="宋体" panose="02010600030101010101" charset="-122"/>
            </a:rPr>
            <a:t>计算方法</a:t>
          </a:r>
          <a:endParaRPr lang="zh-CN" altLang="en-US" smtClean="0"/>
        </a:p>
      </dgm:t>
    </dgm:pt>
    <dgm:pt modelId="{F0C86CD2-B139-40AF-89C6-74FE3CB37F59}" cxnId="{E7280A79-B5D1-4BFB-AEA2-072C42099CDA}" type="parTrans">
      <dgm:prSet/>
      <dgm:spPr/>
      <dgm:t>
        <a:bodyPr/>
        <a:p>
          <a:endParaRPr lang="zh-CN" altLang="en-US"/>
        </a:p>
      </dgm:t>
    </dgm:pt>
    <dgm:pt modelId="{5BF8BE4D-4676-449A-8846-DF2C98B0FA1E}" cxnId="{E7280A79-B5D1-4BFB-AEA2-072C42099CDA}" type="sibTrans">
      <dgm:prSet/>
      <dgm:spPr/>
      <dgm:t>
        <a:bodyPr/>
        <a:p>
          <a:endParaRPr lang="zh-CN" altLang="en-US"/>
        </a:p>
      </dgm:t>
    </dgm:pt>
    <dgm:pt modelId="{12412986-9057-4F7D-B06A-307681CAA175}">
      <dgm:prSet/>
      <dgm:spPr/>
      <dgm:t>
        <a:bodyPr/>
        <a:p>
          <a:pPr marR="0" algn="ctr" rtl="0"/>
          <a:r>
            <a:rPr lang="zh-CN" altLang="en-US" kern="100" baseline="0" smtClean="0">
              <a:latin typeface="Calibri" panose="020F0502020204030204"/>
              <a:ea typeface="宋体" panose="02010600030101010101" charset="-122"/>
            </a:rPr>
            <a:t>权重</a:t>
          </a:r>
          <a:endParaRPr lang="zh-CN" altLang="en-US" kern="100" baseline="0" smtClean="0">
            <a:latin typeface="Times New Roman" panose="02020603050405020304"/>
            <a:ea typeface="宋体" panose="02010600030101010101" charset="-122"/>
          </a:endParaRPr>
        </a:p>
        <a:p>
          <a:pPr marR="0" algn="ctr" rtl="0"/>
          <a:r>
            <a:rPr lang="zh-CN" altLang="en-US" kern="100" baseline="0" smtClean="0">
              <a:latin typeface="Calibri" panose="020F0502020204030204"/>
              <a:ea typeface="宋体" panose="02010600030101010101" charset="-122"/>
            </a:rPr>
            <a:t>确定方法</a:t>
          </a:r>
          <a:endParaRPr lang="zh-CN" altLang="en-US" smtClean="0"/>
        </a:p>
      </dgm:t>
    </dgm:pt>
    <dgm:pt modelId="{AA51E4BD-A9B5-43B5-B0C7-8B0CBBD50E3E}" cxnId="{D575CCAF-62A8-4564-8370-7F1F1C7A6448}" type="parTrans">
      <dgm:prSet/>
      <dgm:spPr/>
      <dgm:t>
        <a:bodyPr/>
        <a:p>
          <a:endParaRPr lang="zh-CN" altLang="en-US"/>
        </a:p>
      </dgm:t>
    </dgm:pt>
    <dgm:pt modelId="{8B00750F-31D4-40FB-835A-A7F175272745}" cxnId="{D575CCAF-62A8-4564-8370-7F1F1C7A6448}" type="sibTrans">
      <dgm:prSet/>
      <dgm:spPr/>
      <dgm:t>
        <a:bodyPr/>
        <a:p>
          <a:endParaRPr lang="zh-CN" altLang="en-US"/>
        </a:p>
      </dgm:t>
    </dgm:pt>
    <dgm:pt modelId="{FDBDA2F3-BFAF-4339-A21C-EAAF5806A41B}">
      <dgm:prSet/>
      <dgm:spPr/>
      <dgm:t>
        <a:bodyPr/>
        <a:p>
          <a:pPr marR="0" algn="ctr" rtl="0"/>
          <a:r>
            <a:rPr lang="zh-CN" altLang="en-US" kern="100" baseline="0" smtClean="0">
              <a:latin typeface="Calibri" panose="020F0502020204030204"/>
              <a:ea typeface="宋体" panose="02010600030101010101" charset="-122"/>
            </a:rPr>
            <a:t>标准值</a:t>
          </a:r>
          <a:endParaRPr lang="zh-CN" altLang="en-US" kern="100" baseline="0" smtClean="0">
            <a:latin typeface="Times New Roman" panose="02020603050405020304"/>
            <a:ea typeface="宋体" panose="02010600030101010101" charset="-122"/>
          </a:endParaRPr>
        </a:p>
        <a:p>
          <a:pPr marR="0" algn="ctr" rtl="0"/>
          <a:r>
            <a:rPr lang="zh-CN" altLang="en-US" kern="100" baseline="0" smtClean="0">
              <a:latin typeface="Calibri" panose="020F0502020204030204"/>
              <a:ea typeface="宋体" panose="02010600030101010101" charset="-122"/>
            </a:rPr>
            <a:t>确定方法</a:t>
          </a:r>
          <a:endParaRPr lang="zh-CN" altLang="en-US" smtClean="0"/>
        </a:p>
      </dgm:t>
    </dgm:pt>
    <dgm:pt modelId="{20711152-2E8A-442A-ACB7-763E54B722EF}" cxnId="{A08124B2-39AC-4854-AD39-ACB8545120D7}" type="parTrans">
      <dgm:prSet/>
      <dgm:spPr/>
      <dgm:t>
        <a:bodyPr/>
        <a:p>
          <a:endParaRPr lang="zh-CN" altLang="en-US"/>
        </a:p>
      </dgm:t>
    </dgm:pt>
    <dgm:pt modelId="{C8FF912C-77D3-4F9C-AAB9-106AB3028CFA}" cxnId="{A08124B2-39AC-4854-AD39-ACB8545120D7}" type="sibTrans">
      <dgm:prSet/>
      <dgm:spPr/>
      <dgm:t>
        <a:bodyPr/>
        <a:p>
          <a:endParaRPr lang="zh-CN" altLang="en-US"/>
        </a:p>
      </dgm:t>
    </dgm:pt>
    <dgm:pt modelId="{AA283E34-F5B8-4D8B-B000-0964B31FA3CF}" type="pres">
      <dgm:prSet presAssocID="{4AB39CE6-8694-4950-B22F-225F5DBD4979}" presName="hierChild1" presStyleCnt="0">
        <dgm:presLayoutVars>
          <dgm:orgChart val="1"/>
          <dgm:chPref val="1"/>
          <dgm:dir/>
          <dgm:animOne val="branch"/>
          <dgm:animLvl val="lvl"/>
          <dgm:resizeHandles/>
        </dgm:presLayoutVars>
      </dgm:prSet>
      <dgm:spPr/>
    </dgm:pt>
    <dgm:pt modelId="{BBC29394-35E7-4E58-A599-F6AA19B40EE0}" type="pres">
      <dgm:prSet presAssocID="{F55D47FB-B244-4BF6-A763-A0AD3B9643A7}" presName="hierRoot1" presStyleCnt="0">
        <dgm:presLayoutVars>
          <dgm:hierBranch/>
        </dgm:presLayoutVars>
      </dgm:prSet>
      <dgm:spPr/>
    </dgm:pt>
    <dgm:pt modelId="{A91842A7-C73A-4763-90F7-C6EE896AA146}" type="pres">
      <dgm:prSet presAssocID="{F55D47FB-B244-4BF6-A763-A0AD3B9643A7}" presName="rootComposite1" presStyleCnt="0"/>
      <dgm:spPr/>
    </dgm:pt>
    <dgm:pt modelId="{36899F30-10E5-4540-B812-A9E1B9FAD28B}" type="pres">
      <dgm:prSet presAssocID="{F55D47FB-B244-4BF6-A763-A0AD3B9643A7}" presName="rootText1" presStyleLbl="node0" presStyleIdx="0" presStyleCnt="1">
        <dgm:presLayoutVars>
          <dgm:chPref val="3"/>
        </dgm:presLayoutVars>
      </dgm:prSet>
      <dgm:spPr/>
      <dgm:t>
        <a:bodyPr/>
        <a:p>
          <a:endParaRPr lang="zh-CN" altLang="en-US"/>
        </a:p>
      </dgm:t>
    </dgm:pt>
    <dgm:pt modelId="{A7405BCA-7A72-47F3-A2F2-18B2E7B51CC8}" type="pres">
      <dgm:prSet presAssocID="{F55D47FB-B244-4BF6-A763-A0AD3B9643A7}" presName="rootConnector1" presStyleLbl="node1" presStyleIdx="0" presStyleCnt="0"/>
      <dgm:spPr/>
      <dgm:t>
        <a:bodyPr/>
        <a:p>
          <a:endParaRPr lang="zh-CN" altLang="en-US"/>
        </a:p>
      </dgm:t>
    </dgm:pt>
    <dgm:pt modelId="{FF3B4753-6284-4D45-B649-C05613D2C6E9}" type="pres">
      <dgm:prSet presAssocID="{F55D47FB-B244-4BF6-A763-A0AD3B9643A7}" presName="hierChild2" presStyleCnt="0"/>
      <dgm:spPr/>
    </dgm:pt>
    <dgm:pt modelId="{27325BE4-6638-4676-B7C2-67CD15C4D3D9}" type="pres">
      <dgm:prSet presAssocID="{45EF185F-4B71-4A1B-8407-48B080B9A9C4}" presName="Name35" presStyleLbl="parChTrans1D2" presStyleIdx="0" presStyleCnt="4"/>
      <dgm:spPr/>
      <dgm:t>
        <a:bodyPr/>
        <a:p>
          <a:endParaRPr lang="zh-CN" altLang="en-US"/>
        </a:p>
      </dgm:t>
    </dgm:pt>
    <dgm:pt modelId="{74F50297-0036-411C-8C29-EB4189514EB1}" type="pres">
      <dgm:prSet presAssocID="{11A856C5-8151-4432-86A6-01B7EA58E527}" presName="hierRoot2" presStyleCnt="0">
        <dgm:presLayoutVars>
          <dgm:hierBranch/>
        </dgm:presLayoutVars>
      </dgm:prSet>
      <dgm:spPr/>
    </dgm:pt>
    <dgm:pt modelId="{03C83BC6-18CD-4616-B6ED-4DC3EFF33121}" type="pres">
      <dgm:prSet presAssocID="{11A856C5-8151-4432-86A6-01B7EA58E527}" presName="rootComposite" presStyleCnt="0"/>
      <dgm:spPr/>
    </dgm:pt>
    <dgm:pt modelId="{9F7F41A3-4CD1-40A0-9D92-C94A9CAF148E}" type="pres">
      <dgm:prSet presAssocID="{11A856C5-8151-4432-86A6-01B7EA58E527}" presName="rootText" presStyleLbl="node2" presStyleIdx="0" presStyleCnt="4">
        <dgm:presLayoutVars>
          <dgm:chPref val="3"/>
        </dgm:presLayoutVars>
      </dgm:prSet>
      <dgm:spPr/>
      <dgm:t>
        <a:bodyPr/>
        <a:p>
          <a:endParaRPr lang="zh-CN" altLang="en-US"/>
        </a:p>
      </dgm:t>
    </dgm:pt>
    <dgm:pt modelId="{CA57C657-0588-4A13-BA9E-0A8CFA171CE8}" type="pres">
      <dgm:prSet presAssocID="{11A856C5-8151-4432-86A6-01B7EA58E527}" presName="rootConnector" presStyleLbl="node2" presStyleIdx="0" presStyleCnt="4"/>
      <dgm:spPr/>
      <dgm:t>
        <a:bodyPr/>
        <a:p>
          <a:endParaRPr lang="zh-CN" altLang="en-US"/>
        </a:p>
      </dgm:t>
    </dgm:pt>
    <dgm:pt modelId="{9B868792-51F0-4EF8-B72F-85947FBD3D18}" type="pres">
      <dgm:prSet presAssocID="{11A856C5-8151-4432-86A6-01B7EA58E527}" presName="hierChild4" presStyleCnt="0"/>
      <dgm:spPr/>
    </dgm:pt>
    <dgm:pt modelId="{88BCE3F0-BBD9-44E8-9B6A-EA506976504A}" type="pres">
      <dgm:prSet presAssocID="{11A856C5-8151-4432-86A6-01B7EA58E527}" presName="hierChild5" presStyleCnt="0"/>
      <dgm:spPr/>
    </dgm:pt>
    <dgm:pt modelId="{AE95B5F7-FCFC-458F-B1E7-0663AC2C1E5B}" type="pres">
      <dgm:prSet presAssocID="{F0C86CD2-B139-40AF-89C6-74FE3CB37F59}" presName="Name35" presStyleLbl="parChTrans1D2" presStyleIdx="1" presStyleCnt="4"/>
      <dgm:spPr/>
      <dgm:t>
        <a:bodyPr/>
        <a:p>
          <a:endParaRPr lang="zh-CN" altLang="en-US"/>
        </a:p>
      </dgm:t>
    </dgm:pt>
    <dgm:pt modelId="{7AAE7079-0F1B-4A1C-A079-0C484B544850}" type="pres">
      <dgm:prSet presAssocID="{070D7D26-D2DB-40E7-89F2-EFEE83E261A6}" presName="hierRoot2" presStyleCnt="0">
        <dgm:presLayoutVars>
          <dgm:hierBranch/>
        </dgm:presLayoutVars>
      </dgm:prSet>
      <dgm:spPr/>
    </dgm:pt>
    <dgm:pt modelId="{BA95C0D0-DD22-4400-AE20-EA97CC7BB491}" type="pres">
      <dgm:prSet presAssocID="{070D7D26-D2DB-40E7-89F2-EFEE83E261A6}" presName="rootComposite" presStyleCnt="0"/>
      <dgm:spPr/>
    </dgm:pt>
    <dgm:pt modelId="{2B25001E-F571-4D46-AB99-2E283C98311F}" type="pres">
      <dgm:prSet presAssocID="{070D7D26-D2DB-40E7-89F2-EFEE83E261A6}" presName="rootText" presStyleLbl="node2" presStyleIdx="1" presStyleCnt="4">
        <dgm:presLayoutVars>
          <dgm:chPref val="3"/>
        </dgm:presLayoutVars>
      </dgm:prSet>
      <dgm:spPr/>
      <dgm:t>
        <a:bodyPr/>
        <a:p>
          <a:endParaRPr lang="zh-CN" altLang="en-US"/>
        </a:p>
      </dgm:t>
    </dgm:pt>
    <dgm:pt modelId="{D03A97AA-DB86-4384-8A44-0575EE8A4F04}" type="pres">
      <dgm:prSet presAssocID="{070D7D26-D2DB-40E7-89F2-EFEE83E261A6}" presName="rootConnector" presStyleLbl="node2" presStyleIdx="1" presStyleCnt="4"/>
      <dgm:spPr/>
      <dgm:t>
        <a:bodyPr/>
        <a:p>
          <a:endParaRPr lang="zh-CN" altLang="en-US"/>
        </a:p>
      </dgm:t>
    </dgm:pt>
    <dgm:pt modelId="{42B12851-3289-4C98-BB2B-C84CFA5FAAE2}" type="pres">
      <dgm:prSet presAssocID="{070D7D26-D2DB-40E7-89F2-EFEE83E261A6}" presName="hierChild4" presStyleCnt="0"/>
      <dgm:spPr/>
    </dgm:pt>
    <dgm:pt modelId="{DB10DDA9-E5CE-436B-B67A-1E45E7611D7B}" type="pres">
      <dgm:prSet presAssocID="{070D7D26-D2DB-40E7-89F2-EFEE83E261A6}" presName="hierChild5" presStyleCnt="0"/>
      <dgm:spPr/>
    </dgm:pt>
    <dgm:pt modelId="{3BE58555-9B88-4870-87C1-2AB9276ED8B6}" type="pres">
      <dgm:prSet presAssocID="{AA51E4BD-A9B5-43B5-B0C7-8B0CBBD50E3E}" presName="Name35" presStyleLbl="parChTrans1D2" presStyleIdx="2" presStyleCnt="4"/>
      <dgm:spPr/>
      <dgm:t>
        <a:bodyPr/>
        <a:p>
          <a:endParaRPr lang="zh-CN" altLang="en-US"/>
        </a:p>
      </dgm:t>
    </dgm:pt>
    <dgm:pt modelId="{DC27CC9F-BA4D-4A60-82D6-DA08909C0A11}" type="pres">
      <dgm:prSet presAssocID="{12412986-9057-4F7D-B06A-307681CAA175}" presName="hierRoot2" presStyleCnt="0">
        <dgm:presLayoutVars>
          <dgm:hierBranch/>
        </dgm:presLayoutVars>
      </dgm:prSet>
      <dgm:spPr/>
    </dgm:pt>
    <dgm:pt modelId="{3D473550-71D1-4926-A6E3-042766754A88}" type="pres">
      <dgm:prSet presAssocID="{12412986-9057-4F7D-B06A-307681CAA175}" presName="rootComposite" presStyleCnt="0"/>
      <dgm:spPr/>
    </dgm:pt>
    <dgm:pt modelId="{35A72149-BEA2-4B3D-A01D-EB68B332D22E}" type="pres">
      <dgm:prSet presAssocID="{12412986-9057-4F7D-B06A-307681CAA175}" presName="rootText" presStyleLbl="node2" presStyleIdx="2" presStyleCnt="4">
        <dgm:presLayoutVars>
          <dgm:chPref val="3"/>
        </dgm:presLayoutVars>
      </dgm:prSet>
      <dgm:spPr/>
      <dgm:t>
        <a:bodyPr/>
        <a:p>
          <a:endParaRPr lang="zh-CN" altLang="en-US"/>
        </a:p>
      </dgm:t>
    </dgm:pt>
    <dgm:pt modelId="{6A011BD7-5CEF-4B4B-B89B-582C52275891}" type="pres">
      <dgm:prSet presAssocID="{12412986-9057-4F7D-B06A-307681CAA175}" presName="rootConnector" presStyleLbl="node2" presStyleIdx="2" presStyleCnt="4"/>
      <dgm:spPr/>
      <dgm:t>
        <a:bodyPr/>
        <a:p>
          <a:endParaRPr lang="zh-CN" altLang="en-US"/>
        </a:p>
      </dgm:t>
    </dgm:pt>
    <dgm:pt modelId="{50E9C81A-9684-4EC3-AB66-40254F1911AF}" type="pres">
      <dgm:prSet presAssocID="{12412986-9057-4F7D-B06A-307681CAA175}" presName="hierChild4" presStyleCnt="0"/>
      <dgm:spPr/>
    </dgm:pt>
    <dgm:pt modelId="{184E3535-C6C2-451E-A49C-F4AE177E101D}" type="pres">
      <dgm:prSet presAssocID="{12412986-9057-4F7D-B06A-307681CAA175}" presName="hierChild5" presStyleCnt="0"/>
      <dgm:spPr/>
    </dgm:pt>
    <dgm:pt modelId="{FB25E465-DA33-47C3-BB67-CFE7811C58A0}" type="pres">
      <dgm:prSet presAssocID="{20711152-2E8A-442A-ACB7-763E54B722EF}" presName="Name35" presStyleLbl="parChTrans1D2" presStyleIdx="3" presStyleCnt="4"/>
      <dgm:spPr/>
      <dgm:t>
        <a:bodyPr/>
        <a:p>
          <a:endParaRPr lang="zh-CN" altLang="en-US"/>
        </a:p>
      </dgm:t>
    </dgm:pt>
    <dgm:pt modelId="{386428E4-943B-4913-B90E-35231A22C92F}" type="pres">
      <dgm:prSet presAssocID="{FDBDA2F3-BFAF-4339-A21C-EAAF5806A41B}" presName="hierRoot2" presStyleCnt="0">
        <dgm:presLayoutVars>
          <dgm:hierBranch/>
        </dgm:presLayoutVars>
      </dgm:prSet>
      <dgm:spPr/>
    </dgm:pt>
    <dgm:pt modelId="{6F10A86A-5BBA-4D84-BDB8-77209743090F}" type="pres">
      <dgm:prSet presAssocID="{FDBDA2F3-BFAF-4339-A21C-EAAF5806A41B}" presName="rootComposite" presStyleCnt="0"/>
      <dgm:spPr/>
    </dgm:pt>
    <dgm:pt modelId="{F3511360-791C-443A-A7F6-6F123D06A675}" type="pres">
      <dgm:prSet presAssocID="{FDBDA2F3-BFAF-4339-A21C-EAAF5806A41B}" presName="rootText" presStyleLbl="node2" presStyleIdx="3" presStyleCnt="4">
        <dgm:presLayoutVars>
          <dgm:chPref val="3"/>
        </dgm:presLayoutVars>
      </dgm:prSet>
      <dgm:spPr/>
      <dgm:t>
        <a:bodyPr/>
        <a:p>
          <a:endParaRPr lang="zh-CN" altLang="en-US"/>
        </a:p>
      </dgm:t>
    </dgm:pt>
    <dgm:pt modelId="{59F2D355-FB95-4039-B307-6A19F0ADD0A9}" type="pres">
      <dgm:prSet presAssocID="{FDBDA2F3-BFAF-4339-A21C-EAAF5806A41B}" presName="rootConnector" presStyleLbl="node2" presStyleIdx="3" presStyleCnt="4"/>
      <dgm:spPr/>
      <dgm:t>
        <a:bodyPr/>
        <a:p>
          <a:endParaRPr lang="zh-CN" altLang="en-US"/>
        </a:p>
      </dgm:t>
    </dgm:pt>
    <dgm:pt modelId="{1154FF51-308E-4E3B-A260-14CEC9377A85}" type="pres">
      <dgm:prSet presAssocID="{FDBDA2F3-BFAF-4339-A21C-EAAF5806A41B}" presName="hierChild4" presStyleCnt="0"/>
      <dgm:spPr/>
    </dgm:pt>
    <dgm:pt modelId="{BE7C23C9-2178-4731-942A-2E05363E846C}" type="pres">
      <dgm:prSet presAssocID="{FDBDA2F3-BFAF-4339-A21C-EAAF5806A41B}" presName="hierChild5" presStyleCnt="0"/>
      <dgm:spPr/>
    </dgm:pt>
    <dgm:pt modelId="{B567B213-DA29-492F-82C8-3BD7470155A4}" type="pres">
      <dgm:prSet presAssocID="{F55D47FB-B244-4BF6-A763-A0AD3B9643A7}" presName="hierChild3" presStyleCnt="0"/>
      <dgm:spPr/>
    </dgm:pt>
  </dgm:ptLst>
  <dgm:cxnLst>
    <dgm:cxn modelId="{9D073065-0FB7-4455-B1C5-280B79540BF1}" type="presOf" srcId="{F0C86CD2-B139-40AF-89C6-74FE3CB37F59}" destId="{AE95B5F7-FCFC-458F-B1E7-0663AC2C1E5B}" srcOrd="0" destOrd="0" presId="urn:microsoft.com/office/officeart/2005/8/layout/orgChart1#1"/>
    <dgm:cxn modelId="{ECA74022-15BE-48DE-90DD-F72627809AD9}" type="presOf" srcId="{20711152-2E8A-442A-ACB7-763E54B722EF}" destId="{FB25E465-DA33-47C3-BB67-CFE7811C58A0}" srcOrd="0" destOrd="0" presId="urn:microsoft.com/office/officeart/2005/8/layout/orgChart1#1"/>
    <dgm:cxn modelId="{1A8F07B7-09F6-410B-A5BF-0AAEFC0C1D89}" type="presOf" srcId="{070D7D26-D2DB-40E7-89F2-EFEE83E261A6}" destId="{2B25001E-F571-4D46-AB99-2E283C98311F}" srcOrd="0" destOrd="0" presId="urn:microsoft.com/office/officeart/2005/8/layout/orgChart1#1"/>
    <dgm:cxn modelId="{E7280A79-B5D1-4BFB-AEA2-072C42099CDA}" srcId="{F55D47FB-B244-4BF6-A763-A0AD3B9643A7}" destId="{070D7D26-D2DB-40E7-89F2-EFEE83E261A6}" srcOrd="1" destOrd="0" parTransId="{F0C86CD2-B139-40AF-89C6-74FE3CB37F59}" sibTransId="{5BF8BE4D-4676-449A-8846-DF2C98B0FA1E}"/>
    <dgm:cxn modelId="{50017779-041A-49E7-B98E-92926E51B87A}" type="presOf" srcId="{F55D47FB-B244-4BF6-A763-A0AD3B9643A7}" destId="{A7405BCA-7A72-47F3-A2F2-18B2E7B51CC8}" srcOrd="1" destOrd="0" presId="urn:microsoft.com/office/officeart/2005/8/layout/orgChart1#1"/>
    <dgm:cxn modelId="{8AEC808C-A335-4D12-883A-446207C04919}" type="presOf" srcId="{FDBDA2F3-BFAF-4339-A21C-EAAF5806A41B}" destId="{59F2D355-FB95-4039-B307-6A19F0ADD0A9}" srcOrd="1" destOrd="0" presId="urn:microsoft.com/office/officeart/2005/8/layout/orgChart1#1"/>
    <dgm:cxn modelId="{40D36DD4-7FB4-42AD-9F44-75E8327F8A03}" type="presOf" srcId="{4AB39CE6-8694-4950-B22F-225F5DBD4979}" destId="{AA283E34-F5B8-4D8B-B000-0964B31FA3CF}" srcOrd="0" destOrd="0" presId="urn:microsoft.com/office/officeart/2005/8/layout/orgChart1#1"/>
    <dgm:cxn modelId="{04FA70BE-15AA-4C45-8954-A17D53B2289A}" type="presOf" srcId="{F55D47FB-B244-4BF6-A763-A0AD3B9643A7}" destId="{36899F30-10E5-4540-B812-A9E1B9FAD28B}" srcOrd="0" destOrd="0" presId="urn:microsoft.com/office/officeart/2005/8/layout/orgChart1#1"/>
    <dgm:cxn modelId="{02EE994A-0861-4C1F-969A-6264F194FB08}" type="presOf" srcId="{11A856C5-8151-4432-86A6-01B7EA58E527}" destId="{9F7F41A3-4CD1-40A0-9D92-C94A9CAF148E}" srcOrd="0" destOrd="0" presId="urn:microsoft.com/office/officeart/2005/8/layout/orgChart1#1"/>
    <dgm:cxn modelId="{07C15D9E-46E1-49BE-A35A-D172AE1F6B0A}" type="presOf" srcId="{AA51E4BD-A9B5-43B5-B0C7-8B0CBBD50E3E}" destId="{3BE58555-9B88-4870-87C1-2AB9276ED8B6}" srcOrd="0" destOrd="0" presId="urn:microsoft.com/office/officeart/2005/8/layout/orgChart1#1"/>
    <dgm:cxn modelId="{7E9D18EC-FA2E-4A56-8616-48A03368461B}" type="presOf" srcId="{12412986-9057-4F7D-B06A-307681CAA175}" destId="{6A011BD7-5CEF-4B4B-B89B-582C52275891}" srcOrd="1" destOrd="0" presId="urn:microsoft.com/office/officeart/2005/8/layout/orgChart1#1"/>
    <dgm:cxn modelId="{A08124B2-39AC-4854-AD39-ACB8545120D7}" srcId="{F55D47FB-B244-4BF6-A763-A0AD3B9643A7}" destId="{FDBDA2F3-BFAF-4339-A21C-EAAF5806A41B}" srcOrd="3" destOrd="0" parTransId="{20711152-2E8A-442A-ACB7-763E54B722EF}" sibTransId="{C8FF912C-77D3-4F9C-AAB9-106AB3028CFA}"/>
    <dgm:cxn modelId="{71FFD70D-604C-43D0-9EC9-16430B14F024}" type="presOf" srcId="{070D7D26-D2DB-40E7-89F2-EFEE83E261A6}" destId="{D03A97AA-DB86-4384-8A44-0575EE8A4F04}" srcOrd="1" destOrd="0" presId="urn:microsoft.com/office/officeart/2005/8/layout/orgChart1#1"/>
    <dgm:cxn modelId="{F3081D4C-18B0-4F3D-A128-BF628B317C7D}" srcId="{F55D47FB-B244-4BF6-A763-A0AD3B9643A7}" destId="{11A856C5-8151-4432-86A6-01B7EA58E527}" srcOrd="0" destOrd="0" parTransId="{45EF185F-4B71-4A1B-8407-48B080B9A9C4}" sibTransId="{D4101CEE-9EAA-4BB0-A64F-4EA00F58FC9B}"/>
    <dgm:cxn modelId="{EF825D69-5D39-4841-B0FD-A1C83720AD28}" type="presOf" srcId="{12412986-9057-4F7D-B06A-307681CAA175}" destId="{35A72149-BEA2-4B3D-A01D-EB68B332D22E}" srcOrd="0" destOrd="0" presId="urn:microsoft.com/office/officeart/2005/8/layout/orgChart1#1"/>
    <dgm:cxn modelId="{E03EDFCE-F180-4B72-99FE-2333552351ED}" type="presOf" srcId="{45EF185F-4B71-4A1B-8407-48B080B9A9C4}" destId="{27325BE4-6638-4676-B7C2-67CD15C4D3D9}" srcOrd="0" destOrd="0" presId="urn:microsoft.com/office/officeart/2005/8/layout/orgChart1#1"/>
    <dgm:cxn modelId="{7E90130D-999C-40B8-87D5-D01B54DE8067}" type="presOf" srcId="{11A856C5-8151-4432-86A6-01B7EA58E527}" destId="{CA57C657-0588-4A13-BA9E-0A8CFA171CE8}" srcOrd="1" destOrd="0" presId="urn:microsoft.com/office/officeart/2005/8/layout/orgChart1#1"/>
    <dgm:cxn modelId="{48B0DE8E-9FE7-4C48-9BE3-04A3C797CF05}" type="presOf" srcId="{FDBDA2F3-BFAF-4339-A21C-EAAF5806A41B}" destId="{F3511360-791C-443A-A7F6-6F123D06A675}" srcOrd="0" destOrd="0" presId="urn:microsoft.com/office/officeart/2005/8/layout/orgChart1#1"/>
    <dgm:cxn modelId="{831A5438-F450-49D9-A35C-9053F1E17119}" srcId="{4AB39CE6-8694-4950-B22F-225F5DBD4979}" destId="{F55D47FB-B244-4BF6-A763-A0AD3B9643A7}" srcOrd="0" destOrd="0" parTransId="{DC0B8490-3BA9-4FBF-B51B-53B5A5224024}" sibTransId="{E83A482E-381F-40BF-9692-1C24B3D8BAAA}"/>
    <dgm:cxn modelId="{D575CCAF-62A8-4564-8370-7F1F1C7A6448}" srcId="{F55D47FB-B244-4BF6-A763-A0AD3B9643A7}" destId="{12412986-9057-4F7D-B06A-307681CAA175}" srcOrd="2" destOrd="0" parTransId="{AA51E4BD-A9B5-43B5-B0C7-8B0CBBD50E3E}" sibTransId="{8B00750F-31D4-40FB-835A-A7F175272745}"/>
    <dgm:cxn modelId="{5A410B05-4D68-4581-9874-E7D984A32E22}" type="presParOf" srcId="{AA283E34-F5B8-4D8B-B000-0964B31FA3CF}" destId="{BBC29394-35E7-4E58-A599-F6AA19B40EE0}" srcOrd="0" destOrd="0" presId="urn:microsoft.com/office/officeart/2005/8/layout/orgChart1#1"/>
    <dgm:cxn modelId="{D3D09E8A-61CE-4FCF-B636-31C474AB859F}" type="presParOf" srcId="{BBC29394-35E7-4E58-A599-F6AA19B40EE0}" destId="{A91842A7-C73A-4763-90F7-C6EE896AA146}" srcOrd="0" destOrd="0" presId="urn:microsoft.com/office/officeart/2005/8/layout/orgChart1#1"/>
    <dgm:cxn modelId="{743C1DD5-4298-460D-BCEB-35394C3D7FC3}" type="presParOf" srcId="{A91842A7-C73A-4763-90F7-C6EE896AA146}" destId="{36899F30-10E5-4540-B812-A9E1B9FAD28B}" srcOrd="0" destOrd="0" presId="urn:microsoft.com/office/officeart/2005/8/layout/orgChart1#1"/>
    <dgm:cxn modelId="{78F89267-CAA8-41D8-B3E6-92A981FA337A}" type="presParOf" srcId="{A91842A7-C73A-4763-90F7-C6EE896AA146}" destId="{A7405BCA-7A72-47F3-A2F2-18B2E7B51CC8}" srcOrd="1" destOrd="0" presId="urn:microsoft.com/office/officeart/2005/8/layout/orgChart1#1"/>
    <dgm:cxn modelId="{955F0004-D21D-4E7A-9739-6D18D7377FE5}" type="presParOf" srcId="{BBC29394-35E7-4E58-A599-F6AA19B40EE0}" destId="{FF3B4753-6284-4D45-B649-C05613D2C6E9}" srcOrd="1" destOrd="0" presId="urn:microsoft.com/office/officeart/2005/8/layout/orgChart1#1"/>
    <dgm:cxn modelId="{9B21ADAC-66F8-483E-972D-E2C67C51FEB3}" type="presParOf" srcId="{FF3B4753-6284-4D45-B649-C05613D2C6E9}" destId="{27325BE4-6638-4676-B7C2-67CD15C4D3D9}" srcOrd="0" destOrd="0" presId="urn:microsoft.com/office/officeart/2005/8/layout/orgChart1#1"/>
    <dgm:cxn modelId="{A532DA29-2EA0-4383-8CA4-B61B1CDE68E5}" type="presParOf" srcId="{FF3B4753-6284-4D45-B649-C05613D2C6E9}" destId="{74F50297-0036-411C-8C29-EB4189514EB1}" srcOrd="1" destOrd="0" presId="urn:microsoft.com/office/officeart/2005/8/layout/orgChart1#1"/>
    <dgm:cxn modelId="{2254CD9A-FE0A-4FDC-B54C-F39D142D8CCA}" type="presParOf" srcId="{74F50297-0036-411C-8C29-EB4189514EB1}" destId="{03C83BC6-18CD-4616-B6ED-4DC3EFF33121}" srcOrd="0" destOrd="0" presId="urn:microsoft.com/office/officeart/2005/8/layout/orgChart1#1"/>
    <dgm:cxn modelId="{94F04E87-BE0C-4197-AFD1-ED3A341DD68F}" type="presParOf" srcId="{03C83BC6-18CD-4616-B6ED-4DC3EFF33121}" destId="{9F7F41A3-4CD1-40A0-9D92-C94A9CAF148E}" srcOrd="0" destOrd="0" presId="urn:microsoft.com/office/officeart/2005/8/layout/orgChart1#1"/>
    <dgm:cxn modelId="{5B28FFC7-DF3D-4A7B-9597-AD1444930A36}" type="presParOf" srcId="{03C83BC6-18CD-4616-B6ED-4DC3EFF33121}" destId="{CA57C657-0588-4A13-BA9E-0A8CFA171CE8}" srcOrd="1" destOrd="0" presId="urn:microsoft.com/office/officeart/2005/8/layout/orgChart1#1"/>
    <dgm:cxn modelId="{B7668EF3-8F3A-45F4-9368-8EB84617552E}" type="presParOf" srcId="{74F50297-0036-411C-8C29-EB4189514EB1}" destId="{9B868792-51F0-4EF8-B72F-85947FBD3D18}" srcOrd="1" destOrd="0" presId="urn:microsoft.com/office/officeart/2005/8/layout/orgChart1#1"/>
    <dgm:cxn modelId="{36582246-87B2-47C1-9CBF-59609A6F8B78}" type="presParOf" srcId="{74F50297-0036-411C-8C29-EB4189514EB1}" destId="{88BCE3F0-BBD9-44E8-9B6A-EA506976504A}" srcOrd="2" destOrd="0" presId="urn:microsoft.com/office/officeart/2005/8/layout/orgChart1#1"/>
    <dgm:cxn modelId="{D0698984-F9FC-4AE2-8BD0-693B099D9180}" type="presParOf" srcId="{FF3B4753-6284-4D45-B649-C05613D2C6E9}" destId="{AE95B5F7-FCFC-458F-B1E7-0663AC2C1E5B}" srcOrd="2" destOrd="0" presId="urn:microsoft.com/office/officeart/2005/8/layout/orgChart1#1"/>
    <dgm:cxn modelId="{3F4768B6-FF3A-4209-97BE-7926ABD9127E}" type="presParOf" srcId="{FF3B4753-6284-4D45-B649-C05613D2C6E9}" destId="{7AAE7079-0F1B-4A1C-A079-0C484B544850}" srcOrd="3" destOrd="0" presId="urn:microsoft.com/office/officeart/2005/8/layout/orgChart1#1"/>
    <dgm:cxn modelId="{02BF4D59-9D79-4434-AA87-B0B04DB96150}" type="presParOf" srcId="{7AAE7079-0F1B-4A1C-A079-0C484B544850}" destId="{BA95C0D0-DD22-4400-AE20-EA97CC7BB491}" srcOrd="0" destOrd="0" presId="urn:microsoft.com/office/officeart/2005/8/layout/orgChart1#1"/>
    <dgm:cxn modelId="{71590921-74C1-49D9-BC0A-C56E611E544A}" type="presParOf" srcId="{BA95C0D0-DD22-4400-AE20-EA97CC7BB491}" destId="{2B25001E-F571-4D46-AB99-2E283C98311F}" srcOrd="0" destOrd="0" presId="urn:microsoft.com/office/officeart/2005/8/layout/orgChart1#1"/>
    <dgm:cxn modelId="{757BEF36-E1C3-45EB-93B4-E6111C9A6CCA}" type="presParOf" srcId="{BA95C0D0-DD22-4400-AE20-EA97CC7BB491}" destId="{D03A97AA-DB86-4384-8A44-0575EE8A4F04}" srcOrd="1" destOrd="0" presId="urn:microsoft.com/office/officeart/2005/8/layout/orgChart1#1"/>
    <dgm:cxn modelId="{31F0DF01-5991-4BD3-8306-885AE8083E13}" type="presParOf" srcId="{7AAE7079-0F1B-4A1C-A079-0C484B544850}" destId="{42B12851-3289-4C98-BB2B-C84CFA5FAAE2}" srcOrd="1" destOrd="0" presId="urn:microsoft.com/office/officeart/2005/8/layout/orgChart1#1"/>
    <dgm:cxn modelId="{40B5F1DF-1A80-401C-9E5C-E4A5A6A48FCC}" type="presParOf" srcId="{7AAE7079-0F1B-4A1C-A079-0C484B544850}" destId="{DB10DDA9-E5CE-436B-B67A-1E45E7611D7B}" srcOrd="2" destOrd="0" presId="urn:microsoft.com/office/officeart/2005/8/layout/orgChart1#1"/>
    <dgm:cxn modelId="{19A3624E-FDD2-4284-A52D-24063C35FE41}" type="presParOf" srcId="{FF3B4753-6284-4D45-B649-C05613D2C6E9}" destId="{3BE58555-9B88-4870-87C1-2AB9276ED8B6}" srcOrd="4" destOrd="0" presId="urn:microsoft.com/office/officeart/2005/8/layout/orgChart1#1"/>
    <dgm:cxn modelId="{2382D353-6B22-4520-9924-DD8056D06B24}" type="presParOf" srcId="{FF3B4753-6284-4D45-B649-C05613D2C6E9}" destId="{DC27CC9F-BA4D-4A60-82D6-DA08909C0A11}" srcOrd="5" destOrd="0" presId="urn:microsoft.com/office/officeart/2005/8/layout/orgChart1#1"/>
    <dgm:cxn modelId="{69FAE52A-D792-49F4-B57B-64C4C5B5E265}" type="presParOf" srcId="{DC27CC9F-BA4D-4A60-82D6-DA08909C0A11}" destId="{3D473550-71D1-4926-A6E3-042766754A88}" srcOrd="0" destOrd="0" presId="urn:microsoft.com/office/officeart/2005/8/layout/orgChart1#1"/>
    <dgm:cxn modelId="{C8C9612B-CB76-44EB-9822-9752FEE1A2A2}" type="presParOf" srcId="{3D473550-71D1-4926-A6E3-042766754A88}" destId="{35A72149-BEA2-4B3D-A01D-EB68B332D22E}" srcOrd="0" destOrd="0" presId="urn:microsoft.com/office/officeart/2005/8/layout/orgChart1#1"/>
    <dgm:cxn modelId="{AB9763BB-EAFF-4545-83AC-E9C201661109}" type="presParOf" srcId="{3D473550-71D1-4926-A6E3-042766754A88}" destId="{6A011BD7-5CEF-4B4B-B89B-582C52275891}" srcOrd="1" destOrd="0" presId="urn:microsoft.com/office/officeart/2005/8/layout/orgChart1#1"/>
    <dgm:cxn modelId="{B4BAAFCC-EE66-4CA6-B743-6844BB6F3BE1}" type="presParOf" srcId="{DC27CC9F-BA4D-4A60-82D6-DA08909C0A11}" destId="{50E9C81A-9684-4EC3-AB66-40254F1911AF}" srcOrd="1" destOrd="0" presId="urn:microsoft.com/office/officeart/2005/8/layout/orgChart1#1"/>
    <dgm:cxn modelId="{E6C626C8-EABC-4CB1-95B7-6847975FBF9E}" type="presParOf" srcId="{DC27CC9F-BA4D-4A60-82D6-DA08909C0A11}" destId="{184E3535-C6C2-451E-A49C-F4AE177E101D}" srcOrd="2" destOrd="0" presId="urn:microsoft.com/office/officeart/2005/8/layout/orgChart1#1"/>
    <dgm:cxn modelId="{0DBFD06E-9F10-4DBD-8A6F-1EEBD68DF6F9}" type="presParOf" srcId="{FF3B4753-6284-4D45-B649-C05613D2C6E9}" destId="{FB25E465-DA33-47C3-BB67-CFE7811C58A0}" srcOrd="6" destOrd="0" presId="urn:microsoft.com/office/officeart/2005/8/layout/orgChart1#1"/>
    <dgm:cxn modelId="{E58ADC2B-5155-44A9-B262-8AE47BAF2DCD}" type="presParOf" srcId="{FF3B4753-6284-4D45-B649-C05613D2C6E9}" destId="{386428E4-943B-4913-B90E-35231A22C92F}" srcOrd="7" destOrd="0" presId="urn:microsoft.com/office/officeart/2005/8/layout/orgChart1#1"/>
    <dgm:cxn modelId="{4A0AAC7F-89C6-4380-AB6B-9AD4513D9EF6}" type="presParOf" srcId="{386428E4-943B-4913-B90E-35231A22C92F}" destId="{6F10A86A-5BBA-4D84-BDB8-77209743090F}" srcOrd="0" destOrd="0" presId="urn:microsoft.com/office/officeart/2005/8/layout/orgChart1#1"/>
    <dgm:cxn modelId="{A2E0AA44-95AA-4720-8BF3-B8DFE30D0C17}" type="presParOf" srcId="{6F10A86A-5BBA-4D84-BDB8-77209743090F}" destId="{F3511360-791C-443A-A7F6-6F123D06A675}" srcOrd="0" destOrd="0" presId="urn:microsoft.com/office/officeart/2005/8/layout/orgChart1#1"/>
    <dgm:cxn modelId="{5F9DD5B1-8229-443B-AE10-7AA2424F33BA}" type="presParOf" srcId="{6F10A86A-5BBA-4D84-BDB8-77209743090F}" destId="{59F2D355-FB95-4039-B307-6A19F0ADD0A9}" srcOrd="1" destOrd="0" presId="urn:microsoft.com/office/officeart/2005/8/layout/orgChart1#1"/>
    <dgm:cxn modelId="{E1F461E7-A33B-4C25-BD58-4176ECF0B3E3}" type="presParOf" srcId="{386428E4-943B-4913-B90E-35231A22C92F}" destId="{1154FF51-308E-4E3B-A260-14CEC9377A85}" srcOrd="1" destOrd="0" presId="urn:microsoft.com/office/officeart/2005/8/layout/orgChart1#1"/>
    <dgm:cxn modelId="{E290204E-6643-498E-B62D-904CE5C54D6C}" type="presParOf" srcId="{386428E4-943B-4913-B90E-35231A22C92F}" destId="{BE7C23C9-2178-4731-942A-2E05363E846C}" srcOrd="2" destOrd="0" presId="urn:microsoft.com/office/officeart/2005/8/layout/orgChart1#1"/>
    <dgm:cxn modelId="{0212223B-05E5-4A13-81E3-9A0455F37BE2}" type="presParOf" srcId="{BBC29394-35E7-4E58-A599-F6AA19B40EE0}" destId="{B567B213-DA29-492F-82C8-3BD7470155A4}" srcOrd="2" destOrd="0" presId="urn:microsoft.com/office/officeart/2005/8/layout/orgChart1#1"/>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482DA5-41E1-41D0-A9D6-79B1CCF7F452}">
      <dsp:nvSpPr>
        <dsp:cNvPr id="0" name=""/>
        <dsp:cNvSpPr/>
      </dsp:nvSpPr>
      <dsp:spPr>
        <a:xfrm>
          <a:off x="522" y="485288"/>
          <a:ext cx="1073995" cy="429598"/>
        </a:xfrm>
        <a:prstGeom prst="chevron">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1430" tIns="5715" rIns="0" bIns="5715" numCol="1" spcCol="1270" anchor="ctr" anchorCtr="0">
          <a:noAutofit/>
        </a:bodyPr>
        <a:lstStyle/>
        <a:p>
          <a:pPr lvl="0" algn="ctr" defTabSz="400050">
            <a:lnSpc>
              <a:spcPct val="90000"/>
            </a:lnSpc>
            <a:spcBef>
              <a:spcPct val="0"/>
            </a:spcBef>
            <a:spcAft>
              <a:spcPct val="35000"/>
            </a:spcAft>
          </a:pPr>
          <a:r>
            <a:rPr lang="zh-CN" altLang="en-US" sz="900" kern="1200">
              <a:solidFill>
                <a:sysClr val="window" lastClr="FFFFFF"/>
              </a:solidFill>
              <a:latin typeface="华文细黑" panose="02010600040101010101" pitchFamily="2" charset="-122"/>
              <a:ea typeface="华文细黑" panose="02010600040101010101" pitchFamily="2" charset="-122"/>
              <a:cs typeface="+mn-cs"/>
            </a:rPr>
            <a:t>绩效评价的评价原则</a:t>
          </a:r>
        </a:p>
      </dsp:txBody>
      <dsp:txXfrm>
        <a:off x="215321" y="485288"/>
        <a:ext cx="644397" cy="429598"/>
      </dsp:txXfrm>
    </dsp:sp>
    <dsp:sp modelId="{6E8D7C1F-A22A-42B0-A090-A57413634287}">
      <dsp:nvSpPr>
        <dsp:cNvPr id="0" name=""/>
        <dsp:cNvSpPr/>
      </dsp:nvSpPr>
      <dsp:spPr>
        <a:xfrm>
          <a:off x="934898" y="521804"/>
          <a:ext cx="891416" cy="356566"/>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相关性原则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1113181" y="521804"/>
        <a:ext cx="534850" cy="356566"/>
      </dsp:txXfrm>
    </dsp:sp>
    <dsp:sp modelId="{B8691B77-4694-4BFA-9DAF-40A313A447BB}">
      <dsp:nvSpPr>
        <dsp:cNvPr id="0" name=""/>
        <dsp:cNvSpPr/>
      </dsp:nvSpPr>
      <dsp:spPr>
        <a:xfrm>
          <a:off x="1701516" y="521804"/>
          <a:ext cx="891416" cy="356566"/>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重要性原则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1879799" y="521804"/>
        <a:ext cx="534850" cy="356566"/>
      </dsp:txXfrm>
    </dsp:sp>
    <dsp:sp modelId="{C330E3A1-3D1D-4453-A315-50DA58578E8B}">
      <dsp:nvSpPr>
        <dsp:cNvPr id="0" name=""/>
        <dsp:cNvSpPr/>
      </dsp:nvSpPr>
      <dsp:spPr>
        <a:xfrm>
          <a:off x="2468134" y="521804"/>
          <a:ext cx="891416" cy="356566"/>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可比性原则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2646417" y="521804"/>
        <a:ext cx="534850" cy="356566"/>
      </dsp:txXfrm>
    </dsp:sp>
    <dsp:sp modelId="{15B667A0-41D3-4D24-9402-E2D0A9F3193D}">
      <dsp:nvSpPr>
        <dsp:cNvPr id="0" name=""/>
        <dsp:cNvSpPr/>
      </dsp:nvSpPr>
      <dsp:spPr>
        <a:xfrm>
          <a:off x="3234752" y="521804"/>
          <a:ext cx="891416" cy="356566"/>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系统性原则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3413035" y="521804"/>
        <a:ext cx="534850" cy="356566"/>
      </dsp:txXfrm>
    </dsp:sp>
    <dsp:sp modelId="{3133D0F3-2920-497C-9B75-49DB36BD1C0F}">
      <dsp:nvSpPr>
        <dsp:cNvPr id="0" name=""/>
        <dsp:cNvSpPr/>
      </dsp:nvSpPr>
      <dsp:spPr>
        <a:xfrm>
          <a:off x="4001370" y="521804"/>
          <a:ext cx="891416" cy="356566"/>
        </a:xfrm>
        <a:prstGeom prst="chevron">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zh-CN" altLang="en-US" sz="1000" b="0" kern="1200">
              <a:latin typeface="+mj-lt"/>
            </a:rPr>
            <a:t>经济性原则</a:t>
          </a:r>
          <a:endParaRPr lang="zh-CN" altLang="en-US" sz="1000" b="0" kern="1200">
            <a:solidFill>
              <a:sysClr val="windowText" lastClr="000000">
                <a:hueOff val="0"/>
                <a:satOff val="0"/>
                <a:lumOff val="0"/>
                <a:alphaOff val="0"/>
              </a:sysClr>
            </a:solidFill>
            <a:latin typeface="+mj-lt"/>
            <a:ea typeface="华文细黑" panose="02010600040101010101" pitchFamily="2" charset="-122"/>
            <a:cs typeface="+mn-cs"/>
          </a:endParaRPr>
        </a:p>
      </dsp:txBody>
      <dsp:txXfrm>
        <a:off x="4179653" y="521804"/>
        <a:ext cx="534850" cy="3565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25E465-DA33-47C3-BB67-CFE7811C58A0}">
      <dsp:nvSpPr>
        <dsp:cNvPr id="0" name=""/>
        <dsp:cNvSpPr/>
      </dsp:nvSpPr>
      <dsp:spPr>
        <a:xfrm>
          <a:off x="1877377" y="886169"/>
          <a:ext cx="1470373" cy="170125"/>
        </a:xfrm>
        <a:custGeom>
          <a:avLst/>
          <a:gdLst/>
          <a:ahLst/>
          <a:cxnLst/>
          <a:rect l="0" t="0" r="0" b="0"/>
          <a:pathLst>
            <a:path>
              <a:moveTo>
                <a:pt x="0" y="0"/>
              </a:moveTo>
              <a:lnTo>
                <a:pt x="0" y="85062"/>
              </a:lnTo>
              <a:lnTo>
                <a:pt x="1470373" y="85062"/>
              </a:lnTo>
              <a:lnTo>
                <a:pt x="1470373" y="1701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E58555-9B88-4870-87C1-2AB9276ED8B6}">
      <dsp:nvSpPr>
        <dsp:cNvPr id="0" name=""/>
        <dsp:cNvSpPr/>
      </dsp:nvSpPr>
      <dsp:spPr>
        <a:xfrm>
          <a:off x="1877377" y="886169"/>
          <a:ext cx="490124" cy="170125"/>
        </a:xfrm>
        <a:custGeom>
          <a:avLst/>
          <a:gdLst/>
          <a:ahLst/>
          <a:cxnLst/>
          <a:rect l="0" t="0" r="0" b="0"/>
          <a:pathLst>
            <a:path>
              <a:moveTo>
                <a:pt x="0" y="0"/>
              </a:moveTo>
              <a:lnTo>
                <a:pt x="0" y="85062"/>
              </a:lnTo>
              <a:lnTo>
                <a:pt x="490124" y="85062"/>
              </a:lnTo>
              <a:lnTo>
                <a:pt x="490124" y="1701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95B5F7-FCFC-458F-B1E7-0663AC2C1E5B}">
      <dsp:nvSpPr>
        <dsp:cNvPr id="0" name=""/>
        <dsp:cNvSpPr/>
      </dsp:nvSpPr>
      <dsp:spPr>
        <a:xfrm>
          <a:off x="1387252" y="886169"/>
          <a:ext cx="490124" cy="170125"/>
        </a:xfrm>
        <a:custGeom>
          <a:avLst/>
          <a:gdLst/>
          <a:ahLst/>
          <a:cxnLst/>
          <a:rect l="0" t="0" r="0" b="0"/>
          <a:pathLst>
            <a:path>
              <a:moveTo>
                <a:pt x="490124" y="0"/>
              </a:moveTo>
              <a:lnTo>
                <a:pt x="490124" y="85062"/>
              </a:lnTo>
              <a:lnTo>
                <a:pt x="0" y="85062"/>
              </a:lnTo>
              <a:lnTo>
                <a:pt x="0" y="1701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325BE4-6638-4676-B7C2-67CD15C4D3D9}">
      <dsp:nvSpPr>
        <dsp:cNvPr id="0" name=""/>
        <dsp:cNvSpPr/>
      </dsp:nvSpPr>
      <dsp:spPr>
        <a:xfrm>
          <a:off x="407003" y="886169"/>
          <a:ext cx="1470373" cy="170125"/>
        </a:xfrm>
        <a:custGeom>
          <a:avLst/>
          <a:gdLst/>
          <a:ahLst/>
          <a:cxnLst/>
          <a:rect l="0" t="0" r="0" b="0"/>
          <a:pathLst>
            <a:path>
              <a:moveTo>
                <a:pt x="1470373" y="0"/>
              </a:moveTo>
              <a:lnTo>
                <a:pt x="1470373" y="85062"/>
              </a:lnTo>
              <a:lnTo>
                <a:pt x="0" y="85062"/>
              </a:lnTo>
              <a:lnTo>
                <a:pt x="0" y="1701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899F30-10E5-4540-B812-A9E1B9FAD28B}">
      <dsp:nvSpPr>
        <dsp:cNvPr id="0" name=""/>
        <dsp:cNvSpPr/>
      </dsp:nvSpPr>
      <dsp:spPr>
        <a:xfrm>
          <a:off x="1472315" y="481107"/>
          <a:ext cx="810123" cy="40506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zh-CN" altLang="en-US" sz="1100" kern="100" baseline="0" smtClean="0">
              <a:latin typeface="Calibri" panose="020F0502020204030204"/>
              <a:ea typeface="宋体" panose="02010600030101010101" charset="-122"/>
            </a:rPr>
            <a:t>评价</a:t>
          </a:r>
          <a:endParaRPr lang="zh-CN" altLang="en-US" sz="1100" kern="100" baseline="0" smtClean="0">
            <a:latin typeface="Times New Roman" panose="02020603050405020304"/>
            <a:ea typeface="宋体" panose="02010600030101010101" charset="-122"/>
          </a:endParaRPr>
        </a:p>
        <a:p>
          <a:pPr marR="0" lvl="0" algn="ctr" defTabSz="488950" rtl="0">
            <a:lnSpc>
              <a:spcPct val="90000"/>
            </a:lnSpc>
            <a:spcBef>
              <a:spcPct val="0"/>
            </a:spcBef>
            <a:spcAft>
              <a:spcPct val="35000"/>
            </a:spcAft>
          </a:pPr>
          <a:r>
            <a:rPr lang="zh-CN" altLang="en-US" sz="1100" kern="100" baseline="0" smtClean="0">
              <a:latin typeface="Calibri" panose="020F0502020204030204"/>
              <a:ea typeface="宋体" panose="02010600030101010101" charset="-122"/>
            </a:rPr>
            <a:t>方法</a:t>
          </a:r>
          <a:endParaRPr lang="zh-CN" altLang="en-US" sz="1100" smtClean="0"/>
        </a:p>
      </dsp:txBody>
      <dsp:txXfrm>
        <a:off x="1472315" y="481107"/>
        <a:ext cx="810123" cy="405061"/>
      </dsp:txXfrm>
    </dsp:sp>
    <dsp:sp modelId="{9F7F41A3-4CD1-40A0-9D92-C94A9CAF148E}">
      <dsp:nvSpPr>
        <dsp:cNvPr id="0" name=""/>
        <dsp:cNvSpPr/>
      </dsp:nvSpPr>
      <dsp:spPr>
        <a:xfrm>
          <a:off x="1942" y="1056295"/>
          <a:ext cx="810123" cy="40506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zh-CN" altLang="en-US" sz="1100" kern="100" baseline="0" smtClean="0">
              <a:latin typeface="Calibri" panose="020F0502020204030204"/>
              <a:ea typeface="宋体" panose="02010600030101010101" charset="-122"/>
            </a:rPr>
            <a:t>综合</a:t>
          </a:r>
          <a:endParaRPr lang="zh-CN" altLang="en-US" sz="1100" kern="100" baseline="0" smtClean="0">
            <a:latin typeface="Times New Roman" panose="02020603050405020304"/>
            <a:ea typeface="宋体" panose="02010600030101010101" charset="-122"/>
          </a:endParaRPr>
        </a:p>
        <a:p>
          <a:pPr marR="0" lvl="0" algn="ctr" defTabSz="488950" rtl="0">
            <a:lnSpc>
              <a:spcPct val="90000"/>
            </a:lnSpc>
            <a:spcBef>
              <a:spcPct val="0"/>
            </a:spcBef>
            <a:spcAft>
              <a:spcPct val="35000"/>
            </a:spcAft>
          </a:pPr>
          <a:r>
            <a:rPr lang="zh-CN" altLang="en-US" sz="1100" kern="100" baseline="0" smtClean="0">
              <a:latin typeface="Calibri" panose="020F0502020204030204"/>
              <a:ea typeface="宋体" panose="02010600030101010101" charset="-122"/>
            </a:rPr>
            <a:t>评分方法</a:t>
          </a:r>
          <a:endParaRPr lang="zh-CN" altLang="en-US" sz="1100" smtClean="0"/>
        </a:p>
      </dsp:txBody>
      <dsp:txXfrm>
        <a:off x="1942" y="1056295"/>
        <a:ext cx="810123" cy="405061"/>
      </dsp:txXfrm>
    </dsp:sp>
    <dsp:sp modelId="{2B25001E-F571-4D46-AB99-2E283C98311F}">
      <dsp:nvSpPr>
        <dsp:cNvPr id="0" name=""/>
        <dsp:cNvSpPr/>
      </dsp:nvSpPr>
      <dsp:spPr>
        <a:xfrm>
          <a:off x="982191" y="1056295"/>
          <a:ext cx="810123" cy="40506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zh-CN" altLang="en-US" sz="1100" kern="100" baseline="0" smtClean="0">
              <a:latin typeface="Calibri" panose="020F0502020204030204"/>
              <a:ea typeface="宋体" panose="02010600030101010101" charset="-122"/>
            </a:rPr>
            <a:t>指标</a:t>
          </a:r>
          <a:endParaRPr lang="zh-CN" altLang="en-US" sz="1100" kern="100" baseline="0" smtClean="0">
            <a:latin typeface="Times New Roman" panose="02020603050405020304"/>
            <a:ea typeface="宋体" panose="02010600030101010101" charset="-122"/>
          </a:endParaRPr>
        </a:p>
        <a:p>
          <a:pPr marR="0" lvl="0" algn="ctr" defTabSz="488950" rtl="0">
            <a:lnSpc>
              <a:spcPct val="90000"/>
            </a:lnSpc>
            <a:spcBef>
              <a:spcPct val="0"/>
            </a:spcBef>
            <a:spcAft>
              <a:spcPct val="35000"/>
            </a:spcAft>
          </a:pPr>
          <a:r>
            <a:rPr lang="zh-CN" altLang="en-US" sz="1100" kern="100" baseline="0" smtClean="0">
              <a:latin typeface="Calibri" panose="020F0502020204030204"/>
              <a:ea typeface="宋体" panose="02010600030101010101" charset="-122"/>
            </a:rPr>
            <a:t>计算方法</a:t>
          </a:r>
          <a:endParaRPr lang="zh-CN" altLang="en-US" sz="1100" smtClean="0"/>
        </a:p>
      </dsp:txBody>
      <dsp:txXfrm>
        <a:off x="982191" y="1056295"/>
        <a:ext cx="810123" cy="405061"/>
      </dsp:txXfrm>
    </dsp:sp>
    <dsp:sp modelId="{35A72149-BEA2-4B3D-A01D-EB68B332D22E}">
      <dsp:nvSpPr>
        <dsp:cNvPr id="0" name=""/>
        <dsp:cNvSpPr/>
      </dsp:nvSpPr>
      <dsp:spPr>
        <a:xfrm>
          <a:off x="1962440" y="1056295"/>
          <a:ext cx="810123" cy="40506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zh-CN" altLang="en-US" sz="1100" kern="100" baseline="0" smtClean="0">
              <a:latin typeface="Calibri" panose="020F0502020204030204"/>
              <a:ea typeface="宋体" panose="02010600030101010101" charset="-122"/>
            </a:rPr>
            <a:t>权重</a:t>
          </a:r>
          <a:endParaRPr lang="zh-CN" altLang="en-US" sz="1100" kern="100" baseline="0" smtClean="0">
            <a:latin typeface="Times New Roman" panose="02020603050405020304"/>
            <a:ea typeface="宋体" panose="02010600030101010101" charset="-122"/>
          </a:endParaRPr>
        </a:p>
        <a:p>
          <a:pPr marR="0" lvl="0" algn="ctr" defTabSz="488950" rtl="0">
            <a:lnSpc>
              <a:spcPct val="90000"/>
            </a:lnSpc>
            <a:spcBef>
              <a:spcPct val="0"/>
            </a:spcBef>
            <a:spcAft>
              <a:spcPct val="35000"/>
            </a:spcAft>
          </a:pPr>
          <a:r>
            <a:rPr lang="zh-CN" altLang="en-US" sz="1100" kern="100" baseline="0" smtClean="0">
              <a:latin typeface="Calibri" panose="020F0502020204030204"/>
              <a:ea typeface="宋体" panose="02010600030101010101" charset="-122"/>
            </a:rPr>
            <a:t>确定方法</a:t>
          </a:r>
          <a:endParaRPr lang="zh-CN" altLang="en-US" sz="1100" smtClean="0"/>
        </a:p>
      </dsp:txBody>
      <dsp:txXfrm>
        <a:off x="1962440" y="1056295"/>
        <a:ext cx="810123" cy="405061"/>
      </dsp:txXfrm>
    </dsp:sp>
    <dsp:sp modelId="{F3511360-791C-443A-A7F6-6F123D06A675}">
      <dsp:nvSpPr>
        <dsp:cNvPr id="0" name=""/>
        <dsp:cNvSpPr/>
      </dsp:nvSpPr>
      <dsp:spPr>
        <a:xfrm>
          <a:off x="2942689" y="1056295"/>
          <a:ext cx="810123" cy="40506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r>
            <a:rPr lang="zh-CN" altLang="en-US" sz="1100" kern="100" baseline="0" smtClean="0">
              <a:latin typeface="Calibri" panose="020F0502020204030204"/>
              <a:ea typeface="宋体" panose="02010600030101010101" charset="-122"/>
            </a:rPr>
            <a:t>标准值</a:t>
          </a:r>
          <a:endParaRPr lang="zh-CN" altLang="en-US" sz="1100" kern="100" baseline="0" smtClean="0">
            <a:latin typeface="Times New Roman" panose="02020603050405020304"/>
            <a:ea typeface="宋体" panose="02010600030101010101" charset="-122"/>
          </a:endParaRPr>
        </a:p>
        <a:p>
          <a:pPr marR="0" lvl="0" algn="ctr" defTabSz="488950" rtl="0">
            <a:lnSpc>
              <a:spcPct val="90000"/>
            </a:lnSpc>
            <a:spcBef>
              <a:spcPct val="0"/>
            </a:spcBef>
            <a:spcAft>
              <a:spcPct val="35000"/>
            </a:spcAft>
          </a:pPr>
          <a:r>
            <a:rPr lang="zh-CN" altLang="en-US" sz="1100" kern="100" baseline="0" smtClean="0">
              <a:latin typeface="Calibri" panose="020F0502020204030204"/>
              <a:ea typeface="宋体" panose="02010600030101010101" charset="-122"/>
            </a:rPr>
            <a:t>确定方法</a:t>
          </a:r>
          <a:endParaRPr lang="zh-CN" altLang="en-US" sz="1100" smtClean="0"/>
        </a:p>
      </dsp:txBody>
      <dsp:txXfrm>
        <a:off x="2942689" y="1056295"/>
        <a:ext cx="810123" cy="405061"/>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1">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nodeVertAlign" val="t"/>
          <dgm:param type="vertAlign" val="mid"/>
          <dgm:param type="nodeHorzAlign" val="l"/>
          <dgm:param type="fallback" val="2D"/>
        </dgm:alg>
      </dgm:if>
      <dgm:else name="Name3">
        <dgm:alg type="lin">
          <dgm:param type="linDir" val="fromT"/>
          <dgm:param type="nodeVertAlign" val="t"/>
          <dgm:param type="vertAlign" val="mid"/>
          <dgm:param type="nodeHorzAlign" val="r"/>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VertAlign" val="mid"/>
              <dgm:param type="nodeHorzAlign" val="l"/>
              <dgm:param type="fallback" val="2D"/>
            </dgm:alg>
          </dgm:if>
          <dgm:else name="Name7">
            <dgm:alg type="lin">
              <dgm:param type="linDir" val="fromR"/>
              <dgm:param type="nodeVertAlign" val="mid"/>
              <dgm:param type="nodeHorzAlign" val="r"/>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type="chevron" r:blip="" rot="180">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type="chevron" r:blip="" rot="180">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1">
  <dgm:title val=""/>
  <dgm:desc val=""/>
  <dgm:catLst>
    <dgm:cat type="simple" pri="105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3">
        <a:scrgbClr r="0" g="0" b="0"/>
      </a:effectRef>
      <a:fontRef idx="minor">
        <a:schemeClr val="lt1"/>
      </a:fontRef>
    </dgm:style>
  </dgm:styleLbl>
  <dgm:styleLbl name="asst0">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b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callout">
    <dgm:scene3d>
      <a:camera prst="orthographicFront"/>
      <a:lightRig rig="threePt" dir="t"/>
    </dgm:scene3d>
    <dgm:txPr/>
    <dgm:style>
      <a:lnRef idx="1">
        <a:scrgbClr r="0" g="0" b="0"/>
      </a:lnRef>
      <a:fillRef idx="0">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3">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2">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2">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3">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3">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0">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3">
        <a:scrgbClr r="0" g="0" b="0"/>
      </a:effectRef>
      <a:fontRef idx="minor">
        <a:schemeClr val="lt1"/>
      </a:fontRef>
    </dgm:style>
  </dgm:styleLbl>
  <dgm:styleLbl name="solidAlign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3">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3">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AD9389-AE1E-4D76-97E6-CD825225286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3378</Words>
  <Characters>19256</Characters>
  <Lines>160</Lines>
  <Paragraphs>45</Paragraphs>
  <TotalTime>48</TotalTime>
  <ScaleCrop>false</ScaleCrop>
  <LinksUpToDate>false</LinksUpToDate>
  <CharactersWithSpaces>22589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2017-03-24T03:47:00Z</dcterms:created>
  <dc:creator>lhn</dc:creator>
  <cp:lastModifiedBy>Administrator</cp:lastModifiedBy>
  <cp:lastPrinted>2017-04-06T13:35:00Z</cp:lastPrinted>
  <dcterms:modified xsi:type="dcterms:W3CDTF">2018-10-25T03:03:49Z</dcterms:modified>
  <dc:title>财政支出绩效评价报告</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