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3E" w:rsidRDefault="009F54FC">
      <w:pPr>
        <w:jc w:val="center"/>
        <w:outlineLvl w:val="0"/>
        <w:rPr>
          <w:rFonts w:ascii="仿宋" w:eastAsia="仿宋" w:hAnsi="仿宋" w:cs="仿宋"/>
          <w:b/>
          <w:bCs/>
          <w:sz w:val="30"/>
          <w:szCs w:val="30"/>
        </w:rPr>
      </w:pPr>
      <w:bookmarkStart w:id="0" w:name="_Toc4871"/>
      <w:r>
        <w:rPr>
          <w:rFonts w:ascii="仿宋" w:eastAsia="仿宋" w:hAnsi="仿宋" w:cs="仿宋" w:hint="eastAsia"/>
          <w:b/>
          <w:bCs/>
          <w:sz w:val="30"/>
          <w:szCs w:val="30"/>
        </w:rPr>
        <w:t>武昌区2019年人民调解经费绩效评价综合评分表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28"/>
        <w:gridCol w:w="517"/>
        <w:gridCol w:w="747"/>
        <w:gridCol w:w="1033"/>
        <w:gridCol w:w="3203"/>
        <w:gridCol w:w="3889"/>
        <w:gridCol w:w="850"/>
        <w:gridCol w:w="731"/>
        <w:gridCol w:w="2676"/>
      </w:tblGrid>
      <w:tr w:rsidR="0066663E">
        <w:trPr>
          <w:trHeight w:val="588"/>
          <w:tblHeader/>
        </w:trPr>
        <w:tc>
          <w:tcPr>
            <w:tcW w:w="186"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一级</w:t>
            </w:r>
            <w:r>
              <w:rPr>
                <w:rFonts w:ascii="仿宋" w:eastAsia="仿宋" w:hAnsi="仿宋" w:cs="宋体" w:hint="eastAsia"/>
                <w:b/>
                <w:bCs/>
                <w:kern w:val="0"/>
                <w:sz w:val="22"/>
                <w:szCs w:val="22"/>
              </w:rPr>
              <w:br/>
              <w:t>指标</w:t>
            </w:r>
          </w:p>
        </w:tc>
        <w:tc>
          <w:tcPr>
            <w:tcW w:w="182"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二级</w:t>
            </w:r>
            <w:r>
              <w:rPr>
                <w:rFonts w:ascii="仿宋" w:eastAsia="仿宋" w:hAnsi="仿宋" w:cs="宋体" w:hint="eastAsia"/>
                <w:b/>
                <w:bCs/>
                <w:kern w:val="0"/>
                <w:sz w:val="22"/>
                <w:szCs w:val="22"/>
              </w:rPr>
              <w:br/>
              <w:t>指标</w:t>
            </w:r>
          </w:p>
        </w:tc>
        <w:tc>
          <w:tcPr>
            <w:tcW w:w="262"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三级指标</w:t>
            </w:r>
          </w:p>
        </w:tc>
        <w:tc>
          <w:tcPr>
            <w:tcW w:w="364"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分值</w:t>
            </w:r>
          </w:p>
        </w:tc>
        <w:tc>
          <w:tcPr>
            <w:tcW w:w="1130"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指标解释</w:t>
            </w:r>
          </w:p>
        </w:tc>
        <w:tc>
          <w:tcPr>
            <w:tcW w:w="1371"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指标评价标准</w:t>
            </w:r>
          </w:p>
        </w:tc>
        <w:tc>
          <w:tcPr>
            <w:tcW w:w="300"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目标值</w:t>
            </w:r>
          </w:p>
        </w:tc>
        <w:tc>
          <w:tcPr>
            <w:tcW w:w="258"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评分值</w:t>
            </w:r>
          </w:p>
        </w:tc>
        <w:tc>
          <w:tcPr>
            <w:tcW w:w="944" w:type="pct"/>
            <w:shd w:val="clear" w:color="000000" w:fill="FFFFFF"/>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评分细则</w:t>
            </w:r>
          </w:p>
        </w:tc>
      </w:tr>
      <w:tr w:rsidR="0066663E">
        <w:trPr>
          <w:trHeight w:val="321"/>
        </w:trPr>
        <w:tc>
          <w:tcPr>
            <w:tcW w:w="186" w:type="pct"/>
            <w:vMerge w:val="restart"/>
            <w:shd w:val="clear" w:color="000000" w:fill="FFFFFF"/>
            <w:noWrap/>
            <w:textDirection w:val="tbRlV"/>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投入（14分）</w:t>
            </w:r>
          </w:p>
        </w:tc>
        <w:tc>
          <w:tcPr>
            <w:tcW w:w="18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项目立项</w:t>
            </w: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项目立项规范性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4分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资金使用的申请、项目设立过程是否符合相关要求，用以反映和考核项目立项的规范情况</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①项目实施是否有规划，实施方案；</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立项规范</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restar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具备并符合各评价要点要求的得相应的分值，没有或不符合要求的不得分。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②项目是否为促进调解工作所必需；</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③实施项目前是否已经过必要的调查研究、党委政府集体决策等；</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④项目是否与部门的基本职能和工作计划相适应。</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绩效目标</w:t>
            </w:r>
            <w:r>
              <w:rPr>
                <w:rFonts w:ascii="仿宋" w:eastAsia="仿宋" w:hAnsi="仿宋" w:cs="宋体" w:hint="eastAsia"/>
                <w:kern w:val="0"/>
                <w:sz w:val="22"/>
                <w:szCs w:val="22"/>
              </w:rPr>
              <w:lastRenderedPageBreak/>
              <w:t>合理性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4分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项目是否设定绩效目标和绩效指标，所设定的绩效目标和指标</w:t>
            </w:r>
            <w:r>
              <w:rPr>
                <w:rFonts w:ascii="仿宋" w:eastAsia="仿宋" w:hAnsi="仿宋" w:cs="宋体" w:hint="eastAsia"/>
                <w:kern w:val="0"/>
                <w:sz w:val="22"/>
                <w:szCs w:val="22"/>
              </w:rPr>
              <w:lastRenderedPageBreak/>
              <w:t>是否符合实际，用以反映和考核项目绩效目标与项目实施的相符程度</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lastRenderedPageBreak/>
              <w:t>①是否设定长期目标、年度目标和绩效指标；</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目标合理</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0.5</w:t>
            </w:r>
          </w:p>
        </w:tc>
        <w:tc>
          <w:tcPr>
            <w:tcW w:w="944" w:type="pct"/>
            <w:vMerge w:val="restar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w:t>
            </w:r>
            <w:r>
              <w:rPr>
                <w:rFonts w:ascii="仿宋" w:eastAsia="仿宋" w:hAnsi="仿宋" w:cs="宋体" w:hint="eastAsia"/>
                <w:kern w:val="0"/>
                <w:sz w:val="22"/>
                <w:szCs w:val="22"/>
              </w:rPr>
              <w:lastRenderedPageBreak/>
              <w:t>或不符合要求的不得分。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②目标和指标的设计是否符合目标管理规范；</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0.5</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③根据绩效目标和完成情况的对比考核目标设立的合理性；</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④绩效目标是否具有可测性。</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资金落实</w:t>
            </w:r>
          </w:p>
        </w:tc>
        <w:tc>
          <w:tcPr>
            <w:tcW w:w="262"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资金到位率</w:t>
            </w:r>
          </w:p>
        </w:tc>
        <w:tc>
          <w:tcPr>
            <w:tcW w:w="364"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3分</w:t>
            </w:r>
          </w:p>
        </w:tc>
        <w:tc>
          <w:tcPr>
            <w:tcW w:w="1130"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实际到位资金与计划投入资金的比率，用以反映和考核资金落实情况对项目实施的总体保障程度</w:t>
            </w: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财政专项资金到位率%；</w:t>
            </w:r>
          </w:p>
        </w:tc>
        <w:tc>
          <w:tcPr>
            <w:tcW w:w="300"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100%</w:t>
            </w:r>
          </w:p>
        </w:tc>
        <w:tc>
          <w:tcPr>
            <w:tcW w:w="258"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944" w:type="pct"/>
            <w:vMerge w:val="restar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按项目年内预算资金到位情况，全部到位的得满分，≥95%得2.5分，95%～90%得2分，95%～80%</w:t>
            </w:r>
            <w:r>
              <w:rPr>
                <w:rFonts w:ascii="仿宋" w:eastAsia="仿宋" w:hAnsi="仿宋" w:cs="宋体" w:hint="eastAsia"/>
                <w:kern w:val="0"/>
                <w:sz w:val="22"/>
                <w:szCs w:val="22"/>
              </w:rPr>
              <w:lastRenderedPageBreak/>
              <w:t>得1.5分，小于80%不得分。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资金到位率=（实际到位资金/计划投入资金）×100%。</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vMerge/>
            <w:vAlign w:val="center"/>
          </w:tcPr>
          <w:p w:rsidR="0066663E" w:rsidRDefault="0066663E">
            <w:pPr>
              <w:widowControl/>
              <w:jc w:val="left"/>
              <w:rPr>
                <w:rFonts w:ascii="仿宋" w:eastAsia="仿宋" w:hAnsi="仿宋" w:cs="宋体"/>
                <w:kern w:val="0"/>
                <w:sz w:val="22"/>
                <w:szCs w:val="22"/>
              </w:rPr>
            </w:pP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实际到位资金：一定时期（本年度或项</w:t>
            </w:r>
            <w:r>
              <w:rPr>
                <w:rFonts w:ascii="仿宋" w:eastAsia="仿宋" w:hAnsi="仿宋" w:cs="宋体" w:hint="eastAsia"/>
                <w:kern w:val="0"/>
                <w:sz w:val="22"/>
                <w:szCs w:val="22"/>
              </w:rPr>
              <w:lastRenderedPageBreak/>
              <w:t>目期）内实际落实到具体项目的资金。</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vMerge/>
            <w:vAlign w:val="center"/>
          </w:tcPr>
          <w:p w:rsidR="0066663E" w:rsidRDefault="0066663E">
            <w:pPr>
              <w:widowControl/>
              <w:jc w:val="left"/>
              <w:rPr>
                <w:rFonts w:ascii="仿宋" w:eastAsia="仿宋" w:hAnsi="仿宋" w:cs="宋体"/>
                <w:kern w:val="0"/>
                <w:sz w:val="22"/>
                <w:szCs w:val="22"/>
              </w:rPr>
            </w:pP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计划投入资金：一定时期（本年度或项目期）内计划投入到具体项目的资金。                                                   </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vMerge/>
            <w:vAlign w:val="center"/>
          </w:tcPr>
          <w:p w:rsidR="0066663E" w:rsidRDefault="0066663E">
            <w:pPr>
              <w:widowControl/>
              <w:jc w:val="left"/>
              <w:rPr>
                <w:rFonts w:ascii="仿宋" w:eastAsia="仿宋" w:hAnsi="仿宋" w:cs="宋体"/>
                <w:kern w:val="0"/>
                <w:sz w:val="22"/>
                <w:szCs w:val="22"/>
              </w:rPr>
            </w:pP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预算执行率    </w:t>
            </w:r>
          </w:p>
        </w:tc>
        <w:tc>
          <w:tcPr>
            <w:tcW w:w="364"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3分</w:t>
            </w:r>
          </w:p>
        </w:tc>
        <w:tc>
          <w:tcPr>
            <w:tcW w:w="1130"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实际支出与实际到位预算比，反映年度项目到位预算资金的实际支出完成程度</w:t>
            </w: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年度项目资金预算执行率%</w:t>
            </w:r>
          </w:p>
        </w:tc>
        <w:tc>
          <w:tcPr>
            <w:tcW w:w="300" w:type="pc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100%</w:t>
            </w:r>
          </w:p>
        </w:tc>
        <w:tc>
          <w:tcPr>
            <w:tcW w:w="258"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944"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按项目年内预算执行（使用）情况，全部执行到位的得满分，≥95%得2.5分，95%～90%得2分，95%～80%得1.5分，小于80%不得分。</w:t>
            </w:r>
          </w:p>
        </w:tc>
      </w:tr>
      <w:tr w:rsidR="0066663E">
        <w:trPr>
          <w:trHeight w:val="624"/>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预算执行率=实际支出/实际到位预算。实际支出指年度完成资金拨付和支出，到位预算指年度计划完成投入。</w:t>
            </w:r>
          </w:p>
        </w:tc>
        <w:tc>
          <w:tcPr>
            <w:tcW w:w="300"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58" w:type="pct"/>
            <w:vMerge/>
            <w:vAlign w:val="center"/>
          </w:tcPr>
          <w:p w:rsidR="0066663E" w:rsidRDefault="0066663E">
            <w:pPr>
              <w:widowControl/>
              <w:jc w:val="left"/>
              <w:rPr>
                <w:rFonts w:ascii="仿宋" w:eastAsia="仿宋" w:hAnsi="仿宋" w:cs="宋体"/>
                <w:kern w:val="0"/>
                <w:sz w:val="22"/>
                <w:szCs w:val="22"/>
              </w:rPr>
            </w:pP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restart"/>
            <w:shd w:val="clear" w:color="000000" w:fill="FFFFFF"/>
            <w:noWrap/>
            <w:textDirection w:val="tbRlV"/>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过  程（26分）</w:t>
            </w:r>
          </w:p>
        </w:tc>
        <w:tc>
          <w:tcPr>
            <w:tcW w:w="18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项目业务管理</w:t>
            </w: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管理制度健全性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项目实施单位的业务管理制度、组织机构是否健全，用以反映和考核业务管理制度及岗位职责对项目顺利实施的保障情况</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①是否已制定或具有相应的业务管理制度；</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制度健全</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0.5</w:t>
            </w:r>
          </w:p>
        </w:tc>
        <w:tc>
          <w:tcPr>
            <w:tcW w:w="94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具备并符合各评价要点要求的得相应的分值，没有或不符合要求不得分。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②项目管理制度是否合法、合规、完整。</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0.5</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③所内机构是否健全、分工是否明确、职责是否清晰；</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制度执行有效性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7分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项目实施是否符合相关项目管理规定，用以反映和考核业务管理制度的有效执行情况</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①是否遵守相关法律法规和业务管理规定；</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执行有效</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具备并符合各评价要点要求的得相应的分值，没有或不符合要求不得分。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②是否严格执行项目业务管理范围</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③人民调解案例等资料是否齐全并及</w:t>
            </w:r>
            <w:r>
              <w:rPr>
                <w:rFonts w:ascii="仿宋" w:eastAsia="仿宋" w:hAnsi="仿宋" w:cs="宋体" w:hint="eastAsia"/>
                <w:kern w:val="0"/>
                <w:sz w:val="22"/>
                <w:szCs w:val="22"/>
              </w:rPr>
              <w:lastRenderedPageBreak/>
              <w:t>时归档；</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④项目实施的人员条件、场地设备、信息支撑等是否落实到位。</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项目质量可控性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项目实施单位是否为达到项目质量要求而采取了必需的措施,用以反映和考核项目实施单位对项目质量的控制情况</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①是否已制定或具有相应的人民调解质量要求或标准；</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质量可控</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具备并符合各评价要点要求的得相应的分值，没有或不符合要求不得分。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②是否采取了相应的项目质量检查等必需的控制措施或手段。</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w:t>
            </w:r>
            <w:r>
              <w:rPr>
                <w:rFonts w:ascii="仿宋" w:eastAsia="仿宋" w:hAnsi="仿宋" w:cs="宋体" w:hint="eastAsia"/>
                <w:kern w:val="0"/>
                <w:sz w:val="22"/>
                <w:szCs w:val="22"/>
              </w:rPr>
              <w:lastRenderedPageBreak/>
              <w:t>财务</w:t>
            </w:r>
            <w:r>
              <w:rPr>
                <w:rFonts w:ascii="仿宋" w:eastAsia="仿宋" w:hAnsi="仿宋" w:cs="宋体" w:hint="eastAsia"/>
                <w:kern w:val="0"/>
                <w:sz w:val="22"/>
                <w:szCs w:val="22"/>
              </w:rPr>
              <w:br/>
              <w:t>管理</w:t>
            </w: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管理制度</w:t>
            </w:r>
            <w:r>
              <w:rPr>
                <w:rFonts w:ascii="仿宋" w:eastAsia="仿宋" w:hAnsi="仿宋" w:cs="宋体" w:hint="eastAsia"/>
                <w:kern w:val="0"/>
                <w:sz w:val="22"/>
                <w:szCs w:val="22"/>
              </w:rPr>
              <w:lastRenderedPageBreak/>
              <w:t>健全性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2分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项目实施单位的财务制度是否健全，用以反映和考核财务管理</w:t>
            </w:r>
            <w:r>
              <w:rPr>
                <w:rFonts w:ascii="仿宋" w:eastAsia="仿宋" w:hAnsi="仿宋" w:cs="宋体" w:hint="eastAsia"/>
                <w:kern w:val="0"/>
                <w:sz w:val="22"/>
                <w:szCs w:val="22"/>
              </w:rPr>
              <w:lastRenderedPageBreak/>
              <w:t>制度对资金规范、安全运行的保障情况</w:t>
            </w: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lastRenderedPageBreak/>
              <w:t>①是否已制定相应的项目资金管理办法；</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制度健全</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w:t>
            </w:r>
            <w:r>
              <w:rPr>
                <w:rFonts w:ascii="仿宋" w:eastAsia="仿宋" w:hAnsi="仿宋" w:cs="宋体" w:hint="eastAsia"/>
                <w:kern w:val="0"/>
                <w:sz w:val="22"/>
                <w:szCs w:val="22"/>
              </w:rPr>
              <w:lastRenderedPageBreak/>
              <w:t>或不符合要求不得分。</w:t>
            </w:r>
          </w:p>
        </w:tc>
      </w:tr>
      <w:tr w:rsidR="0066663E">
        <w:trPr>
          <w:trHeight w:val="336"/>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②项目资金管理办法是否符合相关财务会计制度的规定。</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资金使用合规性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7分</w:t>
            </w:r>
          </w:p>
        </w:tc>
        <w:tc>
          <w:tcPr>
            <w:tcW w:w="113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项目资金使用是否符合相关的财务管理制度规定，用以反映和考核项目资金的规范运行情况</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①是否符合国家财经法规和财务管理制度以及有关专项资金管理办法的规定；</w:t>
            </w:r>
          </w:p>
        </w:tc>
        <w:tc>
          <w:tcPr>
            <w:tcW w:w="300"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使用合规</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具备并符合各评价要点要求的得相应的分值，没有或不符合要求不得分。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②资金的使用是否有完整的审批程序和报销手续；</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③是否符合项目预算批复的用途、标准使用资金；</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④是否存在截留、挤占、挪用、虚列支出等情况。</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财务监控有效性</w:t>
            </w:r>
          </w:p>
        </w:tc>
        <w:tc>
          <w:tcPr>
            <w:tcW w:w="36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5分</w:t>
            </w:r>
          </w:p>
        </w:tc>
        <w:tc>
          <w:tcPr>
            <w:tcW w:w="1130" w:type="pct"/>
            <w:vMerge w:val="restart"/>
            <w:shd w:val="clear" w:color="000000" w:fill="FFFFFF"/>
            <w:vAlign w:val="center"/>
          </w:tcPr>
          <w:p w:rsidR="0066663E" w:rsidRDefault="0066663E">
            <w:pPr>
              <w:widowControl/>
              <w:jc w:val="center"/>
              <w:rPr>
                <w:rFonts w:ascii="仿宋" w:eastAsia="仿宋" w:hAnsi="仿宋" w:cs="宋体"/>
                <w:kern w:val="0"/>
                <w:sz w:val="22"/>
                <w:szCs w:val="22"/>
              </w:rPr>
            </w:pPr>
          </w:p>
          <w:p w:rsidR="0066663E" w:rsidRDefault="0066663E">
            <w:pPr>
              <w:widowControl/>
              <w:jc w:val="center"/>
              <w:rPr>
                <w:rFonts w:ascii="仿宋" w:eastAsia="仿宋" w:hAnsi="仿宋" w:cs="宋体"/>
                <w:kern w:val="0"/>
                <w:sz w:val="22"/>
                <w:szCs w:val="22"/>
              </w:rPr>
            </w:pPr>
          </w:p>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项目实施单位是否为保障资金的安全、规范运行而采取了必要的监控措施，用以反映和考核项目实施单位对资金运行的控制情况</w:t>
            </w:r>
          </w:p>
          <w:p w:rsidR="0066663E" w:rsidRDefault="0066663E">
            <w:pPr>
              <w:widowControl/>
              <w:jc w:val="center"/>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lastRenderedPageBreak/>
              <w:t>①是否已制定或具有相应的财务管理监控机制；</w:t>
            </w:r>
          </w:p>
        </w:tc>
        <w:tc>
          <w:tcPr>
            <w:tcW w:w="300" w:type="pct"/>
            <w:vMerge w:val="restar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监控有效</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4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具备并符合各评价要点要求的得相应的分值，没有或不符合要求不得分。</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vMerge/>
            <w:vAlign w:val="center"/>
          </w:tcPr>
          <w:p w:rsidR="0066663E" w:rsidRDefault="0066663E">
            <w:pPr>
              <w:widowControl/>
              <w:jc w:val="left"/>
              <w:rPr>
                <w:rFonts w:ascii="仿宋" w:eastAsia="仿宋" w:hAnsi="仿宋" w:cs="宋体"/>
                <w:kern w:val="0"/>
                <w:sz w:val="22"/>
                <w:szCs w:val="22"/>
              </w:rPr>
            </w:pPr>
          </w:p>
        </w:tc>
        <w:tc>
          <w:tcPr>
            <w:tcW w:w="1130" w:type="pct"/>
            <w:vMerge/>
            <w:vAlign w:val="center"/>
          </w:tcPr>
          <w:p w:rsidR="0066663E" w:rsidRDefault="0066663E">
            <w:pPr>
              <w:widowControl/>
              <w:jc w:val="left"/>
              <w:rPr>
                <w:rFonts w:ascii="仿宋" w:eastAsia="仿宋" w:hAnsi="仿宋" w:cs="宋体"/>
                <w:kern w:val="0"/>
                <w:sz w:val="22"/>
                <w:szCs w:val="22"/>
              </w:rPr>
            </w:pP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②是否采取了相应的财务检查等必要的监控措施或手段（包括内控检查、财务审计、绩效自评等）。</w:t>
            </w:r>
          </w:p>
        </w:tc>
        <w:tc>
          <w:tcPr>
            <w:tcW w:w="300" w:type="pct"/>
            <w:vMerge/>
            <w:vAlign w:val="center"/>
          </w:tcPr>
          <w:p w:rsidR="0066663E" w:rsidRDefault="0066663E">
            <w:pPr>
              <w:widowControl/>
              <w:jc w:val="left"/>
              <w:rPr>
                <w:rFonts w:ascii="仿宋" w:eastAsia="仿宋" w:hAnsi="仿宋" w:cs="宋体"/>
                <w:kern w:val="0"/>
                <w:sz w:val="22"/>
                <w:szCs w:val="22"/>
              </w:rPr>
            </w:pP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540"/>
        </w:trPr>
        <w:tc>
          <w:tcPr>
            <w:tcW w:w="186" w:type="pct"/>
            <w:vMerge w:val="restart"/>
            <w:shd w:val="clear" w:color="000000" w:fill="FFFFFF"/>
            <w:noWrap/>
            <w:textDirection w:val="tbRlV"/>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产 出（40分）</w:t>
            </w:r>
          </w:p>
        </w:tc>
        <w:tc>
          <w:tcPr>
            <w:tcW w:w="18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w:t>
            </w:r>
            <w:r>
              <w:rPr>
                <w:rFonts w:ascii="仿宋" w:eastAsia="仿宋" w:hAnsi="仿宋" w:cs="宋体" w:hint="eastAsia"/>
                <w:kern w:val="0"/>
                <w:sz w:val="22"/>
                <w:szCs w:val="22"/>
              </w:rPr>
              <w:br/>
              <w:t>产出</w:t>
            </w: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数量指标</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调解故事案例报送</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调解案例80篇，调解故事192篇</w:t>
            </w:r>
          </w:p>
        </w:tc>
        <w:tc>
          <w:tcPr>
            <w:tcW w:w="300" w:type="pct"/>
            <w:shd w:val="clear" w:color="auto" w:fill="auto"/>
            <w:noWrap/>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完成计划数满分，少一篇扣0.5分，扣完为止。</w:t>
            </w:r>
          </w:p>
        </w:tc>
      </w:tr>
      <w:tr w:rsidR="0066663E">
        <w:trPr>
          <w:trHeight w:val="456"/>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调解社会敏感纠纷</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司法所每季度1件，共56件</w:t>
            </w:r>
          </w:p>
        </w:tc>
        <w:tc>
          <w:tcPr>
            <w:tcW w:w="300" w:type="pc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56件</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完成计划数满分，少五篇扣0.5分，扣完为止。</w:t>
            </w:r>
          </w:p>
        </w:tc>
      </w:tr>
      <w:tr w:rsidR="0066663E">
        <w:trPr>
          <w:trHeight w:val="540"/>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街道调委会协议履行率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街道调委会协议履行率%</w:t>
            </w:r>
          </w:p>
        </w:tc>
        <w:tc>
          <w:tcPr>
            <w:tcW w:w="300" w:type="pc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95%</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街道调委会协议履行率≥95%满分，每下降5个点，扣1分，扣完为止。</w:t>
            </w:r>
          </w:p>
        </w:tc>
      </w:tr>
      <w:tr w:rsidR="0066663E">
        <w:trPr>
          <w:trHeight w:val="480"/>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司法所培训次数</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组织司法所工作人员集中培训不少于1</w:t>
            </w:r>
            <w:r>
              <w:rPr>
                <w:rFonts w:ascii="仿宋" w:eastAsia="仿宋" w:hAnsi="仿宋" w:cs="宋体" w:hint="eastAsia"/>
                <w:kern w:val="0"/>
                <w:sz w:val="22"/>
                <w:szCs w:val="22"/>
              </w:rPr>
              <w:lastRenderedPageBreak/>
              <w:t>次，业务培训时间累计不少于2天。</w:t>
            </w:r>
          </w:p>
        </w:tc>
        <w:tc>
          <w:tcPr>
            <w:tcW w:w="300" w:type="pc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1次</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完成计划数满分，没完成</w:t>
            </w:r>
            <w:r>
              <w:rPr>
                <w:rFonts w:ascii="仿宋" w:eastAsia="仿宋" w:hAnsi="仿宋" w:cs="宋体" w:hint="eastAsia"/>
                <w:kern w:val="0"/>
                <w:sz w:val="22"/>
                <w:szCs w:val="22"/>
              </w:rPr>
              <w:lastRenderedPageBreak/>
              <w:t>不得分。</w:t>
            </w:r>
          </w:p>
        </w:tc>
      </w:tr>
      <w:tr w:rsidR="0066663E">
        <w:trPr>
          <w:trHeight w:val="516"/>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制作人民调解案卷数量</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每月每个司法所不少于一本，共168本</w:t>
            </w:r>
          </w:p>
        </w:tc>
        <w:tc>
          <w:tcPr>
            <w:tcW w:w="300" w:type="pct"/>
            <w:shd w:val="clear" w:color="auto" w:fill="auto"/>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168本</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完成计划数满分，少一本扣0.5分，扣完为止。</w:t>
            </w:r>
          </w:p>
        </w:tc>
      </w:tr>
      <w:tr w:rsidR="0066663E">
        <w:trPr>
          <w:trHeight w:val="744"/>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人民调解系统录入率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调解纠纷随调随录，平台录入量不少于报表统计总数90%</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90%</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4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人民调解系统录入率≥90%的满分，每下降5个点，扣1分，扣完为止。</w:t>
            </w:r>
          </w:p>
        </w:tc>
      </w:tr>
      <w:tr w:rsidR="0066663E">
        <w:trPr>
          <w:trHeight w:val="672"/>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质量指标</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6分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人民调解纠纷案件成功率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化解各类矛盾纠纷</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99%</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94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人民调解纠纷案件成功率≥99%的满分，每下降5个点，扣1分，扣完为止。</w:t>
            </w:r>
          </w:p>
        </w:tc>
      </w:tr>
      <w:tr w:rsidR="0066663E">
        <w:trPr>
          <w:trHeight w:val="684"/>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8分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卷宗质量合格率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卷宗的合格率为90%以上</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100%</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944"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卷宗质量合格率≥100%的满分，未达到合格不得分。</w:t>
            </w:r>
          </w:p>
          <w:p w:rsidR="0066663E" w:rsidRDefault="0066663E">
            <w:pPr>
              <w:widowControl/>
              <w:jc w:val="left"/>
              <w:rPr>
                <w:rFonts w:ascii="仿宋" w:eastAsia="仿宋" w:hAnsi="仿宋" w:cs="宋体"/>
                <w:kern w:val="0"/>
                <w:sz w:val="22"/>
                <w:szCs w:val="22"/>
              </w:rPr>
            </w:pPr>
          </w:p>
        </w:tc>
      </w:tr>
      <w:tr w:rsidR="0066663E">
        <w:trPr>
          <w:trHeight w:val="432"/>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6分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调解员年度考核优秀率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年度考核优秀比例上浮至20%。</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944"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调解员年度考核优秀率≥20%的满分，每下降5个点，扣1分，扣完为止。</w:t>
            </w:r>
          </w:p>
        </w:tc>
      </w:tr>
      <w:tr w:rsidR="0066663E">
        <w:trPr>
          <w:trHeight w:val="804"/>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时效指标</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3分</w:t>
            </w:r>
          </w:p>
        </w:tc>
        <w:tc>
          <w:tcPr>
            <w:tcW w:w="1130"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调解经费支出及时性</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收到卷宗后一个月内终审确定等次，按月发放奖金</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944"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1月个之内发放的满分，每延后1天扣0.5分，扣完为止。</w:t>
            </w:r>
          </w:p>
        </w:tc>
      </w:tr>
      <w:tr w:rsidR="0066663E">
        <w:trPr>
          <w:trHeight w:val="672"/>
        </w:trPr>
        <w:tc>
          <w:tcPr>
            <w:tcW w:w="186" w:type="pct"/>
            <w:vMerge/>
            <w:vAlign w:val="center"/>
          </w:tcPr>
          <w:p w:rsidR="0066663E" w:rsidRDefault="0066663E">
            <w:pPr>
              <w:widowControl/>
              <w:jc w:val="center"/>
              <w:rPr>
                <w:rFonts w:ascii="仿宋" w:eastAsia="仿宋" w:hAnsi="仿宋" w:cs="宋体"/>
                <w:kern w:val="0"/>
                <w:sz w:val="22"/>
                <w:szCs w:val="22"/>
              </w:rPr>
            </w:pPr>
          </w:p>
        </w:tc>
        <w:tc>
          <w:tcPr>
            <w:tcW w:w="182" w:type="pct"/>
            <w:vMerge/>
            <w:vAlign w:val="center"/>
          </w:tcPr>
          <w:p w:rsidR="0066663E" w:rsidRDefault="0066663E">
            <w:pPr>
              <w:widowControl/>
              <w:jc w:val="center"/>
              <w:rPr>
                <w:rFonts w:ascii="仿宋" w:eastAsia="仿宋" w:hAnsi="仿宋" w:cs="宋体"/>
                <w:kern w:val="0"/>
                <w:sz w:val="22"/>
                <w:szCs w:val="22"/>
              </w:rPr>
            </w:pPr>
          </w:p>
        </w:tc>
        <w:tc>
          <w:tcPr>
            <w:tcW w:w="262"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成本指标</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4分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人民调解办案补贴发放准确率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按照《武昌区人民调解员以奖代补实施办法》（武昌调字﹝2019﹞1号）标准发放</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准确</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944"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对照年度计划目标，按完成计划目标比率得相应的分值。</w:t>
            </w:r>
          </w:p>
        </w:tc>
      </w:tr>
      <w:tr w:rsidR="0066663E">
        <w:trPr>
          <w:trHeight w:val="321"/>
        </w:trPr>
        <w:tc>
          <w:tcPr>
            <w:tcW w:w="186" w:type="pct"/>
            <w:vMerge w:val="restart"/>
            <w:shd w:val="clear" w:color="000000" w:fill="FFFFFF"/>
            <w:noWrap/>
            <w:textDirection w:val="tbRlV"/>
            <w:vAlign w:val="center"/>
          </w:tcPr>
          <w:p w:rsidR="0066663E" w:rsidRDefault="009F54FC" w:rsidP="001409A6">
            <w:pPr>
              <w:widowControl/>
              <w:spacing w:beforeLines="100" w:before="312"/>
              <w:ind w:right="113"/>
              <w:jc w:val="center"/>
              <w:rPr>
                <w:rFonts w:ascii="仿宋" w:eastAsia="仿宋" w:hAnsi="仿宋" w:cs="宋体"/>
                <w:kern w:val="0"/>
                <w:sz w:val="22"/>
                <w:szCs w:val="22"/>
              </w:rPr>
            </w:pPr>
            <w:r>
              <w:rPr>
                <w:rFonts w:ascii="仿宋" w:eastAsia="仿宋" w:hAnsi="仿宋" w:cs="宋体" w:hint="eastAsia"/>
                <w:kern w:val="0"/>
                <w:sz w:val="22"/>
                <w:szCs w:val="22"/>
              </w:rPr>
              <w:t>效果（20分）</w:t>
            </w:r>
          </w:p>
        </w:tc>
        <w:tc>
          <w:tcPr>
            <w:tcW w:w="18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项目效益</w:t>
            </w:r>
          </w:p>
        </w:tc>
        <w:tc>
          <w:tcPr>
            <w:tcW w:w="262"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社会效益</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人民调解的便捷性</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人民调解快捷、高效、低成本</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提升</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944" w:type="pct"/>
            <w:vMerge w:val="restar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对照年度计划目标，按完成计划目标比率得相应的分值。</w:t>
            </w:r>
          </w:p>
        </w:tc>
      </w:tr>
      <w:tr w:rsidR="0066663E">
        <w:trPr>
          <w:trHeight w:val="321"/>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vMerge/>
            <w:vAlign w:val="center"/>
          </w:tcPr>
          <w:p w:rsidR="0066663E" w:rsidRDefault="0066663E">
            <w:pPr>
              <w:widowControl/>
              <w:jc w:val="left"/>
              <w:rPr>
                <w:rFonts w:ascii="仿宋" w:eastAsia="仿宋" w:hAnsi="仿宋" w:cs="宋体"/>
                <w:kern w:val="0"/>
                <w:sz w:val="22"/>
                <w:szCs w:val="22"/>
              </w:rPr>
            </w:pP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人民调解社会稳控率</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妥善化解各类矛盾纠纷，进一步维护社会和谐稳定</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加强</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944" w:type="pct"/>
            <w:vMerge/>
            <w:vAlign w:val="center"/>
          </w:tcPr>
          <w:p w:rsidR="0066663E" w:rsidRDefault="0066663E">
            <w:pPr>
              <w:widowControl/>
              <w:jc w:val="left"/>
              <w:rPr>
                <w:rFonts w:ascii="仿宋" w:eastAsia="仿宋" w:hAnsi="仿宋" w:cs="宋体"/>
                <w:kern w:val="0"/>
                <w:sz w:val="22"/>
                <w:szCs w:val="22"/>
              </w:rPr>
            </w:pPr>
          </w:p>
        </w:tc>
      </w:tr>
      <w:tr w:rsidR="0066663E">
        <w:trPr>
          <w:trHeight w:val="576"/>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可持续影响</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5分</w:t>
            </w:r>
          </w:p>
        </w:tc>
        <w:tc>
          <w:tcPr>
            <w:tcW w:w="1130" w:type="pct"/>
            <w:shd w:val="clear" w:color="auto" w:fill="auto"/>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可持续性</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是否有机构设置和充足的人员配备支持项目实施，是否有进行后续跟踪服务和回访服务</w:t>
            </w:r>
          </w:p>
        </w:tc>
        <w:tc>
          <w:tcPr>
            <w:tcW w:w="300"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是</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944" w:type="pct"/>
            <w:shd w:val="clear" w:color="000000" w:fill="FFFFFF"/>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有持续有力支撑5分，其他酌情扣分。</w:t>
            </w:r>
          </w:p>
        </w:tc>
      </w:tr>
      <w:tr w:rsidR="0066663E">
        <w:trPr>
          <w:trHeight w:val="960"/>
        </w:trPr>
        <w:tc>
          <w:tcPr>
            <w:tcW w:w="186" w:type="pct"/>
            <w:vMerge/>
            <w:vAlign w:val="center"/>
          </w:tcPr>
          <w:p w:rsidR="0066663E" w:rsidRDefault="0066663E">
            <w:pPr>
              <w:widowControl/>
              <w:jc w:val="left"/>
              <w:rPr>
                <w:rFonts w:ascii="仿宋" w:eastAsia="仿宋" w:hAnsi="仿宋" w:cs="宋体"/>
                <w:kern w:val="0"/>
                <w:sz w:val="22"/>
                <w:szCs w:val="22"/>
              </w:rPr>
            </w:pPr>
          </w:p>
        </w:tc>
        <w:tc>
          <w:tcPr>
            <w:tcW w:w="182" w:type="pct"/>
            <w:vMerge/>
            <w:vAlign w:val="center"/>
          </w:tcPr>
          <w:p w:rsidR="0066663E" w:rsidRDefault="0066663E">
            <w:pPr>
              <w:widowControl/>
              <w:jc w:val="left"/>
              <w:rPr>
                <w:rFonts w:ascii="仿宋" w:eastAsia="仿宋" w:hAnsi="仿宋" w:cs="宋体"/>
                <w:kern w:val="0"/>
                <w:sz w:val="22"/>
                <w:szCs w:val="22"/>
              </w:rPr>
            </w:pPr>
          </w:p>
        </w:tc>
        <w:tc>
          <w:tcPr>
            <w:tcW w:w="262"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服务对象满意度</w:t>
            </w:r>
          </w:p>
        </w:tc>
        <w:tc>
          <w:tcPr>
            <w:tcW w:w="364"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5分</w:t>
            </w:r>
          </w:p>
        </w:tc>
        <w:tc>
          <w:tcPr>
            <w:tcW w:w="1130"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调解对象回访满意度</w:t>
            </w:r>
          </w:p>
        </w:tc>
        <w:tc>
          <w:tcPr>
            <w:tcW w:w="1371" w:type="pct"/>
            <w:shd w:val="clear" w:color="000000" w:fill="FFFFFF"/>
            <w:vAlign w:val="center"/>
          </w:tcPr>
          <w:p w:rsidR="0066663E" w:rsidRDefault="009F54FC">
            <w:pPr>
              <w:widowControl/>
              <w:jc w:val="left"/>
              <w:rPr>
                <w:rFonts w:ascii="仿宋" w:eastAsia="仿宋" w:hAnsi="仿宋" w:cs="宋体"/>
                <w:kern w:val="0"/>
                <w:sz w:val="22"/>
                <w:szCs w:val="22"/>
              </w:rPr>
            </w:pPr>
            <w:r>
              <w:rPr>
                <w:rFonts w:ascii="仿宋" w:eastAsia="仿宋" w:hAnsi="仿宋" w:cs="宋体" w:hint="eastAsia"/>
                <w:kern w:val="0"/>
                <w:sz w:val="22"/>
                <w:szCs w:val="22"/>
              </w:rPr>
              <w:t>调解对象满意度</w:t>
            </w:r>
          </w:p>
        </w:tc>
        <w:tc>
          <w:tcPr>
            <w:tcW w:w="300" w:type="pct"/>
            <w:shd w:val="clear" w:color="000000" w:fill="FFFFFF"/>
            <w:vAlign w:val="center"/>
          </w:tcPr>
          <w:p w:rsidR="0066663E" w:rsidRDefault="009F54FC">
            <w:pPr>
              <w:widowControl/>
              <w:jc w:val="right"/>
              <w:rPr>
                <w:rFonts w:ascii="仿宋" w:eastAsia="仿宋" w:hAnsi="仿宋" w:cs="宋体"/>
                <w:kern w:val="0"/>
                <w:sz w:val="22"/>
                <w:szCs w:val="22"/>
              </w:rPr>
            </w:pPr>
            <w:r>
              <w:rPr>
                <w:rFonts w:ascii="仿宋" w:eastAsia="仿宋" w:hAnsi="仿宋" w:cs="宋体" w:hint="eastAsia"/>
                <w:kern w:val="0"/>
                <w:sz w:val="22"/>
                <w:szCs w:val="22"/>
              </w:rPr>
              <w:t>100%</w:t>
            </w:r>
          </w:p>
        </w:tc>
        <w:tc>
          <w:tcPr>
            <w:tcW w:w="258" w:type="pct"/>
            <w:shd w:val="clear" w:color="000000" w:fill="FFFFFF"/>
            <w:vAlign w:val="center"/>
          </w:tcPr>
          <w:p w:rsidR="0066663E" w:rsidRDefault="009F54F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944" w:type="pct"/>
            <w:shd w:val="clear" w:color="auto" w:fill="auto"/>
            <w:vAlign w:val="center"/>
          </w:tcPr>
          <w:p w:rsidR="0066663E" w:rsidRDefault="009F54FC">
            <w:pPr>
              <w:widowControl/>
              <w:rPr>
                <w:rFonts w:ascii="仿宋" w:eastAsia="仿宋" w:hAnsi="仿宋" w:cs="宋体"/>
                <w:kern w:val="0"/>
                <w:sz w:val="22"/>
                <w:szCs w:val="22"/>
              </w:rPr>
            </w:pPr>
            <w:r>
              <w:rPr>
                <w:rFonts w:ascii="仿宋" w:eastAsia="仿宋" w:hAnsi="仿宋" w:cs="宋体" w:hint="eastAsia"/>
                <w:kern w:val="0"/>
                <w:sz w:val="22"/>
                <w:szCs w:val="22"/>
              </w:rPr>
              <w:t>达到期望值得满分，每降低1个百分点扣0.2分，降低5个点之内按所降比例扣分，扣完为止。</w:t>
            </w:r>
          </w:p>
        </w:tc>
      </w:tr>
      <w:tr w:rsidR="0066663E">
        <w:trPr>
          <w:trHeight w:val="321"/>
        </w:trPr>
        <w:tc>
          <w:tcPr>
            <w:tcW w:w="631" w:type="pct"/>
            <w:gridSpan w:val="3"/>
            <w:shd w:val="clear" w:color="auto" w:fill="auto"/>
            <w:noWrap/>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364" w:type="pct"/>
            <w:shd w:val="clear" w:color="auto" w:fill="auto"/>
            <w:noWrap/>
            <w:vAlign w:val="center"/>
          </w:tcPr>
          <w:p w:rsidR="0066663E" w:rsidRDefault="009F54F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100分</w:t>
            </w:r>
          </w:p>
        </w:tc>
        <w:tc>
          <w:tcPr>
            <w:tcW w:w="1130" w:type="pct"/>
            <w:shd w:val="clear" w:color="auto" w:fill="auto"/>
            <w:noWrap/>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1371" w:type="pct"/>
            <w:shd w:val="clear" w:color="auto" w:fill="auto"/>
            <w:noWrap/>
            <w:vAlign w:val="center"/>
          </w:tcPr>
          <w:p w:rsidR="0066663E" w:rsidRDefault="009F54F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300" w:type="pct"/>
            <w:shd w:val="clear" w:color="auto" w:fill="auto"/>
            <w:noWrap/>
            <w:vAlign w:val="center"/>
          </w:tcPr>
          <w:p w:rsidR="0066663E" w:rsidRDefault="009F54F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258" w:type="pct"/>
            <w:shd w:val="clear" w:color="auto" w:fill="auto"/>
            <w:noWrap/>
            <w:vAlign w:val="center"/>
          </w:tcPr>
          <w:p w:rsidR="0066663E" w:rsidRDefault="009F54F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78.5</w:t>
            </w:r>
          </w:p>
        </w:tc>
        <w:tc>
          <w:tcPr>
            <w:tcW w:w="944" w:type="pct"/>
            <w:shd w:val="clear" w:color="auto" w:fill="auto"/>
            <w:noWrap/>
            <w:vAlign w:val="center"/>
          </w:tcPr>
          <w:p w:rsidR="0066663E" w:rsidRDefault="009F54FC">
            <w:pPr>
              <w:widowControl/>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bl>
    <w:p w:rsidR="0066663E" w:rsidRDefault="0066663E">
      <w:pPr>
        <w:outlineLvl w:val="0"/>
        <w:rPr>
          <w:rFonts w:ascii="仿宋" w:eastAsia="仿宋" w:hAnsi="仿宋" w:cs="仿宋"/>
          <w:b/>
          <w:bCs/>
          <w:sz w:val="30"/>
          <w:szCs w:val="30"/>
        </w:rPr>
        <w:sectPr w:rsidR="0066663E">
          <w:footerReference w:type="default" r:id="rId10"/>
          <w:pgSz w:w="16838" w:h="11906" w:orient="landscape"/>
          <w:pgMar w:top="1800" w:right="1440" w:bottom="1800" w:left="1440" w:header="851" w:footer="992" w:gutter="0"/>
          <w:cols w:space="720"/>
          <w:docGrid w:type="lines" w:linePitch="312"/>
        </w:sectPr>
      </w:pPr>
      <w:bookmarkStart w:id="1" w:name="_GoBack"/>
      <w:bookmarkEnd w:id="1"/>
    </w:p>
    <w:bookmarkEnd w:id="0"/>
    <w:p w:rsidR="0066663E" w:rsidRDefault="0066663E" w:rsidP="001409A6">
      <w:pPr>
        <w:spacing w:line="360" w:lineRule="auto"/>
        <w:outlineLvl w:val="0"/>
      </w:pPr>
    </w:p>
    <w:sectPr w:rsidR="0066663E" w:rsidSect="0066663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F1" w:rsidRDefault="002B0BF1" w:rsidP="0066663E">
      <w:r>
        <w:separator/>
      </w:r>
    </w:p>
  </w:endnote>
  <w:endnote w:type="continuationSeparator" w:id="0">
    <w:p w:rsidR="002B0BF1" w:rsidRDefault="002B0BF1" w:rsidP="0066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3E" w:rsidRDefault="001409A6">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635" cy="19939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9939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66663E" w:rsidRDefault="0066663E">
                          <w:pPr>
                            <w:pStyle w:val="a5"/>
                            <w:rPr>
                              <w:rFonts w:eastAsia="宋体"/>
                            </w:rPr>
                          </w:pPr>
                          <w:r>
                            <w:rPr>
                              <w:rFonts w:hint="eastAsia"/>
                            </w:rPr>
                            <w:fldChar w:fldCharType="begin"/>
                          </w:r>
                          <w:r w:rsidR="009F54FC">
                            <w:rPr>
                              <w:rFonts w:hint="eastAsia"/>
                            </w:rPr>
                            <w:instrText xml:space="preserve"> PAGE  \* MERGEFORMAT </w:instrText>
                          </w:r>
                          <w:r>
                            <w:rPr>
                              <w:rFonts w:hint="eastAsia"/>
                            </w:rPr>
                            <w:fldChar w:fldCharType="separate"/>
                          </w:r>
                          <w:r w:rsidR="001409A6">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10.05pt;height:15.7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" filled="f" stroked="f" strokeweight=".5pt">
              <v:path arrowok="t"/>
              <v:textbox style="mso-fit-shape-to-text:t" inset="0,0,0,0">
                <w:txbxContent>
                  <w:p w:rsidR="0066663E" w:rsidRDefault="0066663E">
                    <w:pPr>
                      <w:pStyle w:val="a5"/>
                      <w:rPr>
                        <w:rFonts w:eastAsia="宋体"/>
                      </w:rPr>
                    </w:pPr>
                    <w:r>
                      <w:rPr>
                        <w:rFonts w:hint="eastAsia"/>
                      </w:rPr>
                      <w:fldChar w:fldCharType="begin"/>
                    </w:r>
                    <w:r w:rsidR="009F54FC">
                      <w:rPr>
                        <w:rFonts w:hint="eastAsia"/>
                      </w:rPr>
                      <w:instrText xml:space="preserve"> PAGE  \* MERGEFORMAT </w:instrText>
                    </w:r>
                    <w:r>
                      <w:rPr>
                        <w:rFonts w:hint="eastAsia"/>
                      </w:rPr>
                      <w:fldChar w:fldCharType="separate"/>
                    </w:r>
                    <w:r w:rsidR="001409A6">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F1" w:rsidRDefault="002B0BF1" w:rsidP="0066663E">
      <w:r>
        <w:separator/>
      </w:r>
    </w:p>
  </w:footnote>
  <w:footnote w:type="continuationSeparator" w:id="0">
    <w:p w:rsidR="002B0BF1" w:rsidRDefault="002B0BF1" w:rsidP="00666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56C2A"/>
    <w:multiLevelType w:val="singleLevel"/>
    <w:tmpl w:val="A3B56C2A"/>
    <w:lvl w:ilvl="0">
      <w:start w:val="2"/>
      <w:numFmt w:val="decimal"/>
      <w:suff w:val="nothing"/>
      <w:lvlText w:val="（%1）"/>
      <w:lvlJc w:val="left"/>
    </w:lvl>
  </w:abstractNum>
  <w:abstractNum w:abstractNumId="1">
    <w:nsid w:val="DEB854CB"/>
    <w:multiLevelType w:val="singleLevel"/>
    <w:tmpl w:val="DEB854CB"/>
    <w:lvl w:ilvl="0">
      <w:start w:val="1"/>
      <w:numFmt w:val="chineseCounting"/>
      <w:suff w:val="nothing"/>
      <w:lvlText w:val="%1、"/>
      <w:lvlJc w:val="left"/>
      <w:rPr>
        <w:rFonts w:hint="eastAsia"/>
      </w:rPr>
    </w:lvl>
  </w:abstractNum>
  <w:abstractNum w:abstractNumId="2">
    <w:nsid w:val="58D9D596"/>
    <w:multiLevelType w:val="singleLevel"/>
    <w:tmpl w:val="58D9D596"/>
    <w:lvl w:ilvl="0">
      <w:start w:val="1"/>
      <w:numFmt w:val="chineseCounting"/>
      <w:suff w:val="nothing"/>
      <w:lvlText w:val="%1、"/>
      <w:lvlJc w:val="left"/>
    </w:lvl>
  </w:abstractNum>
  <w:abstractNum w:abstractNumId="3">
    <w:nsid w:val="5D5D056D"/>
    <w:multiLevelType w:val="singleLevel"/>
    <w:tmpl w:val="5D5D056D"/>
    <w:lvl w:ilvl="0">
      <w:start w:val="2"/>
      <w:numFmt w:val="chineseCounting"/>
      <w:suff w:val="nothing"/>
      <w:lvlText w:val="（%1）"/>
      <w:lvlJc w:val="left"/>
    </w:lvl>
  </w:abstractNum>
  <w:abstractNum w:abstractNumId="4">
    <w:nsid w:val="6549E714"/>
    <w:multiLevelType w:val="singleLevel"/>
    <w:tmpl w:val="6549E714"/>
    <w:lvl w:ilvl="0">
      <w:start w:val="2"/>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2B"/>
    <w:rsid w:val="0001177C"/>
    <w:rsid w:val="00063C98"/>
    <w:rsid w:val="00071723"/>
    <w:rsid w:val="000869AB"/>
    <w:rsid w:val="000C5B31"/>
    <w:rsid w:val="000C65FA"/>
    <w:rsid w:val="001409A6"/>
    <w:rsid w:val="0015602B"/>
    <w:rsid w:val="00157505"/>
    <w:rsid w:val="001817EE"/>
    <w:rsid w:val="00234B26"/>
    <w:rsid w:val="0023784F"/>
    <w:rsid w:val="002832D6"/>
    <w:rsid w:val="002B0BF1"/>
    <w:rsid w:val="002B32E8"/>
    <w:rsid w:val="00325F91"/>
    <w:rsid w:val="0035127E"/>
    <w:rsid w:val="00375807"/>
    <w:rsid w:val="00561D56"/>
    <w:rsid w:val="00571BC9"/>
    <w:rsid w:val="005D217B"/>
    <w:rsid w:val="005E0D20"/>
    <w:rsid w:val="006623B5"/>
    <w:rsid w:val="0066663E"/>
    <w:rsid w:val="006726C1"/>
    <w:rsid w:val="00687B31"/>
    <w:rsid w:val="007954AD"/>
    <w:rsid w:val="00841329"/>
    <w:rsid w:val="008F1489"/>
    <w:rsid w:val="0091370E"/>
    <w:rsid w:val="00933158"/>
    <w:rsid w:val="00934DEF"/>
    <w:rsid w:val="00982810"/>
    <w:rsid w:val="009C4792"/>
    <w:rsid w:val="009F54FC"/>
    <w:rsid w:val="00A0427A"/>
    <w:rsid w:val="00A2688E"/>
    <w:rsid w:val="00A33AC8"/>
    <w:rsid w:val="00A56C54"/>
    <w:rsid w:val="00A577AE"/>
    <w:rsid w:val="00AA6DEC"/>
    <w:rsid w:val="00AB51D7"/>
    <w:rsid w:val="00B06C9D"/>
    <w:rsid w:val="00B2340C"/>
    <w:rsid w:val="00B54A7E"/>
    <w:rsid w:val="00B82722"/>
    <w:rsid w:val="00B967CF"/>
    <w:rsid w:val="00BE6DCA"/>
    <w:rsid w:val="00C26557"/>
    <w:rsid w:val="00C47774"/>
    <w:rsid w:val="00C72096"/>
    <w:rsid w:val="00C777EB"/>
    <w:rsid w:val="00C809F2"/>
    <w:rsid w:val="00C85DF5"/>
    <w:rsid w:val="00CA3E83"/>
    <w:rsid w:val="00CC17AC"/>
    <w:rsid w:val="00CD0B00"/>
    <w:rsid w:val="00CD236A"/>
    <w:rsid w:val="00D074C8"/>
    <w:rsid w:val="00D47F69"/>
    <w:rsid w:val="00DB2DB7"/>
    <w:rsid w:val="00E747C5"/>
    <w:rsid w:val="00ED1EF8"/>
    <w:rsid w:val="00F4278C"/>
    <w:rsid w:val="00F5558D"/>
    <w:rsid w:val="02CF3157"/>
    <w:rsid w:val="038F569B"/>
    <w:rsid w:val="03923BFB"/>
    <w:rsid w:val="04461D68"/>
    <w:rsid w:val="073846D7"/>
    <w:rsid w:val="083368CA"/>
    <w:rsid w:val="097D4F90"/>
    <w:rsid w:val="097F40F2"/>
    <w:rsid w:val="09AE7FFC"/>
    <w:rsid w:val="0AAB7E73"/>
    <w:rsid w:val="0AC8713C"/>
    <w:rsid w:val="0B253AD5"/>
    <w:rsid w:val="0B2B53E9"/>
    <w:rsid w:val="0CAF0C22"/>
    <w:rsid w:val="0E0A30AF"/>
    <w:rsid w:val="0E9C7E37"/>
    <w:rsid w:val="0FCD5D57"/>
    <w:rsid w:val="10653E71"/>
    <w:rsid w:val="125D4C75"/>
    <w:rsid w:val="1426754C"/>
    <w:rsid w:val="14B85427"/>
    <w:rsid w:val="14C5068C"/>
    <w:rsid w:val="17C412F5"/>
    <w:rsid w:val="18CA4E58"/>
    <w:rsid w:val="193145A6"/>
    <w:rsid w:val="1B267009"/>
    <w:rsid w:val="20C010DC"/>
    <w:rsid w:val="22562861"/>
    <w:rsid w:val="248A7AE1"/>
    <w:rsid w:val="25BD7CFB"/>
    <w:rsid w:val="26711129"/>
    <w:rsid w:val="2A802DA3"/>
    <w:rsid w:val="2C076E0A"/>
    <w:rsid w:val="2D284C41"/>
    <w:rsid w:val="2D466C4F"/>
    <w:rsid w:val="2DC358F9"/>
    <w:rsid w:val="2DD777E2"/>
    <w:rsid w:val="2F887A3C"/>
    <w:rsid w:val="3060508F"/>
    <w:rsid w:val="308E284B"/>
    <w:rsid w:val="30FB1C09"/>
    <w:rsid w:val="333C5727"/>
    <w:rsid w:val="339E4A1B"/>
    <w:rsid w:val="351B576B"/>
    <w:rsid w:val="35B74660"/>
    <w:rsid w:val="360473C3"/>
    <w:rsid w:val="38AC7CE7"/>
    <w:rsid w:val="39E801DD"/>
    <w:rsid w:val="3B295658"/>
    <w:rsid w:val="3BB56350"/>
    <w:rsid w:val="3C707DE8"/>
    <w:rsid w:val="3E4502CC"/>
    <w:rsid w:val="3F652913"/>
    <w:rsid w:val="3F7E43D3"/>
    <w:rsid w:val="3FC46F1E"/>
    <w:rsid w:val="40871862"/>
    <w:rsid w:val="4187036D"/>
    <w:rsid w:val="41AE0B34"/>
    <w:rsid w:val="42F10BBC"/>
    <w:rsid w:val="445C43B4"/>
    <w:rsid w:val="45CD19A8"/>
    <w:rsid w:val="45F67DFD"/>
    <w:rsid w:val="462726AA"/>
    <w:rsid w:val="46DE0B7E"/>
    <w:rsid w:val="474F0037"/>
    <w:rsid w:val="48FE6F80"/>
    <w:rsid w:val="4A481B73"/>
    <w:rsid w:val="4FCA4F53"/>
    <w:rsid w:val="50DF628A"/>
    <w:rsid w:val="50E8024C"/>
    <w:rsid w:val="51290F59"/>
    <w:rsid w:val="529C135E"/>
    <w:rsid w:val="536329A6"/>
    <w:rsid w:val="53E928E8"/>
    <w:rsid w:val="54115B46"/>
    <w:rsid w:val="56046F6B"/>
    <w:rsid w:val="579C7211"/>
    <w:rsid w:val="57B2408A"/>
    <w:rsid w:val="5AE57E5F"/>
    <w:rsid w:val="5B187609"/>
    <w:rsid w:val="5B7E2B78"/>
    <w:rsid w:val="5C533E87"/>
    <w:rsid w:val="5C6B7F53"/>
    <w:rsid w:val="5EBF54B3"/>
    <w:rsid w:val="5F2F2925"/>
    <w:rsid w:val="616A0A81"/>
    <w:rsid w:val="61C92E37"/>
    <w:rsid w:val="62101B3A"/>
    <w:rsid w:val="62EB4529"/>
    <w:rsid w:val="633550E4"/>
    <w:rsid w:val="645F388A"/>
    <w:rsid w:val="657D460D"/>
    <w:rsid w:val="684A3B5F"/>
    <w:rsid w:val="69A811B4"/>
    <w:rsid w:val="6AE56A3C"/>
    <w:rsid w:val="6BD47046"/>
    <w:rsid w:val="6C49362F"/>
    <w:rsid w:val="6C831175"/>
    <w:rsid w:val="6FFA1BA7"/>
    <w:rsid w:val="70DC3AD7"/>
    <w:rsid w:val="70DF6E01"/>
    <w:rsid w:val="72B03EE1"/>
    <w:rsid w:val="7575036C"/>
    <w:rsid w:val="75853E8A"/>
    <w:rsid w:val="762E597E"/>
    <w:rsid w:val="772410AF"/>
    <w:rsid w:val="77824862"/>
    <w:rsid w:val="788172EE"/>
    <w:rsid w:val="78EE2501"/>
    <w:rsid w:val="79685997"/>
    <w:rsid w:val="7AF31434"/>
    <w:rsid w:val="7B445B92"/>
    <w:rsid w:val="7BA5055F"/>
    <w:rsid w:val="7BC531FC"/>
    <w:rsid w:val="7C5B34B2"/>
    <w:rsid w:val="7D7E4B0C"/>
    <w:rsid w:val="7E6F5451"/>
    <w:rsid w:val="7F84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annotation subject" w:uiPriority="0" w:unhideWhenUsed="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3E"/>
    <w:pPr>
      <w:widowControl w:val="0"/>
      <w:jc w:val="both"/>
    </w:pPr>
    <w:rPr>
      <w:kern w:val="2"/>
      <w:sz w:val="21"/>
      <w:szCs w:val="24"/>
    </w:rPr>
  </w:style>
  <w:style w:type="paragraph" w:styleId="2">
    <w:name w:val="heading 2"/>
    <w:basedOn w:val="a"/>
    <w:next w:val="a"/>
    <w:link w:val="2Char"/>
    <w:uiPriority w:val="99"/>
    <w:qFormat/>
    <w:rsid w:val="0066663E"/>
    <w:pPr>
      <w:keepNext/>
      <w:keepLines/>
      <w:spacing w:before="260" w:after="260" w:line="413" w:lineRule="auto"/>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6663E"/>
    <w:pPr>
      <w:jc w:val="left"/>
    </w:pPr>
  </w:style>
  <w:style w:type="paragraph" w:styleId="3">
    <w:name w:val="toc 3"/>
    <w:basedOn w:val="a"/>
    <w:next w:val="a"/>
    <w:uiPriority w:val="39"/>
    <w:unhideWhenUsed/>
    <w:qFormat/>
    <w:rsid w:val="0066663E"/>
    <w:pPr>
      <w:tabs>
        <w:tab w:val="right" w:leader="dot" w:pos="9062"/>
      </w:tabs>
      <w:ind w:left="420"/>
      <w:jc w:val="left"/>
    </w:pPr>
    <w:rPr>
      <w:rFonts w:ascii="仿宋" w:eastAsia="仿宋" w:hAnsi="仿宋"/>
      <w:b/>
      <w:iCs/>
      <w:sz w:val="28"/>
      <w:szCs w:val="28"/>
    </w:rPr>
  </w:style>
  <w:style w:type="paragraph" w:styleId="a4">
    <w:name w:val="Balloon Text"/>
    <w:basedOn w:val="a"/>
    <w:link w:val="Char0"/>
    <w:qFormat/>
    <w:rsid w:val="0066663E"/>
    <w:rPr>
      <w:rFonts w:asciiTheme="minorHAnsi" w:eastAsiaTheme="minorEastAsia" w:hAnsiTheme="minorHAnsi" w:cstheme="minorBidi"/>
      <w:sz w:val="18"/>
      <w:szCs w:val="18"/>
    </w:rPr>
  </w:style>
  <w:style w:type="paragraph" w:styleId="a5">
    <w:name w:val="footer"/>
    <w:basedOn w:val="a"/>
    <w:link w:val="Char1"/>
    <w:uiPriority w:val="99"/>
    <w:qFormat/>
    <w:rsid w:val="0066663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qFormat/>
    <w:rsid w:val="006666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66663E"/>
  </w:style>
  <w:style w:type="paragraph" w:styleId="4">
    <w:name w:val="toc 4"/>
    <w:basedOn w:val="a"/>
    <w:next w:val="a"/>
    <w:uiPriority w:val="39"/>
    <w:unhideWhenUsed/>
    <w:qFormat/>
    <w:rsid w:val="0066663E"/>
    <w:pPr>
      <w:ind w:left="630"/>
      <w:jc w:val="left"/>
    </w:pPr>
    <w:rPr>
      <w:rFonts w:ascii="Calibri" w:hAnsi="Calibri"/>
      <w:sz w:val="18"/>
      <w:szCs w:val="18"/>
    </w:rPr>
  </w:style>
  <w:style w:type="paragraph" w:styleId="20">
    <w:name w:val="toc 2"/>
    <w:basedOn w:val="a"/>
    <w:next w:val="a"/>
    <w:uiPriority w:val="39"/>
    <w:unhideWhenUsed/>
    <w:qFormat/>
    <w:rsid w:val="0066663E"/>
    <w:pPr>
      <w:ind w:left="210"/>
      <w:jc w:val="left"/>
    </w:pPr>
    <w:rPr>
      <w:rFonts w:ascii="Calibri" w:hAnsi="Calibri"/>
      <w:smallCaps/>
      <w:sz w:val="20"/>
      <w:szCs w:val="20"/>
    </w:rPr>
  </w:style>
  <w:style w:type="paragraph" w:styleId="HTML">
    <w:name w:val="HTML Preformatted"/>
    <w:basedOn w:val="a"/>
    <w:link w:val="HTMLChar"/>
    <w:qFormat/>
    <w:rsid w:val="00666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rsid w:val="0066663E"/>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semiHidden/>
    <w:qFormat/>
    <w:rsid w:val="0066663E"/>
    <w:rPr>
      <w:b/>
      <w:bCs/>
    </w:rPr>
  </w:style>
  <w:style w:type="character" w:styleId="a9">
    <w:name w:val="Strong"/>
    <w:qFormat/>
    <w:rsid w:val="0066663E"/>
    <w:rPr>
      <w:rFonts w:cs="Times New Roman"/>
      <w:b/>
      <w:bCs/>
    </w:rPr>
  </w:style>
  <w:style w:type="character" w:styleId="aa">
    <w:name w:val="page number"/>
    <w:basedOn w:val="a0"/>
    <w:qFormat/>
    <w:rsid w:val="0066663E"/>
  </w:style>
  <w:style w:type="character" w:styleId="ab">
    <w:name w:val="Hyperlink"/>
    <w:uiPriority w:val="99"/>
    <w:unhideWhenUsed/>
    <w:qFormat/>
    <w:rsid w:val="0066663E"/>
    <w:rPr>
      <w:color w:val="0000FF"/>
      <w:u w:val="single"/>
    </w:rPr>
  </w:style>
  <w:style w:type="character" w:styleId="ac">
    <w:name w:val="annotation reference"/>
    <w:semiHidden/>
    <w:qFormat/>
    <w:rsid w:val="0066663E"/>
    <w:rPr>
      <w:sz w:val="21"/>
      <w:szCs w:val="21"/>
    </w:rPr>
  </w:style>
  <w:style w:type="character" w:customStyle="1" w:styleId="2Char">
    <w:name w:val="标题 2 Char"/>
    <w:basedOn w:val="a0"/>
    <w:link w:val="2"/>
    <w:uiPriority w:val="99"/>
    <w:qFormat/>
    <w:rsid w:val="0066663E"/>
    <w:rPr>
      <w:rFonts w:ascii="Times New Roman" w:eastAsia="宋体" w:hAnsi="Times New Roman" w:cs="Times New Roman"/>
      <w:b/>
      <w:bCs/>
      <w:sz w:val="32"/>
      <w:szCs w:val="32"/>
    </w:rPr>
  </w:style>
  <w:style w:type="character" w:customStyle="1" w:styleId="Char0">
    <w:name w:val="批注框文本 Char"/>
    <w:link w:val="a4"/>
    <w:qFormat/>
    <w:rsid w:val="0066663E"/>
    <w:rPr>
      <w:sz w:val="18"/>
      <w:szCs w:val="18"/>
    </w:rPr>
  </w:style>
  <w:style w:type="character" w:customStyle="1" w:styleId="Char2">
    <w:name w:val="页眉 Char"/>
    <w:link w:val="a6"/>
    <w:uiPriority w:val="99"/>
    <w:qFormat/>
    <w:rsid w:val="0066663E"/>
    <w:rPr>
      <w:sz w:val="18"/>
      <w:szCs w:val="18"/>
    </w:rPr>
  </w:style>
  <w:style w:type="character" w:customStyle="1" w:styleId="Char1">
    <w:name w:val="页脚 Char"/>
    <w:link w:val="a5"/>
    <w:uiPriority w:val="99"/>
    <w:qFormat/>
    <w:rsid w:val="0066663E"/>
    <w:rPr>
      <w:sz w:val="18"/>
      <w:szCs w:val="18"/>
    </w:rPr>
  </w:style>
  <w:style w:type="character" w:customStyle="1" w:styleId="10">
    <w:name w:val="批注框文本 字符1"/>
    <w:basedOn w:val="a0"/>
    <w:uiPriority w:val="99"/>
    <w:semiHidden/>
    <w:qFormat/>
    <w:rsid w:val="0066663E"/>
    <w:rPr>
      <w:rFonts w:ascii="Times New Roman" w:eastAsia="宋体" w:hAnsi="Times New Roman" w:cs="Times New Roman"/>
      <w:sz w:val="18"/>
      <w:szCs w:val="18"/>
    </w:rPr>
  </w:style>
  <w:style w:type="character" w:customStyle="1" w:styleId="Char10">
    <w:name w:val="批注框文本 Char1"/>
    <w:basedOn w:val="a0"/>
    <w:uiPriority w:val="99"/>
    <w:semiHidden/>
    <w:qFormat/>
    <w:rsid w:val="0066663E"/>
    <w:rPr>
      <w:rFonts w:ascii="Times New Roman" w:eastAsia="宋体" w:hAnsi="Times New Roman" w:cs="Times New Roman"/>
      <w:sz w:val="18"/>
      <w:szCs w:val="18"/>
    </w:rPr>
  </w:style>
  <w:style w:type="character" w:customStyle="1" w:styleId="Char">
    <w:name w:val="批注文字 Char"/>
    <w:basedOn w:val="a0"/>
    <w:link w:val="a3"/>
    <w:semiHidden/>
    <w:qFormat/>
    <w:rsid w:val="0066663E"/>
    <w:rPr>
      <w:rFonts w:ascii="Times New Roman" w:eastAsia="宋体" w:hAnsi="Times New Roman" w:cs="Times New Roman"/>
      <w:szCs w:val="24"/>
    </w:rPr>
  </w:style>
  <w:style w:type="character" w:customStyle="1" w:styleId="Char3">
    <w:name w:val="批注主题 Char"/>
    <w:basedOn w:val="Char"/>
    <w:link w:val="a8"/>
    <w:semiHidden/>
    <w:qFormat/>
    <w:rsid w:val="0066663E"/>
    <w:rPr>
      <w:rFonts w:ascii="Times New Roman" w:eastAsia="宋体" w:hAnsi="Times New Roman" w:cs="Times New Roman"/>
      <w:b/>
      <w:bCs/>
      <w:szCs w:val="24"/>
    </w:rPr>
  </w:style>
  <w:style w:type="character" w:customStyle="1" w:styleId="11">
    <w:name w:val="页眉 字符1"/>
    <w:basedOn w:val="a0"/>
    <w:uiPriority w:val="99"/>
    <w:semiHidden/>
    <w:qFormat/>
    <w:rsid w:val="0066663E"/>
    <w:rPr>
      <w:rFonts w:ascii="Times New Roman" w:eastAsia="宋体" w:hAnsi="Times New Roman" w:cs="Times New Roman"/>
      <w:sz w:val="18"/>
      <w:szCs w:val="18"/>
    </w:rPr>
  </w:style>
  <w:style w:type="character" w:customStyle="1" w:styleId="Char11">
    <w:name w:val="页眉 Char1"/>
    <w:basedOn w:val="a0"/>
    <w:uiPriority w:val="99"/>
    <w:semiHidden/>
    <w:rsid w:val="0066663E"/>
    <w:rPr>
      <w:rFonts w:ascii="Times New Roman" w:eastAsia="宋体" w:hAnsi="Times New Roman" w:cs="Times New Roman"/>
      <w:sz w:val="18"/>
      <w:szCs w:val="18"/>
    </w:rPr>
  </w:style>
  <w:style w:type="character" w:customStyle="1" w:styleId="12">
    <w:name w:val="页脚 字符1"/>
    <w:basedOn w:val="a0"/>
    <w:uiPriority w:val="99"/>
    <w:semiHidden/>
    <w:rsid w:val="0066663E"/>
    <w:rPr>
      <w:rFonts w:ascii="Times New Roman" w:eastAsia="宋体" w:hAnsi="Times New Roman" w:cs="Times New Roman"/>
      <w:sz w:val="18"/>
      <w:szCs w:val="18"/>
    </w:rPr>
  </w:style>
  <w:style w:type="character" w:customStyle="1" w:styleId="Char12">
    <w:name w:val="页脚 Char1"/>
    <w:basedOn w:val="a0"/>
    <w:uiPriority w:val="99"/>
    <w:semiHidden/>
    <w:qFormat/>
    <w:rsid w:val="0066663E"/>
    <w:rPr>
      <w:rFonts w:ascii="Times New Roman" w:eastAsia="宋体" w:hAnsi="Times New Roman" w:cs="Times New Roman"/>
      <w:sz w:val="18"/>
      <w:szCs w:val="18"/>
    </w:rPr>
  </w:style>
  <w:style w:type="character" w:customStyle="1" w:styleId="HTMLChar">
    <w:name w:val="HTML 预设格式 Char"/>
    <w:basedOn w:val="a0"/>
    <w:link w:val="HTML"/>
    <w:rsid w:val="0066663E"/>
    <w:rPr>
      <w:rFonts w:ascii="宋体" w:eastAsia="宋体" w:hAnsi="宋体" w:cs="宋体"/>
      <w:kern w:val="0"/>
      <w:sz w:val="24"/>
      <w:szCs w:val="24"/>
    </w:rPr>
  </w:style>
  <w:style w:type="paragraph" w:customStyle="1" w:styleId="Char4">
    <w:name w:val="Char"/>
    <w:basedOn w:val="a"/>
    <w:qFormat/>
    <w:rsid w:val="0066663E"/>
    <w:pPr>
      <w:widowControl/>
      <w:spacing w:after="160" w:line="240" w:lineRule="exact"/>
      <w:jc w:val="left"/>
    </w:pPr>
    <w:rPr>
      <w:szCs w:val="20"/>
    </w:rPr>
  </w:style>
  <w:style w:type="paragraph" w:styleId="ad">
    <w:name w:val="List Paragraph"/>
    <w:basedOn w:val="a"/>
    <w:uiPriority w:val="99"/>
    <w:qFormat/>
    <w:rsid w:val="0066663E"/>
    <w:pPr>
      <w:ind w:firstLineChars="200" w:firstLine="420"/>
    </w:pPr>
    <w:rPr>
      <w:rFonts w:ascii="Calibri" w:hAnsi="Calibri"/>
    </w:rPr>
  </w:style>
  <w:style w:type="paragraph" w:customStyle="1" w:styleId="CharChar">
    <w:name w:val="Char Char"/>
    <w:basedOn w:val="a"/>
    <w:qFormat/>
    <w:rsid w:val="0066663E"/>
    <w:pPr>
      <w:widowControl/>
      <w:autoSpaceDE w:val="0"/>
      <w:autoSpaceDN w:val="0"/>
      <w:adjustRightInd w:val="0"/>
      <w:spacing w:after="160" w:line="240" w:lineRule="exact"/>
      <w:jc w:val="left"/>
    </w:pPr>
    <w:rPr>
      <w:szCs w:val="20"/>
    </w:rPr>
  </w:style>
  <w:style w:type="character" w:customStyle="1" w:styleId="font11">
    <w:name w:val="font11"/>
    <w:basedOn w:val="a0"/>
    <w:qFormat/>
    <w:rsid w:val="0066663E"/>
    <w:rPr>
      <w:rFonts w:ascii="Arial" w:hAnsi="Arial" w:cs="Arial" w:hint="default"/>
      <w:color w:val="000000"/>
      <w:sz w:val="24"/>
      <w:szCs w:val="24"/>
      <w:u w:val="none"/>
    </w:rPr>
  </w:style>
  <w:style w:type="character" w:customStyle="1" w:styleId="font01">
    <w:name w:val="font01"/>
    <w:basedOn w:val="a0"/>
    <w:qFormat/>
    <w:rsid w:val="0066663E"/>
    <w:rPr>
      <w:rFonts w:ascii="宋体" w:eastAsia="宋体" w:hAnsi="宋体" w:cs="宋体" w:hint="eastAsia"/>
      <w:color w:val="000000"/>
      <w:sz w:val="24"/>
      <w:szCs w:val="24"/>
      <w:u w:val="none"/>
    </w:rPr>
  </w:style>
  <w:style w:type="paragraph" w:customStyle="1" w:styleId="13">
    <w:name w:val="样式1"/>
    <w:basedOn w:val="a"/>
    <w:qFormat/>
    <w:rsid w:val="0066663E"/>
    <w:pPr>
      <w:pBdr>
        <w:bottom w:val="thinThickSmallGap" w:sz="18" w:space="1" w:color="auto"/>
      </w:pBdr>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annotation subject" w:uiPriority="0" w:unhideWhenUsed="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3E"/>
    <w:pPr>
      <w:widowControl w:val="0"/>
      <w:jc w:val="both"/>
    </w:pPr>
    <w:rPr>
      <w:kern w:val="2"/>
      <w:sz w:val="21"/>
      <w:szCs w:val="24"/>
    </w:rPr>
  </w:style>
  <w:style w:type="paragraph" w:styleId="2">
    <w:name w:val="heading 2"/>
    <w:basedOn w:val="a"/>
    <w:next w:val="a"/>
    <w:link w:val="2Char"/>
    <w:uiPriority w:val="99"/>
    <w:qFormat/>
    <w:rsid w:val="0066663E"/>
    <w:pPr>
      <w:keepNext/>
      <w:keepLines/>
      <w:spacing w:before="260" w:after="260" w:line="413" w:lineRule="auto"/>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6663E"/>
    <w:pPr>
      <w:jc w:val="left"/>
    </w:pPr>
  </w:style>
  <w:style w:type="paragraph" w:styleId="3">
    <w:name w:val="toc 3"/>
    <w:basedOn w:val="a"/>
    <w:next w:val="a"/>
    <w:uiPriority w:val="39"/>
    <w:unhideWhenUsed/>
    <w:qFormat/>
    <w:rsid w:val="0066663E"/>
    <w:pPr>
      <w:tabs>
        <w:tab w:val="right" w:leader="dot" w:pos="9062"/>
      </w:tabs>
      <w:ind w:left="420"/>
      <w:jc w:val="left"/>
    </w:pPr>
    <w:rPr>
      <w:rFonts w:ascii="仿宋" w:eastAsia="仿宋" w:hAnsi="仿宋"/>
      <w:b/>
      <w:iCs/>
      <w:sz w:val="28"/>
      <w:szCs w:val="28"/>
    </w:rPr>
  </w:style>
  <w:style w:type="paragraph" w:styleId="a4">
    <w:name w:val="Balloon Text"/>
    <w:basedOn w:val="a"/>
    <w:link w:val="Char0"/>
    <w:qFormat/>
    <w:rsid w:val="0066663E"/>
    <w:rPr>
      <w:rFonts w:asciiTheme="minorHAnsi" w:eastAsiaTheme="minorEastAsia" w:hAnsiTheme="minorHAnsi" w:cstheme="minorBidi"/>
      <w:sz w:val="18"/>
      <w:szCs w:val="18"/>
    </w:rPr>
  </w:style>
  <w:style w:type="paragraph" w:styleId="a5">
    <w:name w:val="footer"/>
    <w:basedOn w:val="a"/>
    <w:link w:val="Char1"/>
    <w:uiPriority w:val="99"/>
    <w:qFormat/>
    <w:rsid w:val="0066663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qFormat/>
    <w:rsid w:val="006666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66663E"/>
  </w:style>
  <w:style w:type="paragraph" w:styleId="4">
    <w:name w:val="toc 4"/>
    <w:basedOn w:val="a"/>
    <w:next w:val="a"/>
    <w:uiPriority w:val="39"/>
    <w:unhideWhenUsed/>
    <w:qFormat/>
    <w:rsid w:val="0066663E"/>
    <w:pPr>
      <w:ind w:left="630"/>
      <w:jc w:val="left"/>
    </w:pPr>
    <w:rPr>
      <w:rFonts w:ascii="Calibri" w:hAnsi="Calibri"/>
      <w:sz w:val="18"/>
      <w:szCs w:val="18"/>
    </w:rPr>
  </w:style>
  <w:style w:type="paragraph" w:styleId="20">
    <w:name w:val="toc 2"/>
    <w:basedOn w:val="a"/>
    <w:next w:val="a"/>
    <w:uiPriority w:val="39"/>
    <w:unhideWhenUsed/>
    <w:qFormat/>
    <w:rsid w:val="0066663E"/>
    <w:pPr>
      <w:ind w:left="210"/>
      <w:jc w:val="left"/>
    </w:pPr>
    <w:rPr>
      <w:rFonts w:ascii="Calibri" w:hAnsi="Calibri"/>
      <w:smallCaps/>
      <w:sz w:val="20"/>
      <w:szCs w:val="20"/>
    </w:rPr>
  </w:style>
  <w:style w:type="paragraph" w:styleId="HTML">
    <w:name w:val="HTML Preformatted"/>
    <w:basedOn w:val="a"/>
    <w:link w:val="HTMLChar"/>
    <w:qFormat/>
    <w:rsid w:val="00666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rsid w:val="0066663E"/>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semiHidden/>
    <w:qFormat/>
    <w:rsid w:val="0066663E"/>
    <w:rPr>
      <w:b/>
      <w:bCs/>
    </w:rPr>
  </w:style>
  <w:style w:type="character" w:styleId="a9">
    <w:name w:val="Strong"/>
    <w:qFormat/>
    <w:rsid w:val="0066663E"/>
    <w:rPr>
      <w:rFonts w:cs="Times New Roman"/>
      <w:b/>
      <w:bCs/>
    </w:rPr>
  </w:style>
  <w:style w:type="character" w:styleId="aa">
    <w:name w:val="page number"/>
    <w:basedOn w:val="a0"/>
    <w:qFormat/>
    <w:rsid w:val="0066663E"/>
  </w:style>
  <w:style w:type="character" w:styleId="ab">
    <w:name w:val="Hyperlink"/>
    <w:uiPriority w:val="99"/>
    <w:unhideWhenUsed/>
    <w:qFormat/>
    <w:rsid w:val="0066663E"/>
    <w:rPr>
      <w:color w:val="0000FF"/>
      <w:u w:val="single"/>
    </w:rPr>
  </w:style>
  <w:style w:type="character" w:styleId="ac">
    <w:name w:val="annotation reference"/>
    <w:semiHidden/>
    <w:qFormat/>
    <w:rsid w:val="0066663E"/>
    <w:rPr>
      <w:sz w:val="21"/>
      <w:szCs w:val="21"/>
    </w:rPr>
  </w:style>
  <w:style w:type="character" w:customStyle="1" w:styleId="2Char">
    <w:name w:val="标题 2 Char"/>
    <w:basedOn w:val="a0"/>
    <w:link w:val="2"/>
    <w:uiPriority w:val="99"/>
    <w:qFormat/>
    <w:rsid w:val="0066663E"/>
    <w:rPr>
      <w:rFonts w:ascii="Times New Roman" w:eastAsia="宋体" w:hAnsi="Times New Roman" w:cs="Times New Roman"/>
      <w:b/>
      <w:bCs/>
      <w:sz w:val="32"/>
      <w:szCs w:val="32"/>
    </w:rPr>
  </w:style>
  <w:style w:type="character" w:customStyle="1" w:styleId="Char0">
    <w:name w:val="批注框文本 Char"/>
    <w:link w:val="a4"/>
    <w:qFormat/>
    <w:rsid w:val="0066663E"/>
    <w:rPr>
      <w:sz w:val="18"/>
      <w:szCs w:val="18"/>
    </w:rPr>
  </w:style>
  <w:style w:type="character" w:customStyle="1" w:styleId="Char2">
    <w:name w:val="页眉 Char"/>
    <w:link w:val="a6"/>
    <w:uiPriority w:val="99"/>
    <w:qFormat/>
    <w:rsid w:val="0066663E"/>
    <w:rPr>
      <w:sz w:val="18"/>
      <w:szCs w:val="18"/>
    </w:rPr>
  </w:style>
  <w:style w:type="character" w:customStyle="1" w:styleId="Char1">
    <w:name w:val="页脚 Char"/>
    <w:link w:val="a5"/>
    <w:uiPriority w:val="99"/>
    <w:qFormat/>
    <w:rsid w:val="0066663E"/>
    <w:rPr>
      <w:sz w:val="18"/>
      <w:szCs w:val="18"/>
    </w:rPr>
  </w:style>
  <w:style w:type="character" w:customStyle="1" w:styleId="10">
    <w:name w:val="批注框文本 字符1"/>
    <w:basedOn w:val="a0"/>
    <w:uiPriority w:val="99"/>
    <w:semiHidden/>
    <w:qFormat/>
    <w:rsid w:val="0066663E"/>
    <w:rPr>
      <w:rFonts w:ascii="Times New Roman" w:eastAsia="宋体" w:hAnsi="Times New Roman" w:cs="Times New Roman"/>
      <w:sz w:val="18"/>
      <w:szCs w:val="18"/>
    </w:rPr>
  </w:style>
  <w:style w:type="character" w:customStyle="1" w:styleId="Char10">
    <w:name w:val="批注框文本 Char1"/>
    <w:basedOn w:val="a0"/>
    <w:uiPriority w:val="99"/>
    <w:semiHidden/>
    <w:qFormat/>
    <w:rsid w:val="0066663E"/>
    <w:rPr>
      <w:rFonts w:ascii="Times New Roman" w:eastAsia="宋体" w:hAnsi="Times New Roman" w:cs="Times New Roman"/>
      <w:sz w:val="18"/>
      <w:szCs w:val="18"/>
    </w:rPr>
  </w:style>
  <w:style w:type="character" w:customStyle="1" w:styleId="Char">
    <w:name w:val="批注文字 Char"/>
    <w:basedOn w:val="a0"/>
    <w:link w:val="a3"/>
    <w:semiHidden/>
    <w:qFormat/>
    <w:rsid w:val="0066663E"/>
    <w:rPr>
      <w:rFonts w:ascii="Times New Roman" w:eastAsia="宋体" w:hAnsi="Times New Roman" w:cs="Times New Roman"/>
      <w:szCs w:val="24"/>
    </w:rPr>
  </w:style>
  <w:style w:type="character" w:customStyle="1" w:styleId="Char3">
    <w:name w:val="批注主题 Char"/>
    <w:basedOn w:val="Char"/>
    <w:link w:val="a8"/>
    <w:semiHidden/>
    <w:qFormat/>
    <w:rsid w:val="0066663E"/>
    <w:rPr>
      <w:rFonts w:ascii="Times New Roman" w:eastAsia="宋体" w:hAnsi="Times New Roman" w:cs="Times New Roman"/>
      <w:b/>
      <w:bCs/>
      <w:szCs w:val="24"/>
    </w:rPr>
  </w:style>
  <w:style w:type="character" w:customStyle="1" w:styleId="11">
    <w:name w:val="页眉 字符1"/>
    <w:basedOn w:val="a0"/>
    <w:uiPriority w:val="99"/>
    <w:semiHidden/>
    <w:qFormat/>
    <w:rsid w:val="0066663E"/>
    <w:rPr>
      <w:rFonts w:ascii="Times New Roman" w:eastAsia="宋体" w:hAnsi="Times New Roman" w:cs="Times New Roman"/>
      <w:sz w:val="18"/>
      <w:szCs w:val="18"/>
    </w:rPr>
  </w:style>
  <w:style w:type="character" w:customStyle="1" w:styleId="Char11">
    <w:name w:val="页眉 Char1"/>
    <w:basedOn w:val="a0"/>
    <w:uiPriority w:val="99"/>
    <w:semiHidden/>
    <w:rsid w:val="0066663E"/>
    <w:rPr>
      <w:rFonts w:ascii="Times New Roman" w:eastAsia="宋体" w:hAnsi="Times New Roman" w:cs="Times New Roman"/>
      <w:sz w:val="18"/>
      <w:szCs w:val="18"/>
    </w:rPr>
  </w:style>
  <w:style w:type="character" w:customStyle="1" w:styleId="12">
    <w:name w:val="页脚 字符1"/>
    <w:basedOn w:val="a0"/>
    <w:uiPriority w:val="99"/>
    <w:semiHidden/>
    <w:rsid w:val="0066663E"/>
    <w:rPr>
      <w:rFonts w:ascii="Times New Roman" w:eastAsia="宋体" w:hAnsi="Times New Roman" w:cs="Times New Roman"/>
      <w:sz w:val="18"/>
      <w:szCs w:val="18"/>
    </w:rPr>
  </w:style>
  <w:style w:type="character" w:customStyle="1" w:styleId="Char12">
    <w:name w:val="页脚 Char1"/>
    <w:basedOn w:val="a0"/>
    <w:uiPriority w:val="99"/>
    <w:semiHidden/>
    <w:qFormat/>
    <w:rsid w:val="0066663E"/>
    <w:rPr>
      <w:rFonts w:ascii="Times New Roman" w:eastAsia="宋体" w:hAnsi="Times New Roman" w:cs="Times New Roman"/>
      <w:sz w:val="18"/>
      <w:szCs w:val="18"/>
    </w:rPr>
  </w:style>
  <w:style w:type="character" w:customStyle="1" w:styleId="HTMLChar">
    <w:name w:val="HTML 预设格式 Char"/>
    <w:basedOn w:val="a0"/>
    <w:link w:val="HTML"/>
    <w:rsid w:val="0066663E"/>
    <w:rPr>
      <w:rFonts w:ascii="宋体" w:eastAsia="宋体" w:hAnsi="宋体" w:cs="宋体"/>
      <w:kern w:val="0"/>
      <w:sz w:val="24"/>
      <w:szCs w:val="24"/>
    </w:rPr>
  </w:style>
  <w:style w:type="paragraph" w:customStyle="1" w:styleId="Char4">
    <w:name w:val="Char"/>
    <w:basedOn w:val="a"/>
    <w:qFormat/>
    <w:rsid w:val="0066663E"/>
    <w:pPr>
      <w:widowControl/>
      <w:spacing w:after="160" w:line="240" w:lineRule="exact"/>
      <w:jc w:val="left"/>
    </w:pPr>
    <w:rPr>
      <w:szCs w:val="20"/>
    </w:rPr>
  </w:style>
  <w:style w:type="paragraph" w:styleId="ad">
    <w:name w:val="List Paragraph"/>
    <w:basedOn w:val="a"/>
    <w:uiPriority w:val="99"/>
    <w:qFormat/>
    <w:rsid w:val="0066663E"/>
    <w:pPr>
      <w:ind w:firstLineChars="200" w:firstLine="420"/>
    </w:pPr>
    <w:rPr>
      <w:rFonts w:ascii="Calibri" w:hAnsi="Calibri"/>
    </w:rPr>
  </w:style>
  <w:style w:type="paragraph" w:customStyle="1" w:styleId="CharChar">
    <w:name w:val="Char Char"/>
    <w:basedOn w:val="a"/>
    <w:qFormat/>
    <w:rsid w:val="0066663E"/>
    <w:pPr>
      <w:widowControl/>
      <w:autoSpaceDE w:val="0"/>
      <w:autoSpaceDN w:val="0"/>
      <w:adjustRightInd w:val="0"/>
      <w:spacing w:after="160" w:line="240" w:lineRule="exact"/>
      <w:jc w:val="left"/>
    </w:pPr>
    <w:rPr>
      <w:szCs w:val="20"/>
    </w:rPr>
  </w:style>
  <w:style w:type="character" w:customStyle="1" w:styleId="font11">
    <w:name w:val="font11"/>
    <w:basedOn w:val="a0"/>
    <w:qFormat/>
    <w:rsid w:val="0066663E"/>
    <w:rPr>
      <w:rFonts w:ascii="Arial" w:hAnsi="Arial" w:cs="Arial" w:hint="default"/>
      <w:color w:val="000000"/>
      <w:sz w:val="24"/>
      <w:szCs w:val="24"/>
      <w:u w:val="none"/>
    </w:rPr>
  </w:style>
  <w:style w:type="character" w:customStyle="1" w:styleId="font01">
    <w:name w:val="font01"/>
    <w:basedOn w:val="a0"/>
    <w:qFormat/>
    <w:rsid w:val="0066663E"/>
    <w:rPr>
      <w:rFonts w:ascii="宋体" w:eastAsia="宋体" w:hAnsi="宋体" w:cs="宋体" w:hint="eastAsia"/>
      <w:color w:val="000000"/>
      <w:sz w:val="24"/>
      <w:szCs w:val="24"/>
      <w:u w:val="none"/>
    </w:rPr>
  </w:style>
  <w:style w:type="paragraph" w:customStyle="1" w:styleId="13">
    <w:name w:val="样式1"/>
    <w:basedOn w:val="a"/>
    <w:qFormat/>
    <w:rsid w:val="0066663E"/>
    <w:pPr>
      <w:pBdr>
        <w:bottom w:val="thinThickSmallGap" w:sz="18" w:space="1" w:color="auto"/>
      </w:pBdr>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75DAC-999F-4572-A474-3C6FD32A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Words>
  <Characters>2865</Characters>
  <Application>Microsoft Office Word</Application>
  <DocSecurity>0</DocSecurity>
  <Lines>23</Lines>
  <Paragraphs>6</Paragraphs>
  <ScaleCrop>false</ScaleCrop>
  <Company>Microsoft</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 JENNY</dc:creator>
  <cp:lastModifiedBy>黄靖</cp:lastModifiedBy>
  <cp:revision>2</cp:revision>
  <cp:lastPrinted>2020-09-28T07:15:00Z</cp:lastPrinted>
  <dcterms:created xsi:type="dcterms:W3CDTF">2020-10-28T09:03:00Z</dcterms:created>
  <dcterms:modified xsi:type="dcterms:W3CDTF">2020-10-28T09:03:00Z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