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附件2-1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2020</w:t>
      </w:r>
      <w:r>
        <w:rPr>
          <w:rFonts w:hint="eastAsia" w:ascii="华文中宋" w:hAnsi="华文中宋" w:eastAsia="华文中宋" w:cs="华文中宋"/>
          <w:sz w:val="36"/>
          <w:szCs w:val="36"/>
        </w:rPr>
        <w:t>年度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药品监管补助资金</w:t>
      </w:r>
      <w:r>
        <w:rPr>
          <w:rFonts w:hint="eastAsia" w:ascii="华文中宋" w:hAnsi="华文中宋" w:eastAsia="华文中宋" w:cs="华文中宋"/>
          <w:sz w:val="36"/>
          <w:szCs w:val="36"/>
        </w:rPr>
        <w:t>项目自评表</w:t>
      </w:r>
    </w:p>
    <w:p>
      <w:pPr>
        <w:widowControl/>
        <w:jc w:val="left"/>
        <w:rPr>
          <w:rFonts w:hint="default" w:ascii="楷体_GB2312" w:hAnsi="黑体" w:eastAsia="楷体_GB2312" w:cs="Times New Roman"/>
          <w:kern w:val="0"/>
          <w:sz w:val="48"/>
          <w:szCs w:val="48"/>
          <w:lang w:val="en-US" w:eastAsia="zh-CN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药化械监管科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 xml:space="preserve">    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431"/>
        <w:gridCol w:w="888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药品监管补助资金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武昌区市场监督管理局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项目实施单位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药化械监管科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1、部门预算项目   □   2、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直专项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3、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对下转移支付项目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1、持续性项目 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1、常年性项目 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2、延续性项目 □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预算执行情况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万元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20分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预算数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A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执行数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B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执行率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B/A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20分*执行率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228962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228962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年度绩效目标1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XX分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年初目标值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A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实际完成值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B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药品监管企业数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261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446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达成预期指标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化妆品监管企业数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达成预期指标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医疗器械监管企业数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198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达成预期指标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药品不良反应百万人口报告数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1007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1490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达成预期指标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化妆品不良反应百万人口报告数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达成预期指标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医疗器械不良反应百万人口报告数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277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520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达成预期指标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“两品一械”总体安全水平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不断提高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不断提高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达成预期指标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提高人民群众“两品一械”安全科普知识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不断提高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不断提高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达成预期指标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可持续影响指标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药品监管水平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达成预期指标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化妆品监管水平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达成预期指标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医疗器械监管水平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达成预期指标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药品监管队伍素质和装备配置水平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达成预期指标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年度绩效目标2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偏差大或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目标未完成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改进措施及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</w:tbl>
    <w:p>
      <w:pPr>
        <w:widowControl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备注：</w:t>
      </w:r>
    </w:p>
    <w:p>
      <w:pPr>
        <w:widowControl/>
        <w:ind w:firstLine="420" w:firstLineChars="200"/>
        <w:rPr>
          <w:rFonts w:hint="default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1.预算执行情况口径：预算数为调整后财政资金总额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包括上年结余结转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，执行数为资金使用单位财政资金实际支出数。</w:t>
      </w:r>
      <w:bookmarkStart w:id="0" w:name="_GoBack"/>
      <w:bookmarkEnd w:id="0"/>
    </w:p>
    <w:p>
      <w:pPr>
        <w:widowControl/>
        <w:ind w:firstLine="420" w:firstLineChars="200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2.定量指标完成数汇总原则：绝对值直接累加计算，相对值按照资金额度加权平均计算。定量指标计分原则：正向指标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即目标值为≥X,得分=权重*B/A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，反向指标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即目标值为≤X，得分=权重*A/B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3.定性指标计分原则：达成预期指标、部分达成预期指标、未达成预期指标三档，分别按照该指标对应分值区间100%-80%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≥80%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、80%-50%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≥50%，＜80%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、50%-0%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＜50%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合理确定分值。汇总时，以资金额度为权重，对分值进行加权平均计算。</w:t>
      </w:r>
    </w:p>
    <w:p>
      <w:pPr>
        <w:rPr>
          <w:rFonts w:hint="eastAsia" w:ascii="仿宋_GB2312" w:hAnsi="Arial" w:eastAsia="仿宋_GB2312" w:cs="Arial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4.基于经济性和必要性等因素考虑，满意度指标暂可不作为必评指标。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7E2430"/>
    <w:rsid w:val="09491220"/>
    <w:rsid w:val="139942E5"/>
    <w:rsid w:val="179A4D25"/>
    <w:rsid w:val="2A1F6F75"/>
    <w:rsid w:val="5AFE513F"/>
    <w:rsid w:val="6FB05BE1"/>
    <w:rsid w:val="F57E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semiHidden/>
    <w:unhideWhenUsed/>
    <w:qFormat/>
    <w:uiPriority w:val="99"/>
    <w:pPr>
      <w:spacing w:before="100" w:beforeAutospacing="1" w:after="120"/>
      <w:ind w:left="420" w:leftChars="200"/>
    </w:pPr>
    <w:rPr>
      <w:rFonts w:ascii="Times New Roman" w:hAnsi="Times New Roman" w:cs="Times New Roman"/>
    </w:r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  <w:rPr>
      <w:rFonts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2021-11-03T10:22:00Z</dcterms:created>
  <dc:creator>guest</dc:creator>
  <cp:lastModifiedBy>vivi</cp:lastModifiedBy>
  <dcterms:modified xsi:type="dcterms:W3CDTF">2021-11-04T09:23:33Z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E18A0D498A824FC78F52A2BD18785CC0</vt:lpwstr>
  </property>
</Properties>
</file>