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2"/>
        <w:tblW w:w="9080" w:type="dxa"/>
        <w:jc w:val="center"/>
        <w:tblLayout w:type="fixed"/>
        <w:tblCellMar>
          <w:top w:w="0" w:type="dxa"/>
          <w:left w:w="108" w:type="dxa"/>
          <w:bottom w:w="0" w:type="dxa"/>
          <w:right w:w="108" w:type="dxa"/>
        </w:tblCellMar>
      </w:tblPr>
      <w:tblGrid>
        <w:gridCol w:w="588"/>
        <w:gridCol w:w="980"/>
        <w:gridCol w:w="565"/>
        <w:gridCol w:w="405"/>
        <w:gridCol w:w="872"/>
        <w:gridCol w:w="1134"/>
        <w:gridCol w:w="784"/>
        <w:gridCol w:w="350"/>
        <w:gridCol w:w="460"/>
        <w:gridCol w:w="674"/>
        <w:gridCol w:w="481"/>
        <w:gridCol w:w="228"/>
        <w:gridCol w:w="851"/>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农业科技创新专项资金项目</w:t>
            </w:r>
            <w:r>
              <w:rPr>
                <w:rFonts w:hint="eastAsia" w:ascii="宋体" w:hAnsi="宋体" w:eastAsia="宋体" w:cs="宋体"/>
                <w:b/>
                <w:bCs/>
                <w:kern w:val="0"/>
                <w:sz w:val="32"/>
                <w:szCs w:val="32"/>
              </w:rPr>
              <w:t>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农业科技创新专项资金</w:t>
            </w:r>
            <w:bookmarkStart w:id="0" w:name="_GoBack"/>
            <w:bookmarkEnd w:id="0"/>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武昌区市场监督管理局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执法大队</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190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353"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sz w:val="18"/>
                <w:szCs w:val="18"/>
              </w:rPr>
              <w:t>项目总体目标：三年内通过审定优良新品种1个以上，自育品种推广种植面积20万亩以上，促进农业生产效益稳步提升。</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本项目于2019年7月立项批准，2019年10月省种子管理局下达2019年种业创新项目资金的通知。项目实施公司制定了项目具体实施方案并通过审批，2020年1月开始启动项目建设，项目仍在建设中。               </w:t>
            </w:r>
          </w:p>
          <w:p>
            <w:pPr>
              <w:widowControl/>
              <w:spacing w:line="240" w:lineRule="exact"/>
              <w:jc w:val="left"/>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30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970"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7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三年内培育适应当前农业绿色发展和农业供给侧结构性改革急需的突破性品种</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1个以上</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未完成。正在按方案实施，预计100%完成指标。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13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三年内自育品种推广种植面积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（万亩以上）</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20</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未完成。正在按方案实施，预计100%完成指标。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12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FF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新品种通过国家级或省级审定</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取得《主要农作物品种审定证书》</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未完成。正在按方案实施，预计100%完成目标。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124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0"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FF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种质资源常温库建设项目的建设质量</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竣工验收合格并达到设计标准</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未完成。正在按方案实施，预计100%完成目标。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14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种质资源常温库项目建设进度</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2020年底完成</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未完成。正在按方案实施，预计按期完成目标。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15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新品种及种植推广目标完成</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2022年底完成</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未完成。正在按方案实施，预计按期完成目标。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32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创新研发支出财政资金执行率</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100%</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未完成。</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项目正在实施，计划支出54万元，截至2020年4月底已支出30.35万元。</w:t>
            </w:r>
          </w:p>
        </w:tc>
      </w:tr>
      <w:tr>
        <w:tblPrEx>
          <w:tblCellMar>
            <w:top w:w="0" w:type="dxa"/>
            <w:left w:w="108" w:type="dxa"/>
            <w:bottom w:w="0" w:type="dxa"/>
            <w:right w:w="108" w:type="dxa"/>
          </w:tblCellMar>
        </w:tblPrEx>
        <w:trPr>
          <w:trHeight w:val="16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种质资源常温库建设财政资金执行率</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15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未完成。</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工程建设期2020年元月-2020年12月，截至2020年4月底尚无项目支出。</w:t>
            </w:r>
          </w:p>
        </w:tc>
      </w:tr>
      <w:tr>
        <w:tblPrEx>
          <w:tblCellMar>
            <w:top w:w="0" w:type="dxa"/>
            <w:left w:w="108" w:type="dxa"/>
            <w:bottom w:w="0" w:type="dxa"/>
            <w:right w:w="108" w:type="dxa"/>
          </w:tblCellMar>
        </w:tblPrEx>
        <w:trPr>
          <w:trHeight w:val="8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项目自筹资金执行率</w:t>
            </w:r>
          </w:p>
        </w:tc>
        <w:tc>
          <w:tcPr>
            <w:tcW w:w="81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15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未完成。</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项目安排优先使用财政专项资金</w:t>
            </w:r>
          </w:p>
        </w:tc>
      </w:tr>
      <w:tr>
        <w:tblPrEx>
          <w:tblCellMar>
            <w:top w:w="0" w:type="dxa"/>
            <w:left w:w="108" w:type="dxa"/>
            <w:bottom w:w="0" w:type="dxa"/>
            <w:right w:w="108" w:type="dxa"/>
          </w:tblCellMar>
        </w:tblPrEx>
        <w:trPr>
          <w:trHeight w:val="160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水稻种子销售收入增加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（水稻种子销量增加20万公斤）</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≥760万元</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未完成。正在按方案实施，预计100%达成预期指标。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6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新增优质水稻增加社会产值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（每亩增产25公斤，每公斤2.8元）</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≥1400万元</w:t>
            </w:r>
          </w:p>
        </w:tc>
        <w:tc>
          <w:tcPr>
            <w:tcW w:w="115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未完成。正在按方案实施，预计100%达成预期指标。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81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15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53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水稻新品种减少化肥、农药的使用量</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较同类其他稻种下降</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未完成。正在按方案实施，预计能达成预期指标。</w:t>
            </w:r>
          </w:p>
        </w:tc>
        <w:tc>
          <w:tcPr>
            <w:tcW w:w="17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项目正在实施；将加快项目实施进度，努力提高资金使用效益。</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引导和推动种业企业持续加大创新投入力度，建立适用现代种业发展需求的农作物新品种选育创新基地和平台</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长期</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加快选育农业绿色、优质、高效发展所急需的农作物新品种</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长期</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9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项目受益种业企业满意度</w:t>
            </w: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≥85%</w:t>
            </w: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100%</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p>
        </w:tc>
        <w:tc>
          <w:tcPr>
            <w:tcW w:w="8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说明</w:t>
            </w:r>
          </w:p>
        </w:tc>
        <w:tc>
          <w:tcPr>
            <w:tcW w:w="694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bl>
    <w:p>
      <w:pPr>
        <w:rPr>
          <w:rFonts w:hint="eastAsia" w:ascii="宋体" w:hAnsi="宋体" w:eastAsia="宋体" w:cs="宋体"/>
          <w:sz w:val="18"/>
          <w:szCs w:val="18"/>
          <w:lang w:val="en-US" w:eastAsia="zh-CN"/>
        </w:rPr>
      </w:pPr>
    </w:p>
    <w:sectPr>
      <w:pgSz w:w="11906" w:h="16838"/>
      <w:pgMar w:top="680" w:right="1134" w:bottom="68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346C7"/>
    <w:rsid w:val="01D32EBE"/>
    <w:rsid w:val="03E25E15"/>
    <w:rsid w:val="04936DD3"/>
    <w:rsid w:val="04C57643"/>
    <w:rsid w:val="05E52F99"/>
    <w:rsid w:val="061D2901"/>
    <w:rsid w:val="06FE14B2"/>
    <w:rsid w:val="08F44F91"/>
    <w:rsid w:val="09225B13"/>
    <w:rsid w:val="113A3DBC"/>
    <w:rsid w:val="12277917"/>
    <w:rsid w:val="139054A7"/>
    <w:rsid w:val="17BF5488"/>
    <w:rsid w:val="190346C7"/>
    <w:rsid w:val="1BE40CDB"/>
    <w:rsid w:val="1CA366E1"/>
    <w:rsid w:val="1D9808B1"/>
    <w:rsid w:val="1DBD2D5B"/>
    <w:rsid w:val="20225E6B"/>
    <w:rsid w:val="25986737"/>
    <w:rsid w:val="28F90405"/>
    <w:rsid w:val="293C5A3D"/>
    <w:rsid w:val="29FD7313"/>
    <w:rsid w:val="2A4D7590"/>
    <w:rsid w:val="2B392C3F"/>
    <w:rsid w:val="2D116D3A"/>
    <w:rsid w:val="2E6724C4"/>
    <w:rsid w:val="2EBD303A"/>
    <w:rsid w:val="321149F3"/>
    <w:rsid w:val="32176A91"/>
    <w:rsid w:val="340B3E13"/>
    <w:rsid w:val="341318F1"/>
    <w:rsid w:val="353B3C20"/>
    <w:rsid w:val="35F369EE"/>
    <w:rsid w:val="36111C34"/>
    <w:rsid w:val="3738126A"/>
    <w:rsid w:val="39F322D3"/>
    <w:rsid w:val="3D1D75BA"/>
    <w:rsid w:val="3E436207"/>
    <w:rsid w:val="3F7553E5"/>
    <w:rsid w:val="42A64C4B"/>
    <w:rsid w:val="433E4D1B"/>
    <w:rsid w:val="43954F31"/>
    <w:rsid w:val="454F55EF"/>
    <w:rsid w:val="486A2528"/>
    <w:rsid w:val="494C2407"/>
    <w:rsid w:val="49FA5ED0"/>
    <w:rsid w:val="4B1F7293"/>
    <w:rsid w:val="4D1616BA"/>
    <w:rsid w:val="4F512C45"/>
    <w:rsid w:val="4F7674D7"/>
    <w:rsid w:val="50F75FCE"/>
    <w:rsid w:val="52D63A56"/>
    <w:rsid w:val="531D4A5E"/>
    <w:rsid w:val="532D1367"/>
    <w:rsid w:val="53BC0FBF"/>
    <w:rsid w:val="5458171A"/>
    <w:rsid w:val="566E0621"/>
    <w:rsid w:val="599947B9"/>
    <w:rsid w:val="5B416075"/>
    <w:rsid w:val="5D4A2FAD"/>
    <w:rsid w:val="5EA006E8"/>
    <w:rsid w:val="5EBF07C3"/>
    <w:rsid w:val="6380538E"/>
    <w:rsid w:val="67A35EBD"/>
    <w:rsid w:val="6E8B0207"/>
    <w:rsid w:val="7B8025F6"/>
    <w:rsid w:val="7CD45287"/>
    <w:rsid w:val="7D0A2494"/>
    <w:rsid w:val="7E1251FA"/>
    <w:rsid w:val="7F82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2020-04-28T08:35:00Z</dcterms:created>
  <dc:creator>1904</dc:creator>
  <cp:lastModifiedBy>vivi</cp:lastModifiedBy>
  <cp:lastPrinted>2020-04-30T06:47:00Z</cp:lastPrinted>
  <dcterms:modified xsi:type="dcterms:W3CDTF">2020-10-28T06:50:09Z</dcterms:modified>
  <dc:title>附近2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