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方正小标宋_GBK"/>
          <w:sz w:val="32"/>
          <w:szCs w:val="32"/>
        </w:rPr>
      </w:pPr>
      <w:r>
        <w:rPr>
          <w:rFonts w:hint="eastAsia" w:ascii="华文中宋" w:hAnsi="华文中宋" w:eastAsia="华文中宋" w:cs="方正小标宋_GBK"/>
          <w:sz w:val="32"/>
          <w:szCs w:val="32"/>
        </w:rPr>
        <w:t>未按照规定安装、使用监控设备或未按规定留存监控资料履行安全管理职责</w: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ascii="华文中宋" w:hAnsi="华文中宋" w:eastAsia="华文中宋" w:cs="方正小标宋_GBK"/>
          <w:sz w:val="44"/>
          <w:szCs w:val="44"/>
        </w:rPr>
      </w:pPr>
      <w:r>
        <w:rPr>
          <w:rFonts w:hint="eastAsia" w:ascii="华文中宋" w:hAnsi="华文中宋" w:eastAsia="华文中宋" w:cs="方正小标宋_GBK"/>
          <w:sz w:val="32"/>
          <w:szCs w:val="32"/>
        </w:rPr>
        <w:t>对违反《</w:t>
      </w:r>
      <w:r>
        <w:rPr>
          <w:rFonts w:hint="eastAsia" w:ascii="华文中宋" w:hAnsi="华文中宋" w:eastAsia="华文中宋" w:cs="方正小标宋_GBK"/>
          <w:sz w:val="32"/>
          <w:szCs w:val="32"/>
          <w:lang w:val="en-US" w:eastAsia="zh-CN"/>
        </w:rPr>
        <w:t>武汉市</w:t>
      </w:r>
      <w:r>
        <w:rPr>
          <w:rFonts w:hint="eastAsia" w:ascii="华文中宋" w:hAnsi="华文中宋" w:eastAsia="华文中宋" w:cs="方正小标宋_GBK"/>
          <w:sz w:val="32"/>
          <w:szCs w:val="32"/>
        </w:rPr>
        <w:t>燃气管理条例》第</w:t>
      </w:r>
      <w:r>
        <w:rPr>
          <w:rFonts w:hint="eastAsia" w:ascii="华文中宋" w:hAnsi="华文中宋" w:eastAsia="华文中宋" w:cs="方正小标宋_GBK"/>
          <w:sz w:val="32"/>
          <w:szCs w:val="32"/>
          <w:lang w:val="en-US" w:eastAsia="zh-CN"/>
        </w:rPr>
        <w:t>三十六</w:t>
      </w:r>
      <w:r>
        <w:rPr>
          <w:rFonts w:hint="eastAsia" w:ascii="华文中宋" w:hAnsi="华文中宋" w:eastAsia="华文中宋" w:cs="方正小标宋_GBK"/>
          <w:sz w:val="32"/>
          <w:szCs w:val="32"/>
        </w:rPr>
        <w:t>条的行政处罚办事指南表（基本信息表）</w:t>
      </w:r>
    </w:p>
    <w:tbl>
      <w:tblPr>
        <w:tblStyle w:val="2"/>
        <w:tblW w:w="8718" w:type="dxa"/>
        <w:tblInd w:w="0" w:type="dxa"/>
        <w:tblLayout w:type="fixed"/>
        <w:tblCellMar>
          <w:top w:w="0" w:type="dxa"/>
          <w:left w:w="108" w:type="dxa"/>
          <w:bottom w:w="0" w:type="dxa"/>
          <w:right w:w="108" w:type="dxa"/>
        </w:tblCellMar>
      </w:tblPr>
      <w:tblGrid>
        <w:gridCol w:w="1998"/>
        <w:gridCol w:w="6720"/>
      </w:tblGrid>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职权名称</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Verdana"/>
                <w:kern w:val="0"/>
                <w:sz w:val="18"/>
                <w:szCs w:val="18"/>
              </w:rPr>
            </w:pPr>
            <w:r>
              <w:rPr>
                <w:rFonts w:hint="eastAsia" w:ascii="仿宋_GB2312" w:hAnsi="仿宋" w:eastAsia="仿宋_GB2312" w:cs="Verdana"/>
                <w:kern w:val="0"/>
                <w:sz w:val="18"/>
                <w:szCs w:val="18"/>
              </w:rPr>
              <w:t>对违反《</w:t>
            </w:r>
            <w:r>
              <w:rPr>
                <w:rFonts w:hint="eastAsia" w:ascii="仿宋_GB2312" w:hAnsi="仿宋" w:eastAsia="仿宋_GB2312" w:cs="Verdana"/>
                <w:kern w:val="0"/>
                <w:sz w:val="18"/>
                <w:szCs w:val="18"/>
                <w:lang w:val="en-US" w:eastAsia="zh-CN"/>
              </w:rPr>
              <w:t>武汉市</w:t>
            </w:r>
            <w:r>
              <w:rPr>
                <w:rFonts w:hint="eastAsia" w:ascii="仿宋_GB2312" w:hAnsi="仿宋" w:eastAsia="仿宋_GB2312" w:cs="Verdana"/>
                <w:kern w:val="0"/>
                <w:sz w:val="18"/>
                <w:szCs w:val="18"/>
              </w:rPr>
              <w:t>燃气管理条例》第</w:t>
            </w:r>
            <w:r>
              <w:rPr>
                <w:rFonts w:hint="eastAsia" w:ascii="仿宋_GB2312" w:hAnsi="仿宋" w:eastAsia="仿宋_GB2312" w:cs="Verdana"/>
                <w:kern w:val="0"/>
                <w:sz w:val="18"/>
                <w:szCs w:val="18"/>
                <w:lang w:val="en-US" w:eastAsia="zh-CN"/>
              </w:rPr>
              <w:t>三十六</w:t>
            </w:r>
            <w:r>
              <w:rPr>
                <w:rFonts w:hint="eastAsia" w:ascii="仿宋_GB2312" w:hAnsi="仿宋" w:eastAsia="仿宋_GB2312" w:cs="Verdana"/>
                <w:kern w:val="0"/>
                <w:sz w:val="18"/>
                <w:szCs w:val="18"/>
              </w:rPr>
              <w:t>条的行政处罚</w:t>
            </w:r>
          </w:p>
        </w:tc>
      </w:tr>
      <w:tr>
        <w:tblPrEx>
          <w:tblCellMar>
            <w:top w:w="0" w:type="dxa"/>
            <w:left w:w="108" w:type="dxa"/>
            <w:bottom w:w="0" w:type="dxa"/>
            <w:right w:w="108" w:type="dxa"/>
          </w:tblCellMar>
        </w:tblPrEx>
        <w:trPr>
          <w:trHeight w:val="737"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实施机关</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eastAsia="zh-CN"/>
              </w:rPr>
              <w:t>武汉市武昌区城市管理执法局</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职权依据</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 w:eastAsia="仿宋_GB2312" w:cs="Verdana"/>
                <w:kern w:val="0"/>
                <w:sz w:val="18"/>
                <w:szCs w:val="18"/>
                <w:lang w:val="en-US" w:eastAsia="zh-CN"/>
              </w:rPr>
            </w:pPr>
            <w:r>
              <w:rPr>
                <w:rFonts w:hint="eastAsia" w:ascii="仿宋_GB2312" w:hAnsi="仿宋" w:eastAsia="仿宋_GB2312" w:cs="Verdana"/>
                <w:kern w:val="0"/>
                <w:sz w:val="18"/>
                <w:szCs w:val="18"/>
              </w:rPr>
              <w:t>《</w:t>
            </w:r>
            <w:r>
              <w:rPr>
                <w:rFonts w:hint="eastAsia" w:ascii="仿宋_GB2312" w:hAnsi="仿宋" w:eastAsia="仿宋_GB2312" w:cs="Verdana"/>
                <w:kern w:val="0"/>
                <w:sz w:val="18"/>
                <w:szCs w:val="18"/>
                <w:lang w:val="en-US" w:eastAsia="zh-CN"/>
              </w:rPr>
              <w:t>武汉市</w:t>
            </w:r>
            <w:r>
              <w:rPr>
                <w:rFonts w:hint="eastAsia" w:ascii="仿宋_GB2312" w:hAnsi="仿宋" w:eastAsia="仿宋_GB2312" w:cs="Verdana"/>
                <w:kern w:val="0"/>
                <w:sz w:val="18"/>
                <w:szCs w:val="18"/>
              </w:rPr>
              <w:t>燃气管理条例》第</w:t>
            </w:r>
            <w:r>
              <w:rPr>
                <w:rFonts w:hint="eastAsia" w:ascii="仿宋_GB2312" w:hAnsi="仿宋" w:eastAsia="仿宋_GB2312" w:cs="Verdana"/>
                <w:kern w:val="0"/>
                <w:sz w:val="18"/>
                <w:szCs w:val="18"/>
                <w:lang w:val="en-US" w:eastAsia="zh-CN"/>
              </w:rPr>
              <w:t>三十六条，第五十条第六款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违法违规行为</w:t>
            </w:r>
          </w:p>
        </w:tc>
        <w:tc>
          <w:tcPr>
            <w:tcW w:w="6720" w:type="dxa"/>
            <w:tcBorders>
              <w:top w:val="single" w:color="auto" w:sz="4" w:space="0"/>
              <w:left w:val="nil"/>
              <w:bottom w:val="nil"/>
              <w:right w:val="single" w:color="auto" w:sz="4" w:space="0"/>
            </w:tcBorders>
            <w:noWrap w:val="0"/>
            <w:vAlign w:val="center"/>
          </w:tcPr>
          <w:p>
            <w:pPr>
              <w:widowControl/>
              <w:numPr>
                <w:ilvl w:val="0"/>
                <w:numId w:val="0"/>
              </w:numPr>
              <w:spacing w:line="400" w:lineRule="exact"/>
              <w:ind w:firstLine="360" w:firstLineChars="200"/>
              <w:jc w:val="left"/>
              <w:rPr>
                <w:rFonts w:hint="default" w:ascii="仿宋_GB2312" w:hAnsi="仿宋" w:eastAsia="仿宋_GB2312" w:cs="Verdana"/>
                <w:kern w:val="0"/>
                <w:sz w:val="18"/>
                <w:szCs w:val="18"/>
                <w:lang w:val="en-US" w:eastAsia="zh-CN"/>
              </w:rPr>
            </w:pPr>
            <w:r>
              <w:rPr>
                <w:rFonts w:hint="default" w:ascii="仿宋_GB2312" w:hAnsi="仿宋" w:eastAsia="仿宋_GB2312" w:cs="Verdana"/>
                <w:kern w:val="0"/>
                <w:sz w:val="18"/>
                <w:szCs w:val="18"/>
                <w:lang w:val="en-US" w:eastAsia="zh-CN"/>
              </w:rPr>
              <w:t>未按照本条例第三十六条规定履行安全管理职责的，责令改正，处一千元以上五千元以下罚款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处罚种类</w:t>
            </w:r>
          </w:p>
        </w:tc>
        <w:tc>
          <w:tcPr>
            <w:tcW w:w="672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仿宋" w:eastAsia="仿宋_GB2312" w:cs="宋体"/>
                <w:kern w:val="0"/>
                <w:sz w:val="18"/>
                <w:szCs w:val="18"/>
              </w:rPr>
              <w:t>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细化量化自由裁量权标准</w:t>
            </w:r>
          </w:p>
        </w:tc>
        <w:tc>
          <w:tcPr>
            <w:tcW w:w="6720" w:type="dxa"/>
            <w:tcBorders>
              <w:top w:val="nil"/>
              <w:left w:val="nil"/>
              <w:bottom w:val="single" w:color="auto" w:sz="4" w:space="0"/>
              <w:right w:val="single" w:color="auto" w:sz="4" w:space="0"/>
            </w:tcBorders>
            <w:noWrap w:val="0"/>
            <w:vAlign w:val="center"/>
          </w:tcPr>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不及时修复已损坏监控设备1月以上2个月以下的，未按规定期限留存监控资料的，责令限期改正，处1000元－3000元罚款，1月内不予处罚；未按规定期限留存监控资料的，罚款2000元。</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不及时修复已损坏监控设备2个月以上的，责令限期改正，处3000元－4000元罚款。</w:t>
            </w:r>
          </w:p>
          <w:p>
            <w:pPr>
              <w:widowControl/>
              <w:numPr>
                <w:ilvl w:val="0"/>
                <w:numId w:val="1"/>
              </w:numPr>
              <w:spacing w:line="400" w:lineRule="exact"/>
              <w:jc w:val="left"/>
              <w:rPr>
                <w:rFonts w:hint="eastAsia"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未设置或故意损坏监控设备的，责令限期改正，处4000元－5000元罚款。</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职权运行流程</w:t>
            </w:r>
          </w:p>
        </w:tc>
        <w:tc>
          <w:tcPr>
            <w:tcW w:w="6720" w:type="dxa"/>
            <w:tcBorders>
              <w:top w:val="nil"/>
              <w:left w:val="nil"/>
              <w:bottom w:val="single" w:color="auto" w:sz="4" w:space="0"/>
              <w:right w:val="single" w:color="auto" w:sz="4" w:space="0"/>
            </w:tcBorders>
            <w:noWrap w:val="0"/>
            <w:vAlign w:val="center"/>
          </w:tcPr>
          <w:p>
            <w:pPr>
              <w:widowControl/>
              <w:spacing w:line="400" w:lineRule="exact"/>
              <w:jc w:val="left"/>
              <w:rPr>
                <w:rFonts w:ascii="仿宋_GB2312" w:hAnsi="仿宋" w:eastAsia="仿宋_GB2312" w:cs="宋体"/>
                <w:kern w:val="0"/>
                <w:sz w:val="18"/>
                <w:szCs w:val="18"/>
              </w:rPr>
            </w:pPr>
            <w:r>
              <w:rPr>
                <w:rFonts w:hint="eastAsia" w:ascii="仿宋_GB2312" w:hAnsi="宋体" w:eastAsia="仿宋_GB2312" w:cs="宋体"/>
                <w:color w:val="000000"/>
                <w:kern w:val="0"/>
                <w:sz w:val="18"/>
                <w:szCs w:val="18"/>
              </w:rPr>
              <w:t>立案→调查→审查→告知→决定→送达→执行</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w:t>
            </w:r>
          </w:p>
        </w:tc>
        <w:tc>
          <w:tcPr>
            <w:tcW w:w="6720" w:type="dxa"/>
            <w:tcBorders>
              <w:top w:val="nil"/>
              <w:left w:val="nil"/>
              <w:bottom w:val="single" w:color="auto" w:sz="4" w:space="0"/>
              <w:right w:val="single" w:color="auto" w:sz="4" w:space="0"/>
            </w:tcBorders>
            <w:noWrap w:val="0"/>
            <w:vAlign w:val="center"/>
          </w:tcPr>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 xml:space="preserve">立案责任                                                            </w:t>
            </w:r>
          </w:p>
          <w:p>
            <w:pPr>
              <w:widowControl/>
              <w:ind w:firstLine="360" w:firstLineChars="20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对于日常监督检查，群众来信来访及交办、转办中发现的问题及投诉举报的情况，进行审查核实，符合立案条件的予以立案。</w:t>
            </w:r>
          </w:p>
          <w:p>
            <w:pPr>
              <w:widowControl/>
              <w:numPr>
                <w:ilvl w:val="0"/>
                <w:numId w:val="0"/>
              </w:numPr>
              <w:ind w:leftChars="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2.</w:t>
            </w:r>
            <w:r>
              <w:rPr>
                <w:rFonts w:hint="eastAsia" w:ascii="仿宋_GB2312" w:hAnsi="宋体" w:eastAsia="仿宋_GB2312" w:cs="宋体"/>
                <w:color w:val="000000"/>
                <w:kern w:val="0"/>
                <w:sz w:val="18"/>
                <w:szCs w:val="18"/>
              </w:rPr>
              <w:t>调查取证责任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（1）行政执法人员不得少于两人，出示证件、表明身份；执法人员与当事人有直接利害关系的，应当回避。</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（2）通过搜集证据、现场了解核实情况等进行调查，并制作笔录。</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  审查责任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（1）单位负责人审查决定。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（2）对于情节复杂的，应当集体讨论决定。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（3）制作处罚决定书。</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  告知责任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（1）行政机关在作出行政处罚决定之前，应当告知当事人作出行政处罚决定的事实、理由及依据，并告知当事人依法享有的权利。</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（2）行政机关作出责令停产停业、吊销许可证或者执照、较大数额罚款等行政处罚决定之前，应当告知当事人有要求举行听证的权利；当事人要求听证的，行政机关应当组织听证。</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5.决定责任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制作行政处罚决定书，载明行政处罚告知、当事人陈述申辩或者听证情况以及行政处罚的种类和依据、履行方式和期限、救济途径等内容。</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6.送达责任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当场交付当事人，当事人不在场的，行政机关应在7日内，将行政处罚决定书送达当事人。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7.执行责任</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（1）当事人自觉履行。</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（2）强制执行。</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8.其他法律法规规章文件规定应履行的责任</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责任事项依据</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r>
              <w:rPr>
                <w:rFonts w:hint="eastAsia" w:ascii="仿宋_GB2312" w:hAnsi="仿宋" w:eastAsia="仿宋_GB2312" w:cs="Verdana"/>
                <w:kern w:val="0"/>
                <w:sz w:val="18"/>
                <w:szCs w:val="18"/>
              </w:rPr>
              <w:t>《</w:t>
            </w:r>
            <w:r>
              <w:rPr>
                <w:rFonts w:hint="eastAsia" w:ascii="仿宋_GB2312" w:hAnsi="仿宋" w:eastAsia="仿宋_GB2312" w:cs="Verdana"/>
                <w:kern w:val="0"/>
                <w:sz w:val="18"/>
                <w:szCs w:val="18"/>
                <w:lang w:val="en-US" w:eastAsia="zh-CN"/>
              </w:rPr>
              <w:t>武汉市</w:t>
            </w:r>
            <w:r>
              <w:rPr>
                <w:rFonts w:hint="eastAsia" w:ascii="仿宋_GB2312" w:hAnsi="仿宋" w:eastAsia="仿宋_GB2312" w:cs="Verdana"/>
                <w:kern w:val="0"/>
                <w:sz w:val="18"/>
                <w:szCs w:val="18"/>
              </w:rPr>
              <w:t>燃气管理条例》第</w:t>
            </w:r>
            <w:r>
              <w:rPr>
                <w:rFonts w:hint="eastAsia" w:ascii="仿宋_GB2312" w:hAnsi="仿宋" w:eastAsia="仿宋_GB2312" w:cs="Verdana"/>
                <w:kern w:val="0"/>
                <w:sz w:val="18"/>
                <w:szCs w:val="18"/>
                <w:lang w:val="en-US" w:eastAsia="zh-CN"/>
              </w:rPr>
              <w:t>三十六条，第五十条第六款</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4.《中华人民共和国行政处罚法》第四十四条　行政机关在作出行政处罚决定之前，应当告知当事人拟作出的行政处罚内容及事实、理由、依据，并告知当事人依法享有的陈述、申辩、要求听证等权利。第四十五条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5.《中华人民共和国行政处罚法》第五十九条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7.《中华人民共和国行政处罚法》第六十六条　行政处罚决定依法作出后，当事人应当在行政处罚决定书载明的期限内，予以履行。当事人确有经济困难，需要延期或者分期缴纳罚款的，经当事人申请和行政机关批准，可以暂缓或者分期缴纳。第七十二条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8.《中华人民共和国行政处罚法》第四十六条　证据包括：（一）书证；（二）物证；（三）视听资料；（四）电子数据；（五）证人证言；（六）当事人的陈述；（七）鉴定意见；（八）勘验笔录、现场笔录。证据必须经查证属实，方可作为认定案件事实的根据。以非法手段取得的证据，不得作为认定案件事实的根据。</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第四十七条　行政机关应当依法以文字、音像等形式，对行政处罚的启动、调查取证、审核、决定、送达、执行等进行全过程记录，归档保存。</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第四十八条　具有一定社会影响的行政处罚决定应当依法公开。开的行政处罚决定被依法变更、撤销、确认违法或者确认无效的，行政机关应当在三日内撤回行政处罚决定信息并公开说明理由。</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第四十九条　发生重大传染病疫情等突发事件，为了控制、减轻和消除突发事件引起的社会危害，行政机关对违反突发事件应对措施的行为，依法快速、从重处罚。</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第五十条　行政机关及其工作人员对实施行政处罚过程中知悉的国家秘密、商业秘密或者个人隐私，应当依法予以保密。</w:t>
            </w:r>
          </w:p>
          <w:p>
            <w:pPr>
              <w:rPr>
                <w:rFonts w:hint="default"/>
                <w:lang w:val="en-US" w:eastAsia="zh-CN"/>
              </w:rPr>
            </w:pPr>
            <w:r>
              <w:rPr>
                <w:rFonts w:hint="eastAsia" w:ascii="仿宋_GB2312" w:hAnsi="宋体" w:eastAsia="仿宋_GB2312" w:cs="宋体"/>
                <w:color w:val="000000"/>
                <w:kern w:val="0"/>
                <w:sz w:val="18"/>
                <w:szCs w:val="18"/>
              </w:rPr>
              <w:t>第六十条　行政机关应当自行政处罚案件立案之日起九十日内作出行政处罚决定。法律、法规、规章另有规定的，从其规定。</w:t>
            </w:r>
          </w:p>
          <w:p>
            <w:pPr>
              <w:widowControl/>
              <w:rPr>
                <w:rFonts w:hint="eastAsia" w:ascii="仿宋_GB2312" w:hAnsi="宋体" w:eastAsia="仿宋_GB2312" w:cs="宋体"/>
                <w:color w:val="000000"/>
                <w:kern w:val="0"/>
                <w:sz w:val="18"/>
                <w:szCs w:val="18"/>
                <w:lang w:eastAsia="zh-CN"/>
              </w:rPr>
            </w:pPr>
            <w:bookmarkStart w:id="0" w:name="_GoBack"/>
            <w:bookmarkEnd w:id="0"/>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职责边界</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承办机构</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武汉市武昌区城市管理执法局执法大队;</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咨询方式</w:t>
            </w:r>
          </w:p>
        </w:tc>
        <w:tc>
          <w:tcPr>
            <w:tcW w:w="6720" w:type="dxa"/>
            <w:tcBorders>
              <w:top w:val="nil"/>
              <w:left w:val="nil"/>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联系电话：027-8893</w:t>
            </w:r>
            <w:r>
              <w:rPr>
                <w:rFonts w:hint="eastAsia" w:ascii="仿宋_GB2312" w:hAnsi="宋体" w:eastAsia="仿宋_GB2312" w:cs="宋体"/>
                <w:color w:val="000000"/>
                <w:kern w:val="0"/>
                <w:sz w:val="18"/>
                <w:szCs w:val="18"/>
                <w:lang w:val="en-US" w:eastAsia="zh-CN"/>
              </w:rPr>
              <w:t>3551</w:t>
            </w:r>
            <w:r>
              <w:rPr>
                <w:rFonts w:hint="eastAsia" w:ascii="仿宋_GB2312" w:hAnsi="宋体" w:eastAsia="仿宋_GB2312" w:cs="宋体"/>
                <w:color w:val="000000"/>
                <w:kern w:val="0"/>
                <w:sz w:val="18"/>
                <w:szCs w:val="18"/>
              </w:rPr>
              <w:t>；</w:t>
            </w:r>
          </w:p>
          <w:p>
            <w:pPr>
              <w:widowControl/>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办公地址：武汉市武昌区胭脂路荆南街14号；</w:t>
            </w:r>
          </w:p>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电子邮箱：wcqcgzfjxzcf@qq.com。</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监督投诉方式</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市长热线：027-12345；</w:t>
            </w:r>
          </w:p>
        </w:tc>
      </w:tr>
      <w:tr>
        <w:tblPrEx>
          <w:tblCellMar>
            <w:top w:w="0" w:type="dxa"/>
            <w:left w:w="108" w:type="dxa"/>
            <w:bottom w:w="0" w:type="dxa"/>
            <w:right w:w="108" w:type="dxa"/>
          </w:tblCellMar>
        </w:tblPrEx>
        <w:trPr>
          <w:trHeight w:val="737" w:hRule="atLeast"/>
        </w:trPr>
        <w:tc>
          <w:tcPr>
            <w:tcW w:w="1998"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宋体" w:eastAsia="黑体" w:cs="宋体"/>
                <w:kern w:val="0"/>
                <w:sz w:val="18"/>
                <w:szCs w:val="18"/>
              </w:rPr>
            </w:pPr>
            <w:r>
              <w:rPr>
                <w:rFonts w:hint="eastAsia" w:ascii="黑体" w:hAnsi="宋体" w:eastAsia="黑体" w:cs="宋体"/>
                <w:kern w:val="0"/>
                <w:sz w:val="18"/>
                <w:szCs w:val="18"/>
              </w:rPr>
              <w:t>备注</w:t>
            </w:r>
          </w:p>
        </w:tc>
        <w:tc>
          <w:tcPr>
            <w:tcW w:w="672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8"/>
                <w:szCs w:val="18"/>
              </w:rPr>
            </w:pPr>
          </w:p>
        </w:tc>
      </w:tr>
    </w:tbl>
    <w:p>
      <w:pPr>
        <w:rPr>
          <w:rFonts w:hint="eastAsia"/>
        </w:rPr>
      </w:pPr>
    </w:p>
    <w:p>
      <w:pPr>
        <w:jc w:val="center"/>
        <w:rPr>
          <w:rFonts w:hint="eastAsia" w:ascii="华文中宋" w:hAnsi="华文中宋" w:eastAsia="华文中宋" w:cs="宋体"/>
          <w:kern w:val="0"/>
          <w:sz w:val="32"/>
          <w:szCs w:val="32"/>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p>
    <w:p>
      <w:pPr>
        <w:ind w:firstLine="2880" w:firstLineChars="900"/>
        <w:jc w:val="both"/>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行政处罚外部流程图</w:t>
      </w:r>
    </w:p>
    <w:p>
      <w:pPr>
        <w:jc w:val="center"/>
        <w:rPr>
          <w:rFonts w:hint="eastAsia" w:ascii="华文中宋" w:hAnsi="华文中宋" w:eastAsia="华文中宋" w:cs="宋体"/>
          <w:kern w:val="0"/>
          <w:sz w:val="32"/>
          <w:szCs w:val="32"/>
        </w:rPr>
      </w:pPr>
      <w:r>
        <w:object>
          <v:shape id="_x0000_i1025" o:spt="75" type="#_x0000_t75" style="height:618.75pt;width:411.2pt;" o:ole="t" filled="f" o:preferrelative="t" stroked="f" coordsize="21600,21600">
            <v:path/>
            <v:fill on="f" focussize="0,0"/>
            <v:stroke on="f"/>
            <v:imagedata r:id="rId5" o:title=""/>
            <o:lock v:ext="edit" aspectratio="t"/>
            <w10:wrap type="none"/>
            <w10:anchorlock/>
          </v:shape>
          <o:OLEObject Type="Embed" ProgID="Visio.Drawing.15" ShapeID="_x0000_i1025" DrawAspect="Content" ObjectID="_1468075725" r:id="rId4">
            <o:LockedField>false</o:LockedField>
          </o:OLEObject>
        </w:object>
      </w:r>
    </w:p>
    <w:p>
      <w:pPr>
        <w:spacing w:line="560" w:lineRule="exact"/>
        <w:jc w:val="center"/>
        <w:rPr>
          <w:rFonts w:hint="eastAsia" w:ascii="华文中宋" w:hAnsi="华文中宋" w:eastAsia="华文中宋" w:cs="方正小标宋_GBK"/>
          <w:sz w:val="32"/>
          <w:szCs w:val="32"/>
        </w:rPr>
      </w:pPr>
    </w:p>
    <w:p>
      <w:pPr>
        <w:spacing w:line="560" w:lineRule="exact"/>
        <w:jc w:val="center"/>
        <w:rPr>
          <w:rFonts w:hint="eastAsia" w:ascii="华文中宋" w:hAnsi="华文中宋" w:eastAsia="华文中宋" w:cs="方正小标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0D7BA"/>
    <w:multiLevelType w:val="singleLevel"/>
    <w:tmpl w:val="8FF0D7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F3DCF"/>
    <w:rsid w:val="1C1F3DCF"/>
    <w:rsid w:val="65157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2021-07-09T09:17:00Z</dcterms:created>
  <dc:creator>夏夏</dc:creator>
  <cp:lastModifiedBy>高珊</cp:lastModifiedBy>
  <dcterms:modified xsi:type="dcterms:W3CDTF">2021-07-12T02:11:25Z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A270B3F5095744D38AE69C0C0B6F3553</vt:lpwstr>
  </property>
  <property fmtid="{D5CDD505-2E9C-101B-9397-08002B2CF9AE}" pid="4" name="KSOSaveFontToCloudKey">
    <vt:lpwstr>818107661_cloud</vt:lpwstr>
  </property>
</Properties>
</file>