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未对燃气用户的燃气设施定期进行安全检查</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对违反《城镇燃气管理条例》</w:t>
      </w:r>
      <w:r>
        <w:rPr>
          <w:rFonts w:hint="eastAsia" w:ascii="华文中宋" w:hAnsi="华文中宋" w:eastAsia="华文中宋" w:cs="方正小标宋_GBK"/>
          <w:sz w:val="32"/>
          <w:szCs w:val="32"/>
          <w:lang w:val="en-US" w:eastAsia="zh-CN"/>
        </w:rPr>
        <w:t>第十七条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对违反《城镇燃气管理条例》第十七条的行政处罚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《城镇燃气管理条例》第十七条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燃气经营者应当向燃气用户持续、稳定、安全供应符合国家质量标准的燃气,指导燃气用户安全用气、节约用气,并对燃气设施定期进行安全检查。</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val="en-US" w:eastAsia="zh-CN"/>
              </w:rPr>
              <w:t>1、</w:t>
            </w:r>
            <w:r>
              <w:rPr>
                <w:rFonts w:hint="eastAsia" w:ascii="仿宋_GB2312" w:hAnsi="仿宋" w:eastAsia="仿宋_GB2312" w:cs="宋体"/>
                <w:kern w:val="0"/>
                <w:sz w:val="18"/>
                <w:szCs w:val="18"/>
                <w:lang w:eastAsia="zh-CN"/>
              </w:rPr>
              <w:t>建档量或者安全检查完成量在50%以上90%以下，违反规定擅自收费1万元以下的，责令限期改正并给予警告，并可处500元以上1.5万元以下罚款。</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2、建档量或者安全检查完成量在10%以上50%以下的，违反规定擅自收费1万元以上3万元以下的，责令限期改正并给予警告，并可处1.5万-3万元罚款。</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3、建档量或者安全检查完成量在10%以下的，违反规定擅自收费3万元以上的，责令限期改正并给予警告，并可处3万-10万元罚款。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《城镇燃气管理条例》第十七条。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A7D34"/>
    <w:rsid w:val="527A7D34"/>
    <w:rsid w:val="65B81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2021-07-09T06:52:00Z</dcterms:created>
  <dc:creator>夏夏</dc:creator>
  <cp:lastModifiedBy>高珊</cp:lastModifiedBy>
  <dcterms:modified xsi:type="dcterms:W3CDTF">2021-07-12T02:03:29Z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50B205F714914D2CB60CA1B138E33737</vt:lpwstr>
  </property>
  <property fmtid="{D5CDD505-2E9C-101B-9397-08002B2CF9AE}" pid="4" name="KSOSaveFontToCloudKey">
    <vt:lpwstr>818107661_cloud</vt:lpwstr>
  </property>
</Properties>
</file>