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商业经营活动使用设备设施边界噪声超标排放造成环境污染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对违反《武汉市城市管理相对集中行政处罚权办法》第三十条的行政处罚办事指南表（基本信息表）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对违反《武汉市城市管理相对集中行政处罚权办法》第三十条的行政处罚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《中华人民共和国环境噪声污染防治法》第四十四条第二款</w:t>
            </w:r>
            <w:r>
              <w:rPr>
                <w:rFonts w:hint="eastAsia" w:ascii="仿宋_GB2312" w:hAnsi="仿宋" w:eastAsia="仿宋_GB2312" w:cs="Verdana"/>
                <w:kern w:val="0"/>
                <w:sz w:val="18"/>
                <w:szCs w:val="18"/>
                <w:lang w:eastAsia="zh-CN"/>
              </w:rPr>
              <w:t>、</w:t>
            </w:r>
            <w:r>
              <w:rPr>
                <w:rFonts w:hint="eastAsia" w:ascii="仿宋_GB2312" w:hAnsi="仿宋" w:eastAsia="仿宋_GB2312" w:cs="Verdana"/>
                <w:kern w:val="0"/>
                <w:sz w:val="18"/>
                <w:szCs w:val="18"/>
              </w:rPr>
              <w:t>《武汉市城市管理相对集中行政处罚权办法》第三十条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 xml:space="preserve">  在商业经营活动中使用空调器、冷却塔等可能产生环境噪声污染的设备、设施的，其经营管理者应当采取措施，使其边界噪声不超过国家规定的环境噪声排放标准</w:t>
            </w:r>
            <w:r>
              <w:rPr>
                <w:rFonts w:hint="eastAsia" w:ascii="仿宋_GB2312" w:hAnsi="仿宋" w:eastAsia="仿宋_GB2312" w:cs="Verdana"/>
                <w:kern w:val="0"/>
                <w:sz w:val="18"/>
                <w:szCs w:val="18"/>
                <w:lang w:eastAsia="zh-CN"/>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1.环境噪声排放超过规定标准５dＢ以下，责令改正，可并处罚款1000-2000元。</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2.环境噪声排放超过规定标准５dＢ以上10dＢ以下，责令改正，可并处罚款2000-5000元；</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3. 环境噪声排放超过规定标准10dＢ以上且拒不改正或者有其他严重情节，责令改正，可并处罚款，罚款以5000元为基数，以5000元/3dＢ为标准递增，罚款总额不超过30000元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1. 《武汉市城市管理相对集中行政处罚权办法》 第三十条  在商业经营活动中使用空调器、冷却塔等可能产生环境噪声污染的设备、设施的，其经营管理者应当采取措施，使其边界噪声不超过国家规定的环境噪声排放标准。违反规定，造成环境噪声污染的，责令改正，可以并处1000元以上5000元以下罚款；拒不改正或者有其他严重情节的，处5000元以上30000元以下罚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41529"/>
    <w:rsid w:val="6B840EF4"/>
    <w:rsid w:val="6D641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2021-07-09T08:19:00Z</dcterms:created>
  <dc:creator>夏夏</dc:creator>
  <cp:lastModifiedBy>夏夏</cp:lastModifiedBy>
  <dcterms:modified xsi:type="dcterms:W3CDTF">2021-07-12T02:12:07Z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D9C5E995D01C48F3A416FCAF71DBA012</vt:lpwstr>
  </property>
  <property fmtid="{D5CDD505-2E9C-101B-9397-08002B2CF9AE}" pid="4" name="KSOSaveFontToCloudKey">
    <vt:lpwstr>818107661_cloud</vt:lpwstr>
  </property>
</Properties>
</file>