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华文中宋" w:hAnsi="华文中宋" w:eastAsia="华文中宋" w:cs="方正小标宋_GBK"/>
          <w:sz w:val="32"/>
          <w:szCs w:val="32"/>
          <w:highlight w:val="none"/>
        </w:rPr>
      </w:pPr>
      <w:r>
        <w:rPr>
          <w:rFonts w:hint="eastAsia" w:ascii="华文中宋" w:hAnsi="华文中宋" w:eastAsia="华文中宋" w:cs="方正小标宋_GBK"/>
          <w:sz w:val="32"/>
          <w:szCs w:val="32"/>
          <w:highlight w:val="none"/>
        </w:rPr>
        <w:t>未经批准拆除迁移封闭公共厕所</w:t>
      </w:r>
    </w:p>
    <w:p>
      <w:pPr>
        <w:spacing w:line="560" w:lineRule="exact"/>
        <w:jc w:val="center"/>
        <w:rPr>
          <w:rFonts w:ascii="华文中宋" w:hAnsi="华文中宋" w:eastAsia="华文中宋" w:cs="方正小标宋_GBK"/>
          <w:sz w:val="44"/>
          <w:szCs w:val="44"/>
        </w:rPr>
      </w:pPr>
      <w:r>
        <w:rPr>
          <w:rFonts w:hint="eastAsia" w:ascii="华文中宋" w:hAnsi="华文中宋" w:eastAsia="华文中宋" w:cs="方正小标宋_GBK"/>
          <w:sz w:val="32"/>
          <w:szCs w:val="32"/>
        </w:rPr>
        <w:t>对《武汉市市容环境卫生管理条例》第四十</w:t>
      </w:r>
      <w:r>
        <w:rPr>
          <w:rFonts w:hint="eastAsia" w:ascii="华文中宋" w:hAnsi="华文中宋" w:eastAsia="华文中宋" w:cs="方正小标宋_GBK"/>
          <w:sz w:val="32"/>
          <w:szCs w:val="32"/>
          <w:lang w:val="en-US" w:eastAsia="zh-CN"/>
        </w:rPr>
        <w:t>七</w:t>
      </w:r>
      <w:r>
        <w:rPr>
          <w:rFonts w:hint="eastAsia" w:ascii="华文中宋" w:hAnsi="华文中宋" w:eastAsia="华文中宋" w:cs="方正小标宋_GBK"/>
          <w:sz w:val="32"/>
          <w:szCs w:val="32"/>
        </w:rPr>
        <w:t>条的行政处罚办事指南表（基本信息表）</w:t>
      </w:r>
    </w:p>
    <w:tbl>
      <w:tblPr>
        <w:tblStyle w:val="2"/>
        <w:tblW w:w="8718" w:type="dxa"/>
        <w:tblInd w:w="0" w:type="dxa"/>
        <w:tblLayout w:type="fixed"/>
        <w:tblCellMar>
          <w:top w:w="0" w:type="dxa"/>
          <w:left w:w="108" w:type="dxa"/>
          <w:bottom w:w="0" w:type="dxa"/>
          <w:right w:w="108" w:type="dxa"/>
        </w:tblCellMar>
      </w:tblPr>
      <w:tblGrid>
        <w:gridCol w:w="1998"/>
        <w:gridCol w:w="6720"/>
      </w:tblGrid>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职权名称</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eastAsia" w:ascii="仿宋_GB2312" w:hAnsi="仿宋" w:eastAsia="仿宋_GB2312" w:cs="Verdana"/>
                <w:kern w:val="0"/>
                <w:sz w:val="18"/>
                <w:szCs w:val="18"/>
              </w:rPr>
            </w:pPr>
            <w:r>
              <w:rPr>
                <w:rFonts w:hint="eastAsia" w:ascii="仿宋_GB2312" w:hAnsi="仿宋" w:eastAsia="仿宋_GB2312" w:cs="Verdana"/>
                <w:kern w:val="0"/>
                <w:sz w:val="18"/>
                <w:szCs w:val="18"/>
              </w:rPr>
              <w:t>对违反《武汉市市容环境卫生管理条例》第四十</w:t>
            </w:r>
            <w:r>
              <w:rPr>
                <w:rFonts w:hint="eastAsia" w:ascii="仿宋_GB2312" w:hAnsi="仿宋" w:eastAsia="仿宋_GB2312" w:cs="Verdana"/>
                <w:kern w:val="0"/>
                <w:sz w:val="18"/>
                <w:szCs w:val="18"/>
                <w:lang w:val="en-US" w:eastAsia="zh-CN"/>
              </w:rPr>
              <w:t>七</w:t>
            </w:r>
            <w:r>
              <w:rPr>
                <w:rFonts w:hint="eastAsia" w:ascii="仿宋_GB2312" w:hAnsi="仿宋" w:eastAsia="仿宋_GB2312" w:cs="Verdana"/>
                <w:kern w:val="0"/>
                <w:sz w:val="18"/>
                <w:szCs w:val="18"/>
              </w:rPr>
              <w:t>条</w:t>
            </w:r>
          </w:p>
        </w:tc>
      </w:tr>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实施机关</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eastAsia" w:ascii="仿宋_GB2312" w:hAnsi="仿宋" w:eastAsia="仿宋_GB2312" w:cs="Verdana"/>
                <w:kern w:val="0"/>
                <w:sz w:val="18"/>
                <w:szCs w:val="18"/>
                <w:lang w:eastAsia="zh-CN"/>
              </w:rPr>
            </w:pPr>
            <w:r>
              <w:rPr>
                <w:rFonts w:hint="eastAsia" w:ascii="仿宋_GB2312" w:hAnsi="仿宋" w:eastAsia="仿宋_GB2312" w:cs="Verdana"/>
                <w:kern w:val="0"/>
                <w:sz w:val="18"/>
                <w:szCs w:val="18"/>
                <w:lang w:eastAsia="zh-CN"/>
              </w:rPr>
              <w:t>武汉市武昌区城市管理执法局</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职权依据</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 w:eastAsia="仿宋_GB2312" w:cs="Verdana"/>
                <w:kern w:val="0"/>
                <w:sz w:val="18"/>
                <w:szCs w:val="18"/>
                <w:lang w:eastAsia="zh-CN"/>
              </w:rPr>
            </w:pPr>
            <w:r>
              <w:rPr>
                <w:rFonts w:hint="eastAsia" w:ascii="仿宋_GB2312" w:hAnsi="仿宋" w:eastAsia="仿宋_GB2312" w:cs="Verdana"/>
                <w:kern w:val="0"/>
                <w:sz w:val="18"/>
                <w:szCs w:val="18"/>
              </w:rPr>
              <w:t xml:space="preserve"> 《武汉市市容环境卫生管理条例》第四十</w:t>
            </w:r>
            <w:r>
              <w:rPr>
                <w:rFonts w:hint="eastAsia" w:ascii="仿宋_GB2312" w:hAnsi="仿宋" w:eastAsia="仿宋_GB2312" w:cs="Verdana"/>
                <w:kern w:val="0"/>
                <w:sz w:val="18"/>
                <w:szCs w:val="18"/>
                <w:lang w:val="en-US" w:eastAsia="zh-CN"/>
              </w:rPr>
              <w:t>七</w:t>
            </w:r>
            <w:r>
              <w:rPr>
                <w:rFonts w:hint="eastAsia" w:ascii="仿宋_GB2312" w:hAnsi="仿宋" w:eastAsia="仿宋_GB2312" w:cs="Verdana"/>
                <w:kern w:val="0"/>
                <w:sz w:val="18"/>
                <w:szCs w:val="18"/>
              </w:rPr>
              <w:t>条</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违法违规行为</w:t>
            </w:r>
          </w:p>
        </w:tc>
        <w:tc>
          <w:tcPr>
            <w:tcW w:w="6720" w:type="dxa"/>
            <w:tcBorders>
              <w:top w:val="single" w:color="auto" w:sz="4" w:space="0"/>
              <w:left w:val="nil"/>
              <w:bottom w:val="nil"/>
              <w:right w:val="single" w:color="auto" w:sz="4" w:space="0"/>
            </w:tcBorders>
            <w:noWrap w:val="0"/>
            <w:vAlign w:val="center"/>
          </w:tcPr>
          <w:p>
            <w:pPr>
              <w:widowControl/>
              <w:numPr>
                <w:ilvl w:val="0"/>
                <w:numId w:val="0"/>
              </w:numPr>
              <w:spacing w:line="400" w:lineRule="exact"/>
              <w:jc w:val="left"/>
              <w:rPr>
                <w:rFonts w:hint="default" w:ascii="仿宋_GB2312" w:hAnsi="仿宋" w:eastAsia="仿宋_GB2312" w:cs="Verdana"/>
                <w:kern w:val="0"/>
                <w:sz w:val="18"/>
                <w:szCs w:val="18"/>
                <w:lang w:val="en-US" w:eastAsia="zh-CN"/>
              </w:rPr>
            </w:pPr>
            <w:r>
              <w:rPr>
                <w:rFonts w:hint="default" w:ascii="仿宋_GB2312" w:hAnsi="仿宋" w:eastAsia="仿宋_GB2312" w:cs="Verdana"/>
                <w:kern w:val="0"/>
                <w:sz w:val="18"/>
                <w:szCs w:val="18"/>
                <w:lang w:val="en-US" w:eastAsia="zh-CN"/>
              </w:rPr>
              <w:t>任何单位和个人不得侵占、损坏或者擅自拆除、迁移、封闭环境卫生设施，不得擅自改变环境卫生设施的使用性质。因城市建设确需拆除环境卫生设施的，建设单位应当事先提出拆迁方案，报城市管理主管部门批准。违反规定的，责令限期恢复原状或者采取其他补救措施，情节较重的，可以处二千元以上一万元以下罚款；情节严重的，可以处一万元以上二万元以下罚款。未经批准拆除、迁移、封闭公共厕所的，处五万元以上十万元以下罚款；造成损失的，违法行为人应当承担赔偿责任。</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处罚种类</w:t>
            </w:r>
          </w:p>
        </w:tc>
        <w:tc>
          <w:tcPr>
            <w:tcW w:w="6720" w:type="dxa"/>
            <w:tcBorders>
              <w:top w:val="single" w:color="auto" w:sz="4" w:space="0"/>
              <w:left w:val="nil"/>
              <w:bottom w:val="single" w:color="auto" w:sz="4" w:space="0"/>
              <w:right w:val="single" w:color="auto" w:sz="4" w:space="0"/>
            </w:tcBorders>
            <w:noWrap w:val="0"/>
            <w:vAlign w:val="center"/>
          </w:tcPr>
          <w:p>
            <w:pPr>
              <w:widowControl/>
              <w:numPr>
                <w:ilvl w:val="0"/>
                <w:numId w:val="0"/>
              </w:numPr>
              <w:spacing w:line="400" w:lineRule="exact"/>
              <w:jc w:val="left"/>
              <w:rPr>
                <w:rFonts w:hint="default" w:ascii="仿宋_GB2312" w:hAnsi="仿宋" w:eastAsia="仿宋_GB2312" w:cs="Verdana"/>
                <w:kern w:val="0"/>
                <w:sz w:val="18"/>
                <w:szCs w:val="18"/>
                <w:lang w:val="en-US" w:eastAsia="zh-CN"/>
              </w:rPr>
            </w:pPr>
            <w:r>
              <w:rPr>
                <w:rFonts w:hint="eastAsia" w:ascii="仿宋_GB2312" w:hAnsi="仿宋" w:eastAsia="仿宋_GB2312" w:cs="Verdana"/>
                <w:kern w:val="0"/>
                <w:sz w:val="18"/>
                <w:szCs w:val="18"/>
                <w:lang w:val="en-US" w:eastAsia="zh-CN"/>
              </w:rPr>
              <w:t>罚款</w:t>
            </w:r>
          </w:p>
        </w:tc>
      </w:tr>
      <w:tr>
        <w:tblPrEx>
          <w:tblCellMar>
            <w:top w:w="0" w:type="dxa"/>
            <w:left w:w="108" w:type="dxa"/>
            <w:bottom w:w="0" w:type="dxa"/>
            <w:right w:w="108" w:type="dxa"/>
          </w:tblCellMar>
        </w:tblPrEx>
        <w:trPr>
          <w:trHeight w:val="90"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细化量化自由裁量权标准</w:t>
            </w:r>
          </w:p>
        </w:tc>
        <w:tc>
          <w:tcPr>
            <w:tcW w:w="6720" w:type="dxa"/>
            <w:tcBorders>
              <w:top w:val="nil"/>
              <w:left w:val="nil"/>
              <w:bottom w:val="single" w:color="auto" w:sz="4" w:space="0"/>
              <w:right w:val="single" w:color="auto" w:sz="4" w:space="0"/>
            </w:tcBorders>
            <w:noWrap w:val="0"/>
            <w:vAlign w:val="center"/>
          </w:tcPr>
          <w:p>
            <w:pPr>
              <w:widowControl/>
              <w:numPr>
                <w:ilvl w:val="0"/>
                <w:numId w:val="0"/>
              </w:numPr>
              <w:spacing w:line="400" w:lineRule="exact"/>
              <w:jc w:val="left"/>
              <w:rPr>
                <w:rFonts w:hint="default" w:ascii="仿宋_GB2312" w:hAnsi="仿宋" w:eastAsia="仿宋_GB2312" w:cs="Verdana"/>
                <w:kern w:val="0"/>
                <w:sz w:val="18"/>
                <w:szCs w:val="18"/>
                <w:lang w:val="en-US" w:eastAsia="zh-CN"/>
              </w:rPr>
            </w:pPr>
            <w:r>
              <w:rPr>
                <w:rFonts w:hint="default" w:ascii="仿宋_GB2312" w:hAnsi="仿宋" w:eastAsia="仿宋_GB2312" w:cs="Verdana"/>
                <w:kern w:val="0"/>
                <w:sz w:val="18"/>
                <w:szCs w:val="18"/>
                <w:lang w:val="en-US" w:eastAsia="zh-CN"/>
              </w:rPr>
              <w:t>罚款以50000元为基数，并根据公共厕所厕位数，每个厕位增加500元罚款，罚款总额不超过100000元</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职权运行流程</w:t>
            </w:r>
          </w:p>
        </w:tc>
        <w:tc>
          <w:tcPr>
            <w:tcW w:w="6720" w:type="dxa"/>
            <w:tcBorders>
              <w:top w:val="nil"/>
              <w:left w:val="nil"/>
              <w:bottom w:val="single" w:color="auto" w:sz="4" w:space="0"/>
              <w:right w:val="single" w:color="auto" w:sz="4" w:space="0"/>
            </w:tcBorders>
            <w:noWrap w:val="0"/>
            <w:vAlign w:val="center"/>
          </w:tcPr>
          <w:p>
            <w:pPr>
              <w:widowControl/>
              <w:numPr>
                <w:ilvl w:val="0"/>
                <w:numId w:val="0"/>
              </w:numPr>
              <w:spacing w:line="400" w:lineRule="exact"/>
              <w:jc w:val="left"/>
              <w:rPr>
                <w:rFonts w:hint="default" w:ascii="仿宋_GB2312" w:hAnsi="仿宋" w:eastAsia="仿宋_GB2312" w:cs="Verdana"/>
                <w:kern w:val="0"/>
                <w:sz w:val="18"/>
                <w:szCs w:val="18"/>
                <w:lang w:val="en-US" w:eastAsia="zh-CN"/>
              </w:rPr>
            </w:pPr>
            <w:r>
              <w:rPr>
                <w:rFonts w:hint="eastAsia" w:ascii="仿宋_GB2312" w:hAnsi="仿宋" w:eastAsia="仿宋_GB2312" w:cs="Verdana"/>
                <w:kern w:val="0"/>
                <w:sz w:val="18"/>
                <w:szCs w:val="18"/>
                <w:lang w:val="en-US" w:eastAsia="zh-CN"/>
              </w:rPr>
              <w:t>立案→调查→审查→告知→决定→送达→执行</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w:t>
            </w:r>
          </w:p>
        </w:tc>
        <w:tc>
          <w:tcPr>
            <w:tcW w:w="6720" w:type="dxa"/>
            <w:tcBorders>
              <w:top w:val="nil"/>
              <w:left w:val="nil"/>
              <w:bottom w:val="single" w:color="auto" w:sz="4" w:space="0"/>
              <w:right w:val="single" w:color="auto" w:sz="4" w:space="0"/>
            </w:tcBorders>
            <w:noWrap w:val="0"/>
            <w:vAlign w:val="center"/>
          </w:tcPr>
          <w:p>
            <w:pPr>
              <w:widowControl/>
              <w:numPr>
                <w:ilvl w:val="0"/>
                <w:numId w:val="0"/>
              </w:numPr>
              <w:ind w:lef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1.</w:t>
            </w:r>
            <w:r>
              <w:rPr>
                <w:rFonts w:hint="eastAsia" w:ascii="仿宋_GB2312" w:hAnsi="宋体" w:eastAsia="仿宋_GB2312" w:cs="宋体"/>
                <w:color w:val="000000"/>
                <w:kern w:val="0"/>
                <w:sz w:val="18"/>
                <w:szCs w:val="18"/>
              </w:rPr>
              <w:t xml:space="preserve">立案责任                                                            </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对于日常监督检查，群众来信来访及交办、转办中发现的问题及投诉举报的情况，进行审查核实，符合立案条件的予以立案。</w:t>
            </w:r>
          </w:p>
          <w:p>
            <w:pPr>
              <w:widowControl/>
              <w:numPr>
                <w:ilvl w:val="0"/>
                <w:numId w:val="0"/>
              </w:numPr>
              <w:ind w:lef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2.</w:t>
            </w:r>
            <w:r>
              <w:rPr>
                <w:rFonts w:hint="eastAsia" w:ascii="仿宋_GB2312" w:hAnsi="宋体" w:eastAsia="仿宋_GB2312" w:cs="宋体"/>
                <w:color w:val="000000"/>
                <w:kern w:val="0"/>
                <w:sz w:val="18"/>
                <w:szCs w:val="18"/>
              </w:rPr>
              <w:t>调查取证责任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（1）行政执法人员不得少于两人，出示证件、表明身份；执法人员与当事人有直接利害关系的，应当回避。</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（2）通过搜集证据、现场了解核实情况等进行调查，并制作笔录。</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  审查责任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（1）单位负责人审查决定。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（2）对于情节复杂的，应当集体讨论决定。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（3）制作处罚决定书。</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  告知责任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（1）行政机关在作出行政处罚决定之前，应当告知当事人作出行政处罚决定的事实、理由及依据，并告知当事人依法享有的权利。</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（2）行政机关作出责令停产停业、吊销许可证或者执照、较大数额罚款等行政处罚决定之前，应当告知当事人有要求举行听证的权利；当事人要求听证的，行政机关应当组织听证。</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5.决定责任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制作行政处罚决定书，载明行政处罚告知、当事人陈述申辩或者听证情况以及行政处罚的种类和依据、履行方式和期限、救济途径等内容。</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6.送达责任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当场交付当事人，当事人不在场的，行政机关应在7日内，将行政处罚决定书送达当事人。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7.执行责任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（1）当事人自觉履行。</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（2）强制执行。</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8.其他法律法规规章文件规定应履行的责任</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责任事项依据</w:t>
            </w:r>
          </w:p>
        </w:tc>
        <w:tc>
          <w:tcPr>
            <w:tcW w:w="6720" w:type="dxa"/>
            <w:tcBorders>
              <w:top w:val="nil"/>
              <w:left w:val="nil"/>
              <w:bottom w:val="single" w:color="auto" w:sz="4" w:space="0"/>
              <w:right w:val="single" w:color="auto" w:sz="4" w:space="0"/>
            </w:tcBorders>
            <w:noWrap w:val="0"/>
            <w:vAlign w:val="center"/>
          </w:tcPr>
          <w:p>
            <w:pPr>
              <w:widowControl/>
              <w:numPr>
                <w:ilvl w:val="0"/>
                <w:numId w:val="0"/>
              </w:numP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1.《武汉市市容环境卫生管理条例》第四十七条  任何单位和个人不得侵占、损坏或者擅自拆除、迁移、封闭环境卫生设施，不得擅自改变环境卫生设施的使用性质。因城市建设确需拆除环境卫生设施的，建设单位应当事先提出拆迁方案，报城市管理主管部门批准。违反规定的，责令限期恢复原状或者采取其他补救措施，情节较重的，可以处二千元以上一万元以下罚款；情节严重的，可以处一万元以上二万元以下罚款。未经批准拆除、迁移、封闭公共厕所的，处五万元以上十万元以下罚款；造成损失的，违法行为人应当承担赔偿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3.《中华人民共和国行政处罚法》第五十七条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4.《中华人民共和国行政处罚法》第四十四条　行政机关在作出行政处罚决定之前，应当告知当事人拟作出的行政处罚内容及事实、理由、依据，并告知当事人依法享有的陈述、申辩、要求听证等权利。第四十五条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5.《中华人民共和国行政处罚法》第五十九条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6.《中华人民共和国行政处罚法》第六十一条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7.《中华人民共和国行政处罚法》第六十六条　行政处罚决定依法作出后，当事人应当在行政处罚决定书载明的期限内，予以履行。当事人确有经济困难，需要延期或者分期缴纳罚款的，经当事人申请和行政机关批准，可以暂缓或者分期缴纳。第七十二条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8.《中华人民共和国行政处罚法》第四十六条　证据包括：（一）书证；（二）物证；（三）视听资料；（四）电子数据；（五）证人证言；（六）当事人的陈述；（七）鉴定意见；（八）勘验笔录、现场笔录。证据必须经查证属实，方可作为认定案件事实的根据。以非法手段取得的证据，不得作为认定案件事实的根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第四十七条　行政机关应当依法以文字、音像等形式，对行政处罚的启动、调查取证、审核、决定、送达、执行等进行全过程记录，归档保存。</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第四十八条　具有一定社会影响的行政处罚决定应当依法公开。开的行政处罚决定被依法变更、撤销、确认违法或者确认无效的，行政机关应当在三日内撤回行政处罚决定信息并公开说明理由。</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第四十九条　发生重大传染病疫情等突发事件，为了控制、减轻和消除突发事件引起的社会危害，行政机关对违反突发事件应对措施的行为，依法快速、从重处罚。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第五十条　行政机关及其工作人员对实施行政处罚过程中知悉的国家秘密、商业秘密或者个人隐私，应当依法予以保密。</w:t>
            </w:r>
          </w:p>
          <w:p>
            <w:pP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第六十条　行政机关应当自行政处罚案件立案之日起九十日内作出行政处罚决定。法律、法规、规章另有规定的，从其规定。</w:t>
            </w:r>
            <w:bookmarkStart w:id="0" w:name="_GoBack"/>
            <w:bookmarkEnd w:id="0"/>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职责边界</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无</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承办机构</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武汉市武昌区城市管理执法局执法大队;</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咨询方式</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联系电话：027-8893</w:t>
            </w:r>
            <w:r>
              <w:rPr>
                <w:rFonts w:hint="eastAsia" w:ascii="仿宋_GB2312" w:hAnsi="宋体" w:eastAsia="仿宋_GB2312" w:cs="宋体"/>
                <w:color w:val="000000"/>
                <w:kern w:val="0"/>
                <w:sz w:val="18"/>
                <w:szCs w:val="18"/>
                <w:lang w:val="en-US" w:eastAsia="zh-CN"/>
              </w:rPr>
              <w:t>3551</w:t>
            </w:r>
            <w:r>
              <w:rPr>
                <w:rFonts w:hint="eastAsia" w:ascii="仿宋_GB2312" w:hAnsi="宋体" w:eastAsia="仿宋_GB2312" w:cs="宋体"/>
                <w:color w:val="000000"/>
                <w:kern w:val="0"/>
                <w:sz w:val="18"/>
                <w:szCs w:val="18"/>
              </w:rPr>
              <w:t>；</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办公地址：武汉市武昌区胭脂路荆南街14号；</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电子邮箱：wcqcgzfjxzcf@qq.com。</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监督投诉方式</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市长热线：027-12345；</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备注</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p>
        </w:tc>
      </w:tr>
    </w:tbl>
    <w:p>
      <w:pPr>
        <w:rPr>
          <w:rFonts w:hint="eastAsia"/>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r>
        <w:rPr>
          <w:rFonts w:hint="eastAsia" w:ascii="华文中宋" w:hAnsi="华文中宋" w:eastAsia="华文中宋" w:cs="宋体"/>
          <w:kern w:val="0"/>
          <w:sz w:val="32"/>
          <w:szCs w:val="32"/>
        </w:rPr>
        <w:t>行政处罚外部流程图</w:t>
      </w:r>
    </w:p>
    <w:p>
      <w:r>
        <w:object>
          <v:shape id="_x0000_i1025" o:spt="75" type="#_x0000_t75" style="height:618.75pt;width:411.2pt;" o:ole="t" filled="f" o:preferrelative="t" stroked="f" coordsize="21600,21600">
            <v:path/>
            <v:fill on="f" focussize="0,0"/>
            <v:stroke on="f"/>
            <v:imagedata r:id="rId5" o:title=""/>
            <o:lock v:ext="edit" aspectratio="t"/>
            <w10:wrap type="none"/>
            <w10:anchorlock/>
          </v:shape>
          <o:OLEObject Type="Embed" ProgID="Visio.Drawing.15" ShapeID="_x0000_i1025" DrawAspect="Content" ObjectID="_1468075725" r:id="rId4">
            <o:LockedField>false</o:LockedField>
          </o:OLEObject>
        </w:objec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526AA4"/>
    <w:rsid w:val="0E526AA4"/>
    <w:rsid w:val="18AE4C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2021-07-09T07:53:00Z</dcterms:created>
  <dc:creator>夏夏</dc:creator>
  <cp:lastModifiedBy>夏夏</cp:lastModifiedBy>
  <dcterms:modified xsi:type="dcterms:W3CDTF">2021-07-12T01:52:49Z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92537F0001BD407C9A6CCF97158D4B21</vt:lpwstr>
  </property>
  <property fmtid="{D5CDD505-2E9C-101B-9397-08002B2CF9AE}" pid="4" name="KSOSaveFontToCloudKey">
    <vt:lpwstr>818107661_cloud</vt:lpwstr>
  </property>
</Properties>
</file>