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Arial Narrow" w:hAnsi="Arial Narrow" w:eastAsia="仿宋_GB2312" w:cs="Arial Narrow"/>
          <w:b/>
          <w:color w:val="000000"/>
          <w:sz w:val="44"/>
          <w:szCs w:val="44"/>
        </w:rPr>
      </w:pPr>
    </w:p>
    <w:p>
      <w:pPr>
        <w:ind w:firstLine="883"/>
        <w:jc w:val="center"/>
        <w:rPr>
          <w:rFonts w:hint="default" w:ascii="Arial Narrow" w:hAnsi="Arial Narrow" w:eastAsia="仿宋_GB2312" w:cs="Arial Narrow"/>
          <w:b/>
          <w:color w:val="000000"/>
          <w:sz w:val="44"/>
          <w:szCs w:val="44"/>
        </w:rPr>
      </w:pPr>
    </w:p>
    <w:p>
      <w:pPr>
        <w:ind w:firstLine="0" w:firstLineChars="0"/>
        <w:jc w:val="center"/>
        <w:rPr>
          <w:rFonts w:hint="default" w:ascii="Arial Narrow" w:hAnsi="Arial Narrow" w:eastAsia="仿宋_GB2312" w:cs="Arial Narrow"/>
          <w:b/>
          <w:color w:val="000000"/>
          <w:sz w:val="44"/>
          <w:szCs w:val="44"/>
        </w:rPr>
      </w:pPr>
      <w:r>
        <w:rPr>
          <w:rFonts w:hint="default" w:ascii="Arial Narrow" w:hAnsi="Arial Narrow" w:eastAsia="仿宋_GB2312" w:cs="Arial Narrow"/>
          <w:b/>
          <w:color w:val="000000"/>
          <w:sz w:val="44"/>
          <w:szCs w:val="44"/>
        </w:rPr>
        <w:t>武昌区201</w:t>
      </w:r>
      <w:r>
        <w:rPr>
          <w:rFonts w:hint="default" w:ascii="Arial Narrow" w:hAnsi="Arial Narrow" w:eastAsia="仿宋_GB2312" w:cs="Arial Narrow"/>
          <w:b/>
          <w:color w:val="000000"/>
          <w:sz w:val="44"/>
          <w:szCs w:val="44"/>
          <w:lang w:val="en-US" w:eastAsia="zh-CN"/>
        </w:rPr>
        <w:t>7</w:t>
      </w:r>
      <w:r>
        <w:rPr>
          <w:rFonts w:hint="default" w:ascii="Arial Narrow" w:hAnsi="Arial Narrow" w:eastAsia="仿宋_GB2312" w:cs="Arial Narrow"/>
          <w:b/>
          <w:color w:val="000000"/>
          <w:sz w:val="44"/>
          <w:szCs w:val="44"/>
        </w:rPr>
        <w:t>年度</w:t>
      </w:r>
      <w:r>
        <w:rPr>
          <w:rFonts w:hint="default" w:ascii="Arial Narrow" w:hAnsi="Arial Narrow" w:eastAsia="仿宋_GB2312" w:cs="Arial Narrow"/>
          <w:b/>
          <w:color w:val="000000"/>
          <w:sz w:val="44"/>
          <w:szCs w:val="44"/>
          <w:lang w:val="en-US" w:eastAsia="zh-CN"/>
        </w:rPr>
        <w:t>计划管理费</w:t>
      </w:r>
      <w:r>
        <w:rPr>
          <w:rFonts w:hint="default" w:ascii="Arial Narrow" w:hAnsi="Arial Narrow" w:eastAsia="仿宋_GB2312" w:cs="Arial Narrow"/>
          <w:b/>
          <w:color w:val="000000"/>
          <w:sz w:val="44"/>
          <w:szCs w:val="44"/>
        </w:rPr>
        <w:t>项目</w:t>
      </w:r>
    </w:p>
    <w:p>
      <w:pPr>
        <w:ind w:firstLine="0" w:firstLineChars="0"/>
        <w:jc w:val="center"/>
        <w:rPr>
          <w:rFonts w:hint="default" w:ascii="Arial Narrow" w:hAnsi="Arial Narrow" w:eastAsia="仿宋_GB2312" w:cs="Arial Narrow"/>
        </w:rPr>
      </w:pPr>
      <w:r>
        <w:rPr>
          <w:rFonts w:hint="default" w:ascii="Arial Narrow" w:hAnsi="Arial Narrow" w:eastAsia="仿宋_GB2312" w:cs="Arial Narrow"/>
          <w:b/>
          <w:color w:val="000000"/>
          <w:sz w:val="44"/>
          <w:szCs w:val="44"/>
        </w:rPr>
        <w:t>绩效评价报告</w:t>
      </w:r>
    </w:p>
    <w:p>
      <w:pPr>
        <w:ind w:firstLine="480"/>
        <w:rPr>
          <w:rFonts w:hint="default" w:ascii="Arial Narrow" w:hAnsi="Arial Narrow" w:eastAsia="仿宋_GB2312" w:cs="Arial Narrow"/>
        </w:rPr>
      </w:pPr>
    </w:p>
    <w:p>
      <w:pPr>
        <w:ind w:firstLine="480"/>
        <w:rPr>
          <w:rFonts w:hint="default" w:ascii="Arial Narrow" w:hAnsi="Arial Narrow" w:eastAsia="仿宋_GB2312" w:cs="Arial Narrow"/>
        </w:rPr>
      </w:pPr>
    </w:p>
    <w:p>
      <w:pPr>
        <w:widowControl/>
        <w:spacing w:line="800" w:lineRule="exact"/>
        <w:ind w:firstLine="0" w:firstLineChars="0"/>
        <w:jc w:val="left"/>
        <w:rPr>
          <w:rFonts w:hint="default" w:ascii="Arial Narrow" w:hAnsi="Arial Narrow" w:eastAsia="仿宋_GB2312" w:cs="Arial Narrow"/>
          <w:b/>
          <w:bCs/>
          <w:kern w:val="32"/>
          <w:sz w:val="32"/>
          <w:lang w:bidi="he-IL"/>
        </w:rPr>
      </w:pPr>
    </w:p>
    <w:p>
      <w:pPr>
        <w:widowControl/>
        <w:spacing w:line="480" w:lineRule="auto"/>
        <w:ind w:right="-192" w:rightChars="-80" w:firstLine="838" w:firstLineChars="261"/>
        <w:jc w:val="left"/>
        <w:rPr>
          <w:rFonts w:hint="default" w:ascii="Arial Narrow" w:hAnsi="Arial Narrow" w:eastAsia="仿宋_GB2312" w:cs="Arial Narrow"/>
          <w:b/>
          <w:bCs/>
          <w:kern w:val="32"/>
          <w:sz w:val="32"/>
          <w:lang w:bidi="he-IL"/>
        </w:rPr>
      </w:pPr>
      <w:r>
        <w:rPr>
          <w:rFonts w:hint="default" w:ascii="Arial Narrow" w:hAnsi="Arial Narrow" w:eastAsia="仿宋_GB2312" w:cs="Arial Narrow"/>
          <w:b/>
          <w:bCs/>
          <w:kern w:val="32"/>
          <w:sz w:val="32"/>
          <w:lang w:bidi="he-IL"/>
        </w:rPr>
        <w:t>项目名称：计划管理费项目</w:t>
      </w:r>
    </w:p>
    <w:p>
      <w:pPr>
        <w:widowControl/>
        <w:spacing w:line="480" w:lineRule="auto"/>
        <w:ind w:right="-192" w:rightChars="-80" w:firstLine="838" w:firstLineChars="261"/>
        <w:jc w:val="left"/>
        <w:rPr>
          <w:rFonts w:hint="default" w:ascii="Arial Narrow" w:hAnsi="Arial Narrow" w:eastAsia="仿宋_GB2312" w:cs="Arial Narrow"/>
          <w:b/>
          <w:bCs/>
          <w:kern w:val="32"/>
          <w:sz w:val="32"/>
          <w:lang w:bidi="he-IL"/>
        </w:rPr>
      </w:pPr>
      <w:r>
        <w:rPr>
          <w:rFonts w:hint="default" w:ascii="Arial Narrow" w:hAnsi="Arial Narrow" w:eastAsia="仿宋_GB2312" w:cs="Arial Narrow"/>
          <w:b/>
          <w:bCs/>
          <w:kern w:val="32"/>
          <w:sz w:val="32"/>
          <w:lang w:bidi="he-IL"/>
        </w:rPr>
        <w:t>项目单位：</w:t>
      </w:r>
      <w:r>
        <w:rPr>
          <w:rFonts w:hint="default" w:ascii="Arial Narrow" w:hAnsi="Arial Narrow" w:eastAsia="仿宋_GB2312" w:cs="Arial Narrow"/>
          <w:b/>
          <w:bCs/>
          <w:color w:val="000000"/>
          <w:sz w:val="32"/>
          <w:szCs w:val="32"/>
        </w:rPr>
        <w:t>武昌区科技和产业发展局</w:t>
      </w:r>
    </w:p>
    <w:p>
      <w:pPr>
        <w:widowControl/>
        <w:spacing w:line="480" w:lineRule="auto"/>
        <w:ind w:right="-192" w:rightChars="-80" w:firstLine="838" w:firstLineChars="261"/>
        <w:jc w:val="left"/>
        <w:rPr>
          <w:rFonts w:hint="default" w:ascii="Arial Narrow" w:hAnsi="Arial Narrow" w:eastAsia="仿宋_GB2312" w:cs="Arial Narrow"/>
          <w:b/>
          <w:bCs/>
          <w:kern w:val="32"/>
          <w:sz w:val="32"/>
          <w:lang w:bidi="he-IL"/>
        </w:rPr>
      </w:pPr>
      <w:r>
        <w:rPr>
          <w:rFonts w:hint="default" w:ascii="Arial Narrow" w:hAnsi="Arial Narrow" w:eastAsia="仿宋_GB2312" w:cs="Arial Narrow"/>
          <w:b/>
          <w:bCs/>
          <w:kern w:val="32"/>
          <w:sz w:val="32"/>
          <w:lang w:bidi="he-IL"/>
        </w:rPr>
        <w:t>主管部门：</w:t>
      </w:r>
      <w:r>
        <w:rPr>
          <w:rFonts w:hint="default" w:ascii="Arial Narrow" w:hAnsi="Arial Narrow" w:eastAsia="仿宋_GB2312" w:cs="Arial Narrow"/>
          <w:b/>
          <w:bCs/>
          <w:color w:val="000000"/>
          <w:sz w:val="32"/>
          <w:szCs w:val="32"/>
        </w:rPr>
        <w:t>武昌区科技和产业发展局</w:t>
      </w:r>
    </w:p>
    <w:p>
      <w:pPr>
        <w:widowControl/>
        <w:spacing w:line="480" w:lineRule="auto"/>
        <w:ind w:firstLine="838" w:firstLineChars="261"/>
        <w:jc w:val="left"/>
        <w:rPr>
          <w:rFonts w:hint="default" w:ascii="Arial Narrow" w:hAnsi="Arial Narrow" w:eastAsia="仿宋_GB2312" w:cs="Arial Narrow"/>
          <w:b/>
          <w:bCs/>
          <w:sz w:val="32"/>
          <w:szCs w:val="32"/>
        </w:rPr>
      </w:pPr>
      <w:r>
        <w:rPr>
          <w:rFonts w:hint="default" w:ascii="Arial Narrow" w:hAnsi="Arial Narrow" w:eastAsia="仿宋_GB2312" w:cs="Arial Narrow"/>
          <w:b/>
          <w:bCs/>
          <w:kern w:val="32"/>
          <w:sz w:val="32"/>
          <w:lang w:bidi="he-IL"/>
        </w:rPr>
        <w:t>评价机构：</w:t>
      </w:r>
      <w:r>
        <w:rPr>
          <w:rFonts w:hint="default" w:ascii="Arial Narrow" w:hAnsi="Arial Narrow" w:eastAsia="仿宋_GB2312" w:cs="Arial Narrow"/>
          <w:b/>
          <w:bCs/>
          <w:sz w:val="32"/>
          <w:szCs w:val="32"/>
        </w:rPr>
        <w:t>致同会计师事务所（特殊普通合伙）</w:t>
      </w:r>
    </w:p>
    <w:p>
      <w:pPr>
        <w:widowControl/>
        <w:spacing w:line="480" w:lineRule="auto"/>
        <w:ind w:firstLine="2570" w:firstLineChars="800"/>
        <w:jc w:val="left"/>
        <w:rPr>
          <w:rFonts w:hint="default" w:ascii="Arial Narrow" w:hAnsi="Arial Narrow" w:eastAsia="仿宋_GB2312" w:cs="Arial Narrow"/>
          <w:b/>
          <w:bCs/>
          <w:sz w:val="32"/>
          <w:szCs w:val="32"/>
        </w:rPr>
      </w:pPr>
      <w:r>
        <w:rPr>
          <w:rFonts w:hint="default" w:ascii="Arial Narrow" w:hAnsi="Arial Narrow" w:eastAsia="仿宋_GB2312" w:cs="Arial Narrow"/>
          <w:b/>
          <w:bCs/>
          <w:sz w:val="32"/>
          <w:szCs w:val="32"/>
        </w:rPr>
        <w:t>武汉分所</w:t>
      </w:r>
    </w:p>
    <w:p>
      <w:pPr>
        <w:spacing w:line="800" w:lineRule="exact"/>
        <w:ind w:firstLine="0" w:firstLineChars="0"/>
        <w:rPr>
          <w:rFonts w:hint="default" w:ascii="Arial Narrow" w:hAnsi="Arial Narrow" w:eastAsia="仿宋_GB2312" w:cs="Arial Narrow"/>
          <w:b/>
          <w:bCs/>
          <w:sz w:val="32"/>
          <w:szCs w:val="32"/>
        </w:rPr>
      </w:pPr>
    </w:p>
    <w:p>
      <w:pPr>
        <w:spacing w:line="800" w:lineRule="exact"/>
        <w:ind w:firstLine="0" w:firstLineChars="0"/>
        <w:rPr>
          <w:rFonts w:hint="default" w:ascii="Arial Narrow" w:hAnsi="Arial Narrow" w:eastAsia="仿宋_GB2312" w:cs="Arial Narrow"/>
          <w:b/>
          <w:bCs/>
          <w:sz w:val="32"/>
          <w:szCs w:val="32"/>
        </w:rPr>
      </w:pPr>
    </w:p>
    <w:p>
      <w:pPr>
        <w:spacing w:line="800" w:lineRule="exact"/>
        <w:ind w:firstLine="0" w:firstLineChars="0"/>
        <w:jc w:val="center"/>
        <w:rPr>
          <w:rFonts w:hint="default" w:ascii="Arial Narrow" w:hAnsi="Arial Narrow" w:eastAsia="仿宋_GB2312" w:cs="Arial Narrow"/>
          <w:b/>
          <w:bCs/>
          <w:sz w:val="32"/>
          <w:szCs w:val="32"/>
        </w:rPr>
      </w:pPr>
      <w:r>
        <w:rPr>
          <w:rFonts w:hint="default" w:ascii="Arial Narrow" w:hAnsi="Arial Narrow" w:eastAsia="仿宋_GB2312" w:cs="Arial Narrow"/>
          <w:b/>
          <w:bCs/>
          <w:sz w:val="32"/>
          <w:szCs w:val="32"/>
        </w:rPr>
        <w:t>二〇一</w:t>
      </w:r>
      <w:r>
        <w:rPr>
          <w:rFonts w:hint="default" w:ascii="Arial Narrow" w:hAnsi="Arial Narrow" w:eastAsia="仿宋_GB2312" w:cs="Arial Narrow"/>
          <w:b/>
          <w:bCs/>
          <w:sz w:val="32"/>
          <w:szCs w:val="32"/>
          <w:lang w:val="en-US" w:eastAsia="zh-CN"/>
        </w:rPr>
        <w:t>八</w:t>
      </w:r>
      <w:r>
        <w:rPr>
          <w:rFonts w:hint="default" w:ascii="Arial Narrow" w:hAnsi="Arial Narrow" w:eastAsia="仿宋_GB2312" w:cs="Arial Narrow"/>
          <w:b/>
          <w:bCs/>
          <w:sz w:val="32"/>
          <w:szCs w:val="32"/>
        </w:rPr>
        <w:t>年</w:t>
      </w:r>
      <w:r>
        <w:rPr>
          <w:rFonts w:hint="default" w:ascii="Arial Narrow" w:hAnsi="Arial Narrow" w:eastAsia="仿宋_GB2312" w:cs="Arial Narrow"/>
          <w:b/>
          <w:bCs/>
          <w:sz w:val="32"/>
          <w:szCs w:val="32"/>
          <w:lang w:val="en-US" w:eastAsia="zh-CN"/>
        </w:rPr>
        <w:t>四</w:t>
      </w:r>
      <w:r>
        <w:rPr>
          <w:rFonts w:hint="default" w:ascii="Arial Narrow" w:hAnsi="Arial Narrow" w:eastAsia="仿宋_GB2312" w:cs="Arial Narrow"/>
          <w:b/>
          <w:bCs/>
          <w:sz w:val="32"/>
          <w:szCs w:val="32"/>
        </w:rPr>
        <w:t>月</w:t>
      </w: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p>
    <w:p>
      <w:pPr>
        <w:ind w:firstLine="0" w:firstLineChars="0"/>
        <w:jc w:val="both"/>
        <w:rPr>
          <w:rFonts w:hint="default" w:ascii="Arial Narrow" w:hAnsi="Arial Narrow" w:eastAsia="仿宋_GB2312" w:cs="Arial Narrow"/>
          <w:b/>
          <w:sz w:val="44"/>
          <w:szCs w:val="44"/>
        </w:rPr>
      </w:pPr>
    </w:p>
    <w:p>
      <w:pPr>
        <w:ind w:firstLine="0" w:firstLineChars="0"/>
        <w:jc w:val="center"/>
        <w:rPr>
          <w:rFonts w:hint="default" w:ascii="Arial Narrow" w:hAnsi="Arial Narrow" w:eastAsia="仿宋_GB2312" w:cs="Arial Narrow"/>
          <w:b/>
          <w:sz w:val="44"/>
          <w:szCs w:val="44"/>
        </w:rPr>
      </w:pPr>
      <w:r>
        <w:rPr>
          <w:rFonts w:hint="default" w:ascii="Arial Narrow" w:hAnsi="Arial Narrow" w:eastAsia="仿宋_GB2312" w:cs="Arial Narrow"/>
          <w:b/>
          <w:sz w:val="44"/>
          <w:szCs w:val="44"/>
        </w:rPr>
        <w:t>摘要</w:t>
      </w:r>
    </w:p>
    <w:p>
      <w:pPr>
        <w:ind w:firstLine="0" w:firstLineChars="0"/>
        <w:jc w:val="center"/>
        <w:rPr>
          <w:rFonts w:hint="default" w:ascii="Arial Narrow" w:hAnsi="Arial Narrow" w:eastAsia="仿宋_GB2312" w:cs="Arial Narrow"/>
          <w:b/>
        </w:rPr>
      </w:pPr>
    </w:p>
    <w:p>
      <w:pPr>
        <w:pStyle w:val="41"/>
        <w:numPr>
          <w:ilvl w:val="0"/>
          <w:numId w:val="1"/>
        </w:numPr>
        <w:ind w:firstLineChars="0"/>
        <w:jc w:val="left"/>
        <w:rPr>
          <w:rFonts w:hint="default" w:ascii="Arial Narrow" w:hAnsi="Arial Narrow" w:eastAsia="仿宋_GB2312" w:cs="Arial Narrow"/>
          <w:b/>
        </w:rPr>
      </w:pPr>
      <w:r>
        <w:rPr>
          <w:rFonts w:hint="default" w:ascii="Arial Narrow" w:hAnsi="Arial Narrow" w:eastAsia="仿宋_GB2312" w:cs="Arial Narrow"/>
          <w:b/>
        </w:rPr>
        <w:t>项目名称：</w:t>
      </w:r>
      <w:r>
        <w:rPr>
          <w:rFonts w:hint="default" w:ascii="Arial Narrow" w:hAnsi="Arial Narrow" w:eastAsia="仿宋_GB2312" w:cs="Arial Narrow"/>
          <w:b/>
          <w:lang w:val="en-US" w:eastAsia="zh-CN"/>
        </w:rPr>
        <w:t>计划管理费</w:t>
      </w:r>
      <w:r>
        <w:rPr>
          <w:rFonts w:hint="default" w:ascii="Arial Narrow" w:hAnsi="Arial Narrow" w:eastAsia="仿宋_GB2312" w:cs="Arial Narrow"/>
          <w:b/>
        </w:rPr>
        <w:t>项目</w:t>
      </w:r>
    </w:p>
    <w:p>
      <w:pPr>
        <w:pStyle w:val="41"/>
        <w:numPr>
          <w:ilvl w:val="0"/>
          <w:numId w:val="1"/>
        </w:numPr>
        <w:ind w:firstLineChars="0"/>
        <w:jc w:val="left"/>
        <w:rPr>
          <w:rFonts w:hint="default" w:ascii="Arial Narrow" w:hAnsi="Arial Narrow" w:eastAsia="仿宋_GB2312" w:cs="Arial Narrow"/>
          <w:b/>
        </w:rPr>
      </w:pPr>
      <w:r>
        <w:rPr>
          <w:rFonts w:hint="default" w:ascii="Arial Narrow" w:hAnsi="Arial Narrow" w:eastAsia="仿宋_GB2312" w:cs="Arial Narrow"/>
          <w:b/>
        </w:rPr>
        <w:t>项目金额：2</w:t>
      </w:r>
      <w:r>
        <w:rPr>
          <w:rFonts w:hint="default" w:ascii="Arial Narrow" w:hAnsi="Arial Narrow" w:eastAsia="仿宋_GB2312" w:cs="Arial Narrow"/>
          <w:b/>
          <w:lang w:val="en-US" w:eastAsia="zh-CN"/>
        </w:rPr>
        <w:t>80</w:t>
      </w:r>
      <w:r>
        <w:rPr>
          <w:rFonts w:hint="default" w:ascii="Arial Narrow" w:hAnsi="Arial Narrow" w:eastAsia="仿宋_GB2312" w:cs="Arial Narrow"/>
          <w:b/>
        </w:rPr>
        <w:t>万元</w:t>
      </w:r>
    </w:p>
    <w:p>
      <w:pPr>
        <w:numPr>
          <w:ilvl w:val="0"/>
          <w:numId w:val="2"/>
        </w:numPr>
        <w:ind w:firstLine="0" w:firstLineChars="0"/>
        <w:jc w:val="left"/>
        <w:rPr>
          <w:rFonts w:hint="default" w:ascii="Arial Narrow" w:hAnsi="Arial Narrow" w:eastAsia="仿宋_GB2312" w:cs="Arial Narrow"/>
          <w:b/>
        </w:rPr>
      </w:pPr>
      <w:r>
        <w:rPr>
          <w:rFonts w:hint="default" w:ascii="Arial Narrow" w:hAnsi="Arial Narrow" w:eastAsia="仿宋_GB2312" w:cs="Arial Narrow"/>
          <w:b/>
        </w:rPr>
        <w:t>绩效评价结果</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b/>
                <w:bCs/>
              </w:rPr>
            </w:pPr>
            <w:r>
              <w:rPr>
                <w:rFonts w:hint="default" w:ascii="Arial Narrow" w:hAnsi="Arial Narrow" w:eastAsia="仿宋_GB2312" w:cs="Arial Narrow"/>
                <w:b/>
                <w:bCs/>
              </w:rPr>
              <w:t>评价准则</w:t>
            </w:r>
          </w:p>
        </w:tc>
        <w:tc>
          <w:tcPr>
            <w:tcW w:w="2126" w:type="dxa"/>
            <w:tcBorders>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b/>
                <w:bCs/>
              </w:rPr>
            </w:pPr>
            <w:r>
              <w:rPr>
                <w:rFonts w:hint="default" w:ascii="Arial Narrow" w:hAnsi="Arial Narrow" w:eastAsia="仿宋_GB2312" w:cs="Arial Narrow"/>
                <w:b/>
                <w:bCs/>
              </w:rPr>
              <w:t>准则分值</w:t>
            </w:r>
          </w:p>
        </w:tc>
        <w:tc>
          <w:tcPr>
            <w:tcW w:w="2268" w:type="dxa"/>
            <w:tcBorders>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83" w:right="0" w:firstLine="0" w:firstLineChars="0"/>
              <w:jc w:val="center"/>
              <w:textAlignment w:val="auto"/>
              <w:outlineLvl w:val="9"/>
              <w:rPr>
                <w:rFonts w:hint="default" w:ascii="Arial Narrow" w:hAnsi="Arial Narrow" w:eastAsia="仿宋_GB2312" w:cs="Arial Narrow"/>
                <w:b/>
                <w:bCs/>
              </w:rPr>
            </w:pPr>
            <w:r>
              <w:rPr>
                <w:rFonts w:hint="default" w:ascii="Arial Narrow" w:hAnsi="Arial Narrow" w:eastAsia="仿宋_GB2312" w:cs="Arial Narrow"/>
                <w:b/>
                <w:bCs/>
              </w:rPr>
              <w:t>评价得分</w:t>
            </w:r>
          </w:p>
        </w:tc>
        <w:tc>
          <w:tcPr>
            <w:tcW w:w="2126" w:type="dxa"/>
            <w:tcBorders>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b/>
                <w:bCs/>
              </w:rPr>
            </w:pPr>
            <w:r>
              <w:rPr>
                <w:rFonts w:hint="default" w:ascii="Arial Narrow" w:hAnsi="Arial Narrow" w:eastAsia="仿宋_GB2312" w:cs="Arial Narrow"/>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项目投入</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12分</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1</w:t>
            </w:r>
            <w:r>
              <w:rPr>
                <w:rFonts w:hint="eastAsia" w:ascii="Arial Narrow" w:hAnsi="Arial Narrow" w:cs="Arial Narrow"/>
                <w:lang w:val="en-US" w:eastAsia="zh-CN"/>
              </w:rPr>
              <w:t>1</w:t>
            </w:r>
            <w:r>
              <w:rPr>
                <w:rFonts w:hint="default" w:ascii="Arial Narrow" w:hAnsi="Arial Narrow" w:eastAsia="仿宋_GB2312" w:cs="Arial Narrow"/>
              </w:rPr>
              <w:t>分</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项目过程</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2</w:t>
            </w:r>
            <w:r>
              <w:rPr>
                <w:rFonts w:hint="default" w:ascii="Arial Narrow" w:hAnsi="Arial Narrow" w:eastAsia="仿宋_GB2312" w:cs="Arial Narrow"/>
                <w:highlight w:val="none"/>
                <w:lang w:val="en-US" w:eastAsia="zh-CN"/>
              </w:rPr>
              <w:t>6</w:t>
            </w:r>
            <w:r>
              <w:rPr>
                <w:rFonts w:hint="default" w:ascii="Arial Narrow" w:hAnsi="Arial Narrow" w:eastAsia="仿宋_GB2312" w:cs="Arial Narrow"/>
                <w:highlight w:val="none"/>
              </w:rPr>
              <w:t>分</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outlineLvl w:val="9"/>
              <w:rPr>
                <w:rFonts w:hint="default" w:ascii="Arial Narrow" w:hAnsi="Arial Narrow" w:eastAsia="仿宋_GB2312" w:cs="Arial Narrow"/>
              </w:rPr>
            </w:pPr>
            <w:r>
              <w:rPr>
                <w:rFonts w:hint="eastAsia" w:ascii="Arial Narrow" w:hAnsi="Arial Narrow" w:cs="Arial Narrow"/>
                <w:lang w:val="en-US" w:eastAsia="zh-CN"/>
              </w:rPr>
              <w:t>23</w:t>
            </w:r>
            <w:r>
              <w:rPr>
                <w:rFonts w:hint="default" w:ascii="Arial Narrow" w:hAnsi="Arial Narrow" w:eastAsia="仿宋_GB2312" w:cs="Arial Narrow"/>
              </w:rPr>
              <w:t>分</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良（B）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项目产出</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26分</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2</w:t>
            </w:r>
            <w:r>
              <w:rPr>
                <w:rFonts w:hint="eastAsia" w:ascii="Arial Narrow" w:hAnsi="Arial Narrow" w:cs="Arial Narrow"/>
                <w:lang w:val="en-US" w:eastAsia="zh-CN"/>
              </w:rPr>
              <w:t>5</w:t>
            </w:r>
            <w:r>
              <w:rPr>
                <w:rFonts w:hint="default" w:ascii="Arial Narrow" w:hAnsi="Arial Narrow" w:eastAsia="仿宋_GB2312" w:cs="Arial Narrow"/>
              </w:rPr>
              <w:t>分</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项目效果</w:t>
            </w:r>
          </w:p>
        </w:tc>
        <w:tc>
          <w:tcPr>
            <w:tcW w:w="2126" w:type="dxa"/>
            <w:tcBorders>
              <w:top w:val="single" w:color="008000" w:sz="6" w:space="0"/>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lang w:val="en-US" w:eastAsia="zh-CN"/>
              </w:rPr>
              <w:t>36</w:t>
            </w:r>
            <w:r>
              <w:rPr>
                <w:rFonts w:hint="default" w:ascii="Arial Narrow" w:hAnsi="Arial Narrow" w:eastAsia="仿宋_GB2312" w:cs="Arial Narrow"/>
                <w:highlight w:val="none"/>
              </w:rPr>
              <w:t>分</w:t>
            </w:r>
          </w:p>
        </w:tc>
        <w:tc>
          <w:tcPr>
            <w:tcW w:w="2268" w:type="dxa"/>
            <w:tcBorders>
              <w:top w:val="single" w:color="008000" w:sz="6" w:space="0"/>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35.5</w:t>
            </w:r>
            <w:r>
              <w:rPr>
                <w:rFonts w:hint="default" w:ascii="Arial Narrow" w:hAnsi="Arial Narrow" w:eastAsia="仿宋_GB2312" w:cs="Arial Narrow"/>
              </w:rPr>
              <w:t>分</w:t>
            </w:r>
          </w:p>
        </w:tc>
        <w:tc>
          <w:tcPr>
            <w:tcW w:w="2126" w:type="dxa"/>
            <w:tcBorders>
              <w:top w:val="single" w:color="008000" w:sz="6" w:space="0"/>
              <w:bottom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综合绩效</w:t>
            </w:r>
          </w:p>
        </w:tc>
        <w:tc>
          <w:tcPr>
            <w:tcW w:w="2126" w:type="dxa"/>
            <w:tcBorders>
              <w:top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highlight w:val="none"/>
              </w:rPr>
            </w:pPr>
            <w:r>
              <w:rPr>
                <w:rFonts w:hint="default" w:ascii="Arial Narrow" w:hAnsi="Arial Narrow" w:eastAsia="仿宋_GB2312" w:cs="Arial Narrow"/>
                <w:highlight w:val="none"/>
              </w:rPr>
              <w:t>100分</w:t>
            </w:r>
          </w:p>
        </w:tc>
        <w:tc>
          <w:tcPr>
            <w:tcW w:w="2268" w:type="dxa"/>
            <w:tcBorders>
              <w:top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94.5</w:t>
            </w:r>
            <w:r>
              <w:rPr>
                <w:rFonts w:hint="default" w:ascii="Arial Narrow" w:hAnsi="Arial Narrow" w:eastAsia="仿宋_GB2312" w:cs="Arial Narrow"/>
              </w:rPr>
              <w:t>分</w:t>
            </w:r>
          </w:p>
        </w:tc>
        <w:tc>
          <w:tcPr>
            <w:tcW w:w="2126" w:type="dxa"/>
            <w:tcBorders>
              <w:top w:val="single" w:color="008000"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优（A）</w:t>
            </w:r>
          </w:p>
        </w:tc>
      </w:tr>
    </w:tbl>
    <w:p>
      <w:pPr>
        <w:ind w:firstLine="0" w:firstLineChars="0"/>
        <w:jc w:val="left"/>
        <w:rPr>
          <w:rFonts w:hint="default" w:ascii="Arial Narrow" w:hAnsi="Arial Narrow" w:eastAsia="仿宋_GB2312" w:cs="Arial Narrow"/>
          <w:b/>
          <w:highlight w:val="yellow"/>
        </w:rPr>
      </w:pPr>
    </w:p>
    <w:p>
      <w:pPr>
        <w:ind w:firstLine="0" w:firstLineChars="0"/>
        <w:rPr>
          <w:rFonts w:hint="default" w:ascii="Arial Narrow" w:hAnsi="Arial Narrow" w:eastAsia="仿宋_GB2312" w:cs="Arial Narrow"/>
          <w:b/>
        </w:rPr>
      </w:pPr>
      <w:r>
        <w:rPr>
          <w:rFonts w:hint="default" w:ascii="Arial Narrow" w:hAnsi="Arial Narrow" w:eastAsia="仿宋_GB2312" w:cs="Arial Narrow"/>
          <w:b/>
        </w:rPr>
        <w:t>四、评价工作组组成名单</w:t>
      </w:r>
    </w:p>
    <w:p>
      <w:pPr>
        <w:snapToGrid w:val="0"/>
        <w:ind w:firstLine="0" w:firstLineChars="0"/>
        <w:jc w:val="left"/>
        <w:rPr>
          <w:rFonts w:hint="default" w:ascii="Arial Narrow" w:hAnsi="Arial Narrow" w:eastAsia="仿宋_GB2312" w:cs="Arial Narrow"/>
        </w:rPr>
      </w:pPr>
      <w:r>
        <w:rPr>
          <w:rFonts w:hint="default" w:ascii="Arial Narrow" w:hAnsi="Arial Narrow" w:eastAsia="仿宋_GB2312" w:cs="Arial Narrow"/>
        </w:rPr>
        <w:t>项目负责组长：李在力</w:t>
      </w:r>
    </w:p>
    <w:p>
      <w:pPr>
        <w:snapToGrid w:val="0"/>
        <w:ind w:firstLine="0" w:firstLineChars="0"/>
        <w:jc w:val="left"/>
        <w:rPr>
          <w:rFonts w:hint="default" w:ascii="Arial Narrow" w:hAnsi="Arial Narrow" w:eastAsia="仿宋_GB2312" w:cs="Arial Narrow"/>
        </w:rPr>
      </w:pPr>
      <w:r>
        <w:rPr>
          <w:rFonts w:hint="default" w:ascii="Arial Narrow" w:hAnsi="Arial Narrow" w:eastAsia="仿宋_GB2312" w:cs="Arial Narrow"/>
        </w:rPr>
        <w:t>现场负责人：</w:t>
      </w:r>
      <w:r>
        <w:rPr>
          <w:rFonts w:hint="default" w:ascii="Arial Narrow" w:hAnsi="Arial Narrow" w:eastAsia="仿宋_GB2312" w:cs="Arial Narrow"/>
          <w:lang w:val="en-US" w:eastAsia="zh-CN"/>
        </w:rPr>
        <w:t>陈艳霞</w:t>
      </w:r>
    </w:p>
    <w:p>
      <w:pPr>
        <w:snapToGrid w:val="0"/>
        <w:ind w:firstLine="0" w:firstLineChars="0"/>
        <w:jc w:val="left"/>
        <w:rPr>
          <w:rFonts w:hint="default" w:ascii="Arial Narrow" w:hAnsi="Arial Narrow" w:eastAsia="仿宋_GB2312" w:cs="Arial Narrow"/>
          <w:b/>
        </w:rPr>
      </w:pPr>
      <w:r>
        <w:rPr>
          <w:rFonts w:hint="default" w:ascii="Arial Narrow" w:hAnsi="Arial Narrow" w:eastAsia="仿宋_GB2312" w:cs="Arial Narrow"/>
        </w:rPr>
        <w:t>评价小组成员：</w:t>
      </w:r>
      <w:r>
        <w:rPr>
          <w:rFonts w:hint="default" w:ascii="Arial Narrow" w:hAnsi="Arial Narrow" w:eastAsia="仿宋_GB2312" w:cs="Arial Narrow"/>
          <w:lang w:val="en-US" w:eastAsia="zh-CN"/>
        </w:rPr>
        <w:t>董思逸</w:t>
      </w:r>
      <w:r>
        <w:rPr>
          <w:rFonts w:hint="default" w:ascii="Arial Narrow" w:hAnsi="Arial Narrow" w:eastAsia="仿宋_GB2312" w:cs="Arial Narrow"/>
          <w:highlight w:val="none"/>
        </w:rPr>
        <w:t>、</w:t>
      </w:r>
      <w:r>
        <w:rPr>
          <w:rFonts w:hint="default" w:ascii="Arial Narrow" w:hAnsi="Arial Narrow" w:eastAsia="仿宋_GB2312" w:cs="Arial Narrow"/>
          <w:highlight w:val="none"/>
          <w:lang w:val="en-US" w:eastAsia="zh-CN"/>
        </w:rPr>
        <w:t>郑雪梅</w:t>
      </w:r>
    </w:p>
    <w:p>
      <w:pPr>
        <w:keepNext w:val="0"/>
        <w:keepLines w:val="0"/>
        <w:pageBreakBefore w:val="0"/>
        <w:kinsoku/>
        <w:wordWrap/>
        <w:overflowPunct/>
        <w:topLinePunct w:val="0"/>
        <w:autoSpaceDE/>
        <w:autoSpaceDN/>
        <w:bidi w:val="0"/>
        <w:adjustRightInd/>
        <w:snapToGrid w:val="0"/>
        <w:ind w:firstLine="0" w:firstLineChars="0"/>
        <w:textAlignment w:val="auto"/>
        <w:rPr>
          <w:rFonts w:hint="default" w:ascii="Arial Narrow" w:hAnsi="Arial Narrow" w:eastAsia="仿宋_GB2312" w:cs="Arial Narrow"/>
          <w:b/>
        </w:rPr>
      </w:pPr>
      <w:r>
        <w:rPr>
          <w:rFonts w:hint="default" w:ascii="Arial Narrow" w:hAnsi="Arial Narrow" w:eastAsia="仿宋_GB2312" w:cs="Arial Narrow"/>
          <w:b/>
        </w:rPr>
        <w:t>五、主要评价方法概述</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项目”绩效评价根据项目特点和评价工作的要求，采用比较法、公众评判法、统计计算法、实地考察等方法进行评价分析，与此同时，我们收集了大量项目实施单位的各种统计资料进行分析研究。</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（一）比较法。是指通过对绩效目标与实际实施效果的对比，综合分析绩效目标实现程度。项目小组根据收集的“</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项目”资料和实地观察，了解项目实际实施情况，与“</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项目”申报时确定的绩效目标进行对比，评价绩效目标的实现程度。</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二）公众评判法。是指通过专家评估、公众问卷及抽样调查等对财政支出效果进行评判，评价绩效目标实现程度。项目小组将对武汉市武昌区科技和产业发展局相关负责人进行访谈，同时对项目单位工作人员进行问卷调查，收集项目具体实施情况和效果的相关证据，为绩效分析结论提供有力支撑。</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项目”特点的评价指标体系，然后采集数据按照计算公式进行计算分析，并根据计算结果分析项目的绩效目标实现程度。</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b/>
        </w:rPr>
      </w:pPr>
      <w:r>
        <w:rPr>
          <w:rFonts w:hint="default" w:ascii="Arial Narrow" w:hAnsi="Arial Narrow" w:eastAsia="仿宋_GB2312" w:cs="Arial Narrow"/>
        </w:rPr>
        <w:t>（四）实地考察。是指前往项目具体实施地进行考察，了解项目的实施情况，评价项目绩效目标实现程度。项目小组前往武汉市武昌区科技和产业发展局进行资料收集并对相关人员进行访谈，核实项目具体实施情况，与收集的资料进行验证核对，并拍照留痕。</w:t>
      </w:r>
    </w:p>
    <w:p>
      <w:pPr>
        <w:keepNext w:val="0"/>
        <w:keepLines w:val="0"/>
        <w:pageBreakBefore w:val="0"/>
        <w:kinsoku/>
        <w:wordWrap/>
        <w:overflowPunct/>
        <w:topLinePunct w:val="0"/>
        <w:autoSpaceDE/>
        <w:autoSpaceDN/>
        <w:bidi w:val="0"/>
        <w:adjustRightInd/>
        <w:snapToGrid w:val="0"/>
        <w:ind w:firstLine="0" w:firstLineChars="0"/>
        <w:textAlignment w:val="auto"/>
        <w:rPr>
          <w:rFonts w:hint="default" w:ascii="Arial Narrow" w:hAnsi="Arial Narrow" w:eastAsia="仿宋_GB2312" w:cs="Arial Narrow"/>
          <w:b/>
        </w:rPr>
      </w:pPr>
      <w:r>
        <w:rPr>
          <w:rFonts w:hint="default" w:ascii="Arial Narrow" w:hAnsi="Arial Narrow" w:eastAsia="仿宋_GB2312" w:cs="Arial Narrow"/>
          <w:b/>
        </w:rPr>
        <w:t>六、存在的主要问题概述</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lang w:val="en-US" w:eastAsia="zh-CN"/>
        </w:rPr>
        <w:t>一）未设立项目目标和绩效指标。武昌区科产局对单位整体工作分科室设立了年度工作要点，并规定了各项工作完成时限，但未针对“计划管理费”项目设立相应的年度目标和绩效指标，不利于整体工作的计划和开展，也不利于项目完成后的绩效评价分析。</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二）资金使用范围不明晰。”评价小组通过查看项目支出明细账和记账凭证，发现园区维修、信访法律服务费、担保公司风险排查审计等不属于计划管理费资金开支范围，却从项目资金支付的情况。经访谈，得知为了保证区级财政资金的支出进度，少量资金从项目预算资金列支，项目单位未严格按资金使用范围拨付。</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三）资金拨付证明材料不齐全。项目评价小组通过查阅项目支出凭证发现，部分凭证资料不齐全，例如双创周活动交由众创空间有限公司负责组织，但武昌区科产局未与对方签订任何协议或合同；采购感应器报销只有采购发票，缺少采购请示；报销恒源鑫通制作大学生创业基地展牌、印刷资料没有合同或者费用清单等证明材料。</w:t>
      </w:r>
    </w:p>
    <w:p>
      <w:pPr>
        <w:keepNext w:val="0"/>
        <w:keepLines w:val="0"/>
        <w:pageBreakBefore w:val="0"/>
        <w:kinsoku/>
        <w:wordWrap/>
        <w:overflowPunct/>
        <w:topLinePunct w:val="0"/>
        <w:autoSpaceDE/>
        <w:autoSpaceDN/>
        <w:bidi w:val="0"/>
        <w:adjustRightInd/>
        <w:snapToGrid w:val="0"/>
        <w:ind w:firstLine="0" w:firstLineChars="0"/>
        <w:textAlignment w:val="auto"/>
        <w:rPr>
          <w:rFonts w:hint="default" w:ascii="Arial Narrow" w:hAnsi="Arial Narrow" w:eastAsia="仿宋_GB2312" w:cs="Arial Narrow"/>
          <w:b/>
        </w:rPr>
      </w:pPr>
      <w:r>
        <w:rPr>
          <w:rFonts w:hint="default" w:ascii="Arial Narrow" w:hAnsi="Arial Narrow" w:eastAsia="仿宋_GB2312" w:cs="Arial Narrow"/>
          <w:b/>
        </w:rPr>
        <w:t>七、管理建议概述</w:t>
      </w:r>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Cs/>
        </w:rPr>
        <w:t>（一）</w:t>
      </w:r>
      <w:r>
        <w:rPr>
          <w:rFonts w:hint="default" w:ascii="Arial Narrow" w:hAnsi="Arial Narrow" w:eastAsia="仿宋_GB2312" w:cs="Arial Narrow"/>
          <w:b w:val="0"/>
          <w:bCs w:val="0"/>
          <w:highlight w:val="none"/>
          <w:lang w:val="en-US" w:eastAsia="zh-CN"/>
        </w:rPr>
        <w:t>完善项目绩效体系建设。在项目开展时，对项目进行充分全面的了解，可由各工作负责科室根据项目特点和年度工作计划，设定</w:t>
      </w:r>
      <w:r>
        <w:rPr>
          <w:rFonts w:hint="default" w:ascii="Arial Narrow" w:hAnsi="Arial Narrow" w:eastAsia="仿宋_GB2312" w:cs="Arial Narrow"/>
          <w:bCs/>
        </w:rPr>
        <w:t>形成明确、清晰</w:t>
      </w:r>
      <w:r>
        <w:rPr>
          <w:rFonts w:hint="default" w:ascii="Arial Narrow" w:hAnsi="Arial Narrow" w:eastAsia="仿宋_GB2312" w:cs="Arial Narrow"/>
          <w:b w:val="0"/>
          <w:bCs w:val="0"/>
          <w:highlight w:val="none"/>
          <w:lang w:val="en-US" w:eastAsia="zh-CN"/>
        </w:rPr>
        <w:t>、可衡量的绩效目标、绩效指标和预计完成目标值，交由党政办公室核查汇总。建立项目绩效评价体系，健全绩效评价工作机制。</w:t>
      </w:r>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 w:val="0"/>
          <w:bCs w:val="0"/>
          <w:highlight w:val="none"/>
          <w:lang w:val="en-US" w:eastAsia="zh-CN"/>
        </w:rPr>
        <w:t>（二）规范项目资金使用用途，合理安排项目资金支出，严格做到专款专用，保证项目实施效果。项目单位可建立月度分析机制，每月对各系统各部门的支出情况制作清单，报各分管领导，便于及时关注并督促协调。同时，定期召开专门会议，会商预算执行进度，对影响预算进度的因素进行逐一解剖分析，提出有针对性的解决办法，避免因为资金问题影响进度。</w:t>
      </w:r>
    </w:p>
    <w:p>
      <w:pPr>
        <w:keepNext w:val="0"/>
        <w:keepLines w:val="0"/>
        <w:pageBreakBefore w:val="0"/>
        <w:widowControl/>
        <w:kinsoku/>
        <w:wordWrap/>
        <w:overflowPunct/>
        <w:topLinePunct w:val="0"/>
        <w:autoSpaceDE/>
        <w:autoSpaceDN/>
        <w:bidi w:val="0"/>
        <w:adjustRightInd/>
        <w:snapToGrid w:val="0"/>
        <w:ind w:firstLine="480" w:firstLineChars="200"/>
        <w:jc w:val="left"/>
        <w:textAlignment w:val="auto"/>
        <w:outlineLvl w:val="9"/>
        <w:rPr>
          <w:rFonts w:hint="default" w:ascii="Arial Narrow" w:hAnsi="Arial Narrow" w:eastAsia="仿宋_GB2312" w:cs="Arial Narrow"/>
          <w:bCs/>
        </w:rPr>
      </w:pPr>
      <w:r>
        <w:rPr>
          <w:rFonts w:hint="default" w:ascii="Arial Narrow" w:hAnsi="Arial Narrow" w:eastAsia="仿宋_GB2312" w:cs="Arial Narrow"/>
          <w:b w:val="0"/>
          <w:bCs w:val="0"/>
          <w:highlight w:val="none"/>
          <w:lang w:val="en-US" w:eastAsia="zh-CN"/>
        </w:rPr>
        <w:t>（三）严格遵循财务管理制度，规范审批流程。报销人在报销开支时，原则上应使用规范的发票单据，注明经手人、证明人和批准人，注明使用用途和开支渠道。财务人员在费用报销审批时需关注发票、合同、请示文件等附件的完整性。</w:t>
      </w:r>
    </w:p>
    <w:p>
      <w:pPr>
        <w:keepNext w:val="0"/>
        <w:keepLines w:val="0"/>
        <w:pageBreakBefore w:val="0"/>
        <w:widowControl/>
        <w:kinsoku/>
        <w:wordWrap/>
        <w:overflowPunct/>
        <w:topLinePunct w:val="0"/>
        <w:autoSpaceDE/>
        <w:autoSpaceDN/>
        <w:bidi w:val="0"/>
        <w:adjustRightInd/>
        <w:snapToGrid w:val="0"/>
        <w:ind w:firstLine="643" w:firstLineChars="200"/>
        <w:jc w:val="left"/>
        <w:textAlignment w:val="auto"/>
        <w:rPr>
          <w:rFonts w:hint="default" w:ascii="Arial Narrow" w:hAnsi="Arial Narrow" w:eastAsia="仿宋_GB2312" w:cs="Arial Narrow"/>
          <w:b/>
          <w:sz w:val="32"/>
          <w:szCs w:val="32"/>
        </w:rPr>
      </w:pPr>
    </w:p>
    <w:p>
      <w:pPr>
        <w:spacing w:line="360" w:lineRule="exact"/>
        <w:ind w:firstLine="0" w:firstLineChars="0"/>
        <w:jc w:val="center"/>
        <w:rPr>
          <w:rFonts w:hint="default" w:ascii="Arial Narrow" w:hAnsi="Arial Narrow" w:eastAsia="仿宋_GB2312" w:cs="Arial Narrow"/>
          <w:b/>
          <w:sz w:val="32"/>
          <w:szCs w:val="32"/>
        </w:rPr>
      </w:pPr>
    </w:p>
    <w:p>
      <w:pPr>
        <w:spacing w:line="360" w:lineRule="exact"/>
        <w:ind w:firstLine="0" w:firstLineChars="0"/>
        <w:jc w:val="center"/>
        <w:rPr>
          <w:rFonts w:hint="default" w:ascii="Arial Narrow" w:hAnsi="Arial Narrow" w:eastAsia="仿宋_GB2312" w:cs="Arial Narrow"/>
          <w:b/>
          <w:sz w:val="32"/>
          <w:szCs w:val="32"/>
        </w:rPr>
      </w:pPr>
    </w:p>
    <w:p>
      <w:pPr>
        <w:spacing w:line="360" w:lineRule="exact"/>
        <w:ind w:firstLine="0" w:firstLineChars="0"/>
        <w:rPr>
          <w:rFonts w:hint="default" w:ascii="Arial Narrow" w:hAnsi="Arial Narrow" w:eastAsia="仿宋_GB2312" w:cs="Arial Narrow"/>
          <w:b/>
          <w:sz w:val="32"/>
          <w:szCs w:val="32"/>
        </w:rPr>
      </w:pPr>
    </w:p>
    <w:p>
      <w:pPr>
        <w:spacing w:line="360" w:lineRule="exact"/>
        <w:ind w:firstLine="0" w:firstLineChars="0"/>
        <w:jc w:val="center"/>
        <w:rPr>
          <w:rFonts w:hint="default" w:ascii="Arial Narrow" w:hAnsi="Arial Narrow" w:eastAsia="仿宋_GB2312" w:cs="Arial Narrow"/>
          <w:b/>
          <w:sz w:val="32"/>
          <w:szCs w:val="32"/>
        </w:rPr>
      </w:pPr>
      <w:r>
        <w:rPr>
          <w:rFonts w:hint="default" w:ascii="Arial Narrow" w:hAnsi="Arial Narrow" w:eastAsia="仿宋_GB2312" w:cs="Arial Narrow"/>
          <w:b/>
          <w:sz w:val="32"/>
          <w:szCs w:val="32"/>
        </w:rPr>
        <w:br w:type="page"/>
      </w:r>
    </w:p>
    <w:p>
      <w:pPr>
        <w:spacing w:line="360" w:lineRule="exact"/>
        <w:ind w:firstLine="0" w:firstLineChars="0"/>
        <w:jc w:val="center"/>
        <w:rPr>
          <w:rFonts w:hint="default" w:ascii="Arial Narrow" w:hAnsi="Arial Narrow" w:eastAsia="仿宋_GB2312" w:cs="Arial Narrow"/>
          <w:b/>
          <w:sz w:val="32"/>
          <w:szCs w:val="32"/>
        </w:rPr>
      </w:pPr>
      <w:r>
        <w:rPr>
          <w:rFonts w:hint="default" w:ascii="Arial Narrow" w:hAnsi="Arial Narrow" w:eastAsia="仿宋_GB2312" w:cs="Arial Narrow"/>
          <w:b/>
          <w:sz w:val="32"/>
          <w:szCs w:val="32"/>
        </w:rPr>
        <w:t>目录</w:t>
      </w:r>
    </w:p>
    <w:p>
      <w:pPr>
        <w:spacing w:line="360" w:lineRule="exact"/>
        <w:ind w:firstLine="0" w:firstLineChars="0"/>
        <w:jc w:val="center"/>
        <w:rPr>
          <w:rFonts w:hint="default" w:ascii="Arial Narrow" w:hAnsi="Arial Narrow" w:eastAsia="仿宋_GB2312" w:cs="Arial Narrow"/>
          <w:b/>
          <w:sz w:val="32"/>
          <w:szCs w:val="32"/>
        </w:rPr>
      </w:pPr>
    </w:p>
    <w:p>
      <w:pPr>
        <w:pStyle w:val="19"/>
        <w:tabs>
          <w:tab w:val="right" w:leader="dot" w:pos="8505"/>
        </w:tabs>
        <w:spacing w:line="360" w:lineRule="exact"/>
        <w:ind w:left="0" w:leftChars="0" w:firstLine="0" w:firstLineChars="0"/>
        <w:rPr>
          <w:rFonts w:hint="default" w:ascii="Arial Narrow" w:hAnsi="Arial Narrow" w:cs="Arial Narrow"/>
          <w:smallCaps w:val="0"/>
          <w:sz w:val="24"/>
          <w:szCs w:val="24"/>
        </w:rPr>
      </w:pPr>
      <w:r>
        <w:rPr>
          <w:rFonts w:hint="default" w:ascii="Arial Narrow" w:hAnsi="Arial Narrow" w:eastAsia="仿宋_GB2312" w:cs="Arial Narrow"/>
          <w:b w:val="0"/>
          <w:bCs/>
          <w:sz w:val="24"/>
          <w:szCs w:val="24"/>
        </w:rPr>
        <w:fldChar w:fldCharType="begin"/>
      </w:r>
      <w:r>
        <w:rPr>
          <w:rFonts w:hint="default" w:ascii="Arial Narrow" w:hAnsi="Arial Narrow" w:eastAsia="仿宋_GB2312" w:cs="Arial Narrow"/>
          <w:b w:val="0"/>
          <w:bCs/>
          <w:sz w:val="24"/>
          <w:szCs w:val="24"/>
        </w:rPr>
        <w:instrText xml:space="preserve">TOC\o"1-4"\h\z\u</w:instrText>
      </w:r>
      <w:r>
        <w:rPr>
          <w:rFonts w:hint="default" w:ascii="Arial Narrow" w:hAnsi="Arial Narrow" w:eastAsia="仿宋_GB2312" w:cs="Arial Narrow"/>
          <w:b w:val="0"/>
          <w:bCs/>
          <w:sz w:val="24"/>
          <w:szCs w:val="24"/>
        </w:rPr>
        <w:fldChar w:fldCharType="separate"/>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_Toc11111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前</w:t>
      </w:r>
      <w:r>
        <w:rPr>
          <w:rFonts w:hint="eastAsia" w:ascii="Arial Narrow" w:hAnsi="Arial Narrow" w:cs="Arial Narrow"/>
          <w:smallCaps w:val="0"/>
          <w:sz w:val="24"/>
          <w:szCs w:val="24"/>
          <w:lang w:val="en-US" w:eastAsia="zh-CN"/>
        </w:rPr>
        <w:t xml:space="preserve">  </w:t>
      </w:r>
      <w:r>
        <w:rPr>
          <w:rFonts w:hint="default" w:ascii="Arial Narrow" w:hAnsi="Arial Narrow" w:cs="Arial Narrow"/>
          <w:smallCaps w:val="0"/>
          <w:sz w:val="24"/>
          <w:szCs w:val="24"/>
        </w:rPr>
        <w:t>言</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_Toc11111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1</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_Toc19517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一、项目基本情况</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_Toc19517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1</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_Toc32511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（一）项目概况</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_Toc32511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1</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_Toc20761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（二）项目绩效目标</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_Toc20761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5</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_Toc23831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二、绩效评价工作情况</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_Toc23831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5</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_Toc11757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（一）绩效评价目的</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_Toc11757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5</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_Toc10736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（二）绩效评价工作过程</w:t>
      </w:r>
      <w:bookmarkStart w:id="122" w:name="_GoBack"/>
      <w:bookmarkEnd w:id="122"/>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_Toc10736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6</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_Toc17289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（三）绩效评价框架</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_Toc17289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7</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_Toc581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（四）证据收集方式</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_Toc581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18</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_Toc17958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三、绩效分析</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_Toc17958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19</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_Toc21044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（一）项目投入（12分）</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_Toc21044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19</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_Toc24361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（二）项目过程（2</w:t>
      </w:r>
      <w:r>
        <w:rPr>
          <w:rFonts w:hint="default" w:ascii="Arial Narrow" w:hAnsi="Arial Narrow" w:cs="Arial Narrow"/>
          <w:smallCaps w:val="0"/>
          <w:sz w:val="24"/>
          <w:szCs w:val="24"/>
          <w:lang w:val="en-US" w:eastAsia="zh-CN"/>
        </w:rPr>
        <w:t>6</w:t>
      </w:r>
      <w:r>
        <w:rPr>
          <w:rFonts w:hint="default" w:ascii="Arial Narrow" w:hAnsi="Arial Narrow" w:cs="Arial Narrow"/>
          <w:smallCaps w:val="0"/>
          <w:sz w:val="24"/>
          <w:szCs w:val="24"/>
        </w:rPr>
        <w:t>分）</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_Toc24361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20</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_Toc15453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（三）项目产出（</w:t>
      </w:r>
      <w:r>
        <w:rPr>
          <w:rFonts w:hint="default" w:ascii="Arial Narrow" w:hAnsi="Arial Narrow" w:cs="Arial Narrow"/>
          <w:smallCaps w:val="0"/>
          <w:sz w:val="24"/>
          <w:szCs w:val="24"/>
          <w:lang w:val="en-US" w:eastAsia="zh-CN"/>
        </w:rPr>
        <w:t>26</w:t>
      </w:r>
      <w:r>
        <w:rPr>
          <w:rFonts w:hint="default" w:ascii="Arial Narrow" w:hAnsi="Arial Narrow" w:cs="Arial Narrow"/>
          <w:smallCaps w:val="0"/>
          <w:sz w:val="24"/>
          <w:szCs w:val="24"/>
        </w:rPr>
        <w:t>分）</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_Toc15453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23</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_Toc4663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（四） 项目效果（</w:t>
      </w:r>
      <w:r>
        <w:rPr>
          <w:rFonts w:hint="default" w:ascii="Arial Narrow" w:hAnsi="Arial Narrow" w:cs="Arial Narrow"/>
          <w:smallCaps w:val="0"/>
          <w:sz w:val="24"/>
          <w:szCs w:val="24"/>
          <w:lang w:val="en-US" w:eastAsia="zh-CN"/>
        </w:rPr>
        <w:t>36</w:t>
      </w:r>
      <w:r>
        <w:rPr>
          <w:rFonts w:hint="default" w:ascii="Arial Narrow" w:hAnsi="Arial Narrow" w:cs="Arial Narrow"/>
          <w:smallCaps w:val="0"/>
          <w:sz w:val="24"/>
          <w:szCs w:val="24"/>
        </w:rPr>
        <w:t>分）</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_Toc4663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26</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_Toc6961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四、评价结论</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_Toc6961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29</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_Toc10203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（一）评分结果</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_Toc10203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29</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_Toc30086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（二）主要结论</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_Toc30086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29</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_Toc12862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五、主要经验及做法、存在的问题和建议</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_Toc12862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30</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_Toc18657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lang w:val="en-US" w:eastAsia="zh-CN"/>
        </w:rPr>
        <w:t>（一）主要经验及做法</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_Toc18657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30</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_Toc9413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（二）存在的问题</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_Toc9413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31</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_Toc24356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（三）建议</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_Toc24356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31</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_Toc32152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六、 其他需说明的问题</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_Toc32152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32</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_Toc21109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（一）关于评价责任的说明</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_Toc21109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32</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cs="Arial Narrow"/>
          <w:smallCaps w:val="0"/>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_Toc14428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（二）关于本项目评价中局限性的说明</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_Toc14428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32</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pStyle w:val="19"/>
        <w:keepNext w:val="0"/>
        <w:keepLines w:val="0"/>
        <w:pageBreakBefore w:val="0"/>
        <w:widowControl w:val="0"/>
        <w:tabs>
          <w:tab w:val="right" w:leader="dot" w:pos="8505"/>
        </w:tabs>
        <w:kinsoku/>
        <w:wordWrap/>
        <w:overflowPunct/>
        <w:topLinePunct w:val="0"/>
        <w:autoSpaceDE/>
        <w:autoSpaceDN/>
        <w:bidi w:val="0"/>
        <w:adjustRightInd/>
        <w:snapToGrid/>
        <w:spacing w:line="360" w:lineRule="exact"/>
        <w:ind w:firstLine="240" w:firstLineChars="100"/>
        <w:textAlignment w:val="auto"/>
        <w:outlineLvl w:val="9"/>
        <w:rPr>
          <w:rFonts w:hint="default" w:ascii="Arial Narrow" w:hAnsi="Arial Narrow" w:eastAsia="仿宋_GB2312" w:cs="Arial Narrow"/>
          <w:b w:val="0"/>
          <w:bCs/>
          <w:sz w:val="24"/>
          <w:szCs w:val="24"/>
        </w:rPr>
      </w:pP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HYPERLINK \l _Toc14752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附件：</w:t>
      </w:r>
      <w:r>
        <w:rPr>
          <w:rFonts w:hint="default" w:ascii="Arial Narrow" w:hAnsi="Arial Narrow" w:cs="Arial Narrow"/>
          <w:smallCaps w:val="0"/>
          <w:sz w:val="24"/>
          <w:szCs w:val="24"/>
        </w:rPr>
        <w:tab/>
      </w:r>
      <w:r>
        <w:rPr>
          <w:rFonts w:hint="default" w:ascii="Arial Narrow" w:hAnsi="Arial Narrow" w:cs="Arial Narrow"/>
          <w:smallCaps w:val="0"/>
          <w:sz w:val="24"/>
          <w:szCs w:val="24"/>
        </w:rPr>
        <w:fldChar w:fldCharType="begin"/>
      </w:r>
      <w:r>
        <w:rPr>
          <w:rFonts w:hint="default" w:ascii="Arial Narrow" w:hAnsi="Arial Narrow" w:cs="Arial Narrow"/>
          <w:smallCaps w:val="0"/>
          <w:sz w:val="24"/>
          <w:szCs w:val="24"/>
        </w:rPr>
        <w:instrText xml:space="preserve"> PAGEREF _Toc14752 </w:instrText>
      </w:r>
      <w:r>
        <w:rPr>
          <w:rFonts w:hint="default" w:ascii="Arial Narrow" w:hAnsi="Arial Narrow" w:cs="Arial Narrow"/>
          <w:smallCaps w:val="0"/>
          <w:sz w:val="24"/>
          <w:szCs w:val="24"/>
        </w:rPr>
        <w:fldChar w:fldCharType="separate"/>
      </w:r>
      <w:r>
        <w:rPr>
          <w:rFonts w:hint="default" w:ascii="Arial Narrow" w:hAnsi="Arial Narrow" w:cs="Arial Narrow"/>
          <w:smallCaps w:val="0"/>
          <w:sz w:val="24"/>
          <w:szCs w:val="24"/>
        </w:rPr>
        <w:t>33</w:t>
      </w:r>
      <w:r>
        <w:rPr>
          <w:rFonts w:hint="default" w:ascii="Arial Narrow" w:hAnsi="Arial Narrow" w:cs="Arial Narrow"/>
          <w:smallCaps w:val="0"/>
          <w:sz w:val="24"/>
          <w:szCs w:val="24"/>
        </w:rPr>
        <w:fldChar w:fldCharType="end"/>
      </w:r>
      <w:r>
        <w:rPr>
          <w:rFonts w:hint="default" w:ascii="Arial Narrow" w:hAnsi="Arial Narrow" w:cs="Arial Narrow"/>
          <w:smallCaps w:val="0"/>
          <w:sz w:val="24"/>
          <w:szCs w:val="24"/>
        </w:rPr>
        <w:fldChar w:fldCharType="end"/>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9"/>
        <w:rPr>
          <w:rFonts w:hint="default" w:ascii="Arial Narrow" w:hAnsi="Arial Narrow" w:eastAsia="仿宋_GB2312" w:cs="Arial Narrow"/>
          <w:b w:val="0"/>
          <w:bCs/>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2835" w:right="1417" w:bottom="1417" w:left="1984" w:header="1361" w:footer="992" w:gutter="0"/>
          <w:pgNumType w:start="0"/>
          <w:cols w:space="0" w:num="1"/>
          <w:rtlGutter w:val="0"/>
          <w:docGrid w:type="lines" w:linePitch="408" w:charSpace="0"/>
        </w:sectPr>
      </w:pPr>
      <w:r>
        <w:rPr>
          <w:rFonts w:hint="default" w:ascii="Arial Narrow" w:hAnsi="Arial Narrow" w:eastAsia="仿宋_GB2312" w:cs="Arial Narrow"/>
          <w:b w:val="0"/>
          <w:bCs/>
          <w:sz w:val="24"/>
          <w:szCs w:val="24"/>
        </w:rPr>
        <w:fldChar w:fldCharType="end"/>
      </w:r>
    </w:p>
    <w:p>
      <w:pPr>
        <w:snapToGrid w:val="0"/>
        <w:ind w:firstLine="0" w:firstLineChars="0"/>
        <w:jc w:val="center"/>
        <w:outlineLvl w:val="0"/>
        <w:rPr>
          <w:rFonts w:hint="default" w:ascii="Arial Narrow" w:hAnsi="Arial Narrow" w:eastAsia="仿宋_GB2312" w:cs="Arial Narrow"/>
          <w:b/>
          <w:sz w:val="32"/>
          <w:szCs w:val="32"/>
          <w:highlight w:val="none"/>
        </w:rPr>
      </w:pPr>
      <w:bookmarkStart w:id="0" w:name="_Toc11111"/>
      <w:bookmarkStart w:id="1" w:name="_Toc406668024"/>
      <w:bookmarkStart w:id="2" w:name="_Toc406666351"/>
      <w:r>
        <w:rPr>
          <w:rFonts w:hint="default" w:ascii="Arial Narrow" w:hAnsi="Arial Narrow" w:eastAsia="仿宋_GB2312" w:cs="Arial Narrow"/>
          <w:b/>
          <w:sz w:val="32"/>
          <w:szCs w:val="32"/>
          <w:highlight w:val="none"/>
        </w:rPr>
        <w:t>前言</w:t>
      </w:r>
      <w:bookmarkEnd w:id="0"/>
      <w:bookmarkEnd w:id="1"/>
      <w:bookmarkEnd w:id="2"/>
    </w:p>
    <w:p>
      <w:pPr>
        <w:keepNext w:val="0"/>
        <w:keepLines w:val="0"/>
        <w:pageBreakBefore w:val="0"/>
        <w:widowControl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bCs/>
        </w:rPr>
      </w:pPr>
      <w:r>
        <w:rPr>
          <w:rFonts w:hint="default" w:ascii="Arial Narrow" w:hAnsi="Arial Narrow" w:eastAsia="仿宋_GB2312" w:cs="Arial Narrow"/>
          <w:b/>
          <w:bCs/>
        </w:rPr>
        <w:t>开展绩效评价的背景</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
          <w:bCs/>
        </w:rPr>
      </w:pPr>
      <w:r>
        <w:rPr>
          <w:rFonts w:hint="default" w:ascii="Arial Narrow" w:hAnsi="Arial Narrow" w:eastAsia="仿宋_GB2312" w:cs="Arial Narrow"/>
        </w:rPr>
        <w:t>通过借鉴西方国家绩效评价发展经验，我国绩效评价工作已进行了一定程度的实践探索，2003年10月11日党的十六届三中全会决定指出，财政要建立预算绩效评价体系。2006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[2014]376号），市政府印发《关于推进预算绩效管理的意见》</w:t>
      </w:r>
      <w:r>
        <w:rPr>
          <w:rFonts w:hint="default" w:ascii="Arial Narrow" w:hAnsi="Arial Narrow" w:eastAsia="仿宋_GB2312" w:cs="Arial Narrow"/>
          <w:lang w:eastAsia="zh-CN"/>
        </w:rPr>
        <w:t>（</w:t>
      </w:r>
      <w:r>
        <w:rPr>
          <w:rFonts w:hint="default" w:ascii="Arial Narrow" w:hAnsi="Arial Narrow" w:eastAsia="仿宋_GB2312" w:cs="Arial Narrow"/>
        </w:rPr>
        <w:t>武政[2013]95号</w:t>
      </w:r>
      <w:r>
        <w:rPr>
          <w:rFonts w:hint="default" w:ascii="Arial Narrow" w:hAnsi="Arial Narrow" w:eastAsia="仿宋_GB2312" w:cs="Arial Narrow"/>
          <w:lang w:eastAsia="zh-CN"/>
        </w:rPr>
        <w:t>）</w:t>
      </w:r>
      <w:r>
        <w:rPr>
          <w:rFonts w:hint="default" w:ascii="Arial Narrow" w:hAnsi="Arial Narrow" w:eastAsia="仿宋_GB2312" w:cs="Arial Narrow"/>
        </w:rPr>
        <w:t>、市财政局印发《武汉市预算绩效管理工作方案</w:t>
      </w:r>
      <w:r>
        <w:rPr>
          <w:rFonts w:hint="default" w:ascii="Arial Narrow" w:hAnsi="Arial Narrow" w:eastAsia="仿宋_GB2312" w:cs="Arial Narrow"/>
          <w:lang w:eastAsia="zh-CN"/>
        </w:rPr>
        <w:t>（</w:t>
      </w:r>
      <w:r>
        <w:rPr>
          <w:rFonts w:hint="default" w:ascii="Arial Narrow" w:hAnsi="Arial Narrow" w:eastAsia="仿宋_GB2312" w:cs="Arial Narrow"/>
        </w:rPr>
        <w:t>2014-2015年</w:t>
      </w:r>
      <w:r>
        <w:rPr>
          <w:rFonts w:hint="default" w:ascii="Arial Narrow" w:hAnsi="Arial Narrow" w:eastAsia="仿宋_GB2312" w:cs="Arial Narrow"/>
          <w:lang w:eastAsia="zh-CN"/>
        </w:rPr>
        <w:t>）</w:t>
      </w:r>
      <w:r>
        <w:rPr>
          <w:rFonts w:hint="default" w:ascii="Arial Narrow" w:hAnsi="Arial Narrow" w:eastAsia="仿宋_GB2312" w:cs="Arial Narrow"/>
        </w:rPr>
        <w:t>》（武财绩[2014]218号）</w:t>
      </w:r>
      <w:r>
        <w:rPr>
          <w:rFonts w:hint="default" w:ascii="Arial Narrow" w:hAnsi="Arial Narrow" w:eastAsia="仿宋_GB2312" w:cs="Arial Narrow"/>
          <w:lang w:eastAsia="zh-CN"/>
        </w:rPr>
        <w:t>、</w:t>
      </w:r>
      <w:r>
        <w:rPr>
          <w:rFonts w:hint="default" w:ascii="Arial Narrow" w:hAnsi="Arial Narrow" w:eastAsia="仿宋_GB2312" w:cs="Arial Narrow"/>
        </w:rPr>
        <w:t>武昌区财政局印发了《武昌区财政支出绩效评价管理暂行办法》</w:t>
      </w:r>
      <w:r>
        <w:rPr>
          <w:rFonts w:hint="default" w:ascii="Arial Narrow" w:hAnsi="Arial Narrow" w:eastAsia="仿宋_GB2312" w:cs="Arial Narrow"/>
          <w:lang w:val="en-US" w:eastAsia="zh-CN"/>
        </w:rPr>
        <w:t>等一系列相关文件</w:t>
      </w:r>
      <w:r>
        <w:rPr>
          <w:rFonts w:hint="default" w:ascii="Arial Narrow" w:hAnsi="Arial Narrow" w:eastAsia="仿宋_GB2312" w:cs="Arial Narrow"/>
        </w:rPr>
        <w:t>，为此次“</w:t>
      </w:r>
      <w:r>
        <w:rPr>
          <w:rFonts w:hint="default" w:ascii="Arial Narrow" w:hAnsi="Arial Narrow" w:eastAsia="仿宋_GB2312" w:cs="Arial Narrow"/>
          <w:lang w:val="en-US" w:eastAsia="zh-CN"/>
        </w:rPr>
        <w:t>计划管理费项目</w:t>
      </w:r>
      <w:r>
        <w:rPr>
          <w:rFonts w:hint="default" w:ascii="Arial Narrow" w:hAnsi="Arial Narrow" w:eastAsia="仿宋_GB2312" w:cs="Arial Narrow"/>
        </w:rPr>
        <w:t>”绩效评价的实施提供了指导，确保了绩效评价工作的顺利开展。</w:t>
      </w:r>
      <w:bookmarkStart w:id="3" w:name="_Toc387957799"/>
      <w:bookmarkStart w:id="4" w:name="_Toc361304672"/>
      <w:bookmarkStart w:id="5" w:name="_Toc361304673"/>
      <w:bookmarkStart w:id="6" w:name="_Toc387957800"/>
    </w:p>
    <w:p>
      <w:pPr>
        <w:keepNext w:val="0"/>
        <w:keepLines w:val="0"/>
        <w:pageBreakBefore w:val="0"/>
        <w:widowControl w:val="0"/>
        <w:kinsoku/>
        <w:wordWrap/>
        <w:overflowPunct/>
        <w:topLinePunct w:val="0"/>
        <w:autoSpaceDE/>
        <w:autoSpaceDN/>
        <w:bidi w:val="0"/>
        <w:adjustRightInd/>
        <w:snapToGrid w:val="0"/>
        <w:ind w:firstLine="0" w:firstLineChars="0"/>
        <w:textAlignment w:val="auto"/>
        <w:outlineLvl w:val="0"/>
        <w:rPr>
          <w:rFonts w:hint="default" w:ascii="Arial Narrow" w:hAnsi="Arial Narrow" w:eastAsia="仿宋_GB2312" w:cs="Arial Narrow"/>
          <w:b/>
          <w:bCs/>
        </w:rPr>
      </w:pPr>
      <w:bookmarkStart w:id="7" w:name="_Toc19517"/>
      <w:r>
        <w:rPr>
          <w:rFonts w:hint="default" w:ascii="Arial Narrow" w:hAnsi="Arial Narrow" w:eastAsia="仿宋_GB2312" w:cs="Arial Narrow"/>
          <w:b/>
          <w:bCs/>
        </w:rPr>
        <w:t>一、项目基本情况</w:t>
      </w:r>
      <w:bookmarkEnd w:id="7"/>
    </w:p>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bCs/>
        </w:rPr>
      </w:pPr>
      <w:bookmarkStart w:id="8" w:name="_Toc32511"/>
      <w:r>
        <w:rPr>
          <w:rFonts w:hint="default" w:ascii="Arial Narrow" w:hAnsi="Arial Narrow" w:eastAsia="仿宋_GB2312" w:cs="Arial Narrow"/>
          <w:b/>
          <w:bCs/>
        </w:rPr>
        <w:t>（一）项目概况</w:t>
      </w:r>
      <w:bookmarkEnd w:id="8"/>
    </w:p>
    <w:p>
      <w:pPr>
        <w:keepNext w:val="0"/>
        <w:keepLines w:val="0"/>
        <w:pageBreakBefore w:val="0"/>
        <w:widowControl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bCs/>
        </w:rPr>
      </w:pPr>
      <w:r>
        <w:rPr>
          <w:rFonts w:hint="default" w:ascii="Arial Narrow" w:hAnsi="Arial Narrow" w:eastAsia="仿宋_GB2312" w:cs="Arial Narrow"/>
          <w:b/>
          <w:bCs/>
        </w:rPr>
        <w:t>1.项目立项背景</w:t>
      </w:r>
      <w:bookmarkEnd w:id="3"/>
      <w:bookmarkEnd w:id="4"/>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1.1项目立项依据</w:t>
      </w:r>
    </w:p>
    <w:p>
      <w:pPr>
        <w:keepNext w:val="0"/>
        <w:keepLines w:val="0"/>
        <w:pageBreakBefore w:val="0"/>
        <w:widowControl w:val="0"/>
        <w:numPr>
          <w:ilvl w:val="0"/>
          <w:numId w:val="3"/>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lang w:val="en-US" w:eastAsia="zh-CN"/>
        </w:rPr>
        <w:t>根据</w:t>
      </w:r>
      <w:bookmarkStart w:id="9" w:name="_Toc26257"/>
      <w:bookmarkStart w:id="10" w:name="_Toc11267"/>
      <w:bookmarkStart w:id="11" w:name="_Toc19633"/>
      <w:bookmarkStart w:id="12" w:name="_Toc7500"/>
      <w:bookmarkStart w:id="13" w:name="_Toc619"/>
      <w:r>
        <w:rPr>
          <w:rFonts w:hint="default" w:ascii="Arial Narrow" w:hAnsi="Arial Narrow" w:eastAsia="仿宋_GB2312" w:cs="Arial Narrow"/>
          <w:lang w:val="en-US" w:eastAsia="zh-CN"/>
        </w:rPr>
        <w:t>武汉市武昌区机构编制委员会</w:t>
      </w:r>
      <w:bookmarkEnd w:id="9"/>
      <w:bookmarkEnd w:id="10"/>
      <w:bookmarkEnd w:id="11"/>
      <w:bookmarkEnd w:id="12"/>
      <w:bookmarkEnd w:id="13"/>
      <w:r>
        <w:rPr>
          <w:rFonts w:hint="default" w:ascii="Arial Narrow" w:hAnsi="Arial Narrow" w:eastAsia="仿宋_GB2312" w:cs="Arial Narrow"/>
          <w:lang w:val="en-US" w:eastAsia="zh-CN"/>
        </w:rPr>
        <w:t>下发的“三定”方案，武昌区</w:t>
      </w:r>
      <w:r>
        <w:rPr>
          <w:rFonts w:hint="default" w:ascii="Arial Narrow" w:hAnsi="Arial Narrow" w:eastAsia="仿宋_GB2312" w:cs="Arial Narrow"/>
        </w:rPr>
        <w:t>科产局</w:t>
      </w:r>
      <w:r>
        <w:rPr>
          <w:rFonts w:hint="default" w:ascii="Arial Narrow" w:hAnsi="Arial Narrow" w:eastAsia="仿宋_GB2312" w:cs="Arial Narrow"/>
          <w:lang w:val="en-US" w:eastAsia="zh-CN"/>
        </w:rPr>
        <w:t>具有“负责区科技研究与开发资金及相关科技及知识产权经费的使用和管理”、“组织推动企业技术改造、技术创新、新产品开发和技术开发机构建设”、“负责全区对外科技合作与交流”等职责。单位紧紧</w:t>
      </w:r>
      <w:r>
        <w:rPr>
          <w:rFonts w:hint="default" w:ascii="Arial Narrow" w:hAnsi="Arial Narrow" w:eastAsia="仿宋_GB2312" w:cs="Arial Narrow"/>
        </w:rPr>
        <w:t>围绕促进科技进步、促进中小企业发展、推动地区科技产业发展三大职能，立足科技创新、科技企业、科技园区、科技招商、科技金融五大重点工作领域</w:t>
      </w: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着力</w:t>
      </w:r>
      <w:r>
        <w:rPr>
          <w:rFonts w:hint="default" w:ascii="Arial Narrow" w:hAnsi="Arial Narrow" w:eastAsia="仿宋_GB2312" w:cs="Arial Narrow"/>
        </w:rPr>
        <w:t>将武昌区建设成科教创新策源地、产业创新引领区、创新创业示范区。</w:t>
      </w:r>
    </w:p>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“计划管理费”项目是</w:t>
      </w:r>
      <w:r>
        <w:rPr>
          <w:rFonts w:hint="default" w:ascii="Arial Narrow" w:hAnsi="Arial Narrow" w:eastAsia="仿宋_GB2312" w:cs="Arial Narrow"/>
          <w:lang w:val="en-US" w:eastAsia="zh-CN"/>
        </w:rPr>
        <w:t>武昌区</w:t>
      </w:r>
      <w:r>
        <w:rPr>
          <w:rFonts w:hint="default" w:ascii="Arial Narrow" w:hAnsi="Arial Narrow" w:eastAsia="仿宋_GB2312" w:cs="Arial Narrow"/>
        </w:rPr>
        <w:t>科产局区围绕推进实施创新驱动战略，按照区委、区政府建设国家中心城市核心区和创新型城区的工作要求，以科技创新为核心带动全面创新，以体制机制改革激发创新活力</w:t>
      </w:r>
      <w:r>
        <w:rPr>
          <w:rFonts w:hint="default" w:ascii="Arial Narrow" w:hAnsi="Arial Narrow" w:eastAsia="仿宋_GB2312" w:cs="Arial Narrow"/>
          <w:lang w:eastAsia="zh-CN"/>
        </w:rPr>
        <w:t>，</w:t>
      </w:r>
      <w:r>
        <w:rPr>
          <w:rFonts w:hint="default" w:ascii="Arial Narrow" w:hAnsi="Arial Narrow" w:eastAsia="仿宋_GB2312" w:cs="Arial Narrow"/>
        </w:rPr>
        <w:t>结合实际设立特别工作经费。该经费按照国家、省市科技三项费的管理办法，按照5%的比例提取。</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1.2项目所属领域</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rPr>
      </w:pPr>
      <w:r>
        <w:rPr>
          <w:rFonts w:hint="default" w:ascii="Arial Narrow" w:hAnsi="Arial Narrow" w:eastAsia="仿宋_GB2312" w:cs="Arial Narrow"/>
          <w:b w:val="0"/>
          <w:bCs/>
          <w:color w:val="auto"/>
          <w:highlight w:val="none"/>
          <w:lang w:val="en-US" w:eastAsia="zh-CN"/>
        </w:rPr>
        <w:t>“计划管理费</w:t>
      </w:r>
      <w:r>
        <w:rPr>
          <w:rFonts w:hint="default" w:ascii="Arial Narrow" w:hAnsi="Arial Narrow" w:eastAsia="仿宋_GB2312" w:cs="Arial Narrow"/>
          <w:b w:val="0"/>
          <w:bCs/>
          <w:color w:val="auto"/>
          <w:highlight w:val="none"/>
        </w:rPr>
        <w:t>项目</w:t>
      </w:r>
      <w:r>
        <w:rPr>
          <w:rFonts w:hint="default" w:ascii="Arial Narrow" w:hAnsi="Arial Narrow" w:eastAsia="仿宋_GB2312" w:cs="Arial Narrow"/>
          <w:b w:val="0"/>
          <w:bCs/>
          <w:color w:val="auto"/>
          <w:highlight w:val="none"/>
          <w:lang w:eastAsia="zh-CN"/>
        </w:rPr>
        <w:t>”</w:t>
      </w:r>
      <w:r>
        <w:rPr>
          <w:rFonts w:hint="default" w:ascii="Arial Narrow" w:hAnsi="Arial Narrow" w:eastAsia="仿宋_GB2312" w:cs="Arial Narrow"/>
          <w:highlight w:val="none"/>
        </w:rPr>
        <w:t>属于科技经费管理领域。武昌区科产局201</w:t>
      </w:r>
      <w:r>
        <w:rPr>
          <w:rFonts w:hint="default" w:ascii="Arial Narrow" w:hAnsi="Arial Narrow" w:eastAsia="仿宋_GB2312" w:cs="Arial Narrow"/>
          <w:highlight w:val="none"/>
          <w:lang w:val="en-US" w:eastAsia="zh-CN"/>
        </w:rPr>
        <w:t>7</w:t>
      </w:r>
      <w:r>
        <w:rPr>
          <w:rFonts w:hint="default" w:ascii="Arial Narrow" w:hAnsi="Arial Narrow" w:eastAsia="仿宋_GB2312" w:cs="Arial Narrow"/>
          <w:highlight w:val="none"/>
        </w:rPr>
        <w:t>年</w:t>
      </w:r>
      <w:r>
        <w:rPr>
          <w:rFonts w:hint="default" w:ascii="Arial Narrow" w:hAnsi="Arial Narrow" w:eastAsia="仿宋_GB2312" w:cs="Arial Narrow"/>
          <w:b w:val="0"/>
          <w:bCs/>
          <w:color w:val="auto"/>
          <w:highlight w:val="none"/>
          <w:lang w:val="en-US" w:eastAsia="zh-CN"/>
        </w:rPr>
        <w:t>“计划管理费</w:t>
      </w:r>
      <w:r>
        <w:rPr>
          <w:rFonts w:hint="default" w:ascii="Arial Narrow" w:hAnsi="Arial Narrow" w:eastAsia="仿宋_GB2312" w:cs="Arial Narrow"/>
          <w:b w:val="0"/>
          <w:bCs/>
          <w:color w:val="auto"/>
          <w:highlight w:val="none"/>
        </w:rPr>
        <w:t>项目</w:t>
      </w:r>
      <w:r>
        <w:rPr>
          <w:rFonts w:hint="default" w:ascii="Arial Narrow" w:hAnsi="Arial Narrow" w:eastAsia="仿宋_GB2312" w:cs="Arial Narrow"/>
          <w:b w:val="0"/>
          <w:bCs/>
          <w:color w:val="auto"/>
          <w:highlight w:val="none"/>
          <w:lang w:eastAsia="zh-CN"/>
        </w:rPr>
        <w:t>”</w:t>
      </w:r>
      <w:r>
        <w:rPr>
          <w:rFonts w:hint="default" w:ascii="Arial Narrow" w:hAnsi="Arial Narrow" w:eastAsia="仿宋_GB2312" w:cs="Arial Narrow"/>
          <w:b w:val="0"/>
          <w:bCs/>
          <w:color w:val="auto"/>
          <w:highlight w:val="none"/>
          <w:lang w:val="en-US" w:eastAsia="zh-CN"/>
        </w:rPr>
        <w:t>资金</w:t>
      </w:r>
      <w:r>
        <w:rPr>
          <w:rFonts w:hint="default" w:ascii="Arial Narrow" w:hAnsi="Arial Narrow" w:eastAsia="仿宋_GB2312" w:cs="Arial Narrow"/>
          <w:highlight w:val="none"/>
        </w:rPr>
        <w:t>主要用于进行全区科技研发管理事务工作，包括：</w:t>
      </w:r>
      <w:r>
        <w:rPr>
          <w:rFonts w:hint="default" w:ascii="Arial Narrow" w:hAnsi="Arial Narrow" w:eastAsia="仿宋_GB2312" w:cs="Arial Narrow"/>
          <w:highlight w:val="none"/>
          <w:lang w:val="en-US" w:eastAsia="zh-CN"/>
        </w:rPr>
        <w:t>双创活动周、创新创业赛会活动</w:t>
      </w: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lang w:val="en-US" w:eastAsia="zh-CN"/>
        </w:rPr>
        <w:t>新能源汽车推广活动、</w:t>
      </w:r>
      <w:r>
        <w:rPr>
          <w:rFonts w:hint="default" w:ascii="Arial Narrow" w:hAnsi="Arial Narrow" w:eastAsia="仿宋_GB2312" w:cs="Arial Narrow"/>
          <w:highlight w:val="none"/>
          <w:lang w:eastAsia="zh-CN"/>
        </w:rPr>
        <w:t>组织科技计划项目专家评审及</w:t>
      </w:r>
      <w:r>
        <w:rPr>
          <w:rFonts w:hint="default" w:ascii="Arial Narrow" w:hAnsi="Arial Narrow" w:eastAsia="仿宋_GB2312" w:cs="Arial Narrow"/>
          <w:highlight w:val="none"/>
          <w:lang w:val="en-US" w:eastAsia="zh-CN"/>
        </w:rPr>
        <w:t>培训场地费</w:t>
      </w:r>
      <w:r>
        <w:rPr>
          <w:rFonts w:hint="default" w:ascii="Arial Narrow" w:hAnsi="Arial Narrow" w:eastAsia="仿宋_GB2312" w:cs="Arial Narrow"/>
          <w:highlight w:val="none"/>
          <w:lang w:eastAsia="zh-CN"/>
        </w:rPr>
        <w:t>支出、外聘人员工资及日常办公费、市名优创新</w:t>
      </w:r>
      <w:r>
        <w:rPr>
          <w:rFonts w:hint="default" w:ascii="Arial Narrow" w:hAnsi="Arial Narrow" w:eastAsia="仿宋_GB2312" w:cs="Arial Narrow"/>
          <w:highlight w:val="none"/>
          <w:lang w:val="en-US" w:eastAsia="zh-CN"/>
        </w:rPr>
        <w:t>产品</w:t>
      </w:r>
      <w:r>
        <w:rPr>
          <w:rFonts w:hint="default" w:ascii="Arial Narrow" w:hAnsi="Arial Narrow" w:eastAsia="仿宋_GB2312" w:cs="Arial Narrow"/>
          <w:highlight w:val="none"/>
          <w:lang w:eastAsia="zh-CN"/>
        </w:rPr>
        <w:t>全国巡展、</w:t>
      </w:r>
      <w:r>
        <w:rPr>
          <w:rFonts w:hint="default" w:ascii="Arial Narrow" w:hAnsi="Arial Narrow" w:eastAsia="仿宋_GB2312" w:cs="Arial Narrow"/>
          <w:highlight w:val="none"/>
          <w:lang w:val="en-US" w:eastAsia="zh-CN"/>
        </w:rPr>
        <w:t>学习培训等</w:t>
      </w:r>
      <w:r>
        <w:rPr>
          <w:rFonts w:hint="default" w:ascii="Arial Narrow" w:hAnsi="Arial Narrow" w:eastAsia="仿宋_GB2312" w:cs="Arial Narrow"/>
          <w:highlight w:val="none"/>
        </w:rPr>
        <w:t>。</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1.3项目性质与特点</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b w:val="0"/>
          <w:bCs/>
          <w:color w:val="auto"/>
          <w:highlight w:val="none"/>
          <w:lang w:val="en-US" w:eastAsia="zh-CN"/>
        </w:rPr>
        <w:t>“计划管理费</w:t>
      </w:r>
      <w:r>
        <w:rPr>
          <w:rFonts w:hint="default" w:ascii="Arial Narrow" w:hAnsi="Arial Narrow" w:eastAsia="仿宋_GB2312" w:cs="Arial Narrow"/>
          <w:b w:val="0"/>
          <w:bCs/>
          <w:color w:val="auto"/>
          <w:highlight w:val="none"/>
        </w:rPr>
        <w:t>项目</w:t>
      </w:r>
      <w:r>
        <w:rPr>
          <w:rFonts w:hint="default" w:ascii="Arial Narrow" w:hAnsi="Arial Narrow" w:eastAsia="仿宋_GB2312" w:cs="Arial Narrow"/>
          <w:b w:val="0"/>
          <w:bCs/>
          <w:color w:val="auto"/>
          <w:highlight w:val="none"/>
          <w:lang w:eastAsia="zh-CN"/>
        </w:rPr>
        <w:t>”</w:t>
      </w:r>
      <w:r>
        <w:rPr>
          <w:rFonts w:hint="default" w:ascii="Arial Narrow" w:hAnsi="Arial Narrow" w:eastAsia="仿宋_GB2312" w:cs="Arial Narrow"/>
          <w:highlight w:val="none"/>
        </w:rPr>
        <w:t>属于公</w:t>
      </w:r>
      <w:r>
        <w:rPr>
          <w:rFonts w:hint="default" w:ascii="Arial Narrow" w:hAnsi="Arial Narrow" w:eastAsia="仿宋_GB2312" w:cs="Arial Narrow"/>
        </w:rPr>
        <w:t>共预算财政拨款，属性为常年、持续性项目。</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1.4项目立项时所属领域状况等。</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lang w:val="en-US" w:eastAsia="zh-CN"/>
        </w:rPr>
        <w:t>武昌区科产局近年来</w:t>
      </w:r>
      <w:r>
        <w:rPr>
          <w:rFonts w:hint="default" w:ascii="Arial Narrow" w:hAnsi="Arial Narrow" w:eastAsia="仿宋_GB2312" w:cs="Arial Narrow"/>
        </w:rPr>
        <w:t>以高新技术企业培育、中小企业服务平台建设、科技园区（孵化器）建设、科技投融资服务平台建设、高新技术产业基地及产业联盟建设为主要抓手，</w:t>
      </w:r>
      <w:r>
        <w:rPr>
          <w:rFonts w:hint="default" w:ascii="Arial Narrow" w:hAnsi="Arial Narrow" w:eastAsia="仿宋_GB2312" w:cs="Arial Narrow"/>
          <w:lang w:val="en-US" w:eastAsia="zh-CN"/>
        </w:rPr>
        <w:t>2016年</w:t>
      </w:r>
      <w:r>
        <w:rPr>
          <w:rFonts w:hint="default" w:ascii="Arial Narrow" w:hAnsi="Arial Narrow" w:eastAsia="仿宋_GB2312" w:cs="Arial Narrow"/>
        </w:rPr>
        <w:t>实施</w:t>
      </w:r>
      <w:r>
        <w:rPr>
          <w:rFonts w:hint="default" w:ascii="Arial Narrow" w:hAnsi="Arial Narrow" w:eastAsia="仿宋_GB2312" w:cs="Arial Narrow"/>
          <w:lang w:val="en-US" w:eastAsia="zh-CN"/>
        </w:rPr>
        <w:t>了</w:t>
      </w:r>
      <w:r>
        <w:rPr>
          <w:rFonts w:hint="default" w:ascii="Arial Narrow" w:hAnsi="Arial Narrow" w:eastAsia="仿宋_GB2312" w:cs="Arial Narrow"/>
        </w:rPr>
        <w:t>“创新型企业加速”行动，促进新兴产业集聚发展</w:t>
      </w:r>
      <w:r>
        <w:rPr>
          <w:rFonts w:hint="default" w:ascii="Arial Narrow" w:hAnsi="Arial Narrow" w:eastAsia="仿宋_GB2312" w:cs="Arial Narrow"/>
          <w:lang w:eastAsia="zh-CN"/>
        </w:rPr>
        <w:t>，建设线下实体双创服务中心和线上双创服务平台，优化双创服务品质，</w:t>
      </w:r>
      <w:r>
        <w:rPr>
          <w:rFonts w:hint="default" w:ascii="Arial Narrow" w:hAnsi="Arial Narrow" w:eastAsia="仿宋_GB2312" w:cs="Arial Narrow"/>
        </w:rPr>
        <w:t>工作成效显著。</w:t>
      </w:r>
    </w:p>
    <w:bookmarkEnd w:id="5"/>
    <w:bookmarkEnd w:id="6"/>
    <w:p>
      <w:pPr>
        <w:keepNext w:val="0"/>
        <w:keepLines w:val="0"/>
        <w:pageBreakBefore w:val="0"/>
        <w:widowControl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bCs/>
        </w:rPr>
      </w:pPr>
      <w:r>
        <w:rPr>
          <w:rFonts w:hint="default" w:ascii="Arial Narrow" w:hAnsi="Arial Narrow" w:eastAsia="仿宋_GB2312" w:cs="Arial Narrow"/>
          <w:b/>
          <w:bCs/>
        </w:rPr>
        <w:t>2.基准日及评价历时</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bookmarkStart w:id="14" w:name="_Toc387957801"/>
      <w:bookmarkStart w:id="15" w:name="_Toc361304674"/>
      <w:bookmarkStart w:id="16" w:name="_Toc406666352"/>
      <w:bookmarkStart w:id="17" w:name="_Toc406668025"/>
      <w:r>
        <w:rPr>
          <w:rFonts w:hint="default" w:ascii="Arial Narrow" w:hAnsi="Arial Narrow" w:eastAsia="仿宋_GB2312" w:cs="Arial Narrow"/>
        </w:rPr>
        <w:t>2.1评价基准日：201</w:t>
      </w:r>
      <w:r>
        <w:rPr>
          <w:rFonts w:hint="default" w:ascii="Arial Narrow" w:hAnsi="Arial Narrow" w:eastAsia="仿宋_GB2312" w:cs="Arial Narrow"/>
          <w:lang w:val="en-US" w:eastAsia="zh-CN"/>
        </w:rPr>
        <w:t>7</w:t>
      </w:r>
      <w:r>
        <w:rPr>
          <w:rFonts w:hint="default" w:ascii="Arial Narrow" w:hAnsi="Arial Narrow" w:eastAsia="仿宋_GB2312" w:cs="Arial Narrow"/>
        </w:rPr>
        <w:t>年12月31日</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2.2本次评价从201</w:t>
      </w:r>
      <w:r>
        <w:rPr>
          <w:rFonts w:hint="default" w:ascii="Arial Narrow" w:hAnsi="Arial Narrow" w:eastAsia="仿宋_GB2312" w:cs="Arial Narrow"/>
          <w:lang w:val="en-US" w:eastAsia="zh-CN"/>
        </w:rPr>
        <w:t>8</w:t>
      </w:r>
      <w:r>
        <w:rPr>
          <w:rFonts w:hint="default" w:ascii="Arial Narrow" w:hAnsi="Arial Narrow" w:eastAsia="仿宋_GB2312" w:cs="Arial Narrow"/>
        </w:rPr>
        <w:t>年</w:t>
      </w:r>
      <w:r>
        <w:rPr>
          <w:rFonts w:hint="default" w:ascii="Arial Narrow" w:hAnsi="Arial Narrow" w:eastAsia="仿宋_GB2312" w:cs="Arial Narrow"/>
          <w:lang w:val="en-US" w:eastAsia="zh-CN"/>
        </w:rPr>
        <w:t>4</w:t>
      </w:r>
      <w:r>
        <w:rPr>
          <w:rFonts w:hint="default" w:ascii="Arial Narrow" w:hAnsi="Arial Narrow" w:eastAsia="仿宋_GB2312" w:cs="Arial Narrow"/>
        </w:rPr>
        <w:t>月</w:t>
      </w:r>
      <w:r>
        <w:rPr>
          <w:rFonts w:hint="default" w:ascii="Arial Narrow" w:hAnsi="Arial Narrow" w:eastAsia="仿宋_GB2312" w:cs="Arial Narrow"/>
          <w:lang w:val="en-US" w:eastAsia="zh-CN"/>
        </w:rPr>
        <w:t>19</w:t>
      </w:r>
      <w:r>
        <w:rPr>
          <w:rFonts w:hint="default" w:ascii="Arial Narrow" w:hAnsi="Arial Narrow" w:eastAsia="仿宋_GB2312" w:cs="Arial Narrow"/>
        </w:rPr>
        <w:t>日——201</w:t>
      </w:r>
      <w:r>
        <w:rPr>
          <w:rFonts w:hint="default" w:ascii="Arial Narrow" w:hAnsi="Arial Narrow" w:eastAsia="仿宋_GB2312" w:cs="Arial Narrow"/>
          <w:lang w:val="en-US" w:eastAsia="zh-CN"/>
        </w:rPr>
        <w:t>8</w:t>
      </w:r>
      <w:r>
        <w:rPr>
          <w:rFonts w:hint="default" w:ascii="Arial Narrow" w:hAnsi="Arial Narrow" w:eastAsia="仿宋_GB2312" w:cs="Arial Narrow"/>
        </w:rPr>
        <w:t>年</w:t>
      </w:r>
      <w:r>
        <w:rPr>
          <w:rFonts w:hint="default" w:ascii="Arial Narrow" w:hAnsi="Arial Narrow" w:eastAsia="仿宋_GB2312" w:cs="Arial Narrow"/>
          <w:lang w:val="en-US" w:eastAsia="zh-CN"/>
        </w:rPr>
        <w:t>5</w:t>
      </w:r>
      <w:r>
        <w:rPr>
          <w:rFonts w:hint="default" w:ascii="Arial Narrow" w:hAnsi="Arial Narrow" w:eastAsia="仿宋_GB2312" w:cs="Arial Narrow"/>
        </w:rPr>
        <w:t>月</w:t>
      </w:r>
      <w:r>
        <w:rPr>
          <w:rFonts w:hint="default" w:ascii="Arial Narrow" w:hAnsi="Arial Narrow" w:eastAsia="仿宋_GB2312" w:cs="Arial Narrow"/>
          <w:lang w:val="en-US" w:eastAsia="zh-CN"/>
        </w:rPr>
        <w:t>10</w:t>
      </w:r>
      <w:r>
        <w:rPr>
          <w:rFonts w:hint="default" w:ascii="Arial Narrow" w:hAnsi="Arial Narrow" w:eastAsia="仿宋_GB2312" w:cs="Arial Narrow"/>
        </w:rPr>
        <w:t>日，历时</w:t>
      </w:r>
      <w:r>
        <w:rPr>
          <w:rFonts w:hint="default" w:ascii="Arial Narrow" w:hAnsi="Arial Narrow" w:eastAsia="仿宋_GB2312" w:cs="Arial Narrow"/>
          <w:lang w:val="en-US" w:eastAsia="zh-CN"/>
        </w:rPr>
        <w:t>22</w:t>
      </w:r>
      <w:r>
        <w:rPr>
          <w:rFonts w:hint="default" w:ascii="Arial Narrow" w:hAnsi="Arial Narrow" w:eastAsia="仿宋_GB2312" w:cs="Arial Narrow"/>
        </w:rPr>
        <w:t>天。</w:t>
      </w:r>
    </w:p>
    <w:p>
      <w:pPr>
        <w:keepNext w:val="0"/>
        <w:keepLines w:val="0"/>
        <w:pageBreakBefore w:val="0"/>
        <w:widowControl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rPr>
      </w:pPr>
      <w:r>
        <w:rPr>
          <w:rFonts w:hint="default" w:ascii="Arial Narrow" w:hAnsi="Arial Narrow" w:eastAsia="仿宋_GB2312" w:cs="Arial Narrow"/>
          <w:b/>
        </w:rPr>
        <w:t>3．项目实施情况</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（1）项目实施单位：武汉市武昌区科技和产业发展局</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rPr>
      </w:pPr>
      <w:r>
        <w:rPr>
          <w:rFonts w:hint="default" w:ascii="Arial Narrow" w:hAnsi="Arial Narrow" w:eastAsia="仿宋_GB2312" w:cs="Arial Narrow"/>
        </w:rPr>
        <w:t>（2）项目实施周期与地点：201</w:t>
      </w:r>
      <w:r>
        <w:rPr>
          <w:rFonts w:hint="default" w:ascii="Arial Narrow" w:hAnsi="Arial Narrow" w:eastAsia="仿宋_GB2312" w:cs="Arial Narrow"/>
          <w:lang w:val="en-US" w:eastAsia="zh-CN"/>
        </w:rPr>
        <w:t>7</w:t>
      </w:r>
      <w:r>
        <w:rPr>
          <w:rFonts w:hint="default" w:ascii="Arial Narrow" w:hAnsi="Arial Narrow" w:eastAsia="仿宋_GB2312" w:cs="Arial Narrow"/>
        </w:rPr>
        <w:t>年1月至201</w:t>
      </w:r>
      <w:r>
        <w:rPr>
          <w:rFonts w:hint="default" w:ascii="Arial Narrow" w:hAnsi="Arial Narrow" w:eastAsia="仿宋_GB2312" w:cs="Arial Narrow"/>
          <w:lang w:val="en-US" w:eastAsia="zh-CN"/>
        </w:rPr>
        <w:t>7</w:t>
      </w:r>
      <w:r>
        <w:rPr>
          <w:rFonts w:hint="default" w:ascii="Arial Narrow" w:hAnsi="Arial Narrow" w:eastAsia="仿宋_GB2312" w:cs="Arial Narrow"/>
        </w:rPr>
        <w:t>年12月；武汉市武昌区科技和</w:t>
      </w:r>
      <w:r>
        <w:rPr>
          <w:rFonts w:hint="default" w:ascii="Arial Narrow" w:hAnsi="Arial Narrow" w:eastAsia="仿宋_GB2312" w:cs="Arial Narrow"/>
          <w:highlight w:val="none"/>
        </w:rPr>
        <w:t>产业发展局</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sz w:val="32"/>
          <w:szCs w:val="32"/>
          <w:highlight w:val="none"/>
          <w:lang w:bidi="ar"/>
        </w:rPr>
      </w:pPr>
      <w:r>
        <w:rPr>
          <w:rFonts w:hint="default" w:ascii="Arial Narrow" w:hAnsi="Arial Narrow" w:eastAsia="仿宋_GB2312" w:cs="Arial Narrow"/>
          <w:highlight w:val="none"/>
        </w:rPr>
        <w:t>（3）项目主要内容：组织</w:t>
      </w:r>
      <w:r>
        <w:rPr>
          <w:rFonts w:hint="default" w:ascii="Arial Narrow" w:hAnsi="Arial Narrow" w:eastAsia="仿宋_GB2312" w:cs="Arial Narrow"/>
          <w:highlight w:val="none"/>
          <w:lang w:val="en-US" w:eastAsia="zh-CN"/>
        </w:rPr>
        <w:t>企业参加培训，对科技政策进行宣传</w:t>
      </w:r>
      <w:r>
        <w:rPr>
          <w:rFonts w:hint="default" w:ascii="Arial Narrow" w:hAnsi="Arial Narrow" w:eastAsia="仿宋_GB2312" w:cs="Arial Narrow"/>
          <w:highlight w:val="none"/>
        </w:rPr>
        <w:t>、举办市名优创新全国巡展</w:t>
      </w: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lang w:val="en-US" w:eastAsia="zh-CN"/>
        </w:rPr>
        <w:t>开展</w:t>
      </w:r>
      <w:r>
        <w:rPr>
          <w:rFonts w:hint="default" w:ascii="Arial Narrow" w:hAnsi="Arial Narrow" w:eastAsia="仿宋_GB2312" w:cs="Arial Narrow"/>
          <w:highlight w:val="none"/>
        </w:rPr>
        <w:t>双创</w:t>
      </w:r>
      <w:r>
        <w:rPr>
          <w:rFonts w:hint="default" w:ascii="Arial Narrow" w:hAnsi="Arial Narrow" w:eastAsia="仿宋_GB2312" w:cs="Arial Narrow"/>
          <w:highlight w:val="none"/>
          <w:lang w:val="en-US" w:eastAsia="zh-CN"/>
        </w:rPr>
        <w:t>周、双创</w:t>
      </w:r>
      <w:r>
        <w:rPr>
          <w:rFonts w:hint="default" w:ascii="Arial Narrow" w:hAnsi="Arial Narrow" w:eastAsia="仿宋_GB2312" w:cs="Arial Narrow"/>
          <w:highlight w:val="none"/>
        </w:rPr>
        <w:t>主题赛</w:t>
      </w:r>
      <w:r>
        <w:rPr>
          <w:rFonts w:hint="default" w:ascii="Arial Narrow" w:hAnsi="Arial Narrow" w:eastAsia="仿宋_GB2312" w:cs="Arial Narrow"/>
          <w:highlight w:val="none"/>
          <w:lang w:val="en-US" w:eastAsia="zh-CN"/>
        </w:rPr>
        <w:t>及其他创业交流</w:t>
      </w:r>
      <w:r>
        <w:rPr>
          <w:rFonts w:hint="default" w:ascii="Arial Narrow" w:hAnsi="Arial Narrow" w:eastAsia="仿宋_GB2312" w:cs="Arial Narrow"/>
          <w:highlight w:val="none"/>
        </w:rPr>
        <w:t>活动、</w:t>
      </w:r>
      <w:r>
        <w:rPr>
          <w:rFonts w:hint="default" w:ascii="Arial Narrow" w:hAnsi="Arial Narrow" w:eastAsia="仿宋_GB2312" w:cs="Arial Narrow"/>
          <w:highlight w:val="none"/>
          <w:lang w:val="en-US" w:eastAsia="zh-CN"/>
        </w:rPr>
        <w:t>开展</w:t>
      </w:r>
      <w:r>
        <w:rPr>
          <w:rFonts w:hint="default" w:ascii="Arial Narrow" w:hAnsi="Arial Narrow" w:eastAsia="仿宋_GB2312" w:cs="Arial Narrow"/>
          <w:highlight w:val="none"/>
        </w:rPr>
        <w:t>新能源汽车宣传推广、</w:t>
      </w:r>
      <w:r>
        <w:rPr>
          <w:rFonts w:hint="default" w:ascii="Arial Narrow" w:hAnsi="Arial Narrow" w:eastAsia="仿宋_GB2312" w:cs="Arial Narrow"/>
          <w:highlight w:val="none"/>
          <w:lang w:val="en-US" w:eastAsia="zh-CN"/>
        </w:rPr>
        <w:t>办公人员</w:t>
      </w:r>
      <w:r>
        <w:rPr>
          <w:rFonts w:hint="default" w:ascii="Arial Narrow" w:hAnsi="Arial Narrow" w:eastAsia="仿宋_GB2312" w:cs="Arial Narrow"/>
          <w:highlight w:val="none"/>
        </w:rPr>
        <w:t>学习考察</w:t>
      </w:r>
      <w:r>
        <w:rPr>
          <w:rFonts w:hint="default" w:ascii="Arial Narrow" w:hAnsi="Arial Narrow" w:eastAsia="仿宋_GB2312" w:cs="Arial Narrow"/>
          <w:highlight w:val="none"/>
          <w:lang w:val="en-US" w:eastAsia="zh-CN"/>
        </w:rPr>
        <w:t>及</w:t>
      </w:r>
      <w:r>
        <w:rPr>
          <w:rFonts w:hint="default" w:ascii="Arial Narrow" w:hAnsi="Arial Narrow" w:eastAsia="仿宋_GB2312" w:cs="Arial Narrow"/>
          <w:highlight w:val="none"/>
        </w:rPr>
        <w:t>培训。</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（4）项目完成概况</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①2017年武昌区科产局推荐的9家单位已入围市级企业研发中心候选名单，并按要求开展了实地核查。并于2017年2月、3月分别召开了高新企业统计工作培训和武昌区科技扶持政策宣传培训工作会议，讲解了扶持政策、统计工作、认定需注意事项。</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②武昌区科产局承担20个展位的布展任务，2017年分别于6月份在天津、9月份在昆明参加了武汉名优创新产品展销会，两次展销会分别有9家企业参展。</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③于2017年9月19日举行了双创周活动，并联系新闻媒体、直播平台对活动进行宣传。项目实施单位协同珞珈天使基金、武昌区战略性新兴产业发展引导基金于2017年11月-12月成功举办了武昌区“创响武昌”创新创业大赛；委托杨园科技创业园承办了海归创业沙龙活动，吸引海外高端人才回汉创新创业。</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④开发“车联网产业联盟”微信公众号，主要服务于车联网产业园区，打开对外发声和传播的媒体窗口。</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⑤项目单位先后赴北京、上海、江苏等地进行考察，引进企业落户武昌，建立起外地高端企业与本地企业的合作关系。参加了2次省级培训，3次市级培训，1次区级培训，涉及到知识产权执法，高新企业申报、战略性新兴产业培育等培训内容。</w:t>
      </w:r>
    </w:p>
    <w:p>
      <w:pPr>
        <w:keepNext w:val="0"/>
        <w:keepLines w:val="0"/>
        <w:pageBreakBefore w:val="0"/>
        <w:widowControl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rPr>
      </w:pPr>
      <w:r>
        <w:rPr>
          <w:rFonts w:hint="default" w:ascii="Arial Narrow" w:hAnsi="Arial Narrow" w:eastAsia="仿宋_GB2312" w:cs="Arial Narrow"/>
          <w:b/>
        </w:rPr>
        <w:t>4．项目经费来源和使用情况</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（1）项目资金来源概况</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lang w:val="en-US" w:eastAsia="zh-CN"/>
        </w:rPr>
        <w:t>根据《</w:t>
      </w:r>
      <w:r>
        <w:rPr>
          <w:rFonts w:hint="default" w:ascii="Arial Narrow" w:hAnsi="Arial Narrow" w:eastAsia="仿宋_GB2312" w:cs="Arial Narrow"/>
        </w:rPr>
        <w:t>武昌区财政局关于武昌区科学技术于产业发展局2017年部门预算的批复</w:t>
      </w:r>
      <w:r>
        <w:rPr>
          <w:rFonts w:hint="default" w:ascii="Arial Narrow" w:hAnsi="Arial Narrow" w:eastAsia="仿宋_GB2312" w:cs="Arial Narrow"/>
          <w:lang w:eastAsia="zh-CN"/>
        </w:rPr>
        <w:t>》，</w:t>
      </w:r>
      <w:r>
        <w:rPr>
          <w:rFonts w:hint="default" w:ascii="Arial Narrow" w:hAnsi="Arial Narrow" w:eastAsia="仿宋_GB2312" w:cs="Arial Narrow"/>
        </w:rPr>
        <w:t>武汉市武昌区科技和产业发展局“</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项目”预算资金</w:t>
      </w:r>
      <w:r>
        <w:rPr>
          <w:rFonts w:hint="default" w:ascii="Arial Narrow" w:hAnsi="Arial Narrow" w:eastAsia="仿宋_GB2312" w:cs="Arial Narrow"/>
          <w:lang w:val="en-US" w:eastAsia="zh-CN"/>
        </w:rPr>
        <w:t>为</w:t>
      </w:r>
      <w:r>
        <w:rPr>
          <w:rFonts w:hint="default" w:ascii="Arial Narrow" w:hAnsi="Arial Narrow" w:eastAsia="仿宋_GB2312" w:cs="Arial Narrow"/>
        </w:rPr>
        <w:t>2</w:t>
      </w:r>
      <w:r>
        <w:rPr>
          <w:rFonts w:hint="default" w:ascii="Arial Narrow" w:hAnsi="Arial Narrow" w:eastAsia="仿宋_GB2312" w:cs="Arial Narrow"/>
          <w:lang w:val="en-US" w:eastAsia="zh-CN"/>
        </w:rPr>
        <w:t>80.00</w:t>
      </w:r>
      <w:r>
        <w:rPr>
          <w:rFonts w:hint="default" w:ascii="Arial Narrow" w:hAnsi="Arial Narrow" w:eastAsia="仿宋_GB2312" w:cs="Arial Narrow"/>
        </w:rPr>
        <w:t>万元</w:t>
      </w:r>
      <w:r>
        <w:rPr>
          <w:rFonts w:hint="default" w:ascii="Arial Narrow" w:hAnsi="Arial Narrow" w:eastAsia="仿宋_GB2312" w:cs="Arial Narrow"/>
          <w:lang w:eastAsia="zh-CN"/>
        </w:rPr>
        <w:t>，</w:t>
      </w:r>
      <w:r>
        <w:rPr>
          <w:rFonts w:hint="default" w:ascii="Arial Narrow" w:hAnsi="Arial Narrow" w:eastAsia="仿宋_GB2312" w:cs="Arial Narrow"/>
        </w:rPr>
        <w:t>项目资金均为区级财政资金。</w:t>
      </w:r>
    </w:p>
    <w:p>
      <w:pPr>
        <w:keepNext w:val="0"/>
        <w:keepLines w:val="0"/>
        <w:pageBreakBefore w:val="0"/>
        <w:widowControl w:val="0"/>
        <w:numPr>
          <w:ilvl w:val="0"/>
          <w:numId w:val="4"/>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项目资金使用概况</w:t>
      </w:r>
      <w:bookmarkEnd w:id="14"/>
      <w:bookmarkEnd w:id="15"/>
      <w:bookmarkEnd w:id="16"/>
      <w:bookmarkEnd w:id="17"/>
      <w:bookmarkStart w:id="18" w:name="_Toc361304679"/>
      <w:bookmarkStart w:id="19" w:name="_Toc361302024"/>
      <w:bookmarkStart w:id="20" w:name="_Toc361304169"/>
      <w:bookmarkStart w:id="21" w:name="_Toc361303718"/>
      <w:bookmarkStart w:id="22" w:name="_Toc361304427"/>
    </w:p>
    <w:p>
      <w:pPr>
        <w:keepNext w:val="0"/>
        <w:keepLines w:val="0"/>
        <w:pageBreakBefore w:val="0"/>
        <w:widowControl w:val="0"/>
        <w:kinsoku/>
        <w:wordWrap/>
        <w:overflowPunct/>
        <w:topLinePunct w:val="0"/>
        <w:autoSpaceDE/>
        <w:autoSpaceDN/>
        <w:bidi w:val="0"/>
        <w:adjustRightInd/>
        <w:snapToGrid w:val="0"/>
        <w:ind w:firstLine="480" w:firstLineChars="0"/>
        <w:textAlignment w:val="auto"/>
        <w:rPr>
          <w:rFonts w:hint="default" w:ascii="Arial Narrow" w:hAnsi="Arial Narrow" w:eastAsia="仿宋_GB2312" w:cs="Arial Narrow"/>
        </w:rPr>
      </w:pPr>
      <w:r>
        <w:rPr>
          <w:rFonts w:hint="default" w:ascii="Arial Narrow" w:hAnsi="Arial Narrow" w:eastAsia="仿宋_GB2312" w:cs="Arial Narrow"/>
        </w:rPr>
        <w:t>“</w:t>
      </w:r>
      <w:r>
        <w:rPr>
          <w:rFonts w:hint="default" w:ascii="Arial Narrow" w:hAnsi="Arial Narrow" w:eastAsia="仿宋_GB2312" w:cs="Arial Narrow"/>
          <w:lang w:val="en-US" w:eastAsia="zh-CN"/>
        </w:rPr>
        <w:t>计划管理</w:t>
      </w:r>
      <w:r>
        <w:rPr>
          <w:rFonts w:hint="default" w:ascii="Arial Narrow" w:hAnsi="Arial Narrow" w:eastAsia="仿宋_GB2312" w:cs="Arial Narrow"/>
        </w:rPr>
        <w:t>费项目”实际支出</w:t>
      </w:r>
      <w:r>
        <w:rPr>
          <w:rFonts w:hint="default" w:ascii="Arial Narrow" w:hAnsi="Arial Narrow" w:eastAsia="仿宋_GB2312" w:cs="Arial Narrow"/>
          <w:lang w:val="en-US" w:eastAsia="zh-CN"/>
        </w:rPr>
        <w:t>272.00</w:t>
      </w:r>
      <w:r>
        <w:rPr>
          <w:rFonts w:hint="default" w:ascii="Arial Narrow" w:hAnsi="Arial Narrow" w:eastAsia="仿宋_GB2312" w:cs="Arial Narrow"/>
        </w:rPr>
        <w:t>万元，按经济用途分类，主要分为办公费、</w:t>
      </w:r>
      <w:r>
        <w:rPr>
          <w:rFonts w:hint="default" w:ascii="Arial Narrow" w:hAnsi="Arial Narrow" w:eastAsia="仿宋_GB2312" w:cs="Arial Narrow"/>
          <w:lang w:val="en-US" w:eastAsia="zh-CN"/>
        </w:rPr>
        <w:t>办公设备购置费、</w:t>
      </w:r>
      <w:r>
        <w:rPr>
          <w:rFonts w:hint="default" w:ascii="Arial Narrow" w:hAnsi="Arial Narrow" w:eastAsia="仿宋_GB2312" w:cs="Arial Narrow"/>
        </w:rPr>
        <w:t>差旅费、会议费、劳务费</w:t>
      </w:r>
      <w:r>
        <w:rPr>
          <w:rFonts w:hint="default" w:ascii="Arial Narrow" w:hAnsi="Arial Narrow" w:eastAsia="仿宋_GB2312" w:cs="Arial Narrow"/>
          <w:lang w:eastAsia="zh-CN"/>
        </w:rPr>
        <w:t>、</w:t>
      </w:r>
      <w:r>
        <w:rPr>
          <w:rFonts w:hint="default" w:ascii="Arial Narrow" w:hAnsi="Arial Narrow" w:eastAsia="仿宋_GB2312" w:cs="Arial Narrow"/>
        </w:rPr>
        <w:t>咨询费、维修（护）费、印刷费、邮电费、</w:t>
      </w:r>
      <w:r>
        <w:rPr>
          <w:rFonts w:hint="default" w:ascii="Arial Narrow" w:hAnsi="Arial Narrow" w:eastAsia="仿宋_GB2312" w:cs="Arial Narrow"/>
          <w:lang w:val="en-US" w:eastAsia="zh-CN"/>
        </w:rPr>
        <w:t>租赁费、</w:t>
      </w:r>
      <w:r>
        <w:rPr>
          <w:rFonts w:hint="default" w:ascii="Arial Narrow" w:hAnsi="Arial Narrow" w:eastAsia="仿宋_GB2312" w:cs="Arial Narrow"/>
        </w:rPr>
        <w:t>其他商品和服务支出</w:t>
      </w:r>
      <w:r>
        <w:rPr>
          <w:rFonts w:hint="default" w:ascii="Arial Narrow" w:hAnsi="Arial Narrow" w:eastAsia="仿宋_GB2312" w:cs="Arial Narrow"/>
          <w:lang w:val="en-US" w:eastAsia="zh-CN"/>
        </w:rPr>
        <w:t>等</w:t>
      </w:r>
      <w:r>
        <w:rPr>
          <w:rFonts w:hint="default" w:ascii="Arial Narrow" w:hAnsi="Arial Narrow" w:eastAsia="仿宋_GB2312" w:cs="Arial Narrow"/>
        </w:rPr>
        <w:t>1</w:t>
      </w:r>
      <w:r>
        <w:rPr>
          <w:rFonts w:hint="default" w:ascii="Arial Narrow" w:hAnsi="Arial Narrow" w:eastAsia="仿宋_GB2312" w:cs="Arial Narrow"/>
          <w:lang w:val="en-US" w:eastAsia="zh-CN"/>
        </w:rPr>
        <w:t>1</w:t>
      </w:r>
      <w:r>
        <w:rPr>
          <w:rFonts w:hint="default" w:ascii="Arial Narrow" w:hAnsi="Arial Narrow" w:eastAsia="仿宋_GB2312" w:cs="Arial Narrow"/>
        </w:rPr>
        <w:t>类，支出明细如下：</w:t>
      </w:r>
    </w:p>
    <w:tbl>
      <w:tblPr>
        <w:tblStyle w:val="28"/>
        <w:tblW w:w="7240"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234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suppressLineNumbers w:val="0"/>
              <w:snapToGrid w:val="0"/>
              <w:spacing w:before="0" w:beforeAutospacing="0" w:after="0" w:afterAutospacing="0"/>
              <w:ind w:left="0" w:leftChars="0" w:right="0" w:firstLine="0" w:firstLineChars="0"/>
              <w:jc w:val="center"/>
              <w:rPr>
                <w:rFonts w:hint="default" w:ascii="Arial Narrow" w:hAnsi="Arial Narrow" w:eastAsia="仿宋_GB2312" w:cs="Arial Narrow"/>
                <w:b/>
                <w:bCs/>
              </w:rPr>
            </w:pPr>
            <w:r>
              <w:rPr>
                <w:rFonts w:hint="default" w:ascii="Arial Narrow" w:hAnsi="Arial Narrow" w:eastAsia="仿宋_GB2312" w:cs="Arial Narrow"/>
                <w:b/>
                <w:bCs/>
              </w:rPr>
              <w:t>项目名称</w:t>
            </w:r>
          </w:p>
        </w:tc>
        <w:tc>
          <w:tcPr>
            <w:tcW w:w="2346" w:type="dxa"/>
            <w:vAlign w:val="center"/>
          </w:tcPr>
          <w:p>
            <w:pPr>
              <w:keepNext w:val="0"/>
              <w:keepLines w:val="0"/>
              <w:suppressLineNumbers w:val="0"/>
              <w:snapToGrid w:val="0"/>
              <w:spacing w:before="0" w:beforeAutospacing="0" w:after="0" w:afterAutospacing="0"/>
              <w:ind w:left="0" w:leftChars="0" w:right="0" w:firstLine="241" w:firstLineChars="100"/>
              <w:jc w:val="both"/>
              <w:rPr>
                <w:rFonts w:hint="default" w:ascii="Arial Narrow" w:hAnsi="Arial Narrow" w:eastAsia="仿宋_GB2312" w:cs="Arial Narrow"/>
                <w:b/>
                <w:bCs/>
              </w:rPr>
            </w:pPr>
            <w:r>
              <w:rPr>
                <w:rFonts w:hint="default" w:ascii="Arial Narrow" w:hAnsi="Arial Narrow" w:eastAsia="仿宋_GB2312" w:cs="Arial Narrow"/>
                <w:b/>
                <w:bCs/>
              </w:rPr>
              <w:t>决算金额（元）</w:t>
            </w:r>
          </w:p>
        </w:tc>
        <w:tc>
          <w:tcPr>
            <w:tcW w:w="1711" w:type="dxa"/>
            <w:vAlign w:val="center"/>
          </w:tcPr>
          <w:p>
            <w:pPr>
              <w:keepNext w:val="0"/>
              <w:keepLines w:val="0"/>
              <w:suppressLineNumbers w:val="0"/>
              <w:snapToGrid w:val="0"/>
              <w:spacing w:before="0" w:beforeAutospacing="0" w:after="0" w:afterAutospacing="0"/>
              <w:ind w:left="0" w:right="0" w:firstLine="480" w:firstLineChars="0"/>
              <w:jc w:val="both"/>
              <w:rPr>
                <w:rFonts w:hint="default" w:ascii="Arial Narrow" w:hAnsi="Arial Narrow" w:eastAsia="仿宋_GB2312" w:cs="Arial Narrow"/>
                <w:b/>
                <w:bCs/>
              </w:rPr>
            </w:pPr>
            <w:r>
              <w:rPr>
                <w:rFonts w:hint="default" w:ascii="Arial Narrow" w:hAnsi="Arial Narrow" w:eastAsia="仿宋_GB2312" w:cs="Arial Narrow"/>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办公费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978,665.44</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35.98%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办公设备购置费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133,394.00</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差旅费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110,830.75</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会议费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3,060.00</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劳务费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781,484.23</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28.73%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维修（护）费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77,294.43</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印刷费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226,580.00</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邮电费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14,187.15</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咨询费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317,080.00</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租赁费</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23,982.00</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83" w:type="dxa"/>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其他商品和服务支出</w:t>
            </w:r>
          </w:p>
        </w:tc>
        <w:tc>
          <w:tcPr>
            <w:tcW w:w="2346"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53,442.00</w:t>
            </w:r>
          </w:p>
        </w:tc>
        <w:tc>
          <w:tcPr>
            <w:tcW w:w="1711" w:type="dxa"/>
            <w:vAlign w:val="bottom"/>
          </w:tcPr>
          <w:p>
            <w:pPr>
              <w:keepNext w:val="0"/>
              <w:keepLines w:val="0"/>
              <w:widowControl/>
              <w:suppressLineNumbers w:val="0"/>
              <w:spacing w:before="0" w:beforeAutospacing="0" w:after="0" w:afterAutospacing="0"/>
              <w:ind w:left="0" w:right="0" w:firstLine="480" w:firstLineChars="200"/>
              <w:jc w:val="center"/>
              <w:textAlignment w:val="bottom"/>
              <w:rPr>
                <w:rFonts w:hint="default" w:ascii="Arial Narrow" w:hAnsi="Arial Narrow" w:eastAsia="仿宋_GB2312" w:cs="Arial Narrow"/>
                <w:sz w:val="24"/>
                <w:szCs w:val="24"/>
                <w:vertAlign w:val="baseline"/>
              </w:rPr>
            </w:pPr>
            <w:r>
              <w:rPr>
                <w:rFonts w:hint="default" w:ascii="Arial Narrow" w:hAnsi="Arial Narrow" w:eastAsia="仿宋_GB2312" w:cs="Arial Narrow"/>
                <w:i w:val="0"/>
                <w:color w:val="000000"/>
                <w:kern w:val="0"/>
                <w:sz w:val="24"/>
                <w:szCs w:val="24"/>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3183" w:type="dxa"/>
            <w:vAlign w:val="center"/>
          </w:tcPr>
          <w:p>
            <w:pPr>
              <w:keepNext w:val="0"/>
              <w:keepLines w:val="0"/>
              <w:widowControl/>
              <w:suppressLineNumbers w:val="0"/>
              <w:spacing w:before="0" w:beforeAutospacing="0" w:after="0" w:afterAutospacing="0"/>
              <w:ind w:left="0" w:right="0" w:firstLine="482" w:firstLineChars="200"/>
              <w:jc w:val="both"/>
              <w:textAlignment w:val="bottom"/>
              <w:rPr>
                <w:rFonts w:hint="default" w:ascii="Arial Narrow" w:hAnsi="Arial Narrow" w:eastAsia="仿宋_GB2312" w:cs="Arial Narrow"/>
                <w:b/>
                <w:bCs/>
                <w:sz w:val="24"/>
                <w:szCs w:val="24"/>
                <w:vertAlign w:val="baseline"/>
              </w:rPr>
            </w:pPr>
            <w:r>
              <w:rPr>
                <w:rFonts w:hint="default" w:ascii="Arial Narrow" w:hAnsi="Arial Narrow" w:eastAsia="仿宋_GB2312" w:cs="Arial Narrow"/>
                <w:b/>
                <w:bCs/>
                <w:i w:val="0"/>
                <w:color w:val="000000"/>
                <w:kern w:val="0"/>
                <w:sz w:val="24"/>
                <w:szCs w:val="24"/>
                <w:u w:val="none"/>
                <w:lang w:val="en-US" w:eastAsia="zh-CN" w:bidi="ar"/>
              </w:rPr>
              <w:t>合计</w:t>
            </w:r>
          </w:p>
        </w:tc>
        <w:tc>
          <w:tcPr>
            <w:tcW w:w="2346" w:type="dxa"/>
            <w:vAlign w:val="bottom"/>
          </w:tcPr>
          <w:p>
            <w:pPr>
              <w:keepNext w:val="0"/>
              <w:keepLines w:val="0"/>
              <w:widowControl/>
              <w:suppressLineNumbers w:val="0"/>
              <w:spacing w:before="0" w:beforeAutospacing="0" w:after="0" w:afterAutospacing="0"/>
              <w:ind w:left="0" w:right="0" w:firstLine="482" w:firstLineChars="200"/>
              <w:jc w:val="center"/>
              <w:textAlignment w:val="bottom"/>
              <w:rPr>
                <w:rFonts w:hint="default" w:ascii="Arial Narrow" w:hAnsi="Arial Narrow" w:eastAsia="仿宋_GB2312" w:cs="Arial Narrow"/>
                <w:b/>
                <w:bCs/>
                <w:sz w:val="24"/>
                <w:szCs w:val="24"/>
                <w:vertAlign w:val="baseline"/>
              </w:rPr>
            </w:pPr>
            <w:r>
              <w:rPr>
                <w:rFonts w:hint="default" w:ascii="Arial Narrow" w:hAnsi="Arial Narrow" w:eastAsia="仿宋_GB2312" w:cs="Arial Narrow"/>
                <w:b/>
                <w:bCs/>
                <w:i w:val="0"/>
                <w:color w:val="000000"/>
                <w:kern w:val="0"/>
                <w:sz w:val="24"/>
                <w:szCs w:val="24"/>
                <w:u w:val="none"/>
                <w:lang w:val="en-US" w:eastAsia="zh-CN" w:bidi="ar"/>
              </w:rPr>
              <w:t>2,720,000.00</w:t>
            </w:r>
          </w:p>
        </w:tc>
        <w:tc>
          <w:tcPr>
            <w:tcW w:w="1711" w:type="dxa"/>
            <w:vAlign w:val="bottom"/>
          </w:tcPr>
          <w:p>
            <w:pPr>
              <w:keepNext w:val="0"/>
              <w:keepLines w:val="0"/>
              <w:suppressLineNumbers w:val="0"/>
              <w:spacing w:before="0" w:beforeAutospacing="0" w:after="0" w:afterAutospacing="0"/>
              <w:ind w:left="0" w:right="0"/>
              <w:jc w:val="center"/>
              <w:rPr>
                <w:rFonts w:hint="default" w:ascii="Arial Narrow" w:hAnsi="Arial Narrow" w:eastAsia="仿宋_GB2312" w:cs="Arial Narrow"/>
                <w:sz w:val="24"/>
                <w:szCs w:val="24"/>
                <w:vertAlign w:val="baseline"/>
              </w:rPr>
            </w:pPr>
          </w:p>
        </w:tc>
      </w:tr>
    </w:tbl>
    <w:p>
      <w:pPr>
        <w:snapToGrid w:val="0"/>
        <w:ind w:firstLine="480" w:firstLineChars="0"/>
        <w:rPr>
          <w:rFonts w:hint="default" w:ascii="Arial Narrow" w:hAnsi="Arial Narrow" w:eastAsia="仿宋_GB2312" w:cs="Arial Narrow"/>
          <w:lang w:val="en-US" w:eastAsia="zh-CN"/>
        </w:rPr>
      </w:pPr>
    </w:p>
    <w:p>
      <w:pPr>
        <w:snapToGrid w:val="0"/>
        <w:ind w:firstLine="480" w:firstLineChars="0"/>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2017年</w:t>
      </w: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lang w:val="en-US" w:eastAsia="zh-CN"/>
        </w:rPr>
        <w:t>资金使用图：</w:t>
      </w:r>
    </w:p>
    <w:p>
      <w:pPr>
        <w:snapToGrid w:val="0"/>
        <w:ind w:firstLine="480" w:firstLineChars="0"/>
        <w:jc w:val="center"/>
        <w:rPr>
          <w:rFonts w:hint="default" w:ascii="Arial Narrow" w:hAnsi="Arial Narrow" w:eastAsia="仿宋_GB2312" w:cs="Arial Narrow"/>
        </w:rPr>
      </w:pPr>
      <w:r>
        <w:rPr>
          <w:rFonts w:hint="default" w:ascii="Arial Narrow" w:hAnsi="Arial Narrow" w:eastAsia="仿宋_GB2312" w:cs="Arial Narrow"/>
        </w:rPr>
        <w:drawing>
          <wp:inline distT="0" distB="0" distL="114300" distR="114300">
            <wp:extent cx="4463415" cy="2305050"/>
            <wp:effectExtent l="0" t="0" r="6985" b="63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4463415" cy="2305050"/>
                    </a:xfrm>
                    <a:prstGeom prst="rect">
                      <a:avLst/>
                    </a:prstGeom>
                    <a:noFill/>
                    <a:ln w="9525">
                      <a:noFill/>
                    </a:ln>
                  </pic:spPr>
                </pic:pic>
              </a:graphicData>
            </a:graphic>
          </wp:inline>
        </w:drawing>
      </w:r>
    </w:p>
    <w:bookmarkEnd w:id="18"/>
    <w:bookmarkEnd w:id="19"/>
    <w:bookmarkEnd w:id="20"/>
    <w:bookmarkEnd w:id="21"/>
    <w:bookmarkEnd w:id="22"/>
    <w:p>
      <w:pPr>
        <w:keepNext w:val="0"/>
        <w:keepLines w:val="0"/>
        <w:pageBreakBefore w:val="0"/>
        <w:widowControl w:val="0"/>
        <w:kinsoku/>
        <w:wordWrap/>
        <w:overflowPunct/>
        <w:topLinePunct w:val="0"/>
        <w:autoSpaceDE/>
        <w:autoSpaceDN/>
        <w:bidi w:val="0"/>
        <w:adjustRightInd/>
        <w:snapToGrid w:val="0"/>
        <w:ind w:firstLine="482" w:firstLineChars="200"/>
        <w:textAlignment w:val="auto"/>
        <w:outlineLvl w:val="1"/>
        <w:rPr>
          <w:rFonts w:hint="default" w:ascii="Arial Narrow" w:hAnsi="Arial Narrow" w:eastAsia="仿宋_GB2312" w:cs="Arial Narrow"/>
          <w:b/>
          <w:bCs/>
          <w:highlight w:val="none"/>
        </w:rPr>
      </w:pPr>
      <w:bookmarkStart w:id="23" w:name="_Toc20761"/>
      <w:bookmarkStart w:id="24" w:name="_Toc406666356"/>
      <w:bookmarkStart w:id="25" w:name="_Toc406668030"/>
      <w:bookmarkStart w:id="26" w:name="_Toc361304680"/>
      <w:bookmarkStart w:id="27" w:name="_Toc16351"/>
      <w:r>
        <w:rPr>
          <w:rFonts w:hint="default" w:ascii="Arial Narrow" w:hAnsi="Arial Narrow" w:eastAsia="仿宋_GB2312" w:cs="Arial Narrow"/>
          <w:b/>
          <w:bCs/>
        </w:rPr>
        <w:t>（二</w:t>
      </w:r>
      <w:r>
        <w:rPr>
          <w:rFonts w:hint="default" w:ascii="Arial Narrow" w:hAnsi="Arial Narrow" w:eastAsia="仿宋_GB2312" w:cs="Arial Narrow"/>
          <w:b/>
          <w:bCs/>
          <w:highlight w:val="none"/>
        </w:rPr>
        <w:t>）项目绩效目标</w:t>
      </w:r>
      <w:bookmarkEnd w:id="23"/>
    </w:p>
    <w:p>
      <w:pPr>
        <w:keepNext w:val="0"/>
        <w:keepLines w:val="0"/>
        <w:pageBreakBefore w:val="0"/>
        <w:widowControl w:val="0"/>
        <w:kinsoku/>
        <w:wordWrap/>
        <w:overflowPunct/>
        <w:topLinePunct w:val="0"/>
        <w:autoSpaceDE/>
        <w:autoSpaceDN/>
        <w:bidi w:val="0"/>
        <w:adjustRightInd/>
        <w:snapToGrid w:val="0"/>
        <w:ind w:firstLine="482" w:firstLineChars="200"/>
        <w:textAlignment w:val="auto"/>
        <w:rPr>
          <w:rFonts w:hint="default" w:ascii="Arial Narrow" w:hAnsi="Arial Narrow" w:eastAsia="仿宋_GB2312" w:cs="Arial Narrow"/>
          <w:b/>
          <w:bCs/>
          <w:highlight w:val="none"/>
        </w:rPr>
      </w:pPr>
      <w:r>
        <w:rPr>
          <w:rFonts w:hint="default" w:ascii="Arial Narrow" w:hAnsi="Arial Narrow" w:eastAsia="仿宋_GB2312" w:cs="Arial Narrow"/>
          <w:b/>
          <w:bCs/>
          <w:highlight w:val="none"/>
        </w:rPr>
        <w:t>1.项目绩效目标</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bCs/>
          <w:highlight w:val="none"/>
        </w:rPr>
      </w:pPr>
      <w:r>
        <w:rPr>
          <w:rFonts w:hint="default" w:ascii="Arial Narrow" w:hAnsi="Arial Narrow" w:eastAsia="仿宋_GB2312" w:cs="Arial Narrow"/>
          <w:bCs/>
          <w:highlight w:val="none"/>
        </w:rPr>
        <w:t>（1）项目立项设定绩效目标</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bCs/>
          <w:highlight w:val="none"/>
        </w:rPr>
      </w:pPr>
      <w:r>
        <w:rPr>
          <w:rFonts w:hint="default" w:ascii="Arial Narrow" w:hAnsi="Arial Narrow" w:eastAsia="仿宋_GB2312" w:cs="Arial Narrow"/>
          <w:bCs/>
          <w:highlight w:val="none"/>
          <w:lang w:val="en-US" w:eastAsia="zh-CN"/>
        </w:rPr>
        <w:t>根据项目立项申报表及</w:t>
      </w:r>
      <w:r>
        <w:rPr>
          <w:rFonts w:hint="default" w:ascii="Arial Narrow" w:hAnsi="Arial Narrow" w:eastAsia="仿宋_GB2312" w:cs="Arial Narrow"/>
          <w:bCs/>
          <w:highlight w:val="none"/>
        </w:rPr>
        <w:t>《</w:t>
      </w:r>
      <w:r>
        <w:rPr>
          <w:rFonts w:hint="default" w:ascii="Arial Narrow" w:hAnsi="Arial Narrow" w:eastAsia="仿宋_GB2312" w:cs="Arial Narrow"/>
          <w:bCs/>
          <w:highlight w:val="none"/>
          <w:lang w:val="en-US" w:eastAsia="zh-CN"/>
        </w:rPr>
        <w:t>武昌区科产局</w:t>
      </w:r>
      <w:r>
        <w:rPr>
          <w:rFonts w:hint="default" w:ascii="Arial Narrow" w:hAnsi="Arial Narrow" w:eastAsia="仿宋_GB2312" w:cs="Arial Narrow"/>
          <w:bCs/>
          <w:highlight w:val="none"/>
        </w:rPr>
        <w:t>201</w:t>
      </w:r>
      <w:r>
        <w:rPr>
          <w:rFonts w:hint="default" w:ascii="Arial Narrow" w:hAnsi="Arial Narrow" w:eastAsia="仿宋_GB2312" w:cs="Arial Narrow"/>
          <w:bCs/>
          <w:highlight w:val="none"/>
          <w:lang w:val="en-US" w:eastAsia="zh-CN"/>
        </w:rPr>
        <w:t>7</w:t>
      </w:r>
      <w:r>
        <w:rPr>
          <w:rFonts w:hint="default" w:ascii="Arial Narrow" w:hAnsi="Arial Narrow" w:eastAsia="仿宋_GB2312" w:cs="Arial Narrow"/>
          <w:bCs/>
          <w:highlight w:val="none"/>
        </w:rPr>
        <w:t>年部门预算公开说明》</w:t>
      </w:r>
      <w:r>
        <w:rPr>
          <w:rFonts w:hint="default" w:ascii="Arial Narrow" w:hAnsi="Arial Narrow" w:eastAsia="仿宋_GB2312" w:cs="Arial Narrow"/>
          <w:bCs/>
          <w:highlight w:val="none"/>
          <w:lang w:eastAsia="zh-CN"/>
        </w:rPr>
        <w:t>，</w:t>
      </w:r>
      <w:r>
        <w:rPr>
          <w:rFonts w:hint="default" w:ascii="Arial Narrow" w:hAnsi="Arial Narrow" w:eastAsia="仿宋_GB2312" w:cs="Arial Narrow"/>
          <w:bCs/>
          <w:highlight w:val="none"/>
        </w:rPr>
        <w:t>“</w:t>
      </w:r>
      <w:r>
        <w:rPr>
          <w:rFonts w:hint="default" w:ascii="Arial Narrow" w:hAnsi="Arial Narrow" w:eastAsia="仿宋_GB2312" w:cs="Arial Narrow"/>
          <w:bCs/>
          <w:highlight w:val="none"/>
          <w:lang w:val="en-US" w:eastAsia="zh-CN"/>
        </w:rPr>
        <w:t>计划管理费</w:t>
      </w:r>
      <w:r>
        <w:rPr>
          <w:rFonts w:hint="default" w:ascii="Arial Narrow" w:hAnsi="Arial Narrow" w:eastAsia="仿宋_GB2312" w:cs="Arial Narrow"/>
          <w:bCs/>
          <w:highlight w:val="none"/>
        </w:rPr>
        <w:t>项目”经费主要用于名优新产品</w:t>
      </w:r>
      <w:r>
        <w:rPr>
          <w:rFonts w:hint="default" w:ascii="Arial Narrow" w:hAnsi="Arial Narrow" w:eastAsia="仿宋_GB2312" w:cs="Arial Narrow"/>
          <w:bCs/>
          <w:highlight w:val="none"/>
          <w:lang w:val="en-US" w:eastAsia="zh-CN"/>
        </w:rPr>
        <w:t>全国巡展展位布置、举办“双创”大赛、双创周等创业交流活动、组织企业参加培训，对科技政策进行宣传、新能源汽车宣传推广、办公人员学习考察及培训。</w:t>
      </w:r>
    </w:p>
    <w:p>
      <w:pPr>
        <w:keepNext w:val="0"/>
        <w:keepLines w:val="0"/>
        <w:pageBreakBefore w:val="0"/>
        <w:widowControl w:val="0"/>
        <w:numPr>
          <w:ilvl w:val="0"/>
          <w:numId w:val="5"/>
        </w:numPr>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highlight w:val="none"/>
        </w:rPr>
      </w:pPr>
      <w:bookmarkStart w:id="28" w:name="_Toc3631"/>
      <w:bookmarkStart w:id="29" w:name="_Toc361304681"/>
      <w:bookmarkStart w:id="30" w:name="_Toc387957806"/>
      <w:r>
        <w:rPr>
          <w:rFonts w:hint="default" w:ascii="Arial Narrow" w:hAnsi="Arial Narrow" w:eastAsia="仿宋_GB2312" w:cs="Arial Narrow"/>
          <w:highlight w:val="none"/>
        </w:rPr>
        <w:t>绩效目标完成情况</w:t>
      </w:r>
      <w:bookmarkEnd w:id="28"/>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bookmarkStart w:id="31" w:name="_Toc406668031"/>
      <w:bookmarkStart w:id="32" w:name="_Toc406666357"/>
      <w:bookmarkStart w:id="33" w:name="_Toc14372"/>
      <w:r>
        <w:rPr>
          <w:rFonts w:hint="default" w:ascii="Arial Narrow" w:hAnsi="Arial Narrow" w:eastAsia="仿宋_GB2312" w:cs="Arial Narrow"/>
          <w:lang w:val="en-US" w:eastAsia="zh-CN"/>
        </w:rPr>
        <w:t>截至2017年12月31日，项目实施单位协助</w:t>
      </w:r>
      <w:r>
        <w:rPr>
          <w:rFonts w:hint="default" w:ascii="Arial Narrow" w:hAnsi="Arial Narrow" w:eastAsia="仿宋_GB2312" w:cs="Arial Narrow"/>
        </w:rPr>
        <w:t>名优新品</w:t>
      </w:r>
      <w:r>
        <w:rPr>
          <w:rFonts w:hint="default" w:ascii="Arial Narrow" w:hAnsi="Arial Narrow" w:eastAsia="仿宋_GB2312" w:cs="Arial Narrow"/>
          <w:lang w:val="en-US" w:eastAsia="zh-CN"/>
        </w:rPr>
        <w:t>参展企业布置展位，完成了区级展位布置任务；成功举办了双创大赛及双创周活动，吸引了来自上海、北京、武汉、新疆、荆门等地120左右创新创业项目报名；项目单位科技管理科先后组织两场培训工作会议，对扶持政策、高新企业申报事项、税收减免政策进行了讲解；开发了“车联网产业联盟”微信公众号，主要服务于车联网产业园区，打开对外发声和传播的媒体窗口；赴北京、上海、江苏等地进行考察，参与全国、省级、区级培训。</w:t>
      </w:r>
    </w:p>
    <w:p>
      <w:pPr>
        <w:keepNext w:val="0"/>
        <w:keepLines w:val="0"/>
        <w:pageBreakBefore w:val="0"/>
        <w:widowControl w:val="0"/>
        <w:kinsoku/>
        <w:wordWrap/>
        <w:overflowPunct/>
        <w:topLinePunct w:val="0"/>
        <w:autoSpaceDE/>
        <w:autoSpaceDN/>
        <w:bidi w:val="0"/>
        <w:adjustRightInd/>
        <w:snapToGrid w:val="0"/>
        <w:ind w:firstLine="482" w:firstLineChars="200"/>
        <w:textAlignment w:val="auto"/>
        <w:outlineLvl w:val="0"/>
        <w:rPr>
          <w:rFonts w:hint="default" w:ascii="Arial Narrow" w:hAnsi="Arial Narrow" w:eastAsia="仿宋_GB2312" w:cs="Arial Narrow"/>
          <w:b/>
          <w:bCs/>
        </w:rPr>
      </w:pPr>
      <w:bookmarkStart w:id="34" w:name="_Toc23831"/>
      <w:r>
        <w:rPr>
          <w:rFonts w:hint="default" w:ascii="Arial Narrow" w:hAnsi="Arial Narrow" w:eastAsia="仿宋_GB2312" w:cs="Arial Narrow"/>
          <w:b/>
          <w:bCs/>
        </w:rPr>
        <w:t>二、绩效评价工作情况</w:t>
      </w:r>
      <w:bookmarkEnd w:id="29"/>
      <w:bookmarkEnd w:id="30"/>
      <w:bookmarkEnd w:id="31"/>
      <w:bookmarkEnd w:id="32"/>
      <w:bookmarkEnd w:id="33"/>
      <w:bookmarkEnd w:id="34"/>
      <w:bookmarkStart w:id="35" w:name="_Toc361304682"/>
    </w:p>
    <w:bookmarkEnd w:id="35"/>
    <w:p>
      <w:pPr>
        <w:keepNext w:val="0"/>
        <w:keepLines w:val="0"/>
        <w:pageBreakBefore w:val="0"/>
        <w:widowControl w:val="0"/>
        <w:kinsoku/>
        <w:wordWrap/>
        <w:overflowPunct/>
        <w:topLinePunct w:val="0"/>
        <w:autoSpaceDE/>
        <w:autoSpaceDN/>
        <w:bidi w:val="0"/>
        <w:adjustRightInd/>
        <w:snapToGrid w:val="0"/>
        <w:ind w:firstLine="482" w:firstLineChars="200"/>
        <w:textAlignment w:val="auto"/>
        <w:outlineLvl w:val="1"/>
        <w:rPr>
          <w:rFonts w:hint="default" w:ascii="Arial Narrow" w:hAnsi="Arial Narrow" w:eastAsia="仿宋_GB2312" w:cs="Arial Narrow"/>
          <w:b/>
          <w:bCs/>
        </w:rPr>
      </w:pPr>
      <w:bookmarkStart w:id="36" w:name="_Toc11757"/>
      <w:r>
        <w:rPr>
          <w:rFonts w:hint="default" w:ascii="Arial Narrow" w:hAnsi="Arial Narrow" w:eastAsia="仿宋_GB2312" w:cs="Arial Narrow"/>
          <w:b/>
          <w:bCs/>
        </w:rPr>
        <w:t>（一）绩效评价目的</w:t>
      </w:r>
      <w:bookmarkEnd w:id="36"/>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bookmarkStart w:id="37" w:name="_Toc32197"/>
      <w:r>
        <w:rPr>
          <w:rFonts w:hint="default" w:ascii="Arial Narrow" w:hAnsi="Arial Narrow" w:eastAsia="仿宋_GB2312" w:cs="Arial Narrow"/>
        </w:rPr>
        <w:t>为深化预算管理改革，进一步加强武昌区项目经费支出的监督，提高财政资金使用效益，根据《中华人民共和国预算法》、《财政支出绩效评价管理暂行办法》和国家有关财务规章制度，结合</w:t>
      </w: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rPr>
        <w:t>经费支出的具体情况，根据武汉市武昌区科技和产业发展局的总体部署进行此绩效评价工作，其直接目的是在实践中检验绩效评价工作文件的针对性和可操作性，推动绩效评价的制度建设。此外，本次绩效评价还力争实现以下目的：</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1、按照公共财政管理要求，运用一定的指标体系和评价标准，采取科学、规范的评价方法，采用定性及定量相结合的评价指标，对本项目的项目投入、项目过程、项目产出、项目效果进行客观公正地评价。</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2、通过绩效评价为合理分配资金、优化支出提供依据，也为逐步建立“预算编制有目标，预算执行有监控，预算完成有评价，评价结果有反馈，反馈结果有应用”的绩效评价机制提供决策依据。</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3、通过绩效评价总结前一年度项目实施的经验教训，为进一步加强</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w:t>
      </w:r>
      <w:r>
        <w:rPr>
          <w:rFonts w:hint="default" w:ascii="Arial Narrow" w:hAnsi="Arial Narrow" w:eastAsia="仿宋_GB2312" w:cs="Arial Narrow"/>
          <w:lang w:eastAsia="zh-CN"/>
        </w:rPr>
        <w:t>”</w:t>
      </w:r>
      <w:r>
        <w:rPr>
          <w:rFonts w:hint="default" w:ascii="Arial Narrow" w:hAnsi="Arial Narrow" w:eastAsia="仿宋_GB2312" w:cs="Arial Narrow"/>
        </w:rPr>
        <w:t>管理，提高项目建设水平，发挥财政资金效益提供重要的参考依据，也为将来</w:t>
      </w:r>
      <w:r>
        <w:rPr>
          <w:rFonts w:hint="default" w:ascii="Arial Narrow" w:hAnsi="Arial Narrow" w:eastAsia="仿宋_GB2312" w:cs="Arial Narrow"/>
          <w:lang w:val="en-US" w:eastAsia="zh-CN"/>
        </w:rPr>
        <w:t>“计划管理费</w:t>
      </w:r>
      <w:r>
        <w:rPr>
          <w:rFonts w:hint="default" w:ascii="Arial Narrow" w:hAnsi="Arial Narrow" w:eastAsia="仿宋_GB2312" w:cs="Arial Narrow"/>
        </w:rPr>
        <w:t>项目</w:t>
      </w:r>
      <w:r>
        <w:rPr>
          <w:rFonts w:hint="default" w:ascii="Arial Narrow" w:hAnsi="Arial Narrow" w:eastAsia="仿宋_GB2312" w:cs="Arial Narrow"/>
          <w:lang w:eastAsia="zh-CN"/>
        </w:rPr>
        <w:t>”</w:t>
      </w:r>
      <w:r>
        <w:rPr>
          <w:rFonts w:hint="default" w:ascii="Arial Narrow" w:hAnsi="Arial Narrow" w:eastAsia="仿宋_GB2312" w:cs="Arial Narrow"/>
        </w:rPr>
        <w:t>提供借鉴。</w:t>
      </w:r>
    </w:p>
    <w:p>
      <w:pPr>
        <w:keepNext w:val="0"/>
        <w:keepLines w:val="0"/>
        <w:pageBreakBefore w:val="0"/>
        <w:widowControl w:val="0"/>
        <w:kinsoku/>
        <w:wordWrap/>
        <w:overflowPunct/>
        <w:topLinePunct w:val="0"/>
        <w:autoSpaceDE/>
        <w:autoSpaceDN/>
        <w:bidi w:val="0"/>
        <w:adjustRightInd/>
        <w:snapToGrid w:val="0"/>
        <w:ind w:firstLine="482" w:firstLineChars="200"/>
        <w:textAlignment w:val="auto"/>
        <w:outlineLvl w:val="1"/>
        <w:rPr>
          <w:rFonts w:hint="default" w:ascii="Arial Narrow" w:hAnsi="Arial Narrow" w:eastAsia="仿宋_GB2312" w:cs="Arial Narrow"/>
          <w:b/>
          <w:bCs/>
        </w:rPr>
      </w:pPr>
      <w:bookmarkStart w:id="38" w:name="_Toc10736"/>
      <w:r>
        <w:rPr>
          <w:rFonts w:hint="default" w:ascii="Arial Narrow" w:hAnsi="Arial Narrow" w:eastAsia="仿宋_GB2312" w:cs="Arial Narrow"/>
          <w:b/>
          <w:bCs/>
        </w:rPr>
        <w:t>（二）绩效评价工作过程</w:t>
      </w:r>
      <w:bookmarkEnd w:id="37"/>
      <w:bookmarkEnd w:id="38"/>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drawing>
          <wp:inline distT="0" distB="0" distL="0" distR="0">
            <wp:extent cx="4487545" cy="2729230"/>
            <wp:effectExtent l="0" t="0" r="825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1、前期准备工作内容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rPr>
        <w:t>首先，查阅项目的相关文件。通过查阅了项目单位部门预算的批复、</w:t>
      </w: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rPr>
        <w:t>资金申报资料等相关资料、与项目相关的合同或协议等资料，结合《武昌区财政支出绩效评价管理暂行办法》的要求，绩效评价小组充分熟悉项目背景、项目内容、项目活动等信息，这为绩效评价小组后续制定绩效评价方案奠定了基</w:t>
      </w:r>
      <w:r>
        <w:rPr>
          <w:rFonts w:hint="default" w:ascii="Arial Narrow" w:hAnsi="Arial Narrow" w:eastAsia="仿宋_GB2312" w:cs="Arial Narrow"/>
          <w:highlight w:val="none"/>
        </w:rPr>
        <w:t>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rPr>
        <w:t>其次，</w:t>
      </w:r>
      <w:r>
        <w:rPr>
          <w:rFonts w:hint="default" w:ascii="Arial Narrow" w:hAnsi="Arial Narrow" w:eastAsia="仿宋_GB2312" w:cs="Arial Narrow"/>
          <w:highlight w:val="none"/>
        </w:rPr>
        <w:t>根据项目具体情况设定共性指标与个性指标相结合的绩效评价指标体系。</w:t>
      </w: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highlight w:val="none"/>
        </w:rPr>
        <w:t>绩效评价指标体系由4个一级指标、7个二级指标、</w:t>
      </w:r>
      <w:r>
        <w:rPr>
          <w:rFonts w:hint="default" w:ascii="Arial Narrow" w:hAnsi="Arial Narrow" w:eastAsia="仿宋_GB2312" w:cs="Arial Narrow"/>
          <w:highlight w:val="none"/>
          <w:lang w:val="en-US" w:eastAsia="zh-CN"/>
        </w:rPr>
        <w:t>26</w:t>
      </w:r>
      <w:r>
        <w:rPr>
          <w:rFonts w:hint="default" w:ascii="Arial Narrow" w:hAnsi="Arial Narrow" w:eastAsia="仿宋_GB2312" w:cs="Arial Narrow"/>
          <w:highlight w:val="none"/>
        </w:rPr>
        <w:t>个三级指标构成</w:t>
      </w: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rPr>
        <w:t>定性定量指标相结合，量化程度较高。</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lang w:val="en-US" w:eastAsia="zh-CN"/>
        </w:rPr>
        <w:t>再次，</w:t>
      </w:r>
      <w:r>
        <w:rPr>
          <w:rFonts w:hint="default" w:ascii="Arial Narrow" w:hAnsi="Arial Narrow" w:eastAsia="仿宋_GB2312" w:cs="Arial Narrow"/>
        </w:rPr>
        <w:t>设计绩效评价指标体系和评分标准。项目小组与武汉市武昌区科技和产业发展局就</w:t>
      </w: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rPr>
        <w:t>绩效评价相关事项进行了充分的讨论与研究，制定了绩效评价指标体系和评分标准。</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rPr>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pPr>
        <w:keepNext w:val="0"/>
        <w:keepLines w:val="0"/>
        <w:pageBreakBefore w:val="0"/>
        <w:widowControl w:val="0"/>
        <w:numPr>
          <w:ilvl w:val="0"/>
          <w:numId w:val="6"/>
        </w:numPr>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组织实施过程内容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3、分析评价工作内容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Arial Narrow" w:hAnsi="Arial Narrow" w:eastAsia="仿宋_GB2312" w:cs="Arial Narrow"/>
          <w:sz w:val="24"/>
        </w:rPr>
      </w:pPr>
      <w:bookmarkStart w:id="39" w:name="_Toc17289"/>
      <w:r>
        <w:rPr>
          <w:rFonts w:hint="default" w:ascii="Arial Narrow" w:hAnsi="Arial Narrow" w:eastAsia="仿宋_GB2312" w:cs="Arial Narrow"/>
          <w:sz w:val="24"/>
        </w:rPr>
        <w:t>（三）绩效评价框架</w:t>
      </w:r>
      <w:bookmarkEnd w:id="39"/>
    </w:p>
    <w:p>
      <w:pPr>
        <w:keepNext w:val="0"/>
        <w:keepLines w:val="0"/>
        <w:pageBreakBefore w:val="0"/>
        <w:widowControl w:val="0"/>
        <w:kinsoku/>
        <w:wordWrap/>
        <w:overflowPunct/>
        <w:topLinePunct w:val="0"/>
        <w:autoSpaceDE/>
        <w:autoSpaceDN/>
        <w:bidi w:val="0"/>
        <w:adjustRightInd/>
        <w:snapToGrid w:val="0"/>
        <w:ind w:firstLine="482" w:firstLineChars="200"/>
        <w:textAlignment w:val="auto"/>
        <w:rPr>
          <w:rFonts w:hint="default" w:ascii="Arial Narrow" w:hAnsi="Arial Narrow" w:eastAsia="仿宋_GB2312" w:cs="Arial Narrow"/>
          <w:b/>
          <w:bCs/>
        </w:rPr>
      </w:pPr>
      <w:r>
        <w:rPr>
          <w:rFonts w:hint="default" w:ascii="Arial Narrow" w:hAnsi="Arial Narrow" w:eastAsia="仿宋_GB2312" w:cs="Arial Narrow"/>
          <w:b/>
          <w:bCs/>
        </w:rPr>
        <w:t>1、评价原则</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b/>
        </w:rPr>
      </w:pPr>
      <w:r>
        <w:rPr>
          <w:rFonts w:hint="default" w:ascii="Arial Narrow" w:hAnsi="Arial Narrow" w:eastAsia="仿宋_GB2312" w:cs="Arial Narrow"/>
        </w:rPr>
        <w:drawing>
          <wp:inline distT="0" distB="0" distL="0" distR="0">
            <wp:extent cx="4820920" cy="1400175"/>
            <wp:effectExtent l="57150" t="0" r="74930" b="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本次绩效评价，我们遵循相关性原则、重要性原则、可比性原则、系统性原则、经济性原则。</w:t>
      </w:r>
    </w:p>
    <w:p>
      <w:pPr>
        <w:keepNext w:val="0"/>
        <w:keepLines w:val="0"/>
        <w:pageBreakBefore w:val="0"/>
        <w:widowControl w:val="0"/>
        <w:numPr>
          <w:ilvl w:val="0"/>
          <w:numId w:val="7"/>
        </w:numPr>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相关性原则。绩效评价指标应当与绩效目标有直接的联系，能够恰当反映目标的实现程度。如创业活动开展进度</w:t>
      </w:r>
      <w:r>
        <w:rPr>
          <w:rFonts w:hint="default" w:ascii="Arial Narrow" w:hAnsi="Arial Narrow" w:eastAsia="仿宋_GB2312" w:cs="Arial Narrow"/>
          <w:lang w:eastAsia="zh-CN"/>
        </w:rPr>
        <w:t>、</w:t>
      </w:r>
      <w:r>
        <w:rPr>
          <w:rFonts w:hint="default" w:ascii="Arial Narrow" w:hAnsi="Arial Narrow" w:eastAsia="仿宋_GB2312" w:cs="Arial Narrow"/>
        </w:rPr>
        <w:t>提供创业空间</w:t>
      </w:r>
      <w:r>
        <w:rPr>
          <w:rFonts w:hint="default" w:ascii="Arial Narrow" w:hAnsi="Arial Narrow" w:eastAsia="仿宋_GB2312" w:cs="Arial Narrow"/>
          <w:lang w:eastAsia="zh-CN"/>
        </w:rPr>
        <w:t>、</w:t>
      </w:r>
      <w:r>
        <w:rPr>
          <w:rFonts w:hint="default" w:ascii="Arial Narrow" w:hAnsi="Arial Narrow" w:eastAsia="仿宋_GB2312" w:cs="Arial Narrow"/>
        </w:rPr>
        <w:t>科技创新能力提升度等指标。</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（2）重要性原则。应当优先使用最具评价对象代表性、最能反映评价要求的核心指标。如新能源汽车推广活动次数</w:t>
      </w:r>
      <w:r>
        <w:rPr>
          <w:rFonts w:hint="default" w:ascii="Arial Narrow" w:hAnsi="Arial Narrow" w:eastAsia="仿宋_GB2312" w:cs="Arial Narrow"/>
          <w:lang w:eastAsia="zh-CN"/>
        </w:rPr>
        <w:t>、名创新品展销会承办完成率、营造创新创业文化氛围</w:t>
      </w:r>
      <w:r>
        <w:rPr>
          <w:rFonts w:hint="default" w:ascii="Arial Narrow" w:hAnsi="Arial Narrow" w:eastAsia="仿宋_GB2312" w:cs="Arial Narrow"/>
        </w:rPr>
        <w:t>等指标。</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（3）可比性原则。对同类评价对象要设定共性的绩效评价指标，以便于评价结果可以相互比较。如：办公设备采购完成率、资金使用率等指标。</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（4）系统性原则。绩效评价指标的设置应当将定量指标与定性指标相结合，能系统反映财政支出所产生的社会效益和可持续影响等。如立体创业创新服务机制、社会公众满意度等指标。</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（5）经济性原则。绩效评价指标设计应当通俗易懂、简便易行，数据的获得应当考虑现实条件和可操作性，符合成本效益原则。如：资金到位率、资金使用率等指标。</w:t>
      </w:r>
    </w:p>
    <w:p>
      <w:pPr>
        <w:keepNext w:val="0"/>
        <w:keepLines w:val="0"/>
        <w:pageBreakBefore w:val="0"/>
        <w:widowControl w:val="0"/>
        <w:kinsoku/>
        <w:wordWrap/>
        <w:overflowPunct/>
        <w:topLinePunct w:val="0"/>
        <w:autoSpaceDE/>
        <w:autoSpaceDN/>
        <w:bidi w:val="0"/>
        <w:adjustRightInd/>
        <w:snapToGrid w:val="0"/>
        <w:ind w:firstLine="482" w:firstLineChars="200"/>
        <w:jc w:val="left"/>
        <w:textAlignment w:val="auto"/>
        <w:rPr>
          <w:rFonts w:hint="default" w:ascii="Arial Narrow" w:hAnsi="Arial Narrow" w:eastAsia="仿宋_GB2312" w:cs="Arial Narrow"/>
          <w:b/>
        </w:rPr>
      </w:pPr>
      <w:bookmarkStart w:id="40" w:name="_Toc406666359"/>
      <w:bookmarkStart w:id="41" w:name="_Toc406668033"/>
      <w:bookmarkStart w:id="42" w:name="_Toc387957809"/>
      <w:bookmarkStart w:id="43" w:name="_Toc361302025"/>
      <w:bookmarkStart w:id="44" w:name="_Toc361304684"/>
      <w:r>
        <w:rPr>
          <w:rFonts w:hint="default" w:ascii="Arial Narrow" w:hAnsi="Arial Narrow" w:eastAsia="仿宋_GB2312" w:cs="Arial Narrow"/>
          <w:b/>
        </w:rPr>
        <w:t>2、评价依据</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（1）项目行为依据</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rPr>
        <w:t>①《武昌区财政局关于武昌区科技和产业发展局201</w:t>
      </w:r>
      <w:r>
        <w:rPr>
          <w:rFonts w:hint="default" w:ascii="Arial Narrow" w:hAnsi="Arial Narrow" w:eastAsia="仿宋_GB2312" w:cs="Arial Narrow"/>
          <w:lang w:val="en-US" w:eastAsia="zh-CN"/>
        </w:rPr>
        <w:t>7</w:t>
      </w:r>
      <w:r>
        <w:rPr>
          <w:rFonts w:hint="default" w:ascii="Arial Narrow" w:hAnsi="Arial Narrow" w:eastAsia="仿宋_GB2312" w:cs="Arial Narrow"/>
        </w:rPr>
        <w:t>年部门预算的批复》</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rPr>
        <w:t>②《</w:t>
      </w:r>
      <w:r>
        <w:rPr>
          <w:rFonts w:hint="default" w:ascii="Arial Narrow" w:hAnsi="Arial Narrow" w:eastAsia="仿宋_GB2312" w:cs="Arial Narrow"/>
          <w:lang w:val="en-US" w:eastAsia="zh-CN"/>
        </w:rPr>
        <w:t>项目立项申报表（计划管理费）</w:t>
      </w:r>
      <w:r>
        <w:rPr>
          <w:rFonts w:hint="default" w:ascii="Arial Narrow" w:hAnsi="Arial Narrow" w:eastAsia="仿宋_GB2312" w:cs="Arial Narrow"/>
        </w:rPr>
        <w:t>》</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rPr>
        <w:t>③《武昌区科学技术研究与开发资金管理办法》</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lang w:val="en-US" w:eastAsia="zh-CN"/>
        </w:rPr>
        <w:t>④《</w:t>
      </w:r>
      <w:r>
        <w:rPr>
          <w:rFonts w:hint="default" w:ascii="Arial Narrow" w:hAnsi="Arial Narrow" w:eastAsia="仿宋_GB2312" w:cs="Arial Narrow"/>
          <w:lang w:eastAsia="zh-CN"/>
        </w:rPr>
        <w:t>关于印发《＜武昌区科学技术研究与开发资金管理办法＞政策执行实施流程》的通知》（武昌科产字[2016]25号）。</w:t>
      </w:r>
    </w:p>
    <w:p>
      <w:pPr>
        <w:keepNext w:val="0"/>
        <w:keepLines w:val="0"/>
        <w:pageBreakBefore w:val="0"/>
        <w:widowControl w:val="0"/>
        <w:numPr>
          <w:ilvl w:val="0"/>
          <w:numId w:val="8"/>
        </w:numPr>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法律、法规依据</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rPr>
        <w:t>①《中华人民共和国预算法》</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rPr>
        <w:t>②财政部《财政支出绩效评价管理暂行办法》（财预[2011]285号）</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rPr>
        <w:t>③《武昌区财政支出绩效评价管理暂行办法》</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lang w:val="en-US" w:eastAsia="zh-CN"/>
        </w:rPr>
        <w:t>④《武昌区财政局关于开展2018年区级财政支出绩效评价工作的通知》。</w:t>
      </w:r>
    </w:p>
    <w:p>
      <w:pPr>
        <w:keepNext w:val="0"/>
        <w:keepLines w:val="0"/>
        <w:pageBreakBefore w:val="0"/>
        <w:widowControl w:val="0"/>
        <w:numPr>
          <w:ilvl w:val="0"/>
          <w:numId w:val="8"/>
        </w:numPr>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项目财务资料依据</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①2017年</w:t>
      </w: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rPr>
        <w:t>经费支出明细账</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②记账凭证及有关附件</w:t>
      </w:r>
      <w:r>
        <w:rPr>
          <w:rFonts w:hint="default" w:ascii="Arial Narrow" w:hAnsi="Arial Narrow" w:eastAsia="仿宋_GB2312" w:cs="Arial Narrow"/>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基础数据、资料依据</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lang w:val="en-US" w:eastAsia="zh-CN"/>
        </w:rPr>
        <w:t>①</w:t>
      </w:r>
      <w:r>
        <w:rPr>
          <w:rFonts w:hint="default" w:ascii="Arial Narrow" w:hAnsi="Arial Narrow" w:eastAsia="仿宋_GB2312" w:cs="Arial Narrow"/>
        </w:rPr>
        <w:t>武昌区科技和产业发展局工作制度汇编</w:t>
      </w:r>
      <w:r>
        <w:rPr>
          <w:rFonts w:hint="default" w:ascii="Arial Narrow" w:hAnsi="Arial Narrow" w:eastAsia="仿宋_GB2312" w:cs="Arial Narrow"/>
          <w:lang w:eastAsia="zh-CN"/>
        </w:rPr>
        <w:t>（</w:t>
      </w:r>
      <w:r>
        <w:rPr>
          <w:rFonts w:hint="default" w:ascii="Arial Narrow" w:hAnsi="Arial Narrow" w:eastAsia="仿宋_GB2312" w:cs="Arial Narrow"/>
        </w:rPr>
        <w:t>2016年）</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eastAsia="zh-CN"/>
        </w:rPr>
      </w:pPr>
      <w:r>
        <w:rPr>
          <w:rFonts w:hint="default" w:ascii="Arial Narrow" w:hAnsi="Arial Narrow" w:eastAsia="仿宋_GB2312" w:cs="Arial Narrow"/>
          <w:lang w:val="en-US" w:eastAsia="zh-CN"/>
        </w:rPr>
        <w:t>②</w:t>
      </w:r>
      <w:r>
        <w:rPr>
          <w:rFonts w:hint="default" w:ascii="Arial Narrow" w:hAnsi="Arial Narrow" w:eastAsia="仿宋_GB2312" w:cs="Arial Narrow"/>
        </w:rPr>
        <w:t>武昌区科产局政府采购管理制度（局）</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③《武汉市市级企业研究开发中心认定办法》；</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④2017年武汉名优创新产品展销会工作方案；</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⑥武汉市武昌区2017年度“创响武昌”创新创业大赛实施方案；</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⑦关于组织开展武昌区2017年大众创业万众创新活动周的工作方案。</w:t>
      </w:r>
    </w:p>
    <w:p>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482" w:firstLineChars="200"/>
        <w:jc w:val="left"/>
        <w:textAlignment w:val="auto"/>
        <w:rPr>
          <w:rFonts w:hint="default" w:ascii="Arial Narrow" w:hAnsi="Arial Narrow" w:eastAsia="仿宋_GB2312" w:cs="Arial Narrow"/>
          <w:b/>
        </w:rPr>
      </w:pPr>
      <w:r>
        <w:rPr>
          <w:rFonts w:hint="default" w:ascii="Arial Narrow" w:hAnsi="Arial Narrow" w:eastAsia="仿宋_GB2312" w:cs="Arial Narrow"/>
          <w:b/>
        </w:rPr>
        <w:t>评价指标体系</w:t>
      </w: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default" w:ascii="Arial Narrow" w:hAnsi="Arial Narrow" w:eastAsia="仿宋_GB2312" w:cs="Arial Narrow"/>
          <w:b/>
        </w:rPr>
      </w:pPr>
      <w:r>
        <w:rPr>
          <w:rFonts w:hint="default" w:ascii="Arial Narrow" w:hAnsi="Arial Narrow" w:eastAsia="仿宋_GB2312" w:cs="Arial Narrow"/>
          <w:b/>
          <w:lang w:eastAsia="zh-CN"/>
        </w:rPr>
        <w:drawing>
          <wp:inline distT="0" distB="0" distL="114300" distR="114300">
            <wp:extent cx="5271770" cy="2118995"/>
            <wp:effectExtent l="0" t="0" r="11430" b="0"/>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8"/>
                    <a:stretch>
                      <a:fillRect/>
                    </a:stretch>
                  </pic:blipFill>
                  <pic:spPr>
                    <a:xfrm>
                      <a:off x="0" y="0"/>
                      <a:ext cx="5271770" cy="2118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绩效评价指标体系是开展绩效评价工作的核心。评价小组依据《武昌区财政支出绩效评价管理暂行办法》，结合项目特点，运用定量定性原则，确定了绩效评价一级指标、二级指标和三级指标。</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绩效评价指标体系包括投入、过程、产出、效果四个方面。</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rPr>
        <w:t>投入”权重12分，下设二级指标“项目立项”、“资金落实”，主要评价项目立项规范性、绩效目标合理性、绩效指标明确性，下设4个三级指标具体评价；</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“过程”权重2</w:t>
      </w:r>
      <w:r>
        <w:rPr>
          <w:rFonts w:hint="default" w:ascii="Arial Narrow" w:hAnsi="Arial Narrow" w:eastAsia="仿宋_GB2312" w:cs="Arial Narrow"/>
          <w:highlight w:val="none"/>
          <w:lang w:val="en-US" w:eastAsia="zh-CN"/>
        </w:rPr>
        <w:t>6</w:t>
      </w:r>
      <w:r>
        <w:rPr>
          <w:rFonts w:hint="default" w:ascii="Arial Narrow" w:hAnsi="Arial Narrow" w:eastAsia="仿宋_GB2312" w:cs="Arial Narrow"/>
          <w:highlight w:val="none"/>
        </w:rPr>
        <w:t>分，下设二级指标“项目管理” 、“财务管理”和“项目实施”，主要评价项目管理制度的执行、资金使用情况和项目具体实施情况，下设</w:t>
      </w:r>
      <w:r>
        <w:rPr>
          <w:rFonts w:hint="default" w:ascii="Arial Narrow" w:hAnsi="Arial Narrow" w:eastAsia="仿宋_GB2312" w:cs="Arial Narrow"/>
          <w:highlight w:val="none"/>
          <w:lang w:val="en-US" w:eastAsia="zh-CN"/>
        </w:rPr>
        <w:t>8</w:t>
      </w:r>
      <w:r>
        <w:rPr>
          <w:rFonts w:hint="default" w:ascii="Arial Narrow" w:hAnsi="Arial Narrow" w:eastAsia="仿宋_GB2312" w:cs="Arial Narrow"/>
          <w:highlight w:val="none"/>
        </w:rPr>
        <w:t>个三级指标具体评价；</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“产出”权重26分，下设二级指标“项目产出”，主要评价项目各项数量产出和质量产出的实现程度以及</w:t>
      </w:r>
      <w:r>
        <w:rPr>
          <w:rFonts w:hint="default" w:ascii="Arial Narrow" w:hAnsi="Arial Narrow" w:eastAsia="仿宋_GB2312" w:cs="Arial Narrow"/>
          <w:highlight w:val="none"/>
          <w:lang w:val="en-US" w:eastAsia="zh-CN"/>
        </w:rPr>
        <w:t>资金使用</w:t>
      </w:r>
      <w:r>
        <w:rPr>
          <w:rFonts w:hint="default" w:ascii="Arial Narrow" w:hAnsi="Arial Narrow" w:eastAsia="仿宋_GB2312" w:cs="Arial Narrow"/>
          <w:highlight w:val="none"/>
        </w:rPr>
        <w:t>率，下设</w:t>
      </w:r>
      <w:r>
        <w:rPr>
          <w:rFonts w:hint="default" w:ascii="Arial Narrow" w:hAnsi="Arial Narrow" w:eastAsia="仿宋_GB2312" w:cs="Arial Narrow"/>
          <w:highlight w:val="none"/>
          <w:lang w:val="en-US" w:eastAsia="zh-CN"/>
        </w:rPr>
        <w:t>7</w:t>
      </w:r>
      <w:r>
        <w:rPr>
          <w:rFonts w:hint="default" w:ascii="Arial Narrow" w:hAnsi="Arial Narrow" w:eastAsia="仿宋_GB2312" w:cs="Arial Narrow"/>
          <w:highlight w:val="none"/>
        </w:rPr>
        <w:t>个三级指标具体评价</w:t>
      </w: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rPr>
        <w:t>；</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“效果”权重</w:t>
      </w:r>
      <w:r>
        <w:rPr>
          <w:rFonts w:hint="default" w:ascii="Arial Narrow" w:hAnsi="Arial Narrow" w:eastAsia="仿宋_GB2312" w:cs="Arial Narrow"/>
          <w:highlight w:val="none"/>
          <w:lang w:val="en-US" w:eastAsia="zh-CN"/>
        </w:rPr>
        <w:t>36</w:t>
      </w:r>
      <w:r>
        <w:rPr>
          <w:rFonts w:hint="default" w:ascii="Arial Narrow" w:hAnsi="Arial Narrow" w:eastAsia="仿宋_GB2312" w:cs="Arial Narrow"/>
          <w:highlight w:val="none"/>
        </w:rPr>
        <w:t>分，下设二级指标“项目效益”，主要评价项目实施后的社会效益、可持续影响、服务对象满意度，下设</w:t>
      </w:r>
      <w:r>
        <w:rPr>
          <w:rFonts w:hint="default" w:ascii="Arial Narrow" w:hAnsi="Arial Narrow" w:eastAsia="仿宋_GB2312" w:cs="Arial Narrow"/>
          <w:highlight w:val="none"/>
          <w:lang w:val="en-US" w:eastAsia="zh-CN"/>
        </w:rPr>
        <w:t>7</w:t>
      </w:r>
      <w:r>
        <w:rPr>
          <w:rFonts w:hint="default" w:ascii="Arial Narrow" w:hAnsi="Arial Narrow" w:eastAsia="仿宋_GB2312" w:cs="Arial Narrow"/>
          <w:highlight w:val="none"/>
        </w:rPr>
        <w:t>个三级指标具体评价。</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具体指标的分布情况、权重、指标解释、指标说明如下表所示：</w:t>
      </w:r>
    </w:p>
    <w:tbl>
      <w:tblPr>
        <w:tblStyle w:val="2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5"/>
        <w:gridCol w:w="1106"/>
        <w:gridCol w:w="2202"/>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 w:hRule="atLeast"/>
          <w:tblHeader/>
        </w:trPr>
        <w:tc>
          <w:tcPr>
            <w:tcW w:w="221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指标名称（权重）</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指标解释</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81" w:hRule="atLeast"/>
        </w:trPr>
        <w:tc>
          <w:tcPr>
            <w:tcW w:w="110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立项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项目立项规范性（3）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项目的申请、设立过程是否符合相关要求，用以反映和考核项目立项的规范情况。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①是否有规划；</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②项目是否按照规定的程序申请设立；</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③所提交的文件、材料是否符合相关要求；</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④项目立项事前是否已经过必要的集体决策等；</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⑤项目执行时是否发生重大调整。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20"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绩效目标合理性（3）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项目是否设定绩效目标和绩效指标，所设定的绩效目标和指标是否符合实际，用以反映和考核项目绩效目标与项目实施的相符情况。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①是否设定长期目标、年度目标和绩效指标；</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②目标和指标的设计是否符合目标管理规范；</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③根据绩效目标和完成情况的对比考核目标设立的合理性；</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④绩效指标是否具有可测性。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5" w:hRule="atLeast"/>
        </w:trPr>
        <w:tc>
          <w:tcPr>
            <w:tcW w:w="110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落实</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资金到位率（3）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实际到位资金与计划投入资金的比率，用以反映和考核资金落实情况对项目实施的总体保障程度。</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资金到位率=（实际到位资金/计划投入资金）×100%。</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实际到位资金：一定时期（本年度或项目期）内实际落实到具体项目的资金。</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计划投入资金：一定时期（本年度或项目期）内计划投入到具体项目的资金。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4"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到位及时率（3）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及时到位资金与应到位资金的比率，用以反映和考核项目资金落实的及时性程度。</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到位及时率=（及时到位资金/应到位资金）×100%。</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及时到位资金：截至规定时点实际落实到具体项目的资金。</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应到位资金：按照合同或项目进度要求截至规定时点应落实到具体项目的资金。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1" w:hRule="atLeast"/>
        </w:trPr>
        <w:tc>
          <w:tcPr>
            <w:tcW w:w="110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项目管理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管理制度健全性（3）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项目管理制度是否健全，用以反映和考核项目管理制度对项目顺利实施的保障情况。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①是否制定相应的业务管理制度，如新能源汽车推广应用办法、市级企业研发中心认定管理办法、创新创业大赛实施办法、合同管理制度、差旅审批制度、政府采购管理制度。</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②项目管理制度是否合法、合规、完整。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制度执行有效性（3）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项目实施是否符合相关项目管理规定，用以反映和考核项目管理制度的有效执行情况。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①是否遵守上级单位制定的相关管理办法；</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②是否严格执行项目管理程序及制定相应的项目管理制度，如新能源汽车推广应用办法、市级企业研发中心认定管理办法、创新创业大赛实施办法、合同管理制度、差旅审批制度、政府采购管理制度。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3"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项目质量可控性（4）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项目实施单位是否为达到项目质量要求而采取了必需的措施,用以反映和考核项目实施单位对项目质量的控制情况。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①是否制定相应的质量评估办法或质量控制制度。</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②是否落实工作领导责任制度，形成工作领导责任体系；</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③项目实施单位是否开展工作绩效考核，并依据考核结果给予相关奖惩措施。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9" w:hRule="atLeast"/>
        </w:trPr>
        <w:tc>
          <w:tcPr>
            <w:tcW w:w="110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财务</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管理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财务制度健全性（3）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项目实施单位的财务制度是否健全，用以反映和考核财务管理制度对资金规范、安全运行的保障情况。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①是否已制定或具有相应的项目资金管理办法；</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②项目资金管理办法是否符合相关财务会计制度的规定。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2"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资金使用合规性（3）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项目资金使用是否符合相关的财务管理制度规定，用以反映和考核项目资金的规范运行情况。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①是否符合国家财经法规和财务管理制度以及有关专项资金管理办法的规定；</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②是否符合项目预算批复或合同规定的用途。</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③项目资金是否存在截留、挤占、挪用、虚列支出等情况。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6"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财务监控有效性（4）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项目实施单位是否为保障资金的安全、规范运行而采取了必要的监控措施，用以反映和考核项目实施单位对资金运行的控制情况。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①项目的重大开支是否经过集体决策和评估认证。</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②资金的拨付是否有完整的审批程序和手续。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5" w:hRule="atLeast"/>
        </w:trPr>
        <w:tc>
          <w:tcPr>
            <w:tcW w:w="1105" w:type="dxa"/>
            <w:vMerge w:val="restart"/>
            <w:tcBorders>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组织机构健全性（3）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项目实施单位的组织机构是否健全，分工是否明确，用以反映和考核组织机构的情况。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组织机构是否健全，分工是否明确，人员是否充足。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6" w:hRule="atLeast"/>
        </w:trPr>
        <w:tc>
          <w:tcPr>
            <w:tcW w:w="1105" w:type="dxa"/>
            <w:vMerge w:val="continue"/>
            <w:tcBorders>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档案资料完整性（3）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项目相关档案的保存是否完整，用以反映和考核项目的档案管理合规性。</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各项目预算项目相关开展工作情况相关的资料是否保存完整，是否齐全。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1105"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项目产出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新能源汽车推广活动次数（3）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项目实施单位是否按计划开展新能源汽车推广示范应用活动，用以反映和考核项目实施单位新能源汽车活动的推广力度。</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按计划开展3次新能源汽车推广宣传活动。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3"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名创新品展销会承办完成率（4）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实际开展的展会次数与计划组织的展会次数，用以反映和考核项目实施单位名优新品展销会工作的完成情况。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Style w:val="45"/>
                <w:rFonts w:hint="default" w:ascii="Arial Narrow" w:hAnsi="Arial Narrow" w:eastAsia="仿宋_GB2312" w:cs="Arial Narrow"/>
                <w:sz w:val="20"/>
                <w:szCs w:val="20"/>
                <w:lang w:val="en-US" w:eastAsia="zh-CN" w:bidi="ar"/>
              </w:rPr>
              <w:br w:type="textWrapping"/>
            </w:r>
            <w:r>
              <w:rPr>
                <w:rStyle w:val="46"/>
                <w:rFonts w:hint="default" w:ascii="Arial Narrow" w:hAnsi="Arial Narrow" w:eastAsia="仿宋_GB2312" w:cs="Arial Narrow"/>
                <w:sz w:val="20"/>
                <w:szCs w:val="20"/>
                <w:lang w:val="en-US" w:eastAsia="zh-CN" w:bidi="ar"/>
              </w:rPr>
              <w:t>①名优新品展销会承办完成率</w:t>
            </w:r>
            <w:r>
              <w:rPr>
                <w:rStyle w:val="45"/>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实际开展的展会次数</w:t>
            </w:r>
            <w:r>
              <w:rPr>
                <w:rStyle w:val="45"/>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计划组织的展会次数</w:t>
            </w:r>
            <w:r>
              <w:rPr>
                <w:rStyle w:val="45"/>
                <w:rFonts w:hint="default" w:ascii="Arial Narrow" w:hAnsi="Arial Narrow" w:eastAsia="仿宋_GB2312" w:cs="Arial Narrow"/>
                <w:sz w:val="20"/>
                <w:szCs w:val="20"/>
                <w:lang w:val="en-US" w:eastAsia="zh-CN" w:bidi="ar"/>
              </w:rPr>
              <w:t>x100%</w:t>
            </w:r>
            <w:r>
              <w:rPr>
                <w:rStyle w:val="46"/>
                <w:rFonts w:hint="default" w:ascii="Arial Narrow" w:hAnsi="Arial Narrow" w:eastAsia="仿宋_GB2312" w:cs="Arial Narrow"/>
                <w:sz w:val="20"/>
                <w:szCs w:val="20"/>
                <w:lang w:val="en-US" w:eastAsia="zh-CN" w:bidi="ar"/>
              </w:rPr>
              <w:t>；</w:t>
            </w:r>
            <w:r>
              <w:rPr>
                <w:rStyle w:val="45"/>
                <w:rFonts w:hint="default" w:ascii="Arial Narrow" w:hAnsi="Arial Narrow" w:eastAsia="仿宋_GB2312" w:cs="Arial Narrow"/>
                <w:sz w:val="20"/>
                <w:szCs w:val="20"/>
                <w:lang w:val="en-US" w:eastAsia="zh-CN" w:bidi="ar"/>
              </w:rPr>
              <w:br w:type="textWrapping"/>
            </w:r>
            <w:r>
              <w:rPr>
                <w:rStyle w:val="46"/>
                <w:rFonts w:hint="default" w:ascii="Arial Narrow" w:hAnsi="Arial Narrow" w:eastAsia="仿宋_GB2312" w:cs="Arial Narrow"/>
                <w:sz w:val="20"/>
                <w:szCs w:val="20"/>
                <w:lang w:val="en-US" w:eastAsia="zh-CN" w:bidi="ar"/>
              </w:rPr>
              <w:t>②计划承办的展位是否参展到位，不存在空闲展位。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72"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办公设备采购完成率（3）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实际采购的办公设备数量与计划采购的办公设备数量的比率，用以反映和考核项目单位办公设备是否采购完全。</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①办公设备采购完成率=实际采购的办公设备数量/计划采购的办公设备；</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②所有设备是否通过验收。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创业活动开展进度（5）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项目实施后，区域创新创业大赛、双创活动周是否按计划举行，用以反映和考核项目实施单位的时效指标。</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①2017年大众创业万众创新活动周是否按计划筹备开展；</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②区域创新创业大赛是否制定有实施方案，是否按工作安排表开展赛事。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0"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业务能力保证程度（5）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项目实施单位是否为增强工作人员的业务能力、提高办事效率、保持信息更新而开展学习考察活动，用以反映和考核项目实施单位对业务工作质量的保障程度。</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①培训内容除包含党建宣传外，也涉及科学技术研究与开发、企业创业等相关内容；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②项目单位是否派出的与培训内容向匹配的科室人员参加培训。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08"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完成及时率（3）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项目实际提前完成时间与计划完成时间的比率，用以反映和考核项目产出时效目标的实现程度。</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完成及时率=（计划完成时间-实际完成时间）/计划完成时间]×100%。</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实际完成时间：项目实施单位完成该项目实际所耗用的时间。</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计划完成时间：按照项目实施计划或相关规定完成该项目所需的时间。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2" w:hRule="atLeast"/>
        </w:trPr>
        <w:tc>
          <w:tcPr>
            <w:tcW w:w="1105"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资金使用率（3）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项目实际支出与项目到位资金的比率，用以反映和考核项目资金使用情况。</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资金使用率</w:t>
            </w:r>
            <w:r>
              <w:rPr>
                <w:rStyle w:val="47"/>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项目实际支出</w:t>
            </w:r>
            <w:r>
              <w:rPr>
                <w:rStyle w:val="47"/>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项目到位资金</w:t>
            </w:r>
            <w:r>
              <w:rPr>
                <w:rStyle w:val="47"/>
                <w:rFonts w:hint="default" w:ascii="Arial Narrow" w:hAnsi="Arial Narrow" w:eastAsia="仿宋_GB2312" w:cs="Arial Narrow"/>
                <w:sz w:val="20"/>
                <w:szCs w:val="20"/>
                <w:lang w:val="en-US" w:eastAsia="zh-CN" w:bidi="ar"/>
              </w:rPr>
              <w:t>×100%</w:t>
            </w:r>
            <w:r>
              <w:rPr>
                <w:rStyle w:val="46"/>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br w:type="textWrapping"/>
            </w:r>
            <w:r>
              <w:rPr>
                <w:rStyle w:val="46"/>
                <w:rFonts w:hint="default" w:ascii="Arial Narrow" w:hAnsi="Arial Narrow" w:eastAsia="仿宋_GB2312" w:cs="Arial Narrow"/>
                <w:sz w:val="20"/>
                <w:szCs w:val="20"/>
                <w:lang w:val="en-US" w:eastAsia="zh-CN" w:bidi="ar"/>
              </w:rPr>
              <w:t>实际支出：项目实施单位为完成既定工作目标一定时期（本年度或项目期）内实际所耗费的支出。</w:t>
            </w:r>
            <w:r>
              <w:rPr>
                <w:rStyle w:val="46"/>
                <w:rFonts w:hint="default" w:ascii="Arial Narrow" w:hAnsi="Arial Narrow" w:eastAsia="仿宋_GB2312" w:cs="Arial Narrow"/>
                <w:sz w:val="20"/>
                <w:szCs w:val="20"/>
                <w:lang w:val="en-US" w:eastAsia="zh-CN" w:bidi="ar"/>
              </w:rPr>
              <w:br w:type="textWrapping"/>
            </w:r>
            <w:r>
              <w:rPr>
                <w:rStyle w:val="46"/>
                <w:rFonts w:hint="default" w:ascii="Arial Narrow" w:hAnsi="Arial Narrow" w:eastAsia="仿宋_GB2312" w:cs="Arial Narrow"/>
                <w:sz w:val="20"/>
                <w:szCs w:val="20"/>
                <w:lang w:val="en-US" w:eastAsia="zh-CN" w:bidi="ar"/>
              </w:rPr>
              <w:t>到位资金：一定时期（本年度或项目期）内实际落实到具体项目的资金。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1"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目</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效</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益</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技术市场交易额增幅（4）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项目实施后，技术市场交易额的增长情况，用以反映和考核项目的经济效益。</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技术市场交易额增幅=（本年度技术市场交易额-上年度技术市场交易额）/上年度技术市场交易额×100%。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7"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高新技术企业收入增长率（4）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项目实施后，每年高新技术企业收入增长情况，用以反映和考核项目的经济效益。</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高新技术企业收入增长率</w:t>
            </w:r>
            <w:r>
              <w:rPr>
                <w:rStyle w:val="47"/>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（本年度高新技术企业收入</w:t>
            </w:r>
            <w:r>
              <w:rPr>
                <w:rStyle w:val="47"/>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上年度高新技术企业收入）</w:t>
            </w:r>
            <w:r>
              <w:rPr>
                <w:rStyle w:val="47"/>
                <w:rFonts w:hint="default" w:ascii="Arial Narrow" w:hAnsi="Arial Narrow" w:eastAsia="仿宋_GB2312" w:cs="Arial Narrow"/>
                <w:sz w:val="20"/>
                <w:szCs w:val="20"/>
                <w:lang w:val="en-US" w:eastAsia="zh-CN" w:bidi="ar"/>
              </w:rPr>
              <w:t>/</w:t>
            </w:r>
            <w:r>
              <w:rPr>
                <w:rStyle w:val="46"/>
                <w:rFonts w:hint="default" w:ascii="Arial Narrow" w:hAnsi="Arial Narrow" w:eastAsia="仿宋_GB2312" w:cs="Arial Narrow"/>
                <w:sz w:val="20"/>
                <w:szCs w:val="20"/>
                <w:lang w:val="en-US" w:eastAsia="zh-CN" w:bidi="ar"/>
              </w:rPr>
              <w:t>上年度高新技术企业收入</w:t>
            </w:r>
            <w:r>
              <w:rPr>
                <w:rStyle w:val="47"/>
                <w:rFonts w:hint="default" w:ascii="Arial Narrow" w:hAnsi="Arial Narrow" w:eastAsia="仿宋_GB2312" w:cs="Arial Narrow"/>
                <w:sz w:val="20"/>
                <w:szCs w:val="20"/>
                <w:lang w:val="en-US" w:eastAsia="zh-CN" w:bidi="ar"/>
              </w:rPr>
              <w:t>×100%</w:t>
            </w:r>
            <w:r>
              <w:rPr>
                <w:rStyle w:val="46"/>
                <w:rFonts w:hint="default" w:ascii="Arial Narrow" w:hAnsi="Arial Narrow" w:eastAsia="仿宋_GB2312" w:cs="Arial Narrow"/>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3"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提供创业空间（5）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为降低大众参与创新创业的成本和门槛，项目实施单位是否提供了良好的工作空间、网络空间、社交空间和资源共享空间，用以反映和考核项目的社会效益。</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①是否为创业者/企业提供了工作空间；</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②是否为创业者/企业提供了技术支持；</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③是否为创业者/企业提供了资金支持。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1"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科技创新能力提升度（5）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项目实施后，武昌区高新企业、企业研究开发中心较上年相比是否有所增加，是否对相关企业进行培训，用以反映和考核项目单位对武昌区科研能力提升的促进作用。</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①武昌区高新企业、企业研究开发中心较上年相比是否有所增加；</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②是否对企业开展培训活动，为申报企业提供帮助。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营造创新创业文化氛围（6）</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项目实施单位是否采取多种宣传方式、出台补贴政策，努力营造创新创业氛围，吸引人才、企业落户武昌。</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①是否积极宣传创业政策；</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②是否联合媒体对相关创业活动进行报道；</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③是否定期举办创业交流活动。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8"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立体创业创新服务机制（6）</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项目实施单位是否在服务区域内外，有效拓展了创业创新与市场资源、社会需求的对接通道，搭建了多方参与的高效协同机制，为社会大众广泛参与创业创新提供了更多元的途径。</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评价要点：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①在武昌区内部是否与科研机构、学校、企业密切联系，成立产业联盟，促进创业服务发展。</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②是否积极向外探索，赴外地参观学习积极探索、为本地企业寻求发机会。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社会公众满意度（6）</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办事民众、企业对项目实施单位办事效率、服务态度、执法规范等方面的满意程度。</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通过调查问卷的方式获取，来访人员对事件受理即使程度、处理的满意程度。</w:t>
            </w:r>
          </w:p>
        </w:tc>
      </w:tr>
    </w:tbl>
    <w:p>
      <w:pPr>
        <w:snapToGrid w:val="0"/>
        <w:ind w:left="0" w:leftChars="0" w:firstLine="0" w:firstLineChars="0"/>
        <w:jc w:val="left"/>
        <w:rPr>
          <w:rFonts w:hint="default" w:ascii="Arial Narrow" w:hAnsi="Arial Narrow" w:eastAsia="仿宋_GB2312" w:cs="Arial Narrow"/>
          <w:highlight w:val="yellow"/>
        </w:rPr>
      </w:pPr>
    </w:p>
    <w:p>
      <w:pPr>
        <w:snapToGrid w:val="0"/>
        <w:ind w:left="0" w:leftChars="0" w:firstLine="0" w:firstLineChars="0"/>
        <w:rPr>
          <w:rFonts w:hint="default" w:ascii="Arial Narrow" w:hAnsi="Arial Narrow" w:eastAsia="仿宋_GB2312" w:cs="Arial Narrow"/>
          <w:bCs/>
          <w:sz w:val="24"/>
          <w:szCs w:val="24"/>
        </w:rPr>
      </w:pPr>
      <w:r>
        <w:rPr>
          <w:rFonts w:hint="default" w:ascii="Arial Narrow" w:hAnsi="Arial Narrow" w:eastAsia="仿宋_GB2312" w:cs="Arial Narrow"/>
          <w:bCs/>
          <w:sz w:val="24"/>
          <w:szCs w:val="24"/>
        </w:rPr>
        <w:t>具体指标目标值、绩效标准、评分细则如下表所示：</w:t>
      </w:r>
    </w:p>
    <w:tbl>
      <w:tblPr>
        <w:tblStyle w:val="2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6"/>
        <w:gridCol w:w="1096"/>
        <w:gridCol w:w="883"/>
        <w:gridCol w:w="4165"/>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 w:hRule="atLeast"/>
          <w:tblHeader/>
        </w:trPr>
        <w:tc>
          <w:tcPr>
            <w:tcW w:w="2192"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指标名称（权重）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参照值</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评分细则</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b/>
                <w:i w:val="0"/>
                <w:color w:val="000000"/>
                <w:sz w:val="20"/>
                <w:szCs w:val="20"/>
                <w:u w:val="none"/>
              </w:rPr>
            </w:pPr>
            <w:r>
              <w:rPr>
                <w:rFonts w:hint="default" w:ascii="Arial Narrow" w:hAnsi="Arial Narrow" w:eastAsia="仿宋_GB2312" w:cs="Arial Narrow"/>
                <w:b/>
                <w:i w:val="0"/>
                <w:color w:val="000000"/>
                <w:kern w:val="0"/>
                <w:sz w:val="20"/>
                <w:szCs w:val="20"/>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72" w:hRule="atLeast"/>
        </w:trPr>
        <w:tc>
          <w:tcPr>
            <w:tcW w:w="109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立项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项目立项规范性（3）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项目按照规定的程序申请设立，提交的文件、材料符合相关要求，计1分；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事前已经过必要的集体决策的，计1分；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项目执行时发生重大调整，有相应调整手续的，计1分。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6"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绩效目标合理性（3）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项目设定长期目标、年度目标和绩效指标，目标和指标的设计符合目标管理规范，计1.5分；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根据绩效目标和完成情况的对比考核目标设立的合理性，绩效指标具有可测性，计1.5分，否则计0分。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0" w:hRule="atLeast"/>
        </w:trPr>
        <w:tc>
          <w:tcPr>
            <w:tcW w:w="109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落实</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资金到位率（3）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资金全部到位，计3分，资金到位率每降低5%，扣0.5分。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4"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到位及时率（3）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资金的到位及时率达到100%，计3分，每降低10%，扣0.5分。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47" w:hRule="atLeast"/>
        </w:trPr>
        <w:tc>
          <w:tcPr>
            <w:tcW w:w="109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管理制度健全性（3）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项目实施单位已制定或具有相应的业务管理制度，计1分；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制定了相应的项目管理制度，如新能源汽车推广应用办法、市级企业研发中心认定管理办法、创新创业大赛实施办法、合同管理制度、差旅审批制度、政府采购管理制度等计2分，每少一种扣0.5分。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2"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制度执行有效性（3）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过程遵守上级单位制定的相关管理办法，计1分；执行项目管理程序及制定相应的项目管理制度，如新能源汽车推广应用办法、市级企业研发中心认定管理办法、创新创业大赛实施办法、合同管理制度、差旅审批制度、政府采购管理制度等，计2分</w:t>
            </w:r>
            <w:r>
              <w:rPr>
                <w:rFonts w:hint="eastAsia" w:ascii="Arial Narrow" w:hAnsi="Arial Narrow" w:cs="Arial Narrow"/>
                <w:i w:val="0"/>
                <w:color w:val="000000"/>
                <w:kern w:val="0"/>
                <w:sz w:val="20"/>
                <w:szCs w:val="20"/>
                <w:u w:val="none"/>
                <w:lang w:val="en-US" w:eastAsia="zh-CN" w:bidi="ar"/>
              </w:rPr>
              <w:t>，</w:t>
            </w:r>
            <w:r>
              <w:rPr>
                <w:rFonts w:hint="default" w:ascii="Arial Narrow" w:hAnsi="Arial Narrow" w:eastAsia="仿宋_GB2312" w:cs="Arial Narrow"/>
                <w:i w:val="0"/>
                <w:color w:val="000000"/>
                <w:kern w:val="0"/>
                <w:sz w:val="20"/>
                <w:szCs w:val="20"/>
                <w:u w:val="none"/>
                <w:lang w:val="en-US" w:eastAsia="zh-CN" w:bidi="ar"/>
              </w:rPr>
              <w:t>每少一种扣0.5分。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4"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项目质量可控性（4）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 xml:space="preserve">具有或制定相应的质量评估办法或质量控制制度，计1分；    </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落实工作领导责任制度，形成工作领导责任体系，计1.5分；                                            开展工作绩效考核，并依据考核结果给予相关奖惩措施，计1.5分。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109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财务</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财务制度健全性（3）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项目实施单位已制定或具有相应的项目资金管理办法计2分；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项目资金管理办法符合相关财务会计制度的规定计1分。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资金使用合规性（3）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项目支出符合国家财经法规和财务管理制度以及有关专项资金管理办法的规定，计1分；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符合项目预算批复或合同规定的用途，计1分；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不存在截留、挤占、挪用、虚列支出等情况，计1分。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9"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财务监控有效性（4）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对于项目的重大开支，项目实施单位有进行集体决策和评估认证，计2分；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资金的拨付有完整的审批程序和手续，计2分。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1" w:hRule="atLeast"/>
        </w:trPr>
        <w:tc>
          <w:tcPr>
            <w:tcW w:w="1096" w:type="dxa"/>
            <w:vMerge w:val="restart"/>
            <w:tcBorders>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组织机构健全性（3）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项目实施单位组织结构健全、分工明确，人员充足计3分，项目实施单位组织结构不够健全、分工不够明确或人员不够充足计1分，项目实施单位组织结构不健全、分工不明确且人员不足计0分。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96" w:type="dxa"/>
            <w:vMerge w:val="continue"/>
            <w:tcBorders>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档案资料完整性（3）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项目档案资料齐全，计3分；比较齐全，计2分，不太齐全，计1分。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109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项目产出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新能源汽车推广活动次数（3）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3</w:t>
            </w:r>
            <w:r>
              <w:rPr>
                <w:rStyle w:val="48"/>
                <w:rFonts w:hint="default" w:ascii="Arial Narrow" w:hAnsi="Arial Narrow" w:eastAsia="仿宋_GB2312" w:cs="Arial Narrow"/>
                <w:lang w:val="en-US" w:eastAsia="zh-CN" w:bidi="ar"/>
              </w:rPr>
              <w:t>次</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开展3次新能源汽车推广宣传活动，计3分，每少一次扣1分。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名创新品展销会承办完成率（4）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kern w:val="0"/>
                <w:sz w:val="20"/>
                <w:szCs w:val="20"/>
                <w:u w:val="none"/>
                <w:lang w:val="en-US" w:eastAsia="zh-CN" w:bidi="ar"/>
              </w:rPr>
            </w:pPr>
            <w:r>
              <w:rPr>
                <w:rFonts w:hint="default" w:ascii="Arial Narrow" w:hAnsi="Arial Narrow" w:eastAsia="仿宋_GB2312" w:cs="Arial Narrow"/>
                <w:i w:val="0"/>
                <w:color w:val="000000"/>
                <w:kern w:val="0"/>
                <w:sz w:val="20"/>
                <w:szCs w:val="20"/>
                <w:u w:val="none"/>
                <w:lang w:val="en-US" w:eastAsia="zh-CN" w:bidi="ar"/>
              </w:rPr>
              <w:t>名优新品展销会完成率达100%，计3分，每降低10%，扣1分；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完成承办展位布置任务，不存在空闲展位，计1分。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0"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办公设备采购完成率（3）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≥90%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kern w:val="0"/>
                <w:sz w:val="20"/>
                <w:szCs w:val="20"/>
                <w:u w:val="none"/>
                <w:lang w:val="en-US" w:eastAsia="zh-CN" w:bidi="ar"/>
              </w:rPr>
            </w:pPr>
            <w:r>
              <w:rPr>
                <w:rFonts w:hint="default" w:ascii="Arial Narrow" w:hAnsi="Arial Narrow" w:eastAsia="仿宋_GB2312" w:cs="Arial Narrow"/>
                <w:i w:val="0"/>
                <w:color w:val="000000"/>
                <w:kern w:val="0"/>
                <w:sz w:val="20"/>
                <w:szCs w:val="20"/>
                <w:u w:val="none"/>
                <w:lang w:val="en-US" w:eastAsia="zh-CN" w:bidi="ar"/>
              </w:rPr>
              <w:t>办公设备采购完成率达90%以上，计2分，每降低10，扣0.5分；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设备通过验收计1分。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2"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创业活动开展进度（5）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双创活动周按计划筹备开展，计2.5分；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双创大赛制定有实施方案，按工作安排表开展赛事，计2.5分。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业务能力保证程度（5）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kern w:val="0"/>
                <w:sz w:val="20"/>
                <w:szCs w:val="20"/>
                <w:u w:val="none"/>
                <w:lang w:val="en-US" w:eastAsia="zh-CN" w:bidi="ar"/>
              </w:rPr>
            </w:pPr>
            <w:r>
              <w:rPr>
                <w:rFonts w:hint="default" w:ascii="Arial Narrow" w:hAnsi="Arial Narrow" w:eastAsia="仿宋_GB2312" w:cs="Arial Narrow"/>
                <w:i w:val="0"/>
                <w:color w:val="000000"/>
                <w:kern w:val="0"/>
                <w:sz w:val="20"/>
                <w:szCs w:val="20"/>
                <w:u w:val="none"/>
                <w:lang w:val="en-US" w:eastAsia="zh-CN" w:bidi="ar"/>
              </w:rPr>
              <w:t>培训内容包含党建宣传、单位行政管理，还涉及到科学技术研究与开发、企业创业等相关内容，计</w:t>
            </w:r>
            <w:r>
              <w:rPr>
                <w:rFonts w:hint="eastAsia" w:ascii="Arial Narrow" w:hAnsi="Arial Narrow" w:cs="Arial Narrow"/>
                <w:i w:val="0"/>
                <w:color w:val="000000"/>
                <w:kern w:val="0"/>
                <w:sz w:val="20"/>
                <w:szCs w:val="20"/>
                <w:u w:val="none"/>
                <w:lang w:val="en-US" w:eastAsia="zh-CN" w:bidi="ar"/>
              </w:rPr>
              <w:t>3</w:t>
            </w:r>
            <w:r>
              <w:rPr>
                <w:rFonts w:hint="default" w:ascii="Arial Narrow" w:hAnsi="Arial Narrow" w:eastAsia="仿宋_GB2312" w:cs="Arial Narrow"/>
                <w:i w:val="0"/>
                <w:color w:val="000000"/>
                <w:kern w:val="0"/>
                <w:sz w:val="20"/>
                <w:szCs w:val="20"/>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培训内容与参训科室职能相匹配，不存在职能科室代替业务科室参加业务培训，计2分。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完成及时率（3）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完成及时率达到100%，计3分，一项未完成，扣1分。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8" w:hRule="atLeast"/>
        </w:trPr>
        <w:tc>
          <w:tcPr>
            <w:tcW w:w="109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资金使用率（3）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≥95%</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资金使用率超过95%，计3分，每降低10%，扣0.5分。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项</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目</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效</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益</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技术市场交易额增幅（4）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≥5%</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技术市场交易额增幅达5%，计4分，每降低1%，扣1分。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高新技术企业收入增长率（4）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≥15%</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高新技术企业收入增长率达15%，计4分，每降低5%，扣1分。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提供创业空间（5）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定性指标，本项目的实施为广大创新创业者提供良好的工作空间、技术支持、资金支持，计5分；满足其中两项，计3分，满足一项，计1分。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科技创新能力提升度（5）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kern w:val="0"/>
                <w:sz w:val="20"/>
                <w:szCs w:val="20"/>
                <w:u w:val="none"/>
                <w:lang w:val="en-US" w:eastAsia="zh-CN" w:bidi="ar"/>
              </w:rPr>
            </w:pPr>
            <w:r>
              <w:rPr>
                <w:rFonts w:hint="default" w:ascii="Arial Narrow" w:hAnsi="Arial Narrow" w:eastAsia="仿宋_GB2312" w:cs="Arial Narrow"/>
                <w:i w:val="0"/>
                <w:color w:val="000000"/>
                <w:kern w:val="0"/>
                <w:sz w:val="20"/>
                <w:szCs w:val="20"/>
                <w:u w:val="none"/>
                <w:lang w:val="en-US" w:eastAsia="zh-CN" w:bidi="ar"/>
              </w:rPr>
              <w:t>武昌区高新企业、企业研究开发中心较上年相比有所增加，计3分；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对企业开展培训活动，为申报企业提供帮助，计2分。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营造创新创业文化氛围（6）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积极宣传创业政策，计2分；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联合媒体对相关创业活动进行报道，计2分；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定期举办创业交流活动，计2分。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1"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立体创业创新服务机制（6）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在武昌区内部与科研机构、学校、企业密切联系，成立产业联盟，促进创业服务发展，计3分；</w:t>
            </w:r>
            <w:r>
              <w:rPr>
                <w:rFonts w:hint="default" w:ascii="Arial Narrow" w:hAnsi="Arial Narrow" w:eastAsia="仿宋_GB2312" w:cs="Arial Narrow"/>
                <w:i w:val="0"/>
                <w:color w:val="000000"/>
                <w:kern w:val="0"/>
                <w:sz w:val="20"/>
                <w:szCs w:val="20"/>
                <w:u w:val="none"/>
                <w:lang w:val="en-US" w:eastAsia="zh-CN" w:bidi="ar"/>
              </w:rPr>
              <w:br w:type="textWrapping"/>
            </w:r>
            <w:r>
              <w:rPr>
                <w:rFonts w:hint="default" w:ascii="Arial Narrow" w:hAnsi="Arial Narrow" w:eastAsia="仿宋_GB2312" w:cs="Arial Narrow"/>
                <w:i w:val="0"/>
                <w:color w:val="000000"/>
                <w:kern w:val="0"/>
                <w:sz w:val="20"/>
                <w:szCs w:val="20"/>
                <w:u w:val="none"/>
                <w:lang w:val="en-US" w:eastAsia="zh-CN" w:bidi="ar"/>
              </w:rPr>
              <w:t>积极探索，赴外地参观学习积极探索、为本地企业寻求发机会，计3分。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outlineLvl w:val="9"/>
              <w:rPr>
                <w:rFonts w:hint="default" w:ascii="Arial Narrow" w:hAnsi="Arial Narrow" w:eastAsia="仿宋_GB2312" w:cs="Arial Narrow"/>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社会公众满意度（6）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≥85%</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社会公众满意度达到85%以上，计6分，每降低10%，扣1分。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center"/>
              <w:outlineLvl w:val="9"/>
              <w:rPr>
                <w:rFonts w:hint="default" w:ascii="Arial Narrow" w:hAnsi="Arial Narrow" w:eastAsia="仿宋_GB2312" w:cs="Arial Narrow"/>
                <w:i w:val="0"/>
                <w:color w:val="000000"/>
                <w:sz w:val="20"/>
                <w:szCs w:val="20"/>
                <w:u w:val="none"/>
              </w:rPr>
            </w:pPr>
            <w:r>
              <w:rPr>
                <w:rFonts w:hint="default" w:ascii="Arial Narrow" w:hAnsi="Arial Narrow" w:eastAsia="仿宋_GB2312" w:cs="Arial Narrow"/>
                <w:i w:val="0"/>
                <w:color w:val="000000"/>
                <w:kern w:val="0"/>
                <w:sz w:val="20"/>
                <w:szCs w:val="20"/>
                <w:u w:val="none"/>
                <w:lang w:val="en-US" w:eastAsia="zh-CN" w:bidi="ar"/>
              </w:rPr>
              <w:t>计划标准</w:t>
            </w:r>
          </w:p>
        </w:tc>
      </w:tr>
    </w:tbl>
    <w:p>
      <w:pPr>
        <w:keepNext w:val="0"/>
        <w:keepLines w:val="0"/>
        <w:pageBreakBefore w:val="0"/>
        <w:widowControl w:val="0"/>
        <w:kinsoku/>
        <w:wordWrap/>
        <w:overflowPunct/>
        <w:topLinePunct w:val="0"/>
        <w:autoSpaceDE/>
        <w:autoSpaceDN/>
        <w:bidi w:val="0"/>
        <w:adjustRightInd/>
        <w:snapToGrid w:val="0"/>
        <w:ind w:left="0" w:leftChars="0" w:firstLine="482" w:firstLineChars="200"/>
        <w:jc w:val="left"/>
        <w:textAlignment w:val="auto"/>
        <w:rPr>
          <w:rFonts w:hint="default" w:ascii="Arial Narrow" w:hAnsi="Arial Narrow" w:eastAsia="仿宋_GB2312" w:cs="Arial Narrow"/>
          <w:b/>
        </w:rPr>
      </w:pPr>
      <w:r>
        <w:rPr>
          <w:rFonts w:hint="default" w:ascii="Arial Narrow" w:hAnsi="Arial Narrow" w:eastAsia="仿宋_GB2312" w:cs="Arial Narrow"/>
          <w:b/>
          <w:lang w:val="en-US" w:eastAsia="zh-CN"/>
        </w:rPr>
        <w:t>3、</w:t>
      </w:r>
      <w:r>
        <w:rPr>
          <w:rFonts w:hint="default" w:ascii="Arial Narrow" w:hAnsi="Arial Narrow" w:eastAsia="仿宋_GB2312" w:cs="Arial Narrow"/>
          <w:b/>
        </w:rPr>
        <w:t>绩效评价指标体系补充说明</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Arial Narrow" w:hAnsi="Arial Narrow" w:eastAsia="仿宋_GB2312" w:cs="Arial Narrow"/>
          <w:b w:val="0"/>
          <w:bCs/>
          <w:color w:val="auto"/>
        </w:rPr>
      </w:pPr>
      <w:r>
        <w:rPr>
          <w:rFonts w:hint="default" w:ascii="Arial Narrow" w:hAnsi="Arial Narrow" w:eastAsia="仿宋_GB2312" w:cs="Arial Narrow"/>
          <w:b w:val="0"/>
          <w:bCs/>
          <w:color w:val="auto"/>
          <w:lang w:val="en-US" w:eastAsia="zh-CN"/>
        </w:rPr>
        <w:t>“计划管理费</w:t>
      </w:r>
      <w:r>
        <w:rPr>
          <w:rFonts w:hint="default" w:ascii="Arial Narrow" w:hAnsi="Arial Narrow" w:eastAsia="仿宋_GB2312" w:cs="Arial Narrow"/>
          <w:b w:val="0"/>
          <w:bCs/>
          <w:color w:val="auto"/>
        </w:rPr>
        <w:t>项目</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年初</w:t>
      </w:r>
      <w:r>
        <w:rPr>
          <w:rFonts w:hint="default" w:ascii="Arial Narrow" w:hAnsi="Arial Narrow" w:eastAsia="仿宋_GB2312" w:cs="Arial Narrow"/>
          <w:b w:val="0"/>
          <w:bCs/>
          <w:color w:val="auto"/>
          <w:lang w:val="en-US" w:eastAsia="zh-CN"/>
        </w:rPr>
        <w:t>未设立绩效指标</w:t>
      </w:r>
      <w:r>
        <w:rPr>
          <w:rFonts w:hint="default" w:ascii="Arial Narrow" w:hAnsi="Arial Narrow" w:eastAsia="仿宋_GB2312" w:cs="Arial Narrow"/>
          <w:b w:val="0"/>
          <w:bCs/>
          <w:color w:val="auto"/>
        </w:rPr>
        <w:t>，故以下评价指标均为新增，调整情况如下：</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Arial Narrow" w:hAnsi="Arial Narrow" w:eastAsia="仿宋_GB2312" w:cs="Arial Narrow"/>
          <w:b w:val="0"/>
          <w:bCs/>
          <w:color w:val="auto"/>
          <w:lang w:eastAsia="zh-CN"/>
        </w:rPr>
      </w:pPr>
      <w:r>
        <w:rPr>
          <w:rFonts w:hint="default" w:ascii="Arial Narrow" w:hAnsi="Arial Narrow" w:eastAsia="仿宋_GB2312" w:cs="Arial Narrow"/>
          <w:b w:val="0"/>
          <w:bCs/>
          <w:color w:val="auto"/>
        </w:rPr>
        <w:t>①</w:t>
      </w:r>
      <w:r>
        <w:rPr>
          <w:rFonts w:hint="default" w:ascii="Arial Narrow" w:hAnsi="Arial Narrow" w:eastAsia="仿宋_GB2312" w:cs="Arial Narrow"/>
          <w:b w:val="0"/>
          <w:bCs/>
          <w:color w:val="auto"/>
        </w:rPr>
        <w:tab/>
      </w:r>
      <w:r>
        <w:rPr>
          <w:rFonts w:hint="default" w:ascii="Arial Narrow" w:hAnsi="Arial Narrow" w:eastAsia="仿宋_GB2312" w:cs="Arial Narrow"/>
          <w:b w:val="0"/>
          <w:bCs/>
          <w:color w:val="auto"/>
        </w:rPr>
        <w:t>新增“新能源汽车推广活动次数”</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“名创新品展销会承办完成率”</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“水办公设备采购完成率”</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“创业活动开展进度”</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“业务能力保证程度”</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“技术市场交易额增幅”</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调整原因：根据项目实际产出，新增上述指标以反映项目数量、质量</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lang w:val="en-US" w:eastAsia="zh-CN"/>
        </w:rPr>
        <w:t>时效指标</w:t>
      </w:r>
      <w:r>
        <w:rPr>
          <w:rFonts w:hint="default" w:ascii="Arial Narrow" w:hAnsi="Arial Narrow" w:eastAsia="仿宋_GB2312" w:cs="Arial Narrow"/>
          <w:b w:val="0"/>
          <w:bCs/>
          <w:color w:val="auto"/>
        </w:rPr>
        <w:t>的实现程度。</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Arial Narrow" w:hAnsi="Arial Narrow" w:eastAsia="仿宋_GB2312" w:cs="Arial Narrow"/>
          <w:b w:val="0"/>
          <w:bCs/>
          <w:color w:val="auto"/>
        </w:rPr>
      </w:pPr>
      <w:r>
        <w:rPr>
          <w:rFonts w:hint="default" w:ascii="Arial Narrow" w:hAnsi="Arial Narrow" w:eastAsia="仿宋_GB2312" w:cs="Arial Narrow"/>
          <w:b w:val="0"/>
          <w:bCs/>
          <w:color w:val="auto"/>
          <w:lang w:val="en-US" w:eastAsia="zh-CN"/>
        </w:rPr>
        <w:t>②</w:t>
      </w:r>
      <w:r>
        <w:rPr>
          <w:rFonts w:hint="default" w:ascii="Arial Narrow" w:hAnsi="Arial Narrow" w:eastAsia="仿宋_GB2312" w:cs="Arial Narrow"/>
          <w:b w:val="0"/>
          <w:bCs/>
          <w:color w:val="auto"/>
        </w:rPr>
        <w:t>“高新技术企业收入增长率”</w:t>
      </w:r>
      <w:r>
        <w:rPr>
          <w:rFonts w:hint="default" w:ascii="Arial Narrow" w:hAnsi="Arial Narrow" w:eastAsia="仿宋_GB2312" w:cs="Arial Narrow"/>
          <w:b w:val="0"/>
          <w:bCs/>
          <w:color w:val="auto"/>
          <w:lang w:eastAsia="zh-CN"/>
        </w:rPr>
        <w:t>、</w:t>
      </w:r>
      <w:r>
        <w:rPr>
          <w:rFonts w:hint="default" w:ascii="Arial Narrow" w:hAnsi="Arial Narrow" w:eastAsia="仿宋_GB2312" w:cs="Arial Narrow"/>
          <w:b w:val="0"/>
          <w:bCs/>
          <w:color w:val="auto"/>
        </w:rPr>
        <w:t>“提供创业空间”</w:t>
      </w:r>
      <w:r>
        <w:rPr>
          <w:rFonts w:hint="default" w:ascii="Arial Narrow" w:hAnsi="Arial Narrow" w:eastAsia="仿宋_GB2312" w:cs="Arial Narrow"/>
          <w:b w:val="0"/>
          <w:bCs/>
          <w:color w:val="auto"/>
          <w:lang w:eastAsia="zh-CN"/>
        </w:rPr>
        <w:t>、“科技创新能力提升度”、“营造创新创业文化氛围”、“立体创业创新服务机制”</w:t>
      </w:r>
      <w:r>
        <w:rPr>
          <w:rFonts w:hint="default" w:ascii="Arial Narrow" w:hAnsi="Arial Narrow" w:eastAsia="仿宋_GB2312" w:cs="Arial Narrow"/>
          <w:b w:val="0"/>
          <w:bCs/>
          <w:color w:val="auto"/>
        </w:rPr>
        <w:t>，调整原因：根据项目</w:t>
      </w:r>
      <w:r>
        <w:rPr>
          <w:rFonts w:hint="default" w:ascii="Arial Narrow" w:hAnsi="Arial Narrow" w:eastAsia="仿宋_GB2312" w:cs="Arial Narrow"/>
          <w:b w:val="0"/>
          <w:bCs/>
          <w:color w:val="auto"/>
          <w:lang w:val="en-US" w:eastAsia="zh-CN"/>
        </w:rPr>
        <w:t>的</w:t>
      </w:r>
      <w:r>
        <w:rPr>
          <w:rFonts w:hint="default" w:ascii="Arial Narrow" w:hAnsi="Arial Narrow" w:eastAsia="仿宋_GB2312" w:cs="Arial Narrow"/>
          <w:b w:val="0"/>
          <w:bCs/>
          <w:color w:val="auto"/>
        </w:rPr>
        <w:t>社会效益，新增上述指标以反映项目</w:t>
      </w:r>
      <w:r>
        <w:rPr>
          <w:rFonts w:hint="default" w:ascii="Arial Narrow" w:hAnsi="Arial Narrow" w:eastAsia="仿宋_GB2312" w:cs="Arial Narrow"/>
          <w:b w:val="0"/>
          <w:bCs/>
          <w:color w:val="auto"/>
          <w:lang w:val="en-US" w:eastAsia="zh-CN"/>
        </w:rPr>
        <w:t>经济效益和</w:t>
      </w:r>
      <w:r>
        <w:rPr>
          <w:rFonts w:hint="default" w:ascii="Arial Narrow" w:hAnsi="Arial Narrow" w:eastAsia="仿宋_GB2312" w:cs="Arial Narrow"/>
          <w:b w:val="0"/>
          <w:bCs/>
          <w:color w:val="auto"/>
        </w:rPr>
        <w:t>社会效益。</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Arial Narrow" w:hAnsi="Arial Narrow" w:eastAsia="仿宋_GB2312" w:cs="Arial Narrow"/>
          <w:b w:val="0"/>
          <w:bCs/>
          <w:color w:val="auto"/>
        </w:rPr>
      </w:pPr>
      <w:r>
        <w:rPr>
          <w:rFonts w:hint="default" w:ascii="Arial Narrow" w:hAnsi="Arial Narrow" w:eastAsia="仿宋_GB2312" w:cs="Arial Narrow"/>
          <w:b w:val="0"/>
          <w:bCs/>
          <w:color w:val="auto"/>
          <w:lang w:val="en-US" w:eastAsia="zh-CN"/>
        </w:rPr>
        <w:t>③</w:t>
      </w:r>
      <w:r>
        <w:rPr>
          <w:rFonts w:hint="default" w:ascii="Arial Narrow" w:hAnsi="Arial Narrow" w:eastAsia="仿宋_GB2312" w:cs="Arial Narrow"/>
          <w:b w:val="0"/>
          <w:bCs/>
          <w:color w:val="auto"/>
        </w:rPr>
        <w:t>新增 “社会公众满意度”，调整原因：根据项目实际产出与社会效益，新增上述指标从办事民众、企业对项目实施单位办事效率、服务态度、执法规范等方面反映项目的社会效益。</w:t>
      </w:r>
    </w:p>
    <w:p>
      <w:pPr>
        <w:keepNext w:val="0"/>
        <w:keepLines w:val="0"/>
        <w:pageBreakBefore w:val="0"/>
        <w:widowControl w:val="0"/>
        <w:kinsoku/>
        <w:wordWrap/>
        <w:overflowPunct/>
        <w:topLinePunct w:val="0"/>
        <w:autoSpaceDE/>
        <w:autoSpaceDN/>
        <w:bidi w:val="0"/>
        <w:adjustRightInd/>
        <w:snapToGrid w:val="0"/>
        <w:ind w:left="0" w:leftChars="0" w:firstLine="482" w:firstLineChars="200"/>
        <w:jc w:val="left"/>
        <w:textAlignment w:val="auto"/>
        <w:rPr>
          <w:rFonts w:hint="default" w:ascii="Arial Narrow" w:hAnsi="Arial Narrow" w:eastAsia="仿宋_GB2312" w:cs="Arial Narrow"/>
          <w:b/>
        </w:rPr>
      </w:pPr>
      <w:r>
        <w:rPr>
          <w:rFonts w:hint="default" w:ascii="Arial Narrow" w:hAnsi="Arial Narrow" w:eastAsia="仿宋_GB2312" w:cs="Arial Narrow"/>
          <w:b/>
        </w:rPr>
        <w:t>4、评价方法</w:t>
      </w:r>
    </w:p>
    <w:bookmarkEnd w:id="40"/>
    <w:bookmarkEnd w:id="41"/>
    <w:bookmarkEnd w:id="42"/>
    <w:bookmarkEnd w:id="43"/>
    <w:bookmarkEnd w:id="44"/>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bookmarkStart w:id="45" w:name="_Toc387957819"/>
      <w:bookmarkStart w:id="46" w:name="_Toc18443"/>
      <w:bookmarkStart w:id="47" w:name="_Toc406668044"/>
      <w:bookmarkStart w:id="48" w:name="_Toc406666370"/>
      <w:bookmarkStart w:id="49" w:name="_Toc361304693"/>
      <w:r>
        <w:rPr>
          <w:rFonts w:hint="default" w:ascii="Arial Narrow" w:hAnsi="Arial Narrow" w:eastAsia="仿宋_GB2312" w:cs="Arial Narrow"/>
          <w:bCs/>
        </w:rPr>
        <w:t>（1）综合评分方法</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评价采用加权平均法进行综合评分，通过对“计划管理费项目”绩效目标与实际实施效果的对比，综合分析其绩效目标实现程度，对各项指标要素评分，结合各项评分值与指标要素权重得出评价综合分值。</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（2）指标计算方法</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评价采用比率法对指标进行计算，先计算出指标实现值与指标标准值的比率，再将各项比率和对应指标满分值相乘，得出指标评分值。</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（3）权重确定方法</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评价指标的权重量化参考了《武昌区财政支出绩效评价管理暂行办法》，采用了逐项对比法和层次分析法，并对每个层次的指标根据重要性依次进行比较并确定权重值。</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（4）标准值的确定方法</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本次评价采用了计划标准、历史标准或经验标准来确定标准值。以预先制定的目标、计划、预算、定额等数据作为评价标准，或者参照同类指标的历史数据、经验数据确定标准值。</w:t>
      </w:r>
    </w:p>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rPr>
      </w:pPr>
      <w:bookmarkStart w:id="50" w:name="_Toc581"/>
      <w:r>
        <w:rPr>
          <w:rFonts w:hint="default" w:ascii="Arial Narrow" w:hAnsi="Arial Narrow" w:eastAsia="仿宋_GB2312" w:cs="Arial Narrow"/>
          <w:b/>
        </w:rPr>
        <w:t>（四）证据收集方式</w:t>
      </w:r>
      <w:bookmarkEnd w:id="50"/>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bookmarkStart w:id="51" w:name="_Toc13985"/>
      <w:r>
        <w:rPr>
          <w:rFonts w:hint="default" w:ascii="Arial Narrow" w:hAnsi="Arial Narrow" w:eastAsia="仿宋_GB2312" w:cs="Arial Narrow"/>
          <w:bCs/>
        </w:rPr>
        <w:t>“计划管理费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51"/>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bookmarkStart w:id="52" w:name="_Toc26933"/>
      <w:r>
        <w:rPr>
          <w:rFonts w:hint="default" w:ascii="Arial Narrow" w:hAnsi="Arial Narrow" w:eastAsia="仿宋_GB2312" w:cs="Arial Narrow"/>
          <w:bCs/>
        </w:rPr>
        <w:t>1、评价信息资料的收集途径。评价小组前往项目实施单位，向项目负责人和财务人员收集相关资料文件，对与</w:t>
      </w:r>
      <w:r>
        <w:rPr>
          <w:rFonts w:hint="default" w:ascii="Arial Narrow" w:hAnsi="Arial Narrow" w:eastAsia="仿宋_GB2312" w:cs="Arial Narrow"/>
          <w:bCs/>
          <w:lang w:val="en-US" w:eastAsia="zh-CN"/>
        </w:rPr>
        <w:t>“计划管理费</w:t>
      </w:r>
      <w:r>
        <w:rPr>
          <w:rFonts w:hint="default" w:ascii="Arial Narrow" w:hAnsi="Arial Narrow" w:eastAsia="仿宋_GB2312" w:cs="Arial Narrow"/>
          <w:bCs/>
        </w:rPr>
        <w:t>项目</w:t>
      </w:r>
      <w:r>
        <w:rPr>
          <w:rFonts w:hint="default" w:ascii="Arial Narrow" w:hAnsi="Arial Narrow" w:eastAsia="仿宋_GB2312" w:cs="Arial Narrow"/>
          <w:bCs/>
          <w:lang w:eastAsia="zh-CN"/>
        </w:rPr>
        <w:t>”</w:t>
      </w:r>
      <w:r>
        <w:rPr>
          <w:rFonts w:hint="default" w:ascii="Arial Narrow" w:hAnsi="Arial Narrow" w:eastAsia="仿宋_GB2312" w:cs="Arial Narrow"/>
          <w:bCs/>
        </w:rPr>
        <w:t>相关的人员进行访谈或直接发放调查问卷采集项目信息。</w:t>
      </w:r>
      <w:bookmarkEnd w:id="52"/>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bookmarkStart w:id="53" w:name="_Toc13780"/>
      <w:r>
        <w:rPr>
          <w:rFonts w:hint="default" w:ascii="Arial Narrow" w:hAnsi="Arial Narrow" w:eastAsia="仿宋_GB2312" w:cs="Arial Narrow"/>
          <w:bCs/>
        </w:rPr>
        <w:t>2、信息资料的验证方式。财务数据方面，评价小组在项目现场查阅</w:t>
      </w:r>
      <w:r>
        <w:rPr>
          <w:rFonts w:hint="default" w:ascii="Arial Narrow" w:hAnsi="Arial Narrow" w:eastAsia="仿宋_GB2312" w:cs="Arial Narrow"/>
          <w:bCs/>
          <w:lang w:val="en-US" w:eastAsia="zh-CN"/>
        </w:rPr>
        <w:t>“计划管理费</w:t>
      </w:r>
      <w:r>
        <w:rPr>
          <w:rFonts w:hint="default" w:ascii="Arial Narrow" w:hAnsi="Arial Narrow" w:eastAsia="仿宋_GB2312" w:cs="Arial Narrow"/>
          <w:bCs/>
        </w:rPr>
        <w:t>项目</w:t>
      </w:r>
      <w:r>
        <w:rPr>
          <w:rFonts w:hint="default" w:ascii="Arial Narrow" w:hAnsi="Arial Narrow" w:eastAsia="仿宋_GB2312" w:cs="Arial Narrow"/>
          <w:bCs/>
          <w:lang w:eastAsia="zh-CN"/>
        </w:rPr>
        <w:t>”</w:t>
      </w:r>
      <w:r>
        <w:rPr>
          <w:rFonts w:hint="default" w:ascii="Arial Narrow" w:hAnsi="Arial Narrow" w:eastAsia="仿宋_GB2312" w:cs="Arial Narrow"/>
          <w:bCs/>
        </w:rPr>
        <w:t>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End w:id="53"/>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bookmarkStart w:id="54" w:name="_Toc26200"/>
      <w:r>
        <w:rPr>
          <w:rFonts w:hint="default" w:ascii="Arial Narrow" w:hAnsi="Arial Narrow" w:eastAsia="仿宋_GB2312" w:cs="Arial Narrow"/>
          <w:bCs/>
        </w:rPr>
        <w:t>3、调查访谈、现场查勘方式与安排。</w:t>
      </w:r>
      <w:r>
        <w:rPr>
          <w:rFonts w:hint="default" w:ascii="Arial Narrow" w:hAnsi="Arial Narrow" w:eastAsia="仿宋_GB2312" w:cs="Arial Narrow"/>
          <w:bCs/>
          <w:lang w:val="en-US" w:eastAsia="zh-CN"/>
        </w:rPr>
        <w:t>陈艳霞、郑雪梅</w:t>
      </w:r>
      <w:r>
        <w:rPr>
          <w:rFonts w:hint="default" w:ascii="Arial Narrow" w:hAnsi="Arial Narrow" w:eastAsia="仿宋_GB2312" w:cs="Arial Narrow"/>
          <w:bCs/>
        </w:rPr>
        <w:t>在201</w:t>
      </w:r>
      <w:r>
        <w:rPr>
          <w:rFonts w:hint="default" w:ascii="Arial Narrow" w:hAnsi="Arial Narrow" w:eastAsia="仿宋_GB2312" w:cs="Arial Narrow"/>
          <w:bCs/>
          <w:lang w:val="en-US" w:eastAsia="zh-CN"/>
        </w:rPr>
        <w:t>8</w:t>
      </w:r>
      <w:r>
        <w:rPr>
          <w:rFonts w:hint="default" w:ascii="Arial Narrow" w:hAnsi="Arial Narrow" w:eastAsia="仿宋_GB2312" w:cs="Arial Narrow"/>
          <w:bCs/>
        </w:rPr>
        <w:t>年</w:t>
      </w:r>
      <w:r>
        <w:rPr>
          <w:rFonts w:hint="default" w:ascii="Arial Narrow" w:hAnsi="Arial Narrow" w:eastAsia="仿宋_GB2312" w:cs="Arial Narrow"/>
          <w:bCs/>
          <w:lang w:val="en-US" w:eastAsia="zh-CN"/>
        </w:rPr>
        <w:t>4</w:t>
      </w:r>
      <w:r>
        <w:rPr>
          <w:rFonts w:hint="default" w:ascii="Arial Narrow" w:hAnsi="Arial Narrow" w:eastAsia="仿宋_GB2312" w:cs="Arial Narrow"/>
          <w:bCs/>
        </w:rPr>
        <w:t>月</w:t>
      </w:r>
      <w:r>
        <w:rPr>
          <w:rFonts w:hint="default" w:ascii="Arial Narrow" w:hAnsi="Arial Narrow" w:eastAsia="仿宋_GB2312" w:cs="Arial Narrow"/>
          <w:bCs/>
          <w:lang w:val="en-US" w:eastAsia="zh-CN"/>
        </w:rPr>
        <w:t>19</w:t>
      </w:r>
      <w:r>
        <w:rPr>
          <w:rFonts w:hint="default" w:ascii="Arial Narrow" w:hAnsi="Arial Narrow" w:eastAsia="仿宋_GB2312" w:cs="Arial Narrow"/>
          <w:bCs/>
        </w:rPr>
        <w:t>日</w:t>
      </w:r>
      <w:r>
        <w:rPr>
          <w:rFonts w:hint="default" w:ascii="Arial Narrow" w:hAnsi="Arial Narrow" w:eastAsia="仿宋_GB2312" w:cs="Arial Narrow"/>
          <w:bCs/>
          <w:lang w:val="en-US" w:eastAsia="zh-CN"/>
        </w:rPr>
        <w:t>，</w:t>
      </w:r>
      <w:r>
        <w:rPr>
          <w:rFonts w:hint="default" w:ascii="Arial Narrow" w:hAnsi="Arial Narrow" w:eastAsia="仿宋_GB2312" w:cs="Arial Narrow"/>
          <w:bCs/>
        </w:rPr>
        <w:t>对计划管理费项目进行现场资料的收集和向负责人了解项目基本情况，</w:t>
      </w:r>
      <w:r>
        <w:rPr>
          <w:rFonts w:hint="default" w:ascii="Arial Narrow" w:hAnsi="Arial Narrow" w:eastAsia="仿宋_GB2312" w:cs="Arial Narrow"/>
          <w:bCs/>
          <w:lang w:val="en-US" w:eastAsia="zh-CN"/>
        </w:rPr>
        <w:t>陈艳霞</w:t>
      </w:r>
      <w:r>
        <w:rPr>
          <w:rFonts w:hint="default" w:ascii="Arial Narrow" w:hAnsi="Arial Narrow" w:eastAsia="仿宋_GB2312" w:cs="Arial Narrow"/>
          <w:bCs/>
        </w:rPr>
        <w:t>、董思逸在201</w:t>
      </w:r>
      <w:r>
        <w:rPr>
          <w:rFonts w:hint="default" w:ascii="Arial Narrow" w:hAnsi="Arial Narrow" w:eastAsia="仿宋_GB2312" w:cs="Arial Narrow"/>
          <w:bCs/>
          <w:lang w:val="en-US" w:eastAsia="zh-CN"/>
        </w:rPr>
        <w:t>8</w:t>
      </w:r>
      <w:r>
        <w:rPr>
          <w:rFonts w:hint="default" w:ascii="Arial Narrow" w:hAnsi="Arial Narrow" w:eastAsia="仿宋_GB2312" w:cs="Arial Narrow"/>
          <w:bCs/>
        </w:rPr>
        <w:t>年</w:t>
      </w:r>
      <w:r>
        <w:rPr>
          <w:rFonts w:hint="default" w:ascii="Arial Narrow" w:hAnsi="Arial Narrow" w:eastAsia="仿宋_GB2312" w:cs="Arial Narrow"/>
          <w:bCs/>
          <w:lang w:val="en-US" w:eastAsia="zh-CN"/>
        </w:rPr>
        <w:t>4</w:t>
      </w:r>
      <w:r>
        <w:rPr>
          <w:rFonts w:hint="default" w:ascii="Arial Narrow" w:hAnsi="Arial Narrow" w:eastAsia="仿宋_GB2312" w:cs="Arial Narrow"/>
          <w:bCs/>
        </w:rPr>
        <w:t>月2</w:t>
      </w:r>
      <w:r>
        <w:rPr>
          <w:rFonts w:hint="default" w:ascii="Arial Narrow" w:hAnsi="Arial Narrow" w:eastAsia="仿宋_GB2312" w:cs="Arial Narrow"/>
          <w:bCs/>
          <w:lang w:val="en-US" w:eastAsia="zh-CN"/>
        </w:rPr>
        <w:t>0</w:t>
      </w:r>
      <w:r>
        <w:rPr>
          <w:rFonts w:hint="default" w:ascii="Arial Narrow" w:hAnsi="Arial Narrow" w:eastAsia="仿宋_GB2312" w:cs="Arial Narrow"/>
          <w:bCs/>
        </w:rPr>
        <w:t>日对相关负责人进行访谈，考察项目实施成果并拍照留痕。</w:t>
      </w:r>
      <w:bookmarkEnd w:id="54"/>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bookmarkStart w:id="55" w:name="_Toc1877"/>
      <w:r>
        <w:rPr>
          <w:rFonts w:hint="default" w:ascii="Arial Narrow" w:hAnsi="Arial Narrow" w:eastAsia="仿宋_GB2312" w:cs="Arial Narrow"/>
          <w:bCs/>
        </w:rPr>
        <w:t>4、调查问卷的制作与安排。调查问卷由绩效评价小组根据项目资料，结合绩效指标框架，针对项目实际情况，设计合理的调查问题，收集相关、有效的问卷信息，综合分析调查结果，便于对项目进行评价。评价小组在201</w:t>
      </w:r>
      <w:r>
        <w:rPr>
          <w:rFonts w:hint="default" w:ascii="Arial Narrow" w:hAnsi="Arial Narrow" w:eastAsia="仿宋_GB2312" w:cs="Arial Narrow"/>
          <w:bCs/>
          <w:lang w:val="en-US" w:eastAsia="zh-CN"/>
        </w:rPr>
        <w:t>8</w:t>
      </w:r>
      <w:r>
        <w:rPr>
          <w:rFonts w:hint="default" w:ascii="Arial Narrow" w:hAnsi="Arial Narrow" w:eastAsia="仿宋_GB2312" w:cs="Arial Narrow"/>
          <w:bCs/>
        </w:rPr>
        <w:t>年</w:t>
      </w:r>
      <w:r>
        <w:rPr>
          <w:rFonts w:hint="default" w:ascii="Arial Narrow" w:hAnsi="Arial Narrow" w:eastAsia="仿宋_GB2312" w:cs="Arial Narrow"/>
          <w:bCs/>
          <w:lang w:val="en-US" w:eastAsia="zh-CN"/>
        </w:rPr>
        <w:t>4</w:t>
      </w:r>
      <w:r>
        <w:rPr>
          <w:rFonts w:hint="default" w:ascii="Arial Narrow" w:hAnsi="Arial Narrow" w:eastAsia="仿宋_GB2312" w:cs="Arial Narrow"/>
          <w:bCs/>
        </w:rPr>
        <w:t>月2</w:t>
      </w:r>
      <w:r>
        <w:rPr>
          <w:rFonts w:hint="default" w:ascii="Arial Narrow" w:hAnsi="Arial Narrow" w:eastAsia="仿宋_GB2312" w:cs="Arial Narrow"/>
          <w:bCs/>
          <w:lang w:val="en-US" w:eastAsia="zh-CN"/>
        </w:rPr>
        <w:t>4</w:t>
      </w:r>
      <w:r>
        <w:rPr>
          <w:rFonts w:hint="default" w:ascii="Arial Narrow" w:hAnsi="Arial Narrow" w:eastAsia="仿宋_GB2312" w:cs="Arial Narrow"/>
          <w:bCs/>
        </w:rPr>
        <w:t>日对项目实施单位的工作人员进行问卷调查。</w:t>
      </w:r>
      <w:bookmarkEnd w:id="55"/>
    </w:p>
    <w:p>
      <w:pPr>
        <w:keepNext w:val="0"/>
        <w:keepLines w:val="0"/>
        <w:pageBreakBefore w:val="0"/>
        <w:widowControl w:val="0"/>
        <w:kinsoku/>
        <w:wordWrap/>
        <w:overflowPunct/>
        <w:topLinePunct w:val="0"/>
        <w:autoSpaceDE/>
        <w:autoSpaceDN/>
        <w:bidi w:val="0"/>
        <w:adjustRightInd/>
        <w:snapToGrid w:val="0"/>
        <w:ind w:firstLine="482"/>
        <w:textAlignment w:val="auto"/>
        <w:outlineLvl w:val="0"/>
        <w:rPr>
          <w:rFonts w:hint="default" w:ascii="Arial Narrow" w:hAnsi="Arial Narrow" w:eastAsia="仿宋_GB2312" w:cs="Arial Narrow"/>
          <w:b/>
        </w:rPr>
      </w:pPr>
      <w:bookmarkStart w:id="56" w:name="_Toc17958"/>
      <w:r>
        <w:rPr>
          <w:rFonts w:hint="default" w:ascii="Arial Narrow" w:hAnsi="Arial Narrow" w:eastAsia="仿宋_GB2312" w:cs="Arial Narrow"/>
          <w:b/>
        </w:rPr>
        <w:t>三、绩效分析</w:t>
      </w:r>
      <w:bookmarkEnd w:id="45"/>
      <w:bookmarkEnd w:id="46"/>
      <w:bookmarkEnd w:id="47"/>
      <w:bookmarkEnd w:id="48"/>
      <w:bookmarkEnd w:id="49"/>
      <w:bookmarkEnd w:id="56"/>
    </w:p>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rPr>
      </w:pPr>
      <w:bookmarkStart w:id="57" w:name="_Toc21044"/>
      <w:bookmarkStart w:id="58" w:name="_Toc2992"/>
      <w:bookmarkStart w:id="59" w:name="_Toc406666373"/>
      <w:bookmarkStart w:id="60" w:name="_Toc361302034"/>
      <w:bookmarkStart w:id="61" w:name="_Toc387957822"/>
      <w:bookmarkStart w:id="62" w:name="_Toc406668047"/>
      <w:bookmarkStart w:id="63" w:name="_Toc361304697"/>
      <w:r>
        <w:rPr>
          <w:rFonts w:hint="default" w:ascii="Arial Narrow" w:hAnsi="Arial Narrow" w:eastAsia="仿宋_GB2312" w:cs="Arial Narrow"/>
          <w:b/>
        </w:rPr>
        <w:t>（一）项目</w:t>
      </w:r>
      <w:bookmarkStart w:id="64" w:name="_Toc394181010"/>
      <w:r>
        <w:rPr>
          <w:rFonts w:hint="default" w:ascii="Arial Narrow" w:hAnsi="Arial Narrow" w:eastAsia="仿宋_GB2312" w:cs="Arial Narrow"/>
          <w:b/>
        </w:rPr>
        <w:t>投入（12分）</w:t>
      </w:r>
      <w:bookmarkEnd w:id="57"/>
      <w:bookmarkEnd w:id="58"/>
      <w:bookmarkEnd w:id="64"/>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bookmarkStart w:id="65" w:name="_Toc394490596"/>
      <w:bookmarkStart w:id="66" w:name="_Toc394181009"/>
      <w:r>
        <w:rPr>
          <w:rFonts w:hint="default" w:ascii="Arial Narrow" w:hAnsi="Arial Narrow" w:eastAsia="仿宋_GB2312" w:cs="Arial Narrow"/>
        </w:rPr>
        <w:t>根据评价原则，项目投入评价得分为</w:t>
      </w:r>
      <w:r>
        <w:rPr>
          <w:rFonts w:hint="default" w:ascii="Arial Narrow" w:hAnsi="Arial Narrow" w:eastAsia="仿宋_GB2312" w:cs="Arial Narrow"/>
          <w:lang w:val="en-US" w:eastAsia="zh-CN"/>
        </w:rPr>
        <w:t>10.5</w:t>
      </w:r>
      <w:r>
        <w:rPr>
          <w:rFonts w:hint="default" w:ascii="Arial Narrow" w:hAnsi="Arial Narrow" w:eastAsia="仿宋_GB2312" w:cs="Arial Narrow"/>
        </w:rPr>
        <w:t>分，评价结果为</w:t>
      </w:r>
      <w:r>
        <w:rPr>
          <w:rFonts w:hint="default" w:ascii="Arial Narrow" w:hAnsi="Arial Narrow" w:eastAsia="仿宋_GB2312" w:cs="Arial Narrow"/>
          <w:lang w:val="en-US" w:eastAsia="zh-CN"/>
        </w:rPr>
        <w:t>良</w:t>
      </w:r>
      <w:r>
        <w:rPr>
          <w:rFonts w:hint="default" w:ascii="Arial Narrow" w:hAnsi="Arial Narrow" w:eastAsia="仿宋_GB2312" w:cs="Arial Narrow"/>
        </w:rPr>
        <w:t>。</w:t>
      </w:r>
      <w:bookmarkEnd w:id="65"/>
      <w:bookmarkEnd w:id="66"/>
      <w:bookmarkStart w:id="67" w:name="_Toc394490597"/>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Arial Narrow" w:hAnsi="Arial Narrow" w:eastAsia="仿宋_GB2312" w:cs="Arial Narrow"/>
        </w:rPr>
      </w:pPr>
      <w:r>
        <w:drawing>
          <wp:inline distT="0" distB="0" distL="114300" distR="114300">
            <wp:extent cx="4749800" cy="3124200"/>
            <wp:effectExtent l="4445" t="5080" r="8255" b="762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ascii="Arial Narrow" w:hAnsi="Arial Narrow" w:eastAsia="仿宋_GB2312" w:cs="Arial Narrow"/>
          <w:b w:val="0"/>
          <w:bCs w:val="0"/>
          <w:highlight w:val="none"/>
        </w:rPr>
      </w:pPr>
      <w:r>
        <w:rPr>
          <w:rFonts w:hint="default" w:ascii="Arial Narrow" w:hAnsi="Arial Narrow" w:eastAsia="仿宋_GB2312" w:cs="Arial Narrow"/>
        </w:rPr>
        <w:t>投入指标主要评价项目立项、资金落实及其他投入的实际情况。对于该项的评价，评价小组采用卷宗研究的方式，对资料进行收集、整理和分析，查看了项目立项的相关资料、绩效目标申报表</w:t>
      </w:r>
      <w:r>
        <w:rPr>
          <w:rFonts w:hint="default" w:ascii="Arial Narrow" w:hAnsi="Arial Narrow" w:eastAsia="仿宋_GB2312" w:cs="Arial Narrow"/>
          <w:lang w:eastAsia="zh-CN"/>
        </w:rPr>
        <w:t>、</w:t>
      </w:r>
      <w:r>
        <w:rPr>
          <w:rFonts w:hint="default" w:ascii="Arial Narrow" w:hAnsi="Arial Narrow" w:eastAsia="仿宋_GB2312" w:cs="Arial Narrow"/>
        </w:rPr>
        <w:t>预算批复文件等资料，对项目投入涉及的指标进行打分，并逐级加权计算结果。经过综合计分，投入指标得分为</w:t>
      </w:r>
      <w:r>
        <w:rPr>
          <w:rFonts w:hint="default" w:ascii="Arial Narrow" w:hAnsi="Arial Narrow" w:eastAsia="仿宋_GB2312" w:cs="Arial Narrow"/>
          <w:lang w:val="en-US" w:eastAsia="zh-CN"/>
        </w:rPr>
        <w:t>1</w:t>
      </w:r>
      <w:r>
        <w:rPr>
          <w:rFonts w:hint="eastAsia" w:ascii="Arial Narrow" w:hAnsi="Arial Narrow" w:cs="Arial Narrow"/>
          <w:lang w:val="en-US" w:eastAsia="zh-CN"/>
        </w:rPr>
        <w:t>1</w:t>
      </w:r>
      <w:r>
        <w:rPr>
          <w:rFonts w:hint="default" w:ascii="Arial Narrow" w:hAnsi="Arial Narrow" w:eastAsia="仿宋_GB2312" w:cs="Arial Narrow"/>
        </w:rPr>
        <w:t>分，评</w:t>
      </w:r>
      <w:r>
        <w:rPr>
          <w:rFonts w:hint="default" w:ascii="Arial Narrow" w:hAnsi="Arial Narrow" w:eastAsia="仿宋_GB2312" w:cs="Arial Narrow"/>
          <w:b w:val="0"/>
          <w:bCs w:val="0"/>
          <w:highlight w:val="none"/>
        </w:rPr>
        <w:t>价等级为</w:t>
      </w:r>
      <w:r>
        <w:rPr>
          <w:rFonts w:hint="eastAsia" w:ascii="Arial Narrow" w:hAnsi="Arial Narrow" w:cs="Arial Narrow"/>
          <w:b w:val="0"/>
          <w:bCs w:val="0"/>
          <w:highlight w:val="none"/>
          <w:lang w:val="en-US" w:eastAsia="zh-CN"/>
        </w:rPr>
        <w:t>优</w:t>
      </w:r>
      <w:r>
        <w:rPr>
          <w:rFonts w:hint="default" w:ascii="Arial Narrow" w:hAnsi="Arial Narrow" w:eastAsia="仿宋_GB2312" w:cs="Arial Narrow"/>
          <w:b w:val="0"/>
          <w:bCs w:val="0"/>
          <w:highlight w:val="none"/>
        </w:rPr>
        <w:t>。</w:t>
      </w:r>
    </w:p>
    <w:bookmarkEnd w:id="67"/>
    <w:p>
      <w:pPr>
        <w:pStyle w:val="41"/>
        <w:keepNext w:val="0"/>
        <w:keepLines w:val="0"/>
        <w:pageBreakBefore w:val="0"/>
        <w:widowControl w:val="0"/>
        <w:numPr>
          <w:ilvl w:val="0"/>
          <w:numId w:val="9"/>
        </w:numPr>
        <w:kinsoku/>
        <w:wordWrap/>
        <w:overflowPunct/>
        <w:topLinePunct w:val="0"/>
        <w:autoSpaceDE/>
        <w:autoSpaceDN/>
        <w:bidi w:val="0"/>
        <w:adjustRightInd/>
        <w:snapToGrid w:val="0"/>
        <w:ind w:firstLineChars="0"/>
        <w:textAlignment w:val="auto"/>
        <w:rPr>
          <w:rFonts w:hint="default" w:ascii="Arial Narrow" w:hAnsi="Arial Narrow" w:eastAsia="仿宋_GB2312" w:cs="Arial Narrow"/>
          <w:b/>
          <w:bCs/>
          <w:highlight w:val="none"/>
        </w:rPr>
      </w:pPr>
      <w:r>
        <w:rPr>
          <w:rFonts w:hint="default" w:ascii="Arial Narrow" w:hAnsi="Arial Narrow" w:eastAsia="仿宋_GB2312" w:cs="Arial Narrow"/>
          <w:b/>
          <w:bCs/>
          <w:highlight w:val="none"/>
        </w:rPr>
        <w:t>项目立项（6分）</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（1）项目立项规范性，指项目的申请、设立过程是否符合相关要求，用以反映和考核项目立项的规范情况。评价小组经过查阅</w:t>
      </w:r>
      <w:r>
        <w:rPr>
          <w:rFonts w:hint="default" w:ascii="Arial Narrow" w:hAnsi="Arial Narrow" w:eastAsia="仿宋_GB2312" w:cs="Arial Narrow"/>
          <w:lang w:val="en-US" w:eastAsia="zh-CN"/>
        </w:rPr>
        <w:t>项目申报表及武昌区科技和产业发展局2017年部门预算报表编制说明</w:t>
      </w:r>
      <w:r>
        <w:rPr>
          <w:rFonts w:hint="default" w:ascii="Arial Narrow" w:hAnsi="Arial Narrow" w:eastAsia="仿宋_GB2312" w:cs="Arial Narrow"/>
        </w:rPr>
        <w:t>等资料了解到，为组织和管理科技计划项目，武昌区科产局按照国家、省、市科技研发管理办法以5%提取计划管理费，该项预算属于区科技三项费的配套经费，项目设立有规划，</w:t>
      </w:r>
      <w:r>
        <w:rPr>
          <w:rFonts w:hint="default" w:ascii="Arial Narrow" w:hAnsi="Arial Narrow" w:eastAsia="仿宋_GB2312" w:cs="Arial Narrow"/>
          <w:lang w:val="en-US" w:eastAsia="zh-CN"/>
        </w:rPr>
        <w:t>且</w:t>
      </w:r>
      <w:r>
        <w:rPr>
          <w:rFonts w:hint="default" w:ascii="Arial Narrow" w:hAnsi="Arial Narrow" w:eastAsia="仿宋_GB2312" w:cs="Arial Narrow"/>
        </w:rPr>
        <w:t>编制了项目立项申报表。经现场访谈，项目</w:t>
      </w:r>
      <w:r>
        <w:rPr>
          <w:rFonts w:hint="default" w:ascii="Arial Narrow" w:hAnsi="Arial Narrow" w:eastAsia="仿宋_GB2312" w:cs="Arial Narrow"/>
          <w:lang w:val="en-US" w:eastAsia="zh-CN"/>
        </w:rPr>
        <w:t>预算</w:t>
      </w:r>
      <w:r>
        <w:rPr>
          <w:rFonts w:hint="default" w:ascii="Arial Narrow" w:hAnsi="Arial Narrow" w:eastAsia="仿宋_GB2312" w:cs="Arial Narrow"/>
        </w:rPr>
        <w:t>经过会议讨论</w:t>
      </w:r>
      <w:r>
        <w:rPr>
          <w:rFonts w:hint="default" w:ascii="Arial Narrow" w:hAnsi="Arial Narrow" w:eastAsia="仿宋_GB2312" w:cs="Arial Narrow"/>
          <w:lang w:val="en-US" w:eastAsia="zh-CN"/>
        </w:rPr>
        <w:t>后确定</w:t>
      </w:r>
      <w:r>
        <w:rPr>
          <w:rFonts w:hint="default" w:ascii="Arial Narrow" w:hAnsi="Arial Narrow" w:eastAsia="仿宋_GB2312" w:cs="Arial Narrow"/>
        </w:rPr>
        <w:t>，</w:t>
      </w:r>
      <w:r>
        <w:rPr>
          <w:rFonts w:hint="eastAsia" w:ascii="Arial Narrow" w:hAnsi="Arial Narrow" w:cs="Arial Narrow"/>
          <w:lang w:val="en-US" w:eastAsia="zh-CN"/>
        </w:rPr>
        <w:t>项目执行时未发生重大调整</w:t>
      </w:r>
      <w:r>
        <w:rPr>
          <w:rFonts w:hint="default" w:ascii="Arial Narrow" w:hAnsi="Arial Narrow" w:eastAsia="仿宋_GB2312" w:cs="Arial Narrow"/>
        </w:rPr>
        <w:t>。</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（2）绩效目标合理性，指项目是否设定绩效目标和绩效指标，所设定的绩效目标和指标是否符合实际，用以反映和考核项目绩效目标与项目实施的相符情况。根据各科室2017年工作要点</w:t>
      </w:r>
      <w:r>
        <w:rPr>
          <w:rFonts w:hint="default" w:ascii="Arial Narrow" w:hAnsi="Arial Narrow" w:eastAsia="仿宋_GB2312" w:cs="Arial Narrow"/>
          <w:lang w:val="en-US" w:eastAsia="zh-CN"/>
        </w:rPr>
        <w:t>和项目申报表了解到，</w:t>
      </w:r>
      <w:r>
        <w:rPr>
          <w:rFonts w:hint="default" w:ascii="Arial Narrow" w:hAnsi="Arial Narrow" w:eastAsia="仿宋_GB2312" w:cs="Arial Narrow"/>
        </w:rPr>
        <w:t>武昌区科产局对单位整体工作分科室设立了年度工作要点，并规定了各项工作完成时限，但未针对“计划管理费”项目设立相应的绩效指标，故无法考核绩效目标设立的合理性，酌情扣1分。</w:t>
      </w:r>
    </w:p>
    <w:p>
      <w:pPr>
        <w:keepNext w:val="0"/>
        <w:keepLines w:val="0"/>
        <w:pageBreakBefore w:val="0"/>
        <w:widowControl w:val="0"/>
        <w:kinsoku/>
        <w:wordWrap/>
        <w:overflowPunct/>
        <w:topLinePunct w:val="0"/>
        <w:autoSpaceDE/>
        <w:autoSpaceDN/>
        <w:bidi w:val="0"/>
        <w:adjustRightInd/>
        <w:snapToGrid w:val="0"/>
        <w:ind w:firstLine="482" w:firstLineChars="200"/>
        <w:textAlignment w:val="auto"/>
        <w:outlineLvl w:val="9"/>
        <w:rPr>
          <w:rFonts w:hint="default" w:ascii="Arial Narrow" w:hAnsi="Arial Narrow" w:eastAsia="仿宋_GB2312" w:cs="Arial Narrow"/>
        </w:rPr>
      </w:pPr>
      <w:r>
        <w:rPr>
          <w:rFonts w:hint="default" w:ascii="Arial Narrow" w:hAnsi="Arial Narrow" w:eastAsia="仿宋_GB2312" w:cs="Arial Narrow"/>
          <w:b/>
          <w:bCs/>
        </w:rPr>
        <w:t>2、资金落实（</w:t>
      </w:r>
      <w:r>
        <w:rPr>
          <w:rFonts w:hint="default" w:ascii="Arial Narrow" w:hAnsi="Arial Narrow" w:eastAsia="仿宋_GB2312" w:cs="Arial Narrow"/>
          <w:b/>
          <w:bCs/>
          <w:lang w:val="en-US" w:eastAsia="zh-CN"/>
        </w:rPr>
        <w:t>6</w:t>
      </w:r>
      <w:r>
        <w:rPr>
          <w:rFonts w:hint="default" w:ascii="Arial Narrow" w:hAnsi="Arial Narrow" w:eastAsia="仿宋_GB2312" w:cs="Arial Narrow"/>
          <w:b/>
          <w:bCs/>
        </w:rPr>
        <w:t>分）</w:t>
      </w:r>
      <w:bookmarkEnd w:id="59"/>
      <w:bookmarkEnd w:id="60"/>
      <w:bookmarkEnd w:id="61"/>
      <w:bookmarkEnd w:id="62"/>
      <w:bookmarkEnd w:id="63"/>
      <w:bookmarkStart w:id="68" w:name="_Toc11787"/>
      <w:bookmarkStart w:id="69" w:name="_Toc387957823"/>
      <w:bookmarkStart w:id="70" w:name="_Toc406668048"/>
      <w:bookmarkStart w:id="71" w:name="_Toc361304699"/>
      <w:bookmarkStart w:id="72" w:name="_Toc361302036"/>
      <w:bookmarkStart w:id="73" w:name="_Toc406666374"/>
    </w:p>
    <w:p>
      <w:pPr>
        <w:keepNext w:val="0"/>
        <w:keepLines w:val="0"/>
        <w:pageBreakBefore w:val="0"/>
        <w:widowControl w:val="0"/>
        <w:kinsoku/>
        <w:wordWrap/>
        <w:overflowPunct/>
        <w:topLinePunct w:val="0"/>
        <w:autoSpaceDE/>
        <w:autoSpaceDN/>
        <w:bidi w:val="0"/>
        <w:adjustRightInd/>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（1）资金到位率，指实际到位资金与计划投入资金的比率，用以反映和考核资金落实情况对项目实施的总体保障程度。评价小组</w:t>
      </w:r>
      <w:r>
        <w:rPr>
          <w:rFonts w:hint="default" w:ascii="Arial Narrow" w:hAnsi="Arial Narrow" w:eastAsia="仿宋_GB2312" w:cs="Arial Narrow"/>
          <w:lang w:val="en-US" w:eastAsia="zh-CN"/>
        </w:rPr>
        <w:t>通过</w:t>
      </w:r>
      <w:r>
        <w:rPr>
          <w:rFonts w:hint="default" w:ascii="Arial Narrow" w:hAnsi="Arial Narrow" w:eastAsia="仿宋_GB2312" w:cs="Arial Narrow"/>
        </w:rPr>
        <w:t>查看</w:t>
      </w:r>
      <w:r>
        <w:rPr>
          <w:rFonts w:hint="default" w:ascii="Arial Narrow" w:hAnsi="Arial Narrow" w:eastAsia="仿宋_GB2312" w:cs="Arial Narrow"/>
          <w:lang w:val="en-US" w:eastAsia="zh-CN"/>
        </w:rPr>
        <w:t>项目申报表和</w:t>
      </w:r>
      <w:r>
        <w:rPr>
          <w:rFonts w:hint="default" w:ascii="Arial Narrow" w:hAnsi="Arial Narrow" w:eastAsia="仿宋_GB2312" w:cs="Arial Narrow"/>
        </w:rPr>
        <w:t>《武昌区财政局关于武昌区科学技术于产业发展局2017年部门预算的批复》</w:t>
      </w:r>
      <w:r>
        <w:rPr>
          <w:rFonts w:hint="default" w:ascii="Arial Narrow" w:hAnsi="Arial Narrow" w:eastAsia="仿宋_GB2312" w:cs="Arial Narrow"/>
          <w:lang w:val="en-US" w:eastAsia="zh-CN"/>
        </w:rPr>
        <w:t>了解到</w:t>
      </w:r>
      <w:r>
        <w:rPr>
          <w:rFonts w:hint="default" w:ascii="Arial Narrow" w:hAnsi="Arial Narrow" w:eastAsia="仿宋_GB2312" w:cs="Arial Narrow"/>
        </w:rPr>
        <w:t>，武昌区科产局2017年“计划管理费”预算为280万元，实际批复项目资金为280万元，项目资金全部到位。</w:t>
      </w:r>
    </w:p>
    <w:p>
      <w:pPr>
        <w:keepNext w:val="0"/>
        <w:keepLines w:val="0"/>
        <w:pageBreakBefore w:val="0"/>
        <w:widowControl w:val="0"/>
        <w:kinsoku/>
        <w:wordWrap/>
        <w:overflowPunct/>
        <w:topLinePunct w:val="0"/>
        <w:autoSpaceDE/>
        <w:autoSpaceDN/>
        <w:bidi w:val="0"/>
        <w:adjustRightInd/>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（2）到位及时率</w:t>
      </w: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是指</w:t>
      </w:r>
      <w:r>
        <w:rPr>
          <w:rFonts w:hint="default" w:ascii="Arial Narrow" w:hAnsi="Arial Narrow" w:eastAsia="仿宋_GB2312" w:cs="Arial Narrow"/>
        </w:rPr>
        <w:t>及时到位资金与应到位资金的比率，用以反映和考核项目资金落实的及时性程度。评价小组通过查看《武昌区财政局关于武昌区科学技术于产业发展局2017年部门预算的批复》了解到，武昌区财政局于2016年12月26日下达了武昌区科产局2017年部门预算，其中包含“计划管理费”项目预算280万元，资金到位及时率达100%。</w:t>
      </w:r>
    </w:p>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rPr>
      </w:pPr>
      <w:bookmarkStart w:id="74" w:name="_Toc24361"/>
      <w:r>
        <w:rPr>
          <w:rFonts w:hint="default" w:ascii="Arial Narrow" w:hAnsi="Arial Narrow" w:eastAsia="仿宋_GB2312" w:cs="Arial Narrow"/>
          <w:b/>
        </w:rPr>
        <w:t>（二）项目过程（2</w:t>
      </w:r>
      <w:r>
        <w:rPr>
          <w:rFonts w:hint="default" w:ascii="Arial Narrow" w:hAnsi="Arial Narrow" w:eastAsia="仿宋_GB2312" w:cs="Arial Narrow"/>
          <w:b/>
          <w:lang w:val="en-US" w:eastAsia="zh-CN"/>
        </w:rPr>
        <w:t>6</w:t>
      </w:r>
      <w:r>
        <w:rPr>
          <w:rFonts w:hint="default" w:ascii="Arial Narrow" w:hAnsi="Arial Narrow" w:eastAsia="仿宋_GB2312" w:cs="Arial Narrow"/>
          <w:b/>
        </w:rPr>
        <w:t>分）</w:t>
      </w:r>
      <w:bookmarkEnd w:id="68"/>
      <w:bookmarkEnd w:id="74"/>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过程指标主要从项目管理、财务管理和项目实施三个方面来具体评价，主要考核项目管理制度的健全性、制度执行的有效性和项目质量的可控性，财务制度的健全性、资金使用的合规性及财务监控的有效性，组织机构的健全性、档案资料的完整性。对于该项的评价，评价小组主要采取了案卷研究、现场访谈的方式进行资料收集、整理、核实和分析，收集了项目实施具体状况的项目管理制度、财务管理制度和项目档案资料管理相关文件，对项目过程涉及的指标进行打分，并逐级加权计算结果。经过综合计分，过程指标得分为2</w:t>
      </w:r>
      <w:r>
        <w:rPr>
          <w:rFonts w:hint="eastAsia" w:ascii="Arial Narrow" w:hAnsi="Arial Narrow" w:cs="Arial Narrow"/>
          <w:lang w:val="en-US" w:eastAsia="zh-CN"/>
        </w:rPr>
        <w:t>3</w:t>
      </w:r>
      <w:r>
        <w:rPr>
          <w:rFonts w:hint="default" w:ascii="Arial Narrow" w:hAnsi="Arial Narrow" w:eastAsia="仿宋_GB2312" w:cs="Arial Narrow"/>
        </w:rPr>
        <w:t>分，评价等级为</w:t>
      </w:r>
      <w:r>
        <w:rPr>
          <w:rFonts w:hint="eastAsia" w:ascii="Arial Narrow" w:hAnsi="Arial Narrow" w:cs="Arial Narrow"/>
          <w:lang w:val="en-US" w:eastAsia="zh-CN"/>
        </w:rPr>
        <w:t>良</w:t>
      </w:r>
      <w:r>
        <w:rPr>
          <w:rFonts w:hint="default" w:ascii="Arial Narrow" w:hAnsi="Arial Narrow" w:eastAsia="仿宋_GB2312" w:cs="Arial Narrow"/>
        </w:rPr>
        <w:t>。</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Arial Narrow" w:hAnsi="Arial Narrow" w:eastAsia="仿宋_GB2312" w:cs="Arial Narrow"/>
        </w:rPr>
      </w:pPr>
      <w:r>
        <w:drawing>
          <wp:inline distT="0" distB="0" distL="114300" distR="114300">
            <wp:extent cx="5267960" cy="4055110"/>
            <wp:effectExtent l="4445" t="4445" r="10795" b="1714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bCs/>
        </w:rPr>
      </w:pPr>
      <w:r>
        <w:rPr>
          <w:rFonts w:hint="default" w:ascii="Arial Narrow" w:hAnsi="Arial Narrow" w:eastAsia="仿宋_GB2312" w:cs="Arial Narrow"/>
          <w:b/>
          <w:bCs/>
        </w:rPr>
        <w:t>1、项目管理（10分）</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Arial Narrow" w:hAnsi="Arial Narrow" w:eastAsia="仿宋_GB2312" w:cs="Arial Narrow"/>
        </w:rPr>
      </w:pP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1）</w:t>
      </w:r>
      <w:r>
        <w:rPr>
          <w:rFonts w:hint="default" w:ascii="Arial Narrow" w:hAnsi="Arial Narrow" w:eastAsia="仿宋_GB2312" w:cs="Arial Narrow"/>
        </w:rPr>
        <w:t>管理制度健全性，指项目实施单位的业务管理制度是否健全，用以反映和考核业务管理制度对项目顺利实施的保障情况。项目所涉及的内容都具有相关制度，项目管理制度较为健全，并合规合法，如新能源汽车推广活动适用于《省人民政府办公厅关于加快新能源汽车推广应用的实施意见》，市级企业研发中心评审依《武汉市企业研究开发中心认定管理办法》执行，虽然项目单位未针对双创大赛和名优创新产品展销会制定工作管理制度，但具有实施方案；此外，项目单位制定了合同管理制度和政府采购管理制度，具有《湖北省党政机关差旅费管理办法》等管理制度。</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Arial Narrow" w:hAnsi="Arial Narrow" w:eastAsia="仿宋_GB2312" w:cs="Arial Narrow"/>
        </w:rPr>
      </w:pP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2）</w:t>
      </w:r>
      <w:r>
        <w:rPr>
          <w:rFonts w:hint="default" w:ascii="Arial Narrow" w:hAnsi="Arial Narrow" w:eastAsia="仿宋_GB2312" w:cs="Arial Narrow"/>
        </w:rPr>
        <w:t>制度执行有效性，指项目实施是否符合相关项目管理规定，用以反映和考核项目管理制度的有效执行情况。评价小组采取卷宗研究的方式，查阅了项目确定和实施相关资料，了解到项目实施单位开通了车联网产业联盟微信公众号，并召开了新闻发布会，大力宣传推广应用新能源汽车对降低能源消耗的重要意义；当企业申报成为市级企业研发中心室，项目单位按照相关办法开展实地核查，并将核查结果报送市科技局；双创大赛和名优创新产品展销会根据实施方案依计划执行。</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Arial Narrow" w:hAnsi="Arial Narrow" w:eastAsia="仿宋_GB2312" w:cs="Arial Narrow"/>
        </w:rPr>
      </w:pPr>
      <w:r>
        <w:rPr>
          <w:rFonts w:hint="default" w:ascii="Arial Narrow" w:hAnsi="Arial Narrow" w:eastAsia="仿宋_GB2312" w:cs="Arial Narrow"/>
          <w:lang w:val="en-US" w:eastAsia="zh-CN"/>
        </w:rPr>
        <w:t>通过翻阅</w:t>
      </w:r>
      <w:r>
        <w:rPr>
          <w:rFonts w:hint="default" w:ascii="Arial Narrow" w:hAnsi="Arial Narrow" w:eastAsia="仿宋_GB2312" w:cs="Arial Narrow"/>
        </w:rPr>
        <w:t>根据记账凭证，</w:t>
      </w:r>
      <w:r>
        <w:rPr>
          <w:rFonts w:hint="default" w:ascii="Arial Narrow" w:hAnsi="Arial Narrow" w:eastAsia="仿宋_GB2312" w:cs="Arial Narrow"/>
          <w:lang w:val="en-US" w:eastAsia="zh-CN"/>
        </w:rPr>
        <w:t>了解到</w:t>
      </w:r>
      <w:r>
        <w:rPr>
          <w:rFonts w:hint="default" w:ascii="Arial Narrow" w:hAnsi="Arial Narrow" w:eastAsia="仿宋_GB2312" w:cs="Arial Narrow"/>
        </w:rPr>
        <w:t>项目实施遵循差旅审批制，工作人员出差需写明出差相关信息，再由局长审批，领导干部请假则另需区主要领导签字。政府采购事项严格按制度执行，在政府采购网进行采购，但部分合同项目单位缺少签字或盖章，扣</w:t>
      </w:r>
      <w:r>
        <w:rPr>
          <w:rFonts w:hint="eastAsia" w:ascii="Arial Narrow" w:hAnsi="Arial Narrow" w:cs="Arial Narrow"/>
          <w:lang w:val="en-US" w:eastAsia="zh-CN"/>
        </w:rPr>
        <w:t>1</w:t>
      </w:r>
      <w:r>
        <w:rPr>
          <w:rFonts w:hint="default" w:ascii="Arial Narrow" w:hAnsi="Arial Narrow" w:eastAsia="仿宋_GB2312" w:cs="Arial Narrow"/>
        </w:rPr>
        <w:t>分。</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Arial Narrow" w:hAnsi="Arial Narrow" w:eastAsia="仿宋_GB2312" w:cs="Arial Narrow"/>
        </w:rPr>
      </w:pP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3）</w:t>
      </w:r>
      <w:r>
        <w:rPr>
          <w:rFonts w:hint="default" w:ascii="Arial Narrow" w:hAnsi="Arial Narrow" w:eastAsia="仿宋_GB2312" w:cs="Arial Narrow"/>
        </w:rPr>
        <w:t>项目质量可控性，指项目实施单位是否为达到项目质量要求而采取了必需的措施,用以反映和考核项目实施单位对项目质量的控制情况。评价小组</w:t>
      </w:r>
      <w:r>
        <w:rPr>
          <w:rFonts w:hint="default" w:ascii="Arial Narrow" w:hAnsi="Arial Narrow" w:eastAsia="仿宋_GB2312" w:cs="Arial Narrow"/>
          <w:lang w:val="en-US" w:eastAsia="zh-CN"/>
        </w:rPr>
        <w:t>根据</w:t>
      </w:r>
      <w:r>
        <w:rPr>
          <w:rFonts w:hint="default" w:ascii="Arial Narrow" w:hAnsi="Arial Narrow" w:eastAsia="仿宋_GB2312" w:cs="Arial Narrow"/>
        </w:rPr>
        <w:t>卷宗研究发现，项目单位具有《武汉市企业研究开发中心认定管理办法》，企业申请认定成为市级研发中心必须经过实地核查，以保证申报企业报送数据的真实性及有效性；</w:t>
      </w:r>
      <w:r>
        <w:rPr>
          <w:rFonts w:hint="default" w:ascii="Arial Narrow" w:hAnsi="Arial Narrow" w:eastAsia="仿宋_GB2312" w:cs="Arial Narrow"/>
          <w:lang w:val="en-US" w:eastAsia="zh-CN"/>
        </w:rPr>
        <w:t>同时，单位</w:t>
      </w:r>
      <w:r>
        <w:rPr>
          <w:rFonts w:hint="default" w:ascii="Arial Narrow" w:hAnsi="Arial Narrow" w:eastAsia="仿宋_GB2312" w:cs="Arial Narrow"/>
        </w:rPr>
        <w:t>在《武昌区科产局工作规则》中规定了领导班子成员及部门负责人的职责，实行局长负责制和个人分工负责制，每年与各科室负责人签订岗位责任书，明确了岗位职责和年度工作项目，工作领导责任制度落实到位；</w:t>
      </w:r>
      <w:r>
        <w:rPr>
          <w:rFonts w:hint="default" w:ascii="Arial Narrow" w:hAnsi="Arial Narrow" w:eastAsia="仿宋_GB2312" w:cs="Arial Narrow"/>
          <w:lang w:val="en-US" w:eastAsia="zh-CN"/>
        </w:rPr>
        <w:t>此外，每年</w:t>
      </w:r>
      <w:r>
        <w:rPr>
          <w:rFonts w:hint="default" w:ascii="Arial Narrow" w:hAnsi="Arial Narrow" w:eastAsia="仿宋_GB2312" w:cs="Arial Narrow"/>
        </w:rPr>
        <w:t>开展工作绩效考核，年度考核得分作为年终科室和个人考核评先依据，并给予一定的物质奖励。得分不合格的科室取消奖励资格，科室负责人取消评先资格。</w:t>
      </w:r>
    </w:p>
    <w:p>
      <w:pPr>
        <w:keepNext w:val="0"/>
        <w:keepLines w:val="0"/>
        <w:pageBreakBefore w:val="0"/>
        <w:widowControl w:val="0"/>
        <w:kinsoku/>
        <w:wordWrap/>
        <w:overflowPunct/>
        <w:topLinePunct w:val="0"/>
        <w:autoSpaceDE/>
        <w:autoSpaceDN/>
        <w:bidi w:val="0"/>
        <w:adjustRightInd/>
        <w:snapToGrid w:val="0"/>
        <w:ind w:firstLine="482"/>
        <w:jc w:val="left"/>
        <w:textAlignment w:val="auto"/>
        <w:rPr>
          <w:rFonts w:hint="default" w:ascii="Arial Narrow" w:hAnsi="Arial Narrow" w:eastAsia="仿宋_GB2312" w:cs="Arial Narrow"/>
          <w:b/>
          <w:bCs/>
        </w:rPr>
      </w:pPr>
      <w:r>
        <w:rPr>
          <w:rFonts w:hint="default" w:ascii="Arial Narrow" w:hAnsi="Arial Narrow" w:eastAsia="仿宋_GB2312" w:cs="Arial Narrow"/>
          <w:b/>
          <w:bCs/>
        </w:rPr>
        <w:t>2、财务管理（10分）</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lang w:val="en-US" w:eastAsia="zh-CN"/>
        </w:rPr>
      </w:pP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1）</w:t>
      </w:r>
      <w:r>
        <w:rPr>
          <w:rFonts w:hint="default" w:ascii="Arial Narrow" w:hAnsi="Arial Narrow" w:eastAsia="仿宋_GB2312" w:cs="Arial Narrow"/>
        </w:rPr>
        <w:t>财务制度健全性，指项目实施单位的财务制度是否健全，用以反映和考核财务管理制度对资金规范、安全运行的保障情况。项目实施单位制定了《武昌区科产局机关财务管理制度》和《武昌区科学技术研究与开发资金管理办法》，具有市级及以上单位发布的相关费用管理办法，符合财务会计制度要求。</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2）</w:t>
      </w:r>
      <w:r>
        <w:rPr>
          <w:rFonts w:hint="default" w:ascii="Arial Narrow" w:hAnsi="Arial Narrow" w:eastAsia="仿宋_GB2312" w:cs="Arial Narrow"/>
        </w:rPr>
        <w:t>资金使用合规性，指项目资金使用是否符合相关的财务管理制度规定，用以反映和考核项目资金的规范运行情况。评价小组</w:t>
      </w:r>
      <w:r>
        <w:rPr>
          <w:rFonts w:hint="default" w:ascii="Arial Narrow" w:hAnsi="Arial Narrow" w:eastAsia="仿宋_GB2312" w:cs="Arial Narrow"/>
          <w:lang w:val="en-US" w:eastAsia="zh-CN"/>
        </w:rPr>
        <w:t>通过查阅项目支出凭证，了解到项目支出符合《行政单位财务制度》、《武昌区科产局机关财务管理制度》等国家财经法规和财务管理制的规定。</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项目实际支出包括办公费、培训费、差旅费、印刷费、咨询费、劳务费、维修维护费、会议费等费用类别，资金使用符合合同规定的用途，不存在截留、挤占、挪用、虚列支出等情况。但根据《武昌区科学技术研究与开发资金管理办法》，评价小组发现存在部分资金支出不属于计划管理费使用范围，却从项目资金中支付的情况，例如园区维修、信访法律服务费、担保公司风险排查审计等费用，项目单位未严格规定资金使用的范围，界限划分不够清晰，扣1分。</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Arial Narrow" w:hAnsi="Arial Narrow" w:cs="Arial Narrow"/>
          <w:lang w:eastAsia="zh-CN"/>
        </w:rPr>
      </w:pPr>
      <w:r>
        <w:rPr>
          <w:rFonts w:hint="eastAsia" w:ascii="Arial Narrow" w:hAnsi="Arial Narrow" w:cs="Arial Narrow"/>
          <w:lang w:val="en-US" w:eastAsia="zh-CN"/>
        </w:rPr>
        <w:t>（3）</w:t>
      </w:r>
      <w:r>
        <w:rPr>
          <w:rFonts w:hint="default" w:ascii="Arial Narrow" w:hAnsi="Arial Narrow" w:eastAsia="仿宋_GB2312" w:cs="Arial Narrow"/>
        </w:rPr>
        <w:t>财务监控有效性，</w:t>
      </w:r>
      <w:r>
        <w:rPr>
          <w:rFonts w:hint="eastAsia" w:ascii="Arial Narrow" w:hAnsi="Arial Narrow" w:cs="Arial Narrow"/>
          <w:lang w:val="en-US" w:eastAsia="zh-CN"/>
        </w:rPr>
        <w:t>指</w:t>
      </w:r>
      <w:r>
        <w:rPr>
          <w:rFonts w:hint="default" w:ascii="Arial Narrow" w:hAnsi="Arial Narrow" w:eastAsia="仿宋_GB2312" w:cs="Arial Narrow"/>
        </w:rPr>
        <w:t>项目实施单位是否为保障资金的安全、规范运行而采取了必要的监控措施，用以反映和考核项目实施单位对资金运行的控制情况。评价小组</w:t>
      </w:r>
      <w:bookmarkEnd w:id="69"/>
      <w:bookmarkEnd w:id="70"/>
      <w:bookmarkEnd w:id="71"/>
      <w:bookmarkEnd w:id="72"/>
      <w:bookmarkEnd w:id="73"/>
      <w:bookmarkStart w:id="75" w:name="_Toc5732"/>
      <w:bookmarkStart w:id="76" w:name="_Toc406666375"/>
      <w:bookmarkStart w:id="77" w:name="_Toc406668049"/>
      <w:bookmarkStart w:id="78" w:name="_Toc387957824"/>
      <w:r>
        <w:rPr>
          <w:rFonts w:hint="default" w:ascii="Arial Narrow" w:hAnsi="Arial Narrow" w:eastAsia="仿宋_GB2312" w:cs="Arial Narrow"/>
        </w:rPr>
        <w:t>通过查阅项目支出凭证发现，项目经费主要用于举办创业活动、发放外聘人员工资</w:t>
      </w:r>
      <w:r>
        <w:rPr>
          <w:rFonts w:hint="default" w:ascii="Arial Narrow" w:hAnsi="Arial Narrow" w:eastAsia="仿宋_GB2312" w:cs="Arial Narrow"/>
          <w:lang w:eastAsia="zh-CN"/>
        </w:rPr>
        <w:t>。</w:t>
      </w:r>
      <w:r>
        <w:rPr>
          <w:rFonts w:hint="default" w:ascii="Arial Narrow" w:hAnsi="Arial Narrow" w:eastAsia="仿宋_GB2312" w:cs="Arial Narrow"/>
        </w:rPr>
        <w:t>涉及科技研发资金的，由企业申请后，经办科室计分管领导、计财科及其分管领导签批，最后由局长签批；印刷、培训、差旅、餐饮资金拨付由负责科室向局领导上交相关合同、会议通知文件、请假审批表等资料，经批复后报销，资金的拨付有完整的审批程序和手续</w:t>
      </w:r>
      <w:r>
        <w:rPr>
          <w:rFonts w:hint="default" w:ascii="Arial Narrow" w:hAnsi="Arial Narrow" w:eastAsia="仿宋_GB2312" w:cs="Arial Narrow"/>
          <w:lang w:eastAsia="zh-CN"/>
        </w:rPr>
        <w:t>。</w:t>
      </w:r>
      <w:r>
        <w:rPr>
          <w:rFonts w:hint="default" w:ascii="Arial Narrow" w:hAnsi="Arial Narrow" w:eastAsia="仿宋_GB2312" w:cs="Arial Narrow"/>
        </w:rPr>
        <w:t>经费支出均经过经手人、证明人签字、科室负责人审核，财务签批，费用达2万元以上地经局长办公决议通过后予以拨付，但少量大额支出未附资金拨付请示及领导签字，扣</w:t>
      </w:r>
      <w:r>
        <w:rPr>
          <w:rFonts w:hint="eastAsia" w:ascii="Arial Narrow" w:hAnsi="Arial Narrow" w:cs="Arial Narrow"/>
          <w:lang w:val="en-US" w:eastAsia="zh-CN"/>
        </w:rPr>
        <w:t>1</w:t>
      </w:r>
      <w:r>
        <w:rPr>
          <w:rFonts w:hint="default" w:ascii="Arial Narrow" w:hAnsi="Arial Narrow" w:eastAsia="仿宋_GB2312" w:cs="Arial Narrow"/>
        </w:rPr>
        <w:t>分</w:t>
      </w:r>
      <w:r>
        <w:rPr>
          <w:rFonts w:hint="eastAsia" w:ascii="Arial Narrow" w:hAnsi="Arial Narrow" w:cs="Arial Narrow"/>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ind w:left="480" w:leftChars="0"/>
        <w:jc w:val="left"/>
        <w:textAlignment w:val="auto"/>
        <w:rPr>
          <w:rFonts w:hint="eastAsia" w:ascii="Arial Narrow" w:hAnsi="Arial Narrow" w:cs="Arial Narrow"/>
          <w:b/>
          <w:bCs/>
          <w:lang w:val="en-US" w:eastAsia="zh-CN"/>
        </w:rPr>
      </w:pPr>
      <w:r>
        <w:rPr>
          <w:rFonts w:hint="eastAsia" w:ascii="Arial Narrow" w:hAnsi="Arial Narrow" w:cs="Arial Narrow"/>
          <w:b/>
          <w:bCs/>
          <w:lang w:val="en-US" w:eastAsia="zh-CN"/>
        </w:rPr>
        <w:t>3、</w:t>
      </w:r>
      <w:r>
        <w:rPr>
          <w:rFonts w:hint="eastAsia" w:ascii="Arial Narrow" w:hAnsi="Arial Narrow" w:eastAsia="仿宋_GB2312" w:cs="Arial Narrow"/>
          <w:b/>
          <w:bCs/>
          <w:lang w:val="en-US" w:eastAsia="zh-CN"/>
        </w:rPr>
        <w:t>项目实施</w:t>
      </w:r>
      <w:r>
        <w:rPr>
          <w:rFonts w:hint="eastAsia" w:ascii="Arial Narrow" w:hAnsi="Arial Narrow" w:cs="Arial Narrow"/>
          <w:b/>
          <w:bCs/>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eastAsia" w:ascii="Arial Narrow" w:hAnsi="Arial Narrow" w:cs="Arial Narrow"/>
          <w:b w:val="0"/>
          <w:bCs w:val="0"/>
          <w:lang w:val="en-US" w:eastAsia="zh-CN"/>
        </w:rPr>
      </w:pPr>
      <w:r>
        <w:rPr>
          <w:rFonts w:hint="eastAsia" w:ascii="Arial Narrow" w:hAnsi="Arial Narrow" w:cs="Arial Narrow"/>
          <w:b w:val="0"/>
          <w:bCs w:val="0"/>
          <w:lang w:val="en-US" w:eastAsia="zh-CN"/>
        </w:rPr>
        <w:t>（1）组织机构健全性，项目实施单位的组织机构是否健全，分工是否明确，用以反映和考核组织机构的情况。区科产局由局机关及下属2家事业机构组成。设局长1名，副局长4名。内设党政办公室、计划和法规科、科技管理科、产业发展科、园区管理和对外合作科、信息化和物流科（中小企业服务中心）、直属企业管理科。单位机构设置健全，分工明确。</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default" w:ascii="Arial Narrow" w:hAnsi="Arial Narrow" w:cs="Arial Narrow"/>
          <w:b w:val="0"/>
          <w:bCs w:val="0"/>
          <w:lang w:val="en-US" w:eastAsia="zh-CN"/>
        </w:rPr>
      </w:pPr>
      <w:r>
        <w:rPr>
          <w:rFonts w:hint="eastAsia" w:ascii="Arial Narrow" w:hAnsi="Arial Narrow" w:cs="Arial Narrow"/>
          <w:b w:val="0"/>
          <w:bCs w:val="0"/>
          <w:lang w:val="en-US" w:eastAsia="zh-CN"/>
        </w:rPr>
        <w:t>（2）档案资料完整性。项目相关档案的保存是否完整，用以反映和考核项目的档案管理合规性。项目实施单位各科室每年会将项目支出资料汇编成册，例如中小企业服务中心汇编的大学生创业项目资料、产业发展科汇编的落户武昌项目资料、科技科汇编的科技计划项目申报审批资料。此外，项目单位档案工作目标管理被评选为省一级机关单位，资料整理有序，管理规范。</w:t>
      </w:r>
    </w:p>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rPr>
      </w:pPr>
      <w:bookmarkStart w:id="79" w:name="_Toc15453"/>
      <w:r>
        <w:rPr>
          <w:rFonts w:hint="default" w:ascii="Arial Narrow" w:hAnsi="Arial Narrow" w:eastAsia="仿宋_GB2312" w:cs="Arial Narrow"/>
          <w:b/>
        </w:rPr>
        <w:t>（三）项目产出（</w:t>
      </w:r>
      <w:r>
        <w:rPr>
          <w:rFonts w:hint="default" w:ascii="Arial Narrow" w:hAnsi="Arial Narrow" w:eastAsia="仿宋_GB2312" w:cs="Arial Narrow"/>
          <w:b/>
          <w:lang w:val="en-US" w:eastAsia="zh-CN"/>
        </w:rPr>
        <w:t>26</w:t>
      </w:r>
      <w:r>
        <w:rPr>
          <w:rFonts w:hint="default" w:ascii="Arial Narrow" w:hAnsi="Arial Narrow" w:eastAsia="仿宋_GB2312" w:cs="Arial Narrow"/>
          <w:b/>
        </w:rPr>
        <w:t>分）</w:t>
      </w:r>
      <w:bookmarkEnd w:id="75"/>
      <w:bookmarkEnd w:id="79"/>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Arial Narrow" w:hAnsi="Arial Narrow" w:eastAsia="仿宋_GB2312" w:cs="Arial Narrow"/>
        </w:rPr>
      </w:pPr>
      <w:r>
        <w:drawing>
          <wp:inline distT="0" distB="0" distL="114300" distR="114300">
            <wp:extent cx="4749800" cy="3644900"/>
            <wp:effectExtent l="5080" t="5080" r="7620" b="762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End w:id="76"/>
    <w:bookmarkEnd w:id="77"/>
    <w:bookmarkEnd w:id="78"/>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lang w:val="en-US" w:eastAsia="zh-CN"/>
        </w:rPr>
      </w:pPr>
      <w:bookmarkStart w:id="80" w:name="_Toc394181022"/>
      <w:bookmarkStart w:id="81" w:name="_Toc387957826"/>
      <w:bookmarkStart w:id="82" w:name="_Toc361304701"/>
      <w:bookmarkStart w:id="83" w:name="_Toc406668051"/>
      <w:bookmarkStart w:id="84" w:name="_Toc361302038"/>
      <w:bookmarkStart w:id="85" w:name="_Toc406666377"/>
      <w:r>
        <w:rPr>
          <w:rFonts w:hint="default" w:ascii="Arial Narrow" w:hAnsi="Arial Narrow" w:eastAsia="仿宋_GB2312" w:cs="Arial Narrow"/>
        </w:rPr>
        <w:t>产出指标主要从项目的新能源汽车推广活动次数、名优新品展销会承办完成率、办公设备采购完成率、创业活动开展进度、业务能力保证程度、完成及时率、资金使用率这</w:t>
      </w:r>
      <w:r>
        <w:rPr>
          <w:rFonts w:hint="default" w:ascii="Arial Narrow" w:hAnsi="Arial Narrow" w:eastAsia="仿宋_GB2312" w:cs="Arial Narrow"/>
          <w:lang w:val="en-US" w:eastAsia="zh-CN"/>
        </w:rPr>
        <w:t>七</w:t>
      </w:r>
      <w:r>
        <w:rPr>
          <w:rFonts w:hint="default" w:ascii="Arial Narrow" w:hAnsi="Arial Narrow" w:eastAsia="仿宋_GB2312" w:cs="Arial Narrow"/>
        </w:rPr>
        <w:t>个方面来进行评价。对于该项的评价，评价小组主要采取了案卷研究、访谈等方式进行资料收集、整理和分析，收集了项目预算批复文件</w:t>
      </w:r>
      <w:r>
        <w:rPr>
          <w:rFonts w:hint="default" w:ascii="Arial Narrow" w:hAnsi="Arial Narrow" w:eastAsia="仿宋_GB2312" w:cs="Arial Narrow"/>
          <w:lang w:eastAsia="zh-CN"/>
        </w:rPr>
        <w:t>、名优创新产品展销会工作方案</w:t>
      </w:r>
      <w:r>
        <w:rPr>
          <w:rFonts w:hint="default" w:ascii="Arial Narrow" w:hAnsi="Arial Narrow" w:eastAsia="仿宋_GB2312" w:cs="Arial Narrow"/>
        </w:rPr>
        <w:t>、</w:t>
      </w:r>
      <w:r>
        <w:rPr>
          <w:rFonts w:hint="default" w:ascii="Arial Narrow" w:hAnsi="Arial Narrow" w:eastAsia="仿宋_GB2312" w:cs="Arial Narrow"/>
          <w:lang w:val="en-US" w:eastAsia="zh-CN"/>
        </w:rPr>
        <w:t>双创活动周</w:t>
      </w:r>
      <w:r>
        <w:rPr>
          <w:rFonts w:hint="default" w:ascii="Arial Narrow" w:hAnsi="Arial Narrow" w:eastAsia="仿宋_GB2312" w:cs="Arial Narrow"/>
        </w:rPr>
        <w:t>工作方案</w:t>
      </w:r>
      <w:r>
        <w:rPr>
          <w:rFonts w:hint="default" w:ascii="Arial Narrow" w:hAnsi="Arial Narrow" w:eastAsia="仿宋_GB2312" w:cs="Arial Narrow"/>
          <w:lang w:eastAsia="zh-CN"/>
        </w:rPr>
        <w:t>、创新创业大赛实施方案、</w:t>
      </w:r>
      <w:r>
        <w:rPr>
          <w:rFonts w:hint="default" w:ascii="Arial Narrow" w:hAnsi="Arial Narrow" w:eastAsia="仿宋_GB2312" w:cs="Arial Narrow"/>
          <w:lang w:val="en-US" w:eastAsia="zh-CN"/>
        </w:rPr>
        <w:t>培训通知、</w:t>
      </w:r>
      <w:r>
        <w:rPr>
          <w:rFonts w:hint="default" w:ascii="Arial Narrow" w:hAnsi="Arial Narrow" w:eastAsia="仿宋_GB2312" w:cs="Arial Narrow"/>
        </w:rPr>
        <w:t>资金支出明细账等资料，对项目产出涉及的指标进行打分和评价。经过综合计分，项目产出评价得分为</w:t>
      </w:r>
      <w:r>
        <w:rPr>
          <w:rFonts w:hint="default" w:ascii="Arial Narrow" w:hAnsi="Arial Narrow" w:eastAsia="仿宋_GB2312" w:cs="Arial Narrow"/>
          <w:lang w:val="en-US" w:eastAsia="zh-CN"/>
        </w:rPr>
        <w:t>2</w:t>
      </w:r>
      <w:r>
        <w:rPr>
          <w:rFonts w:hint="eastAsia" w:ascii="Arial Narrow" w:hAnsi="Arial Narrow" w:cs="Arial Narrow"/>
          <w:lang w:val="en-US" w:eastAsia="zh-CN"/>
        </w:rPr>
        <w:t>5</w:t>
      </w:r>
      <w:r>
        <w:rPr>
          <w:rFonts w:hint="default" w:ascii="Arial Narrow" w:hAnsi="Arial Narrow" w:eastAsia="仿宋_GB2312" w:cs="Arial Narrow"/>
        </w:rPr>
        <w:t>分，评价结果为优</w:t>
      </w:r>
      <w:r>
        <w:rPr>
          <w:rFonts w:hint="default" w:ascii="Arial Narrow" w:hAnsi="Arial Narrow" w:eastAsia="仿宋_GB2312" w:cs="Arial Narrow"/>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新能源汽车推广活动次数，指项目实施单位是否按计划开展新能源汽车推广示范应用活动，用以反映和考核项目实施单位新能源汽车活动的推广力度。</w:t>
      </w:r>
      <w:r>
        <w:rPr>
          <w:rFonts w:hint="default" w:ascii="Arial Narrow" w:hAnsi="Arial Narrow" w:eastAsia="仿宋_GB2312" w:cs="Arial Narrow"/>
          <w:lang w:val="en-US" w:eastAsia="zh-CN"/>
        </w:rPr>
        <w:t>通过</w:t>
      </w:r>
      <w:r>
        <w:rPr>
          <w:rFonts w:hint="default" w:ascii="Arial Narrow" w:hAnsi="Arial Narrow" w:eastAsia="仿宋_GB2312" w:cs="Arial Narrow"/>
        </w:rPr>
        <w:t>评价小组通过</w:t>
      </w:r>
      <w:r>
        <w:rPr>
          <w:rFonts w:hint="default" w:ascii="Arial Narrow" w:hAnsi="Arial Narrow" w:eastAsia="仿宋_GB2312" w:cs="Arial Narrow"/>
          <w:lang w:val="en-US" w:eastAsia="zh-CN"/>
        </w:rPr>
        <w:t>翻阅记账凭证以及对活动相关负责人绩效访谈，</w:t>
      </w:r>
      <w:r>
        <w:rPr>
          <w:rFonts w:hint="default" w:ascii="Arial Narrow" w:hAnsi="Arial Narrow" w:eastAsia="仿宋_GB2312" w:cs="Arial Narrow"/>
        </w:rPr>
        <w:t>了解到项目实施单位</w:t>
      </w:r>
      <w:r>
        <w:rPr>
          <w:rFonts w:hint="default" w:ascii="Arial Narrow" w:hAnsi="Arial Narrow" w:eastAsia="仿宋_GB2312" w:cs="Arial Narrow"/>
          <w:lang w:val="en-US" w:eastAsia="zh-CN"/>
        </w:rPr>
        <w:t>计划开展3次推广活动，</w:t>
      </w:r>
      <w:r>
        <w:rPr>
          <w:rFonts w:hint="default" w:ascii="Arial Narrow" w:hAnsi="Arial Narrow" w:eastAsia="仿宋_GB2312" w:cs="Arial Narrow"/>
        </w:rPr>
        <w:t>实际</w:t>
      </w:r>
      <w:r>
        <w:rPr>
          <w:rFonts w:hint="default" w:ascii="Arial Narrow" w:hAnsi="Arial Narrow" w:eastAsia="仿宋_GB2312" w:cs="Arial Narrow"/>
          <w:lang w:val="en-US" w:eastAsia="zh-CN"/>
        </w:rPr>
        <w:t>只</w:t>
      </w:r>
      <w:r>
        <w:rPr>
          <w:rFonts w:hint="default" w:ascii="Arial Narrow" w:hAnsi="Arial Narrow" w:eastAsia="仿宋_GB2312" w:cs="Arial Narrow"/>
        </w:rPr>
        <w:t>开展了1次推广活动，即开发“车联网产业联盟”微信公众号，主要服务于车联网产业园区，打开对外发声和传播的媒体窗口。据访谈，该项活动未按计划完成原因在于在申报项目预算时，科室仅根据2016年该项工作完成情况，预计2017年开展3次推广活动，没有结合科室整体工作</w:t>
      </w:r>
      <w:r>
        <w:rPr>
          <w:rFonts w:hint="default" w:ascii="Arial Narrow" w:hAnsi="Arial Narrow" w:eastAsia="仿宋_GB2312" w:cs="Arial Narrow"/>
          <w:lang w:val="en-US" w:eastAsia="zh-CN"/>
        </w:rPr>
        <w:t>安排</w:t>
      </w:r>
      <w:r>
        <w:rPr>
          <w:rFonts w:hint="default" w:ascii="Arial Narrow" w:hAnsi="Arial Narrow" w:eastAsia="仿宋_GB2312" w:cs="Arial Narrow"/>
        </w:rPr>
        <w:t>，年初目标预定偏高，酌情扣</w:t>
      </w:r>
      <w:r>
        <w:rPr>
          <w:rFonts w:hint="eastAsia" w:ascii="Arial Narrow" w:hAnsi="Arial Narrow" w:cs="Arial Narrow"/>
          <w:lang w:val="en-US" w:eastAsia="zh-CN"/>
        </w:rPr>
        <w:t>0.5</w:t>
      </w:r>
      <w:r>
        <w:rPr>
          <w:rFonts w:hint="default" w:ascii="Arial Narrow" w:hAnsi="Arial Narrow" w:eastAsia="仿宋_GB2312" w:cs="Arial Narrow"/>
        </w:rPr>
        <w:t>分。</w:t>
      </w:r>
    </w:p>
    <w:p>
      <w:pPr>
        <w:keepNext w:val="0"/>
        <w:keepLines w:val="0"/>
        <w:pageBreakBefore w:val="0"/>
        <w:widowControl w:val="0"/>
        <w:numPr>
          <w:ilvl w:val="0"/>
          <w:numId w:val="10"/>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名创新品展销会承办完成率，指实际开展的展会次数与计划组织的展会次数，用以反映和考核项目实施单位名优新品展销会工作的完成情况。评价小组通过查阅展销会工作方案</w:t>
      </w:r>
      <w:r>
        <w:rPr>
          <w:rFonts w:hint="default" w:ascii="Arial Narrow" w:hAnsi="Arial Narrow" w:eastAsia="仿宋_GB2312" w:cs="Arial Narrow"/>
          <w:lang w:eastAsia="zh-CN"/>
        </w:rPr>
        <w:t>、展位分配表</w:t>
      </w:r>
      <w:r>
        <w:rPr>
          <w:rFonts w:hint="default" w:ascii="Arial Narrow" w:hAnsi="Arial Narrow" w:eastAsia="仿宋_GB2312" w:cs="Arial Narrow"/>
          <w:lang w:val="en-US" w:eastAsia="zh-CN"/>
        </w:rPr>
        <w:t>及记账凭证</w:t>
      </w:r>
      <w:r>
        <w:rPr>
          <w:rFonts w:hint="default" w:ascii="Arial Narrow" w:hAnsi="Arial Narrow" w:eastAsia="仿宋_GB2312" w:cs="Arial Narrow"/>
        </w:rPr>
        <w:t>了解到，项目单位计划参加2次名优创新产品展销会，2017年分别于6月份在天津、9月份在昆明参加了武汉名优创新产品展销会，两次展销会分别有9家企业参展，共计18家（次），名优新品展销会完成次数率达100%；根据展销会展位分配表，可知武昌区承担20个展位的布展任务，由武昌区科产局统一组织企业参展，不存在空闲展位。</w:t>
      </w:r>
    </w:p>
    <w:p>
      <w:pPr>
        <w:keepNext w:val="0"/>
        <w:keepLines w:val="0"/>
        <w:pageBreakBefore w:val="0"/>
        <w:widowControl w:val="0"/>
        <w:numPr>
          <w:ilvl w:val="0"/>
          <w:numId w:val="10"/>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highlight w:val="none"/>
        </w:rPr>
        <w:t>办公设备采购完成率，指实际采购的办公设备数量与计划采购的办公设备数量的比率，用以反映和考核项目单位办公设备是否采购完全。评价小组通过</w:t>
      </w:r>
      <w:r>
        <w:rPr>
          <w:rFonts w:hint="default" w:ascii="Arial Narrow" w:hAnsi="Arial Narrow" w:eastAsia="仿宋_GB2312" w:cs="Arial Narrow"/>
          <w:highlight w:val="none"/>
          <w:lang w:val="en-US" w:eastAsia="zh-CN"/>
        </w:rPr>
        <w:t>翻阅记账凭证及附件</w:t>
      </w:r>
      <w:r>
        <w:rPr>
          <w:rFonts w:hint="default" w:ascii="Arial Narrow" w:hAnsi="Arial Narrow" w:eastAsia="仿宋_GB2312" w:cs="Arial Narrow"/>
          <w:highlight w:val="none"/>
        </w:rPr>
        <w:t>了解到，</w:t>
      </w:r>
      <w:r>
        <w:rPr>
          <w:rFonts w:hint="default" w:ascii="Arial Narrow" w:hAnsi="Arial Narrow" w:eastAsia="仿宋_GB2312" w:cs="Arial Narrow"/>
          <w:highlight w:val="none"/>
          <w:lang w:val="en-US" w:eastAsia="zh-CN"/>
        </w:rPr>
        <w:t>武昌区科产局</w:t>
      </w:r>
      <w:r>
        <w:rPr>
          <w:rFonts w:hint="default" w:ascii="Arial Narrow" w:hAnsi="Arial Narrow" w:eastAsia="仿宋_GB2312" w:cs="Arial Narrow"/>
          <w:highlight w:val="none"/>
        </w:rPr>
        <w:t>年初未制定办公设备采购计划，需采购时由科室申请，办公室汇总采购，本</w:t>
      </w:r>
      <w:r>
        <w:rPr>
          <w:rFonts w:hint="default" w:ascii="Arial Narrow" w:hAnsi="Arial Narrow" w:eastAsia="仿宋_GB2312" w:cs="Arial Narrow"/>
        </w:rPr>
        <w:t>年度采购了电脑费、打印机、视频监控等办公设备。据访谈，所有设备已经通过办公室验收，但无验收记录，扣0.5分。</w:t>
      </w:r>
    </w:p>
    <w:p>
      <w:pPr>
        <w:keepNext w:val="0"/>
        <w:keepLines w:val="0"/>
        <w:pageBreakBefore w:val="0"/>
        <w:widowControl w:val="0"/>
        <w:numPr>
          <w:ilvl w:val="0"/>
          <w:numId w:val="10"/>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创业活动开展进度，指项目实施后，区域创新创业大赛、双创活动周是否按计划举行，用以反映和考核项目实施单位的时效指标。评价小组通过查阅</w:t>
      </w:r>
      <w:r>
        <w:rPr>
          <w:rFonts w:hint="default" w:ascii="Arial Narrow" w:hAnsi="Arial Narrow" w:eastAsia="仿宋_GB2312" w:cs="Arial Narrow"/>
          <w:lang w:val="en-US" w:eastAsia="zh-CN"/>
        </w:rPr>
        <w:t>活动工作方案、工作进度安排表及对单位中小企业服务中心相关负责人访谈，</w:t>
      </w:r>
      <w:r>
        <w:rPr>
          <w:rFonts w:hint="default" w:ascii="Arial Narrow" w:hAnsi="Arial Narrow" w:eastAsia="仿宋_GB2312" w:cs="Arial Narrow"/>
        </w:rPr>
        <w:t>了解到根据市双创工作领导小组关于做好2017年大众创业万众创新活动周筹备工作的通知要求，武昌区科产局于2017年9月19日举行了双创周活动，活动主要以专家辅导培训、交流讨论、项目路演等形式开展，并联系新闻媒体、直播平台对活动进行宣传。</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项目实施单位协同珞珈天使基金、武昌区战略性新兴产业发展引导基金于2017年11月-12月成功举办了武昌区“创响武昌”创新创业大赛，分为“消费升级、人工智能”两大专场。大赛赛程分为两场初赛一场决赛，每个专场设立6个奖项，共12个奖项。双创周及创业大赛举办成功。</w:t>
      </w:r>
    </w:p>
    <w:p>
      <w:pPr>
        <w:keepNext w:val="0"/>
        <w:keepLines w:val="0"/>
        <w:pageBreakBefore w:val="0"/>
        <w:widowControl w:val="0"/>
        <w:numPr>
          <w:ilvl w:val="0"/>
          <w:numId w:val="10"/>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业务能力保证程度，指项目实施单位是否为增强工作人员的业务能力、提高办事效率、保持信息更新而开展学习考察活动，</w:t>
      </w:r>
      <w:r>
        <w:rPr>
          <w:rFonts w:hint="default" w:ascii="Arial Narrow" w:hAnsi="Arial Narrow" w:eastAsia="仿宋_GB2312" w:cs="Arial Narrow"/>
          <w:lang w:val="en-US" w:eastAsia="zh-CN"/>
        </w:rPr>
        <w:t>且参与培训人员与其工作职责相匹配，</w:t>
      </w:r>
      <w:r>
        <w:rPr>
          <w:rFonts w:hint="default" w:ascii="Arial Narrow" w:hAnsi="Arial Narrow" w:eastAsia="仿宋_GB2312" w:cs="Arial Narrow"/>
        </w:rPr>
        <w:t>用以反映和考核项目实施单位对业务工作质量的保障程度。评价小组通过查阅</w:t>
      </w:r>
      <w:r>
        <w:rPr>
          <w:rFonts w:hint="default" w:ascii="Arial Narrow" w:hAnsi="Arial Narrow" w:eastAsia="仿宋_GB2312" w:cs="Arial Narrow"/>
          <w:lang w:val="en-US" w:eastAsia="zh-CN"/>
        </w:rPr>
        <w:t>培训通知、各科室工作职责及差旅费报销凭证，</w:t>
      </w:r>
      <w:r>
        <w:rPr>
          <w:rFonts w:hint="default" w:ascii="Arial Narrow" w:hAnsi="Arial Narrow" w:eastAsia="仿宋_GB2312" w:cs="Arial Narrow"/>
        </w:rPr>
        <w:t>了解到2017年项目单位参加了2次省级培训</w:t>
      </w:r>
      <w:r>
        <w:rPr>
          <w:rFonts w:hint="default" w:ascii="Arial Narrow" w:hAnsi="Arial Narrow" w:eastAsia="仿宋_GB2312" w:cs="Arial Narrow"/>
          <w:lang w:eastAsia="zh-CN"/>
        </w:rPr>
        <w:t>、</w:t>
      </w:r>
      <w:r>
        <w:rPr>
          <w:rFonts w:hint="default" w:ascii="Arial Narrow" w:hAnsi="Arial Narrow" w:eastAsia="仿宋_GB2312" w:cs="Arial Narrow"/>
        </w:rPr>
        <w:t>3次市级培训</w:t>
      </w:r>
      <w:r>
        <w:rPr>
          <w:rFonts w:hint="default" w:ascii="Arial Narrow" w:hAnsi="Arial Narrow" w:eastAsia="仿宋_GB2312" w:cs="Arial Narrow"/>
          <w:lang w:eastAsia="zh-CN"/>
        </w:rPr>
        <w:t>、</w:t>
      </w:r>
      <w:r>
        <w:rPr>
          <w:rFonts w:hint="default" w:ascii="Arial Narrow" w:hAnsi="Arial Narrow" w:eastAsia="仿宋_GB2312" w:cs="Arial Narrow"/>
        </w:rPr>
        <w:t>1次区级培训</w:t>
      </w: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培训内容</w:t>
      </w:r>
      <w:r>
        <w:rPr>
          <w:rFonts w:hint="default" w:ascii="Arial Narrow" w:hAnsi="Arial Narrow" w:eastAsia="仿宋_GB2312" w:cs="Arial Narrow"/>
        </w:rPr>
        <w:t>涉及到技术专利法、知识产权执法，高新企业申报等培训内容时，项目单位派出科技管理科负责人参加，涉及到节能管理培训，项目单位派出党政办公室人员参训，项目单位派主管产业发展科副局长陈定参加战略性新兴产业培育培训，培训内容与参训科室业务职能或相匹配。</w:t>
      </w:r>
    </w:p>
    <w:p>
      <w:pPr>
        <w:keepNext w:val="0"/>
        <w:keepLines w:val="0"/>
        <w:pageBreakBefore w:val="0"/>
        <w:widowControl w:val="0"/>
        <w:numPr>
          <w:ilvl w:val="0"/>
          <w:numId w:val="10"/>
        </w:numPr>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完成及时率，指项目实施后，项目的各工作是否及时完成，用以反映和考核项目实施后时效目标的实现程度。评价小组通过</w:t>
      </w:r>
      <w:r>
        <w:rPr>
          <w:rFonts w:hint="default" w:ascii="Arial Narrow" w:hAnsi="Arial Narrow" w:eastAsia="仿宋_GB2312" w:cs="Arial Narrow"/>
          <w:lang w:val="en-US" w:eastAsia="zh-CN"/>
        </w:rPr>
        <w:t>对各科室负责人访谈，</w:t>
      </w:r>
      <w:r>
        <w:rPr>
          <w:rFonts w:hint="default" w:ascii="Arial Narrow" w:hAnsi="Arial Narrow" w:eastAsia="仿宋_GB2312" w:cs="Arial Narrow"/>
        </w:rPr>
        <w:t>项目</w:t>
      </w:r>
      <w:r>
        <w:rPr>
          <w:rFonts w:hint="default" w:ascii="Arial Narrow" w:hAnsi="Arial Narrow" w:eastAsia="仿宋_GB2312" w:cs="Arial Narrow"/>
          <w:lang w:val="en-US" w:eastAsia="zh-CN"/>
        </w:rPr>
        <w:t>均于</w:t>
      </w:r>
      <w:r>
        <w:rPr>
          <w:rFonts w:hint="default" w:ascii="Arial Narrow" w:hAnsi="Arial Narrow" w:eastAsia="仿宋_GB2312" w:cs="Arial Narrow"/>
        </w:rPr>
        <w:t>201</w:t>
      </w:r>
      <w:r>
        <w:rPr>
          <w:rFonts w:hint="default" w:ascii="Arial Narrow" w:hAnsi="Arial Narrow" w:eastAsia="仿宋_GB2312" w:cs="Arial Narrow"/>
          <w:lang w:val="en-US" w:eastAsia="zh-CN"/>
        </w:rPr>
        <w:t>7</w:t>
      </w:r>
      <w:r>
        <w:rPr>
          <w:rFonts w:hint="default" w:ascii="Arial Narrow" w:hAnsi="Arial Narrow" w:eastAsia="仿宋_GB2312" w:cs="Arial Narrow"/>
        </w:rPr>
        <w:t>年12月底完成，完成及时率为100%。</w:t>
      </w:r>
    </w:p>
    <w:p>
      <w:pPr>
        <w:snapToGrid w:val="0"/>
        <w:ind w:firstLine="480"/>
        <w:rPr>
          <w:rFonts w:hint="default" w:ascii="Arial Narrow" w:hAnsi="Arial Narrow" w:eastAsia="仿宋_GB2312" w:cs="Arial Narrow"/>
        </w:rPr>
      </w:pPr>
      <w:r>
        <w:rPr>
          <w:rFonts w:hint="eastAsia" w:ascii="Arial Narrow" w:hAnsi="Arial Narrow" w:cs="Arial Narrow"/>
          <w:lang w:val="en-US" w:eastAsia="zh-CN"/>
        </w:rPr>
        <w:t>7、</w:t>
      </w:r>
      <w:r>
        <w:rPr>
          <w:rFonts w:hint="default" w:ascii="Arial Narrow" w:hAnsi="Arial Narrow" w:eastAsia="仿宋_GB2312" w:cs="Arial Narrow"/>
        </w:rPr>
        <w:t>资金使用率，指</w:t>
      </w:r>
      <w:bookmarkEnd w:id="80"/>
      <w:bookmarkStart w:id="86" w:name="_Toc17932"/>
      <w:r>
        <w:rPr>
          <w:rFonts w:hint="default" w:ascii="Arial Narrow" w:hAnsi="Arial Narrow" w:eastAsia="仿宋_GB2312" w:cs="Arial Narrow"/>
        </w:rPr>
        <w:t>项目实际支出与项目到位资金的比率，用以反映和考核项目资金使用情况。</w:t>
      </w:r>
      <w:r>
        <w:rPr>
          <w:rFonts w:hint="eastAsia" w:ascii="Arial Narrow" w:hAnsi="Arial Narrow" w:cs="Arial Narrow"/>
          <w:lang w:val="en-US" w:eastAsia="zh-CN"/>
        </w:rPr>
        <w:t>截止2017年12月31日，</w:t>
      </w:r>
      <w:r>
        <w:rPr>
          <w:rFonts w:hint="default" w:ascii="Arial Narrow" w:hAnsi="Arial Narrow" w:eastAsia="仿宋_GB2312" w:cs="Arial Narrow"/>
        </w:rPr>
        <w:t>项目实际支出为272万元，预算资金为280万元，资金使用率为97.14%。</w:t>
      </w:r>
    </w:p>
    <w:p>
      <w:pPr>
        <w:numPr>
          <w:ilvl w:val="0"/>
          <w:numId w:val="11"/>
        </w:numPr>
        <w:ind w:firstLine="482"/>
        <w:outlineLvl w:val="1"/>
        <w:rPr>
          <w:rFonts w:hint="default" w:ascii="Arial Narrow" w:hAnsi="Arial Narrow" w:eastAsia="仿宋_GB2312" w:cs="Arial Narrow"/>
          <w:b/>
        </w:rPr>
      </w:pPr>
      <w:bookmarkStart w:id="87" w:name="_Toc4663"/>
      <w:r>
        <w:rPr>
          <w:rFonts w:hint="default" w:ascii="Arial Narrow" w:hAnsi="Arial Narrow" w:eastAsia="仿宋_GB2312" w:cs="Arial Narrow"/>
          <w:b/>
        </w:rPr>
        <w:t>项目效果（</w:t>
      </w:r>
      <w:r>
        <w:rPr>
          <w:rFonts w:hint="default" w:ascii="Arial Narrow" w:hAnsi="Arial Narrow" w:eastAsia="仿宋_GB2312" w:cs="Arial Narrow"/>
          <w:b/>
          <w:lang w:val="en-US" w:eastAsia="zh-CN"/>
        </w:rPr>
        <w:t>36</w:t>
      </w:r>
      <w:r>
        <w:rPr>
          <w:rFonts w:hint="default" w:ascii="Arial Narrow" w:hAnsi="Arial Narrow" w:eastAsia="仿宋_GB2312" w:cs="Arial Narrow"/>
          <w:b/>
        </w:rPr>
        <w:t>分）</w:t>
      </w:r>
      <w:bookmarkEnd w:id="87"/>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rPr>
        <w:drawing>
          <wp:inline distT="0" distB="0" distL="114300" distR="114300">
            <wp:extent cx="5395595" cy="4128135"/>
            <wp:effectExtent l="4445" t="4445" r="10160" b="762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napToGrid w:val="0"/>
        <w:ind w:firstLine="480"/>
        <w:rPr>
          <w:rFonts w:hint="default" w:ascii="Arial Narrow" w:hAnsi="Arial Narrow" w:eastAsia="仿宋_GB2312" w:cs="Arial Narrow"/>
        </w:rPr>
      </w:pPr>
      <w:r>
        <w:rPr>
          <w:rFonts w:hint="default" w:ascii="Arial Narrow" w:hAnsi="Arial Narrow" w:eastAsia="仿宋_GB2312" w:cs="Arial Narrow"/>
        </w:rPr>
        <w:t>效果方面主要评价技术市场交易额增幅、高新技术企业收入增长率、提供创业空间、科技创新能力提升度、营造创新创业文化氛围、立体创业创新服务机制</w:t>
      </w:r>
      <w:r>
        <w:rPr>
          <w:rFonts w:hint="default" w:ascii="Arial Narrow" w:hAnsi="Arial Narrow" w:eastAsia="仿宋_GB2312" w:cs="Arial Narrow"/>
          <w:lang w:eastAsia="zh-CN"/>
        </w:rPr>
        <w:t>、社会公众满意度</w:t>
      </w:r>
      <w:r>
        <w:rPr>
          <w:rFonts w:hint="default" w:ascii="Arial Narrow" w:hAnsi="Arial Narrow" w:eastAsia="仿宋_GB2312" w:cs="Arial Narrow"/>
        </w:rPr>
        <w:t>，反映项目实施所产生的经济效益、社会效益、对社会的需求和发展所带来的直接或间接影响以及项目实施效果的满意程度</w:t>
      </w:r>
      <w:r>
        <w:rPr>
          <w:rFonts w:hint="default" w:ascii="Arial Narrow" w:hAnsi="Arial Narrow" w:eastAsia="仿宋_GB2312" w:cs="Arial Narrow"/>
          <w:highlight w:val="none"/>
        </w:rPr>
        <w:t>。对于该项的评价，评价小组主要采取了案卷研究、访谈、</w:t>
      </w:r>
      <w:r>
        <w:rPr>
          <w:rFonts w:hint="default" w:ascii="Arial Narrow" w:hAnsi="Arial Narrow" w:eastAsia="仿宋_GB2312" w:cs="Arial Narrow"/>
          <w:highlight w:val="none"/>
          <w:lang w:eastAsia="zh-CN"/>
        </w:rPr>
        <w:t>网络检索</w:t>
      </w:r>
      <w:r>
        <w:rPr>
          <w:rFonts w:hint="default" w:ascii="Arial Narrow" w:hAnsi="Arial Narrow" w:eastAsia="仿宋_GB2312" w:cs="Arial Narrow"/>
          <w:highlight w:val="none"/>
        </w:rPr>
        <w:t>等方式进行资料收集、整理和分析，查看了项目实施单位</w:t>
      </w:r>
      <w:r>
        <w:rPr>
          <w:rFonts w:hint="default" w:ascii="Arial Narrow" w:hAnsi="Arial Narrow" w:eastAsia="仿宋_GB2312" w:cs="Arial Narrow"/>
          <w:highlight w:val="none"/>
          <w:lang w:eastAsia="zh-CN"/>
        </w:rPr>
        <w:t>工作总结、会计凭证</w:t>
      </w:r>
      <w:r>
        <w:rPr>
          <w:rFonts w:hint="default" w:ascii="Arial Narrow" w:hAnsi="Arial Narrow" w:eastAsia="仿宋_GB2312" w:cs="Arial Narrow"/>
          <w:highlight w:val="none"/>
        </w:rPr>
        <w:t>等</w:t>
      </w:r>
      <w:r>
        <w:rPr>
          <w:rFonts w:hint="default" w:ascii="Arial Narrow" w:hAnsi="Arial Narrow" w:eastAsia="仿宋_GB2312" w:cs="Arial Narrow"/>
          <w:highlight w:val="none"/>
          <w:lang w:eastAsia="zh-CN"/>
        </w:rPr>
        <w:t>相关项目资料</w:t>
      </w:r>
      <w:r>
        <w:rPr>
          <w:rFonts w:hint="default" w:ascii="Arial Narrow" w:hAnsi="Arial Narrow" w:eastAsia="仿宋_GB2312" w:cs="Arial Narrow"/>
          <w:highlight w:val="none"/>
        </w:rPr>
        <w:t>，对项目相关负责人进行访谈，并通过</w:t>
      </w:r>
      <w:r>
        <w:rPr>
          <w:rFonts w:hint="default" w:ascii="Arial Narrow" w:hAnsi="Arial Narrow" w:eastAsia="仿宋_GB2312" w:cs="Arial Narrow"/>
          <w:highlight w:val="none"/>
          <w:lang w:eastAsia="zh-CN"/>
        </w:rPr>
        <w:t>网络检索</w:t>
      </w:r>
      <w:r>
        <w:rPr>
          <w:rFonts w:hint="default" w:ascii="Arial Narrow" w:hAnsi="Arial Narrow" w:eastAsia="仿宋_GB2312" w:cs="Arial Narrow"/>
          <w:highlight w:val="none"/>
        </w:rPr>
        <w:t>相关信息，对项目效果涉及的指标进行打分和评价。经过综合计分，效果指标得分为</w:t>
      </w:r>
      <w:r>
        <w:rPr>
          <w:rFonts w:hint="default" w:ascii="Arial Narrow" w:hAnsi="Arial Narrow" w:eastAsia="仿宋_GB2312" w:cs="Arial Narrow"/>
          <w:highlight w:val="none"/>
          <w:lang w:val="en-US" w:eastAsia="zh-CN"/>
        </w:rPr>
        <w:t>35.5</w:t>
      </w:r>
      <w:r>
        <w:rPr>
          <w:rFonts w:hint="default" w:ascii="Arial Narrow" w:hAnsi="Arial Narrow" w:eastAsia="仿宋_GB2312" w:cs="Arial Narrow"/>
          <w:highlight w:val="none"/>
        </w:rPr>
        <w:t>分，评价等级为优。</w:t>
      </w:r>
    </w:p>
    <w:p>
      <w:pPr>
        <w:numPr>
          <w:ilvl w:val="0"/>
          <w:numId w:val="12"/>
        </w:numPr>
        <w:snapToGrid w:val="0"/>
        <w:ind w:firstLine="480"/>
        <w:rPr>
          <w:rFonts w:hint="default" w:ascii="Arial Narrow" w:hAnsi="Arial Narrow" w:eastAsia="仿宋_GB2312" w:cs="Arial Narrow"/>
        </w:rPr>
      </w:pPr>
      <w:r>
        <w:rPr>
          <w:rFonts w:hint="default" w:ascii="Arial Narrow" w:hAnsi="Arial Narrow" w:eastAsia="仿宋_GB2312" w:cs="Arial Narrow"/>
        </w:rPr>
        <w:t>技术市场交易额增幅，</w:t>
      </w:r>
      <w:r>
        <w:rPr>
          <w:rFonts w:hint="default" w:ascii="Arial Narrow" w:hAnsi="Arial Narrow" w:eastAsia="仿宋_GB2312" w:cs="Arial Narrow"/>
          <w:lang w:eastAsia="zh-CN"/>
        </w:rPr>
        <w:t>指</w:t>
      </w:r>
      <w:r>
        <w:rPr>
          <w:rFonts w:hint="default" w:ascii="Arial Narrow" w:hAnsi="Arial Narrow" w:eastAsia="仿宋_GB2312" w:cs="Arial Narrow"/>
        </w:rPr>
        <w:t>项目实施后，技术市场交易额的增长情况，用以反映和考核项目的经济效益。评价小组</w:t>
      </w:r>
      <w:r>
        <w:rPr>
          <w:rFonts w:hint="default" w:ascii="Arial Narrow" w:hAnsi="Arial Narrow" w:eastAsia="仿宋_GB2312" w:cs="Arial Narrow"/>
          <w:lang w:eastAsia="zh-CN"/>
        </w:rPr>
        <w:t>通过查阅</w:t>
      </w:r>
      <w:r>
        <w:rPr>
          <w:rFonts w:hint="default" w:ascii="Arial Narrow" w:hAnsi="Arial Narrow" w:eastAsia="仿宋_GB2312" w:cs="Arial Narrow"/>
        </w:rPr>
        <w:t>武昌区2016年国民经济和社会发展统计公报</w:t>
      </w:r>
      <w:r>
        <w:rPr>
          <w:rFonts w:hint="default" w:ascii="Arial Narrow" w:hAnsi="Arial Narrow" w:eastAsia="仿宋_GB2312" w:cs="Arial Narrow"/>
          <w:lang w:eastAsia="zh-CN"/>
        </w:rPr>
        <w:t>和</w:t>
      </w:r>
      <w:r>
        <w:rPr>
          <w:rFonts w:hint="default" w:ascii="Arial Narrow" w:hAnsi="Arial Narrow" w:eastAsia="仿宋_GB2312" w:cs="Arial Narrow"/>
        </w:rPr>
        <w:t>中国技术市场管理促进中心-合同查询了解到，2016年技术市场交易登记额为33.5亿元，2017年技术市场交易登记额为35.8亿，增幅达6.87%。</w:t>
      </w:r>
    </w:p>
    <w:p>
      <w:pPr>
        <w:numPr>
          <w:ilvl w:val="0"/>
          <w:numId w:val="12"/>
        </w:numPr>
        <w:snapToGrid w:val="0"/>
        <w:ind w:firstLine="480"/>
        <w:rPr>
          <w:rFonts w:hint="default" w:ascii="Arial Narrow" w:hAnsi="Arial Narrow" w:eastAsia="仿宋_GB2312" w:cs="Arial Narrow"/>
        </w:rPr>
      </w:pPr>
      <w:r>
        <w:rPr>
          <w:rFonts w:hint="default" w:ascii="Arial Narrow" w:hAnsi="Arial Narrow" w:eastAsia="仿宋_GB2312" w:cs="Arial Narrow"/>
        </w:rPr>
        <w:t>高新技术企业收入增长率，指项目实施后，每年高新技术企业收入增长情况，用以反映和考核项目的经济效益。评价小组通过查看</w:t>
      </w:r>
      <w:r>
        <w:rPr>
          <w:rFonts w:hint="default" w:ascii="Arial Narrow" w:hAnsi="Arial Narrow" w:eastAsia="仿宋_GB2312" w:cs="Arial Narrow"/>
          <w:lang w:eastAsia="zh-CN"/>
        </w:rPr>
        <w:t>《</w:t>
      </w:r>
      <w:r>
        <w:rPr>
          <w:rFonts w:hint="default" w:ascii="Arial Narrow" w:hAnsi="Arial Narrow" w:eastAsia="仿宋_GB2312" w:cs="Arial Narrow"/>
        </w:rPr>
        <w:t>武昌区科产局关于政府工作报告的相关总结</w:t>
      </w:r>
      <w:r>
        <w:rPr>
          <w:rFonts w:hint="default" w:ascii="Arial Narrow" w:hAnsi="Arial Narrow" w:eastAsia="仿宋_GB2312" w:cs="Arial Narrow"/>
          <w:lang w:eastAsia="zh-CN"/>
        </w:rPr>
        <w:t>》和《</w:t>
      </w:r>
      <w:r>
        <w:rPr>
          <w:rFonts w:hint="default" w:ascii="Arial Narrow" w:hAnsi="Arial Narrow" w:eastAsia="仿宋_GB2312" w:cs="Arial Narrow"/>
        </w:rPr>
        <w:t>武昌区科产局2017年工作总结</w:t>
      </w:r>
      <w:r>
        <w:rPr>
          <w:rFonts w:hint="default" w:ascii="Arial Narrow" w:hAnsi="Arial Narrow" w:eastAsia="仿宋_GB2312" w:cs="Arial Narrow"/>
          <w:lang w:eastAsia="zh-CN"/>
        </w:rPr>
        <w:t>》</w:t>
      </w:r>
      <w:r>
        <w:rPr>
          <w:rFonts w:hint="default" w:ascii="Arial Narrow" w:hAnsi="Arial Narrow" w:eastAsia="仿宋_GB2312" w:cs="Arial Narrow"/>
        </w:rPr>
        <w:t>等资料了解到，2016年全区国家级高新技术企业数实现总收入334亿元，2017年高新技术企业总收入达459.66亿元，增幅达37.60%。</w:t>
      </w:r>
    </w:p>
    <w:p>
      <w:pPr>
        <w:numPr>
          <w:ilvl w:val="0"/>
          <w:numId w:val="12"/>
        </w:numPr>
        <w:snapToGrid w:val="0"/>
        <w:ind w:firstLine="480"/>
        <w:rPr>
          <w:rFonts w:hint="default" w:ascii="Arial Narrow" w:hAnsi="Arial Narrow" w:eastAsia="仿宋_GB2312" w:cs="Arial Narrow"/>
        </w:rPr>
      </w:pPr>
      <w:r>
        <w:rPr>
          <w:rFonts w:hint="default" w:ascii="Arial Narrow" w:hAnsi="Arial Narrow" w:eastAsia="仿宋_GB2312" w:cs="Arial Narrow"/>
        </w:rPr>
        <w:t>提供创业空间，指为降低大众参与创新创业的成本和门槛，项目实施单位是否提供了良好的工作空间、网络空间、社交空间和资源共享空间，用以反映和考核项目的社会效益。评价小组</w:t>
      </w:r>
      <w:r>
        <w:rPr>
          <w:rFonts w:hint="default" w:ascii="Arial Narrow" w:hAnsi="Arial Narrow" w:eastAsia="仿宋_GB2312" w:cs="Arial Narrow"/>
          <w:lang w:eastAsia="zh-CN"/>
        </w:rPr>
        <w:t>通过</w:t>
      </w:r>
      <w:r>
        <w:rPr>
          <w:rFonts w:hint="default" w:ascii="Arial Narrow" w:hAnsi="Arial Narrow" w:eastAsia="仿宋_GB2312" w:cs="Arial Narrow"/>
        </w:rPr>
        <w:t>对相关负责人的访谈</w:t>
      </w:r>
      <w:r>
        <w:rPr>
          <w:rFonts w:hint="default" w:ascii="Arial Narrow" w:hAnsi="Arial Narrow" w:eastAsia="仿宋_GB2312" w:cs="Arial Narrow"/>
          <w:lang w:eastAsia="zh-CN"/>
        </w:rPr>
        <w:t>和查阅相关项目资料</w:t>
      </w:r>
      <w:r>
        <w:rPr>
          <w:rFonts w:hint="default" w:ascii="Arial Narrow" w:hAnsi="Arial Narrow" w:eastAsia="仿宋_GB2312" w:cs="Arial Narrow"/>
        </w:rPr>
        <w:t>了解到，项目实施单位在区政务中心设立“百万大学生留汉创业就业服务专窗”</w:t>
      </w:r>
      <w:r>
        <w:rPr>
          <w:rFonts w:hint="default" w:ascii="Arial Narrow" w:hAnsi="Arial Narrow" w:eastAsia="仿宋_GB2312" w:cs="Arial Narrow"/>
          <w:lang w:eastAsia="zh-CN"/>
        </w:rPr>
        <w:t>，</w:t>
      </w:r>
      <w:r>
        <w:rPr>
          <w:rFonts w:hint="default" w:ascii="Arial Narrow" w:hAnsi="Arial Narrow" w:eastAsia="仿宋_GB2312" w:cs="Arial Narrow"/>
        </w:rPr>
        <w:t>2017年为64名大学生提供了免费创业工位；打造了太库武汉孵化器、珞珈创谷两家双创空间，提供</w:t>
      </w:r>
      <w:r>
        <w:rPr>
          <w:rFonts w:hint="default" w:ascii="Arial Narrow" w:hAnsi="Arial Narrow" w:eastAsia="仿宋_GB2312" w:cs="Arial Narrow"/>
          <w:lang w:eastAsia="zh-CN"/>
        </w:rPr>
        <w:t>了</w:t>
      </w:r>
      <w:r>
        <w:rPr>
          <w:rFonts w:hint="default" w:ascii="Arial Narrow" w:hAnsi="Arial Narrow" w:eastAsia="仿宋_GB2312" w:cs="Arial Narrow"/>
        </w:rPr>
        <w:t>优质的创业基地</w:t>
      </w:r>
      <w:r>
        <w:rPr>
          <w:rFonts w:hint="default" w:ascii="Arial Narrow" w:hAnsi="Arial Narrow" w:eastAsia="仿宋_GB2312" w:cs="Arial Narrow"/>
          <w:lang w:eastAsia="zh-CN"/>
        </w:rPr>
        <w:t>；</w:t>
      </w:r>
      <w:r>
        <w:rPr>
          <w:rFonts w:hint="default" w:ascii="Arial Narrow" w:hAnsi="Arial Narrow" w:eastAsia="仿宋_GB2312" w:cs="Arial Narrow"/>
        </w:rPr>
        <w:t>与学校紧密对接，提供优秀的创业导师，</w:t>
      </w:r>
      <w:r>
        <w:rPr>
          <w:rFonts w:hint="default" w:ascii="Arial Narrow" w:hAnsi="Arial Narrow" w:eastAsia="仿宋_GB2312" w:cs="Arial Narrow"/>
          <w:lang w:eastAsia="zh-CN"/>
        </w:rPr>
        <w:t>举办成果转化创业辅导活动，邀请企业投资高管为武大创业教师计团队提供创业辅导，2017年有20个创业项目获得3-8万元的青桐计划大学生创业项目补贴，给</w:t>
      </w:r>
      <w:r>
        <w:rPr>
          <w:rFonts w:hint="default" w:ascii="Arial Narrow" w:hAnsi="Arial Narrow" w:eastAsia="仿宋_GB2312" w:cs="Arial Narrow"/>
        </w:rPr>
        <w:t>创业者提供理论、技术、资金等多方位支持</w:t>
      </w:r>
      <w:r>
        <w:rPr>
          <w:rFonts w:hint="default" w:ascii="Arial Narrow" w:hAnsi="Arial Narrow" w:eastAsia="仿宋_GB2312" w:cs="Arial Narrow"/>
          <w:lang w:eastAsia="zh-CN"/>
        </w:rPr>
        <w:t>。</w:t>
      </w:r>
    </w:p>
    <w:p>
      <w:pPr>
        <w:numPr>
          <w:ilvl w:val="0"/>
          <w:numId w:val="12"/>
        </w:numPr>
        <w:snapToGrid w:val="0"/>
        <w:ind w:firstLine="480"/>
        <w:rPr>
          <w:rFonts w:hint="default" w:ascii="Arial Narrow" w:hAnsi="Arial Narrow" w:eastAsia="仿宋_GB2312" w:cs="Arial Narrow"/>
          <w:b w:val="0"/>
          <w:bCs w:val="0"/>
        </w:rPr>
      </w:pPr>
      <w:r>
        <w:rPr>
          <w:rFonts w:hint="default" w:ascii="Arial Narrow" w:hAnsi="Arial Narrow" w:eastAsia="仿宋_GB2312" w:cs="Arial Narrow"/>
        </w:rPr>
        <w:t>科技创新能力提升度，指项目实施后，武昌区高新企业、企业研究开发中心较上年相比是否有所增加，是否对相关企业进行培训，用以反映和考核项目单位对武昌区科研能力提升的促进作用。评价小组</w:t>
      </w:r>
      <w:r>
        <w:rPr>
          <w:rFonts w:hint="default" w:ascii="Arial Narrow" w:hAnsi="Arial Narrow" w:eastAsia="仿宋_GB2312" w:cs="Arial Narrow"/>
          <w:lang w:eastAsia="zh-CN"/>
        </w:rPr>
        <w:t>通过</w:t>
      </w:r>
      <w:r>
        <w:rPr>
          <w:rFonts w:hint="default" w:ascii="Arial Narrow" w:hAnsi="Arial Narrow" w:eastAsia="仿宋_GB2312" w:cs="Arial Narrow"/>
        </w:rPr>
        <w:t>对相关负责人的访谈</w:t>
      </w:r>
      <w:r>
        <w:rPr>
          <w:rFonts w:hint="default" w:ascii="Arial Narrow" w:hAnsi="Arial Narrow" w:eastAsia="仿宋_GB2312" w:cs="Arial Narrow"/>
          <w:lang w:eastAsia="zh-CN"/>
        </w:rPr>
        <w:t>和查阅相关项目资料</w:t>
      </w:r>
      <w:r>
        <w:rPr>
          <w:rFonts w:hint="default" w:ascii="Arial Narrow" w:hAnsi="Arial Narrow" w:eastAsia="仿宋_GB2312" w:cs="Arial Narrow"/>
        </w:rPr>
        <w:t>了解到，2017年武昌区科产局推荐了9家申报成为市级企业研发中心的单位，经第三方服务机构实地核查，最终均申报成功；新增</w:t>
      </w:r>
      <w:r>
        <w:rPr>
          <w:rFonts w:hint="default" w:ascii="Arial Narrow" w:hAnsi="Arial Narrow" w:eastAsia="仿宋_GB2312" w:cs="Arial Narrow"/>
          <w:lang w:eastAsia="zh-CN"/>
        </w:rPr>
        <w:t>了</w:t>
      </w:r>
      <w:r>
        <w:rPr>
          <w:rFonts w:hint="default" w:ascii="Arial Narrow" w:hAnsi="Arial Narrow" w:eastAsia="仿宋_GB2312" w:cs="Arial Narrow"/>
        </w:rPr>
        <w:t>53家高新技术企业，其中27家为新获批的国家高新技术企业，13家企业通过复审及重新申报获批国家高新技术企业；项目单位于2017年2月、3月分别召开了高新企业统计工作培训和武昌区科技扶持政策宣传培训工作会议，对重新申报和拟申报高</w:t>
      </w:r>
      <w:r>
        <w:rPr>
          <w:rFonts w:hint="default" w:ascii="Arial Narrow" w:hAnsi="Arial Narrow" w:eastAsia="仿宋_GB2312" w:cs="Arial Narrow"/>
          <w:b w:val="0"/>
          <w:bCs w:val="0"/>
        </w:rPr>
        <w:t>新企业讲解了扶持政策、统计、认定需注意事项、税收减免政策</w:t>
      </w:r>
      <w:r>
        <w:rPr>
          <w:rFonts w:hint="default" w:ascii="Arial Narrow" w:hAnsi="Arial Narrow" w:eastAsia="仿宋_GB2312" w:cs="Arial Narrow"/>
          <w:b w:val="0"/>
          <w:bCs w:val="0"/>
          <w:lang w:eastAsia="zh-CN"/>
        </w:rPr>
        <w:t>。</w:t>
      </w:r>
    </w:p>
    <w:p>
      <w:pPr>
        <w:numPr>
          <w:ilvl w:val="0"/>
          <w:numId w:val="12"/>
        </w:numPr>
        <w:snapToGrid w:val="0"/>
        <w:ind w:firstLine="480"/>
        <w:rPr>
          <w:rFonts w:hint="default" w:ascii="Arial Narrow" w:hAnsi="Arial Narrow" w:eastAsia="仿宋_GB2312" w:cs="Arial Narrow"/>
          <w:b w:val="0"/>
          <w:bCs w:val="0"/>
        </w:rPr>
      </w:pPr>
      <w:r>
        <w:rPr>
          <w:rFonts w:hint="default" w:ascii="Arial Narrow" w:hAnsi="Arial Narrow" w:eastAsia="仿宋_GB2312" w:cs="Arial Narrow"/>
          <w:b w:val="0"/>
          <w:bCs w:val="0"/>
        </w:rPr>
        <w:t>营造创新创业文化氛围，指项目实施单位是否采取多种宣传方式、出台补贴政策，努力营造创新创业氛围，吸引人才、企业落户武昌。评价小组</w:t>
      </w:r>
      <w:r>
        <w:rPr>
          <w:rFonts w:hint="default" w:ascii="Arial Narrow" w:hAnsi="Arial Narrow" w:eastAsia="仿宋_GB2312" w:cs="Arial Narrow"/>
          <w:b w:val="0"/>
          <w:bCs w:val="0"/>
          <w:lang w:eastAsia="zh-CN"/>
        </w:rPr>
        <w:t>通过</w:t>
      </w:r>
      <w:r>
        <w:rPr>
          <w:rFonts w:hint="default" w:ascii="Arial Narrow" w:hAnsi="Arial Narrow" w:eastAsia="仿宋_GB2312" w:cs="Arial Narrow"/>
          <w:b w:val="0"/>
          <w:bCs w:val="0"/>
        </w:rPr>
        <w:t>对相关负责人的访谈</w:t>
      </w:r>
      <w:r>
        <w:rPr>
          <w:rFonts w:hint="default" w:ascii="Arial Narrow" w:hAnsi="Arial Narrow" w:eastAsia="仿宋_GB2312" w:cs="Arial Narrow"/>
          <w:b w:val="0"/>
          <w:bCs w:val="0"/>
          <w:lang w:eastAsia="zh-CN"/>
        </w:rPr>
        <w:t>和查阅相关项目资料</w:t>
      </w:r>
      <w:r>
        <w:rPr>
          <w:rFonts w:hint="default" w:ascii="Arial Narrow" w:hAnsi="Arial Narrow" w:eastAsia="仿宋_GB2312" w:cs="Arial Narrow"/>
          <w:b w:val="0"/>
          <w:bCs w:val="0"/>
        </w:rPr>
        <w:t>了解到，项目实施单位推动招才引智，落实武汉人才政策，于2017年4月1日在武汉大学开展了“百万大学生留汉创业就业计划”宣讲活动，针对在校大学生，对区情介绍、政策宣讲；双创大赛及双创周活动得到新闻媒体的争相报道，吸引了来自上海、北京、武汉、新疆、荆门等地120左右创新创业项目报名；协助举办了第二届中国印刷信息与智能化高峰论坛，传统胶印企业、印刷代理企业、智能化企业等</w:t>
      </w:r>
      <w:r>
        <w:rPr>
          <w:rFonts w:hint="default" w:ascii="Arial Narrow" w:hAnsi="Arial Narrow" w:eastAsia="仿宋_GB2312" w:cs="Arial Narrow"/>
          <w:b w:val="0"/>
          <w:bCs w:val="0"/>
          <w:lang w:eastAsia="zh-CN"/>
        </w:rPr>
        <w:t>共同探讨</w:t>
      </w:r>
      <w:r>
        <w:rPr>
          <w:rFonts w:hint="default" w:ascii="Arial Narrow" w:hAnsi="Arial Narrow" w:eastAsia="仿宋_GB2312" w:cs="Arial Narrow"/>
          <w:b w:val="0"/>
          <w:bCs w:val="0"/>
        </w:rPr>
        <w:t>论印刷时代的发展</w:t>
      </w:r>
      <w:r>
        <w:rPr>
          <w:rFonts w:hint="default" w:ascii="Arial Narrow" w:hAnsi="Arial Narrow" w:eastAsia="仿宋_GB2312" w:cs="Arial Narrow"/>
          <w:b w:val="0"/>
          <w:bCs w:val="0"/>
          <w:lang w:eastAsia="zh-CN"/>
        </w:rPr>
        <w:t>；</w:t>
      </w:r>
      <w:r>
        <w:rPr>
          <w:rFonts w:hint="default" w:ascii="Arial Narrow" w:hAnsi="Arial Narrow" w:eastAsia="仿宋_GB2312" w:cs="Arial Narrow"/>
          <w:b w:val="0"/>
          <w:bCs w:val="0"/>
        </w:rPr>
        <w:t>委托杨园科技创业园承办了海归创业沙龙活动，吸引海外高端人才回汉创新创业。</w:t>
      </w:r>
    </w:p>
    <w:p>
      <w:pPr>
        <w:numPr>
          <w:ilvl w:val="0"/>
          <w:numId w:val="12"/>
        </w:numPr>
        <w:snapToGrid w:val="0"/>
        <w:ind w:firstLine="480"/>
        <w:rPr>
          <w:rFonts w:hint="default" w:ascii="Arial Narrow" w:hAnsi="Arial Narrow" w:eastAsia="仿宋_GB2312" w:cs="Arial Narrow"/>
          <w:b w:val="0"/>
          <w:bCs w:val="0"/>
        </w:rPr>
      </w:pPr>
      <w:r>
        <w:rPr>
          <w:rFonts w:hint="default" w:ascii="Arial Narrow" w:hAnsi="Arial Narrow" w:eastAsia="仿宋_GB2312" w:cs="Arial Narrow"/>
          <w:b w:val="0"/>
          <w:bCs w:val="0"/>
        </w:rPr>
        <w:t>立体创业创新服务机制，指项目实施单位是否在服务区域内外，有效拓展了创业创新与市场资源、社会需求的对接通道，搭建了多方参与的高效协同机制，为社会大众广泛参与创业创新提供了更多元的途径。评价小组</w:t>
      </w:r>
      <w:r>
        <w:rPr>
          <w:rFonts w:hint="default" w:ascii="Arial Narrow" w:hAnsi="Arial Narrow" w:eastAsia="仿宋_GB2312" w:cs="Arial Narrow"/>
          <w:b w:val="0"/>
          <w:bCs w:val="0"/>
          <w:lang w:eastAsia="zh-CN"/>
        </w:rPr>
        <w:t>通过网络检索相关项目资料和查阅会计凭证</w:t>
      </w:r>
      <w:r>
        <w:rPr>
          <w:rFonts w:hint="default" w:ascii="Arial Narrow" w:hAnsi="Arial Narrow" w:eastAsia="仿宋_GB2312" w:cs="Arial Narrow"/>
          <w:b w:val="0"/>
          <w:bCs w:val="0"/>
        </w:rPr>
        <w:t>了解到，2017年7月项目单位参与的武昌区环保产业联盟产、学、研对接会议增强了大家的沟通联系，为企业与高校技术对接提供了机会；建立了车联网产业联盟微信公众号，由数家公司牵头，相关优势企业、高校计科研机构共同发起，促进了公司、学校、科研机构相互合作</w:t>
      </w:r>
      <w:r>
        <w:rPr>
          <w:rFonts w:hint="default" w:ascii="Arial Narrow" w:hAnsi="Arial Narrow" w:eastAsia="仿宋_GB2312" w:cs="Arial Narrow"/>
          <w:b w:val="0"/>
          <w:bCs w:val="0"/>
          <w:lang w:eastAsia="zh-CN"/>
        </w:rPr>
        <w:t>；</w:t>
      </w:r>
      <w:r>
        <w:rPr>
          <w:rFonts w:hint="default" w:ascii="Arial Narrow" w:hAnsi="Arial Narrow" w:eastAsia="仿宋_GB2312" w:cs="Arial Narrow"/>
          <w:b w:val="0"/>
          <w:bCs w:val="0"/>
        </w:rPr>
        <w:t>此外，项目单位先后赴北京、上海、江苏等地进行考察，引进企业落户武昌，建立起外地高端企业与本地企业的合作关系。</w:t>
      </w:r>
    </w:p>
    <w:p>
      <w:pPr>
        <w:numPr>
          <w:ilvl w:val="0"/>
          <w:numId w:val="12"/>
        </w:numPr>
        <w:snapToGrid w:val="0"/>
        <w:ind w:firstLine="480"/>
        <w:rPr>
          <w:rFonts w:hint="default" w:ascii="Arial Narrow" w:hAnsi="Arial Narrow" w:eastAsia="仿宋_GB2312" w:cs="Arial Narrow"/>
          <w:b w:val="0"/>
          <w:bCs w:val="0"/>
          <w:color w:val="000000"/>
        </w:rPr>
      </w:pPr>
      <w:r>
        <w:rPr>
          <w:rFonts w:hint="default" w:ascii="Arial Narrow" w:hAnsi="Arial Narrow" w:eastAsia="仿宋_GB2312" w:cs="Arial Narrow"/>
          <w:b w:val="0"/>
          <w:bCs w:val="0"/>
        </w:rPr>
        <w:t>服务对象满意度，指办事民众、企业对项目实施单位办事效率、服务态度、执法规范等方面的整体满意程度。价小组</w:t>
      </w:r>
      <w:r>
        <w:rPr>
          <w:rFonts w:hint="default" w:ascii="Arial Narrow" w:hAnsi="Arial Narrow" w:eastAsia="仿宋_GB2312" w:cs="Arial Narrow"/>
          <w:b w:val="0"/>
          <w:bCs w:val="0"/>
          <w:lang w:eastAsia="zh-CN"/>
        </w:rPr>
        <w:t>通过网络搜索相关项目资料和现场访谈</w:t>
      </w:r>
      <w:r>
        <w:rPr>
          <w:rFonts w:hint="default" w:ascii="Arial Narrow" w:hAnsi="Arial Narrow" w:eastAsia="仿宋_GB2312" w:cs="Arial Narrow"/>
          <w:b w:val="0"/>
          <w:bCs w:val="0"/>
        </w:rPr>
        <w:t>了解到，</w:t>
      </w:r>
      <w:r>
        <w:rPr>
          <w:rFonts w:hint="default" w:ascii="Arial Narrow" w:hAnsi="Arial Narrow" w:eastAsia="仿宋_GB2312" w:cs="Arial Narrow"/>
          <w:b w:val="0"/>
          <w:bCs w:val="0"/>
          <w:color w:val="000000"/>
        </w:rPr>
        <w:t>项目单位2017年度未开展办事满意评价活动，今年响应2018年度全市机关中层处（科）室和基层站所评议“十优满意单位”“十差不满意单位”工作，前来武昌区科产局办事的民众可通过扫描各科室门前的二维码进入评议界面，对该科室办事服务进行评价。由于参评单位无法查看评价结果，故根据该项指标与其他指标权重比例，计算指标得分为5.5</w:t>
      </w:r>
      <w:r>
        <w:rPr>
          <w:rFonts w:hint="eastAsia" w:ascii="Arial Narrow" w:hAnsi="Arial Narrow" w:cs="Arial Narrow"/>
          <w:b w:val="0"/>
          <w:bCs w:val="0"/>
          <w:color w:val="000000"/>
          <w:lang w:val="en-US" w:eastAsia="zh-CN"/>
        </w:rPr>
        <w:t>分</w:t>
      </w:r>
      <w:r>
        <w:rPr>
          <w:rFonts w:hint="default" w:ascii="Arial Narrow" w:hAnsi="Arial Narrow" w:eastAsia="仿宋_GB2312" w:cs="Arial Narrow"/>
          <w:b w:val="0"/>
          <w:bCs w:val="0"/>
          <w:color w:val="000000"/>
        </w:rPr>
        <w:t>。</w:t>
      </w:r>
    </w:p>
    <w:p>
      <w:pPr>
        <w:keepNext w:val="0"/>
        <w:keepLines w:val="0"/>
        <w:pageBreakBefore w:val="0"/>
        <w:widowControl w:val="0"/>
        <w:kinsoku/>
        <w:wordWrap/>
        <w:overflowPunct/>
        <w:topLinePunct w:val="0"/>
        <w:autoSpaceDE/>
        <w:autoSpaceDN/>
        <w:bidi w:val="0"/>
        <w:adjustRightInd/>
        <w:snapToGrid w:val="0"/>
        <w:ind w:firstLine="482"/>
        <w:textAlignment w:val="auto"/>
        <w:outlineLvl w:val="0"/>
        <w:rPr>
          <w:rFonts w:hint="default" w:ascii="Arial Narrow" w:hAnsi="Arial Narrow" w:eastAsia="仿宋_GB2312" w:cs="Arial Narrow"/>
          <w:b/>
          <w:bCs/>
        </w:rPr>
      </w:pPr>
      <w:bookmarkStart w:id="88" w:name="_Toc6961"/>
      <w:r>
        <w:rPr>
          <w:rFonts w:hint="default" w:ascii="Arial Narrow" w:hAnsi="Arial Narrow" w:eastAsia="仿宋_GB2312" w:cs="Arial Narrow"/>
          <w:b/>
          <w:bCs/>
        </w:rPr>
        <w:t>四、评价结论</w:t>
      </w:r>
      <w:bookmarkEnd w:id="81"/>
      <w:bookmarkEnd w:id="82"/>
      <w:bookmarkEnd w:id="83"/>
      <w:bookmarkEnd w:id="84"/>
      <w:bookmarkEnd w:id="85"/>
      <w:bookmarkEnd w:id="86"/>
      <w:bookmarkEnd w:id="88"/>
      <w:bookmarkStart w:id="89" w:name="_Toc361302039"/>
      <w:bookmarkStart w:id="90" w:name="_Toc361304702"/>
    </w:p>
    <w:bookmarkEnd w:id="89"/>
    <w:bookmarkEnd w:id="90"/>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bCs/>
        </w:rPr>
      </w:pPr>
      <w:bookmarkStart w:id="91" w:name="_Toc10203"/>
      <w:r>
        <w:rPr>
          <w:rFonts w:hint="default" w:ascii="Arial Narrow" w:hAnsi="Arial Narrow" w:eastAsia="仿宋_GB2312" w:cs="Arial Narrow"/>
          <w:b/>
          <w:bCs/>
        </w:rPr>
        <w:t>（一）评分结果</w:t>
      </w:r>
      <w:bookmarkEnd w:id="91"/>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bookmarkStart w:id="92" w:name="_Toc361304705"/>
      <w:bookmarkStart w:id="93" w:name="_Toc406668054"/>
      <w:bookmarkStart w:id="94" w:name="_Toc406666380"/>
      <w:bookmarkStart w:id="95" w:name="_Toc387957829"/>
      <w:r>
        <w:rPr>
          <w:rFonts w:hint="default" w:ascii="Arial Narrow" w:hAnsi="Arial Narrow" w:eastAsia="仿宋_GB2312" w:cs="Arial Narrow"/>
        </w:rPr>
        <w:t>“</w:t>
      </w:r>
      <w:r>
        <w:rPr>
          <w:rFonts w:hint="default" w:ascii="Arial Narrow" w:hAnsi="Arial Narrow" w:eastAsia="仿宋_GB2312" w:cs="Arial Narrow"/>
          <w:lang w:eastAsia="zh-CN"/>
        </w:rPr>
        <w:t>计划管理费项目</w:t>
      </w:r>
      <w:r>
        <w:rPr>
          <w:rFonts w:hint="default" w:ascii="Arial Narrow" w:hAnsi="Arial Narrow" w:eastAsia="仿宋_GB2312" w:cs="Arial Narrow"/>
        </w:rPr>
        <w:t>”绩效评价得分为</w:t>
      </w:r>
      <w:r>
        <w:rPr>
          <w:rFonts w:hint="eastAsia" w:ascii="Arial Narrow" w:hAnsi="Arial Narrow" w:cs="Arial Narrow"/>
          <w:lang w:val="en-US" w:eastAsia="zh-CN"/>
        </w:rPr>
        <w:t>94.5</w:t>
      </w:r>
      <w:r>
        <w:rPr>
          <w:rFonts w:hint="default" w:ascii="Arial Narrow" w:hAnsi="Arial Narrow" w:eastAsia="仿宋_GB2312" w:cs="Arial Narrow"/>
        </w:rPr>
        <w:t>分，其中投入得分1</w:t>
      </w:r>
      <w:r>
        <w:rPr>
          <w:rFonts w:hint="default" w:ascii="Arial Narrow" w:hAnsi="Arial Narrow" w:eastAsia="仿宋_GB2312" w:cs="Arial Narrow"/>
          <w:lang w:val="en-US" w:eastAsia="zh-CN"/>
        </w:rPr>
        <w:t>0.5</w:t>
      </w:r>
      <w:r>
        <w:rPr>
          <w:rFonts w:hint="default" w:ascii="Arial Narrow" w:hAnsi="Arial Narrow" w:eastAsia="仿宋_GB2312" w:cs="Arial Narrow"/>
        </w:rPr>
        <w:t>分，过程得分2</w:t>
      </w:r>
      <w:r>
        <w:rPr>
          <w:rFonts w:hint="default" w:ascii="Arial Narrow" w:hAnsi="Arial Narrow" w:eastAsia="仿宋_GB2312" w:cs="Arial Narrow"/>
          <w:lang w:val="en-US" w:eastAsia="zh-CN"/>
        </w:rPr>
        <w:t>4</w:t>
      </w:r>
      <w:r>
        <w:rPr>
          <w:rFonts w:hint="default" w:ascii="Arial Narrow" w:hAnsi="Arial Narrow" w:eastAsia="仿宋_GB2312" w:cs="Arial Narrow"/>
        </w:rPr>
        <w:t>分，产出得分24</w:t>
      </w:r>
      <w:r>
        <w:rPr>
          <w:rFonts w:hint="default" w:ascii="Arial Narrow" w:hAnsi="Arial Narrow" w:eastAsia="仿宋_GB2312" w:cs="Arial Narrow"/>
          <w:lang w:val="en-US" w:eastAsia="zh-CN"/>
        </w:rPr>
        <w:t>.5</w:t>
      </w:r>
      <w:r>
        <w:rPr>
          <w:rFonts w:hint="default" w:ascii="Arial Narrow" w:hAnsi="Arial Narrow" w:eastAsia="仿宋_GB2312" w:cs="Arial Narrow"/>
        </w:rPr>
        <w:t>分，效果得分</w:t>
      </w:r>
      <w:r>
        <w:rPr>
          <w:rFonts w:hint="default" w:ascii="Arial Narrow" w:hAnsi="Arial Narrow" w:eastAsia="仿宋_GB2312" w:cs="Arial Narrow"/>
          <w:lang w:val="en-US" w:eastAsia="zh-CN"/>
        </w:rPr>
        <w:t>35.5</w:t>
      </w:r>
      <w:r>
        <w:rPr>
          <w:rFonts w:hint="default" w:ascii="Arial Narrow" w:hAnsi="Arial Narrow" w:eastAsia="仿宋_GB2312" w:cs="Arial Narrow"/>
        </w:rPr>
        <w:t>分。</w:t>
      </w:r>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rPr>
      </w:pPr>
      <w:r>
        <w:rPr>
          <w:rFonts w:hint="default" w:ascii="Arial Narrow" w:hAnsi="Arial Narrow" w:eastAsia="仿宋_GB2312" w:cs="Arial Narrow"/>
        </w:rPr>
        <w:t>下图为各指标得分情况：</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Arial Narrow" w:hAnsi="Arial Narrow" w:eastAsia="仿宋_GB2312" w:cs="Arial Narrow"/>
        </w:rPr>
      </w:pPr>
      <w:r>
        <w:drawing>
          <wp:inline distT="0" distB="0" distL="114300" distR="114300">
            <wp:extent cx="5278120" cy="3740785"/>
            <wp:effectExtent l="4445" t="4445" r="13335" b="1397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keepNext w:val="0"/>
        <w:keepLines w:val="0"/>
        <w:pageBreakBefore w:val="0"/>
        <w:widowControl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bCs/>
          <w:highlight w:val="none"/>
        </w:rPr>
      </w:pPr>
      <w:bookmarkStart w:id="96" w:name="_Toc30086"/>
      <w:r>
        <w:rPr>
          <w:rFonts w:hint="default" w:ascii="Arial Narrow" w:hAnsi="Arial Narrow" w:eastAsia="仿宋_GB2312" w:cs="Arial Narrow"/>
          <w:b/>
          <w:bCs/>
        </w:rPr>
        <w:t>（二）</w:t>
      </w:r>
      <w:r>
        <w:rPr>
          <w:rFonts w:hint="default" w:ascii="Arial Narrow" w:hAnsi="Arial Narrow" w:eastAsia="仿宋_GB2312" w:cs="Arial Narrow"/>
          <w:b/>
          <w:bCs/>
          <w:highlight w:val="none"/>
        </w:rPr>
        <w:t>主要结论</w:t>
      </w:r>
      <w:bookmarkEnd w:id="96"/>
    </w:p>
    <w:p>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highlight w:val="none"/>
          <w:lang w:val="en-US" w:eastAsia="zh-CN"/>
        </w:rPr>
      </w:pPr>
      <w:bookmarkStart w:id="97" w:name="_Toc14373"/>
      <w:r>
        <w:rPr>
          <w:rFonts w:hint="default" w:ascii="Arial Narrow" w:hAnsi="Arial Narrow" w:eastAsia="仿宋_GB2312" w:cs="Arial Narrow"/>
          <w:highlight w:val="none"/>
        </w:rPr>
        <w:t>1、投入。项目投入评价得分为</w:t>
      </w:r>
      <w:r>
        <w:rPr>
          <w:rFonts w:hint="default" w:ascii="Arial Narrow" w:hAnsi="Arial Narrow" w:eastAsia="仿宋_GB2312" w:cs="Arial Narrow"/>
          <w:highlight w:val="none"/>
          <w:lang w:val="en-US" w:eastAsia="zh-CN"/>
        </w:rPr>
        <w:t>1</w:t>
      </w:r>
      <w:r>
        <w:rPr>
          <w:rFonts w:hint="eastAsia" w:ascii="Arial Narrow" w:hAnsi="Arial Narrow" w:cs="Arial Narrow"/>
          <w:highlight w:val="none"/>
          <w:lang w:val="en-US" w:eastAsia="zh-CN"/>
        </w:rPr>
        <w:t>1</w:t>
      </w:r>
      <w:r>
        <w:rPr>
          <w:rFonts w:hint="default" w:ascii="Arial Narrow" w:hAnsi="Arial Narrow" w:eastAsia="仿宋_GB2312" w:cs="Arial Narrow"/>
          <w:highlight w:val="none"/>
        </w:rPr>
        <w:t>分，评价等级为</w:t>
      </w:r>
      <w:r>
        <w:rPr>
          <w:rFonts w:hint="eastAsia" w:ascii="Arial Narrow" w:hAnsi="Arial Narrow" w:cs="Arial Narrow"/>
          <w:highlight w:val="none"/>
          <w:lang w:val="en-US" w:eastAsia="zh-CN"/>
        </w:rPr>
        <w:t>优</w:t>
      </w:r>
      <w:r>
        <w:rPr>
          <w:rFonts w:hint="default" w:ascii="Arial Narrow" w:hAnsi="Arial Narrow" w:eastAsia="仿宋_GB2312" w:cs="Arial Narrow"/>
          <w:highlight w:val="none"/>
        </w:rPr>
        <w:t>。项目投入分为项目立项、资金落实</w:t>
      </w:r>
      <w:r>
        <w:rPr>
          <w:rFonts w:hint="default" w:ascii="Arial Narrow" w:hAnsi="Arial Narrow" w:eastAsia="仿宋_GB2312" w:cs="Arial Narrow"/>
          <w:highlight w:val="none"/>
          <w:lang w:val="en-US" w:eastAsia="zh-CN"/>
        </w:rPr>
        <w:t>两</w:t>
      </w:r>
      <w:r>
        <w:rPr>
          <w:rFonts w:hint="default" w:ascii="Arial Narrow" w:hAnsi="Arial Narrow" w:eastAsia="仿宋_GB2312" w:cs="Arial Narrow"/>
          <w:highlight w:val="none"/>
        </w:rPr>
        <w:t>个方面，根据</w:t>
      </w:r>
      <w:r>
        <w:rPr>
          <w:rFonts w:hint="default" w:ascii="Arial Narrow" w:hAnsi="Arial Narrow" w:eastAsia="仿宋_GB2312" w:cs="Arial Narrow"/>
          <w:highlight w:val="none"/>
          <w:lang w:val="en-US" w:eastAsia="zh-CN"/>
        </w:rPr>
        <w:t>部门预算批复文件和年度工作安排，评价小组</w:t>
      </w:r>
      <w:r>
        <w:rPr>
          <w:rFonts w:hint="default" w:ascii="Arial Narrow" w:hAnsi="Arial Narrow" w:eastAsia="仿宋_GB2312" w:cs="Arial Narrow"/>
          <w:highlight w:val="none"/>
        </w:rPr>
        <w:t>了解到项目符合申报条件，申报、批复程序符合相关管理办法，但</w:t>
      </w:r>
      <w:r>
        <w:rPr>
          <w:rFonts w:hint="default" w:ascii="Arial Narrow" w:hAnsi="Arial Narrow" w:eastAsia="仿宋_GB2312" w:cs="Arial Narrow"/>
          <w:highlight w:val="none"/>
          <w:lang w:val="en-US" w:eastAsia="zh-CN"/>
        </w:rPr>
        <w:t>项目内容与具体执行科室有所不符，且年初未设立项目绩效指标，故无法评价</w:t>
      </w:r>
      <w:r>
        <w:rPr>
          <w:rFonts w:hint="default" w:ascii="Arial Narrow" w:hAnsi="Arial Narrow" w:eastAsia="仿宋_GB2312" w:cs="Arial Narrow"/>
          <w:highlight w:val="none"/>
        </w:rPr>
        <w:t>指标</w:t>
      </w:r>
      <w:r>
        <w:rPr>
          <w:rFonts w:hint="default" w:ascii="Arial Narrow" w:hAnsi="Arial Narrow" w:eastAsia="仿宋_GB2312" w:cs="Arial Narrow"/>
          <w:highlight w:val="none"/>
          <w:lang w:val="en-US" w:eastAsia="zh-CN"/>
        </w:rPr>
        <w:t>是否合理、</w:t>
      </w:r>
      <w:r>
        <w:rPr>
          <w:rFonts w:hint="default" w:ascii="Arial Narrow" w:hAnsi="Arial Narrow" w:eastAsia="仿宋_GB2312" w:cs="Arial Narrow"/>
          <w:highlight w:val="none"/>
        </w:rPr>
        <w:t>可衡量；项目资金及时到位，</w:t>
      </w:r>
      <w:r>
        <w:rPr>
          <w:rFonts w:hint="default" w:ascii="Arial Narrow" w:hAnsi="Arial Narrow" w:eastAsia="仿宋_GB2312" w:cs="Arial Narrow"/>
          <w:highlight w:val="none"/>
          <w:lang w:val="en-US" w:eastAsia="zh-CN"/>
        </w:rPr>
        <w:t>对项目进度</w:t>
      </w:r>
      <w:r>
        <w:rPr>
          <w:rFonts w:hint="default" w:ascii="Arial Narrow" w:hAnsi="Arial Narrow" w:eastAsia="仿宋_GB2312" w:cs="Arial Narrow"/>
          <w:highlight w:val="none"/>
        </w:rPr>
        <w:t>未</w:t>
      </w:r>
      <w:r>
        <w:rPr>
          <w:rFonts w:hint="default" w:ascii="Arial Narrow" w:hAnsi="Arial Narrow" w:eastAsia="仿宋_GB2312" w:cs="Arial Narrow"/>
          <w:highlight w:val="none"/>
          <w:lang w:val="en-US" w:eastAsia="zh-CN"/>
        </w:rPr>
        <w:t>产生不利影响</w:t>
      </w:r>
      <w:r>
        <w:rPr>
          <w:rFonts w:hint="default" w:ascii="Arial Narrow" w:hAnsi="Arial Narrow" w:eastAsia="仿宋_GB2312" w:cs="Arial Narrow"/>
          <w:highlight w:val="none"/>
        </w:rPr>
        <w:t>。</w:t>
      </w:r>
    </w:p>
    <w:p>
      <w:pPr>
        <w:pStyle w:val="6"/>
        <w:keepNext w:val="0"/>
        <w:keepLines w:val="0"/>
        <w:pageBreakBefore w:val="0"/>
        <w:widowControl w:val="0"/>
        <w:kinsoku/>
        <w:wordWrap/>
        <w:overflowPunct/>
        <w:topLinePunct w:val="0"/>
        <w:autoSpaceDE/>
        <w:autoSpaceDN/>
        <w:bidi w:val="0"/>
        <w:adjustRightInd/>
        <w:snapToGrid w:val="0"/>
        <w:textAlignment w:val="auto"/>
        <w:outlineLvl w:val="9"/>
        <w:rPr>
          <w:rFonts w:hint="default" w:ascii="Arial Narrow" w:hAnsi="Arial Narrow" w:eastAsia="仿宋_GB2312" w:cs="Arial Narrow"/>
          <w:b w:val="0"/>
          <w:bCs w:val="0"/>
          <w:kern w:val="2"/>
          <w:sz w:val="24"/>
          <w:szCs w:val="24"/>
          <w:highlight w:val="none"/>
          <w:lang w:val="en-US" w:eastAsia="zh-CN" w:bidi="ar-SA"/>
        </w:rPr>
      </w:pPr>
      <w:r>
        <w:rPr>
          <w:rFonts w:hint="default" w:ascii="Arial Narrow" w:hAnsi="Arial Narrow" w:eastAsia="仿宋_GB2312" w:cs="Arial Narrow"/>
          <w:highlight w:val="none"/>
        </w:rPr>
        <w:t>2、过程。项目过程评价得分为</w:t>
      </w:r>
      <w:r>
        <w:rPr>
          <w:rFonts w:hint="eastAsia" w:ascii="Arial Narrow" w:hAnsi="Arial Narrow" w:cs="Arial Narrow"/>
          <w:highlight w:val="none"/>
          <w:lang w:val="en-US" w:eastAsia="zh-CN"/>
        </w:rPr>
        <w:t>23</w:t>
      </w:r>
      <w:r>
        <w:rPr>
          <w:rFonts w:hint="default" w:ascii="Arial Narrow" w:hAnsi="Arial Narrow" w:eastAsia="仿宋_GB2312" w:cs="Arial Narrow"/>
          <w:highlight w:val="none"/>
        </w:rPr>
        <w:t>分，评价等级为</w:t>
      </w:r>
      <w:r>
        <w:rPr>
          <w:rFonts w:hint="eastAsia" w:ascii="Arial Narrow" w:hAnsi="Arial Narrow" w:cs="Arial Narrow"/>
          <w:highlight w:val="none"/>
          <w:lang w:val="en-US" w:eastAsia="zh-CN"/>
        </w:rPr>
        <w:t>良</w:t>
      </w:r>
      <w:r>
        <w:rPr>
          <w:rFonts w:hint="default" w:ascii="Arial Narrow" w:hAnsi="Arial Narrow" w:eastAsia="仿宋_GB2312" w:cs="Arial Narrow"/>
          <w:highlight w:val="none"/>
        </w:rPr>
        <w:t>。项目过程分为</w:t>
      </w:r>
      <w:r>
        <w:rPr>
          <w:rFonts w:hint="default" w:ascii="Arial Narrow" w:hAnsi="Arial Narrow" w:eastAsia="仿宋_GB2312" w:cs="Arial Narrow"/>
          <w:highlight w:val="none"/>
          <w:lang w:val="en-US" w:eastAsia="zh-CN"/>
        </w:rPr>
        <w:t>项目</w:t>
      </w:r>
      <w:r>
        <w:rPr>
          <w:rFonts w:hint="default" w:ascii="Arial Narrow" w:hAnsi="Arial Narrow" w:eastAsia="仿宋_GB2312" w:cs="Arial Narrow"/>
          <w:highlight w:val="none"/>
        </w:rPr>
        <w:t>管</w:t>
      </w:r>
      <w:r>
        <w:rPr>
          <w:rFonts w:hint="default" w:ascii="Arial Narrow" w:hAnsi="Arial Narrow" w:eastAsia="仿宋_GB2312" w:cs="Arial Narrow"/>
          <w:b w:val="0"/>
          <w:bCs w:val="0"/>
          <w:kern w:val="2"/>
          <w:sz w:val="24"/>
          <w:szCs w:val="24"/>
          <w:highlight w:val="none"/>
          <w:lang w:val="en-US" w:eastAsia="zh-CN" w:bidi="ar-SA"/>
        </w:rPr>
        <w:t>理、财务管理和项目实施三个方面。项目管理方面，项目实施单位具备健全的业务管理制度，并按照相关制度和实施方案开展工作。财务管理方面，项目实施单位制定了《武昌区科学技术研究与开发资金管理办法》和财务管理制度，按照财务管理规定执行，确保资金的规范使用，项目支出符合财务管理规定，资金的拨付符合规定的用途，但资金支出范围不清晰，且</w:t>
      </w:r>
      <w:r>
        <w:rPr>
          <w:rFonts w:hint="eastAsia" w:ascii="Arial Narrow" w:hAnsi="Arial Narrow" w:eastAsia="仿宋_GB2312" w:cs="Arial Narrow"/>
          <w:b w:val="0"/>
          <w:bCs w:val="0"/>
          <w:kern w:val="2"/>
          <w:sz w:val="24"/>
          <w:szCs w:val="24"/>
          <w:highlight w:val="none"/>
          <w:lang w:val="en-US" w:eastAsia="zh-CN" w:bidi="ar-SA"/>
        </w:rPr>
        <w:t>部</w:t>
      </w:r>
      <w:r>
        <w:rPr>
          <w:rFonts w:hint="default" w:ascii="Arial Narrow" w:hAnsi="Arial Narrow" w:eastAsia="仿宋_GB2312" w:cs="Arial Narrow"/>
          <w:b w:val="0"/>
          <w:bCs w:val="0"/>
          <w:kern w:val="2"/>
          <w:sz w:val="24"/>
          <w:szCs w:val="24"/>
          <w:highlight w:val="none"/>
          <w:lang w:val="en-US" w:eastAsia="zh-CN" w:bidi="ar-SA"/>
        </w:rPr>
        <w:t>分合同项目单位缺少签字或盖章</w:t>
      </w:r>
      <w:r>
        <w:rPr>
          <w:rFonts w:hint="eastAsia" w:ascii="Arial Narrow" w:hAnsi="Arial Narrow" w:eastAsia="仿宋_GB2312" w:cs="Arial Narrow"/>
          <w:b w:val="0"/>
          <w:bCs w:val="0"/>
          <w:kern w:val="2"/>
          <w:sz w:val="24"/>
          <w:szCs w:val="24"/>
          <w:highlight w:val="none"/>
          <w:lang w:val="en-US" w:eastAsia="zh-CN" w:bidi="ar-SA"/>
        </w:rPr>
        <w:t>，</w:t>
      </w:r>
      <w:r>
        <w:rPr>
          <w:rFonts w:hint="default" w:ascii="Arial Narrow" w:hAnsi="Arial Narrow" w:eastAsia="仿宋_GB2312" w:cs="Arial Narrow"/>
          <w:b w:val="0"/>
          <w:bCs w:val="0"/>
          <w:kern w:val="2"/>
          <w:sz w:val="24"/>
          <w:szCs w:val="24"/>
          <w:highlight w:val="none"/>
          <w:lang w:val="en-US" w:eastAsia="zh-CN" w:bidi="ar-SA"/>
        </w:rPr>
        <w:t>少量大额支出未附资金拨付请示及领导签字。</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Arial Narrow" w:hAnsi="Arial Narrow" w:eastAsia="仿宋_GB2312" w:cs="Arial Narrow"/>
          <w:highlight w:val="none"/>
        </w:rPr>
      </w:pPr>
      <w:r>
        <w:rPr>
          <w:rFonts w:hint="default" w:ascii="Arial Narrow" w:hAnsi="Arial Narrow" w:eastAsia="仿宋_GB2312" w:cs="Arial Narrow"/>
          <w:b w:val="0"/>
          <w:bCs w:val="0"/>
          <w:kern w:val="2"/>
          <w:sz w:val="24"/>
          <w:szCs w:val="24"/>
          <w:highlight w:val="none"/>
          <w:lang w:val="en-US" w:eastAsia="zh-CN" w:bidi="ar-SA"/>
        </w:rPr>
        <w:t>3、产出。项目产出评价得分为2</w:t>
      </w:r>
      <w:r>
        <w:rPr>
          <w:rFonts w:hint="eastAsia" w:ascii="Arial Narrow" w:hAnsi="Arial Narrow" w:cs="Arial Narrow"/>
          <w:b w:val="0"/>
          <w:bCs w:val="0"/>
          <w:kern w:val="2"/>
          <w:sz w:val="24"/>
          <w:szCs w:val="24"/>
          <w:highlight w:val="none"/>
          <w:lang w:val="en-US" w:eastAsia="zh-CN" w:bidi="ar-SA"/>
        </w:rPr>
        <w:t>5</w:t>
      </w:r>
      <w:r>
        <w:rPr>
          <w:rFonts w:hint="default" w:ascii="Arial Narrow" w:hAnsi="Arial Narrow" w:eastAsia="仿宋_GB2312" w:cs="Arial Narrow"/>
          <w:b w:val="0"/>
          <w:bCs w:val="0"/>
          <w:kern w:val="2"/>
          <w:sz w:val="24"/>
          <w:szCs w:val="24"/>
          <w:highlight w:val="none"/>
          <w:lang w:val="en-US" w:eastAsia="zh-CN" w:bidi="ar-SA"/>
        </w:rPr>
        <w:t>分，评价等级为优。通过查阅各活动开展相关资料以及对业务负责人进行访谈了解到，各项活动基本完成，由于计划目标制定不合理，新能源汽车推广活动实际开展次数与</w:t>
      </w:r>
      <w:r>
        <w:rPr>
          <w:rFonts w:hint="default" w:ascii="Arial Narrow" w:hAnsi="Arial Narrow" w:eastAsia="仿宋_GB2312" w:cs="Arial Narrow"/>
          <w:highlight w:val="none"/>
          <w:lang w:val="en-US" w:eastAsia="zh-CN"/>
        </w:rPr>
        <w:t>计划有一定差距；设备购置通过验收但无验收记录</w:t>
      </w:r>
      <w:r>
        <w:rPr>
          <w:rFonts w:hint="default" w:ascii="Arial Narrow" w:hAnsi="Arial Narrow" w:eastAsia="仿宋_GB2312" w:cs="Arial Narrow"/>
          <w:highlight w:val="none"/>
        </w:rPr>
        <w:t>；项目</w:t>
      </w:r>
      <w:r>
        <w:rPr>
          <w:rFonts w:hint="default" w:ascii="Arial Narrow" w:hAnsi="Arial Narrow" w:eastAsia="仿宋_GB2312" w:cs="Arial Narrow"/>
          <w:highlight w:val="none"/>
          <w:lang w:val="en-US" w:eastAsia="zh-CN"/>
        </w:rPr>
        <w:t>资金使用率较高</w:t>
      </w:r>
      <w:r>
        <w:rPr>
          <w:rFonts w:hint="default" w:ascii="Arial Narrow" w:hAnsi="Arial Narrow" w:eastAsia="仿宋_GB2312" w:cs="Arial Narrow"/>
          <w:highlight w:val="none"/>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4、效果。项目效果评价得分为</w:t>
      </w:r>
      <w:r>
        <w:rPr>
          <w:rFonts w:hint="default" w:ascii="Arial Narrow" w:hAnsi="Arial Narrow" w:eastAsia="仿宋_GB2312" w:cs="Arial Narrow"/>
          <w:highlight w:val="none"/>
          <w:lang w:val="en-US" w:eastAsia="zh-CN"/>
        </w:rPr>
        <w:t>35.5</w:t>
      </w:r>
      <w:r>
        <w:rPr>
          <w:rFonts w:hint="default" w:ascii="Arial Narrow" w:hAnsi="Arial Narrow" w:eastAsia="仿宋_GB2312" w:cs="Arial Narrow"/>
          <w:highlight w:val="none"/>
        </w:rPr>
        <w:t>分，评价等级为优。</w:t>
      </w:r>
      <w:r>
        <w:rPr>
          <w:rFonts w:hint="default" w:ascii="Arial Narrow" w:hAnsi="Arial Narrow" w:eastAsia="仿宋_GB2312" w:cs="Arial Narrow"/>
          <w:highlight w:val="none"/>
          <w:lang w:val="en-US" w:eastAsia="zh-CN"/>
        </w:rPr>
        <w:t>区属</w:t>
      </w:r>
      <w:r>
        <w:rPr>
          <w:rFonts w:hint="default" w:ascii="Arial Narrow" w:hAnsi="Arial Narrow" w:eastAsia="仿宋_GB2312" w:cs="Arial Narrow"/>
          <w:highlight w:val="none"/>
        </w:rPr>
        <w:t>技术市场交易额</w:t>
      </w:r>
      <w:r>
        <w:rPr>
          <w:rFonts w:hint="default" w:ascii="Arial Narrow" w:hAnsi="Arial Narrow" w:eastAsia="仿宋_GB2312" w:cs="Arial Narrow"/>
          <w:highlight w:val="none"/>
          <w:lang w:eastAsia="zh-CN"/>
        </w:rPr>
        <w:t>、</w:t>
      </w:r>
      <w:r>
        <w:rPr>
          <w:rFonts w:hint="default" w:ascii="Arial Narrow" w:hAnsi="Arial Narrow" w:eastAsia="仿宋_GB2312" w:cs="Arial Narrow"/>
          <w:highlight w:val="none"/>
          <w:lang w:val="en-US" w:eastAsia="zh-CN"/>
        </w:rPr>
        <w:t>高新技术企业收入、企业研究开发中心较上年相比均有一定幅度增长，科技创新能力得到提升。建立了立体创业创新服务机制，为创业企业和个人提供给了良好的创业空间，营造创新创业文化氛围。</w:t>
      </w:r>
    </w:p>
    <w:p>
      <w:pPr>
        <w:keepNext w:val="0"/>
        <w:keepLines w:val="0"/>
        <w:pageBreakBefore w:val="0"/>
        <w:kinsoku/>
        <w:wordWrap/>
        <w:overflowPunct/>
        <w:topLinePunct w:val="0"/>
        <w:autoSpaceDE/>
        <w:autoSpaceDN/>
        <w:bidi w:val="0"/>
        <w:adjustRightInd/>
        <w:snapToGrid w:val="0"/>
        <w:ind w:firstLine="482"/>
        <w:jc w:val="left"/>
        <w:textAlignment w:val="auto"/>
        <w:outlineLvl w:val="0"/>
        <w:rPr>
          <w:rFonts w:hint="default" w:ascii="Arial Narrow" w:hAnsi="Arial Narrow" w:eastAsia="仿宋_GB2312" w:cs="Arial Narrow"/>
          <w:b/>
        </w:rPr>
      </w:pPr>
      <w:bookmarkStart w:id="98" w:name="_Toc12862"/>
      <w:r>
        <w:rPr>
          <w:rFonts w:hint="default" w:ascii="Arial Narrow" w:hAnsi="Arial Narrow" w:eastAsia="仿宋_GB2312" w:cs="Arial Narrow"/>
          <w:b/>
        </w:rPr>
        <w:t>五、</w:t>
      </w:r>
      <w:bookmarkEnd w:id="92"/>
      <w:bookmarkEnd w:id="93"/>
      <w:bookmarkEnd w:id="94"/>
      <w:bookmarkEnd w:id="95"/>
      <w:r>
        <w:rPr>
          <w:rFonts w:hint="default" w:ascii="Arial Narrow" w:hAnsi="Arial Narrow" w:eastAsia="仿宋_GB2312" w:cs="Arial Narrow"/>
          <w:b/>
        </w:rPr>
        <w:t>主要经验及做法、存在的问题和建议</w:t>
      </w:r>
      <w:bookmarkEnd w:id="97"/>
      <w:bookmarkEnd w:id="98"/>
    </w:p>
    <w:p>
      <w:pPr>
        <w:keepNext w:val="0"/>
        <w:keepLines w:val="0"/>
        <w:pageBreakBefore w:val="0"/>
        <w:kinsoku/>
        <w:wordWrap/>
        <w:overflowPunct/>
        <w:topLinePunct w:val="0"/>
        <w:autoSpaceDE/>
        <w:autoSpaceDN/>
        <w:bidi w:val="0"/>
        <w:adjustRightInd/>
        <w:snapToGrid w:val="0"/>
        <w:ind w:firstLine="480"/>
        <w:textAlignment w:val="auto"/>
        <w:outlineLvl w:val="1"/>
        <w:rPr>
          <w:rFonts w:hint="default" w:ascii="Arial Narrow" w:hAnsi="Arial Narrow" w:eastAsia="仿宋_GB2312" w:cs="Arial Narrow"/>
          <w:color w:val="000000"/>
          <w:highlight w:val="none"/>
          <w:lang w:val="en-US" w:eastAsia="zh-CN"/>
        </w:rPr>
      </w:pPr>
      <w:bookmarkStart w:id="99" w:name="_Toc387957830"/>
      <w:bookmarkStart w:id="100" w:name="_Toc361304706"/>
      <w:bookmarkStart w:id="101" w:name="_Toc406668055"/>
      <w:bookmarkStart w:id="102" w:name="_Toc18657"/>
      <w:bookmarkStart w:id="103" w:name="_Toc406666381"/>
      <w:bookmarkStart w:id="104" w:name="_Toc27928"/>
      <w:r>
        <w:rPr>
          <w:rFonts w:hint="default" w:ascii="Arial Narrow" w:hAnsi="Arial Narrow" w:eastAsia="仿宋_GB2312" w:cs="Arial Narrow"/>
          <w:color w:val="000000"/>
          <w:highlight w:val="none"/>
          <w:lang w:val="en-US" w:eastAsia="zh-CN"/>
        </w:rPr>
        <w:t>（一）主要经验及做法</w:t>
      </w:r>
      <w:bookmarkEnd w:id="99"/>
      <w:bookmarkEnd w:id="100"/>
      <w:bookmarkEnd w:id="101"/>
      <w:bookmarkEnd w:id="102"/>
      <w:bookmarkEnd w:id="103"/>
      <w:bookmarkEnd w:id="104"/>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bookmarkStart w:id="105" w:name="_Toc406668056"/>
      <w:bookmarkStart w:id="106" w:name="_Toc16696"/>
      <w:bookmarkStart w:id="107" w:name="_Toc406666382"/>
      <w:bookmarkStart w:id="108" w:name="_Toc387957833"/>
      <w:r>
        <w:rPr>
          <w:rFonts w:hint="default" w:ascii="Arial Narrow" w:hAnsi="Arial Narrow" w:eastAsia="仿宋_GB2312" w:cs="Arial Narrow"/>
          <w:b w:val="0"/>
          <w:bCs w:val="0"/>
          <w:highlight w:val="none"/>
          <w:lang w:val="en-US" w:eastAsia="zh-CN"/>
        </w:rPr>
        <w:t>1、工作领导责任制度落实到位。《武昌区科产局工作规则》中规定了领导班子成员及部门负责人的职责，实行局长负责制和个人分工负责制，单位每年与各科室负责人签订岗位责任书，明确岗位职责和当年工作项目。此外，还成立了绩效目标考评小组，从目标完成情况、工作创新成果、工作一流业绩和一流服务情况等四个方面，于年终对各科室进行百分制考核。年度考核得分作为年终科室和个人考核评先依据，并给予一定的物质奖励。得分不合格的科室取消奖励资格，科室负责人取消评先资格，并实行责任问责制。</w:t>
      </w:r>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 w:val="0"/>
          <w:bCs w:val="0"/>
          <w:highlight w:val="none"/>
          <w:lang w:val="en-US" w:eastAsia="zh-CN"/>
        </w:rPr>
        <w:t>2、档案资料管理规范。单位各科室每年会将项目支出资料汇编成册，例如中小企业服务中心汇编的大学生创业项目资料、产业发展科汇编的落户武昌项目资料、科技科汇编的科技计划项目申报审批资料，以便工作后续查询和检查。此外，项目单位档案工作目标管理被评选为省一级机关单位，资料整理有序，管理规范。</w:t>
      </w:r>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 w:val="0"/>
          <w:bCs w:val="0"/>
          <w:highlight w:val="none"/>
          <w:lang w:val="en-US" w:eastAsia="zh-CN"/>
        </w:rPr>
        <w:t>3、积极探索拓展创业空间、建立创业机制。在区域内，由数家公司牵头，相关优势企业、高校计科研机构共同发起，建立了车联网产业联盟微信公众号。同时还参加、举办论坛、创业沙龙等各类交流活动，与科研机构、学校、企业密切联系。区域外，项目单位先后赴北京、上海、江苏等地进行考察，引进企业落户武昌，建立起外地高端企业与本地企业的合作关系。</w:t>
      </w:r>
    </w:p>
    <w:p>
      <w:pPr>
        <w:keepNext w:val="0"/>
        <w:keepLines w:val="0"/>
        <w:pageBreakBefore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bCs/>
          <w:highlight w:val="none"/>
        </w:rPr>
      </w:pPr>
      <w:bookmarkStart w:id="109" w:name="_Toc9413"/>
      <w:r>
        <w:rPr>
          <w:rFonts w:hint="default" w:ascii="Arial Narrow" w:hAnsi="Arial Narrow" w:eastAsia="仿宋_GB2312" w:cs="Arial Narrow"/>
          <w:b/>
          <w:bCs/>
          <w:highlight w:val="none"/>
        </w:rPr>
        <w:t>（二）存在的问题</w:t>
      </w:r>
      <w:bookmarkEnd w:id="105"/>
      <w:bookmarkEnd w:id="106"/>
      <w:bookmarkEnd w:id="107"/>
      <w:bookmarkEnd w:id="109"/>
    </w:p>
    <w:p>
      <w:pPr>
        <w:keepNext w:val="0"/>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default" w:ascii="Arial Narrow" w:hAnsi="Arial Narrow" w:eastAsia="仿宋_GB2312" w:cs="Arial Narrow"/>
          <w:highlight w:val="none"/>
          <w:lang w:val="en-US" w:eastAsia="zh-CN"/>
        </w:rPr>
      </w:pPr>
      <w:bookmarkStart w:id="110" w:name="_Toc28128"/>
      <w:r>
        <w:rPr>
          <w:rFonts w:hint="default" w:ascii="Arial Narrow" w:hAnsi="Arial Narrow" w:eastAsia="仿宋_GB2312" w:cs="Arial Narrow"/>
          <w:highlight w:val="none"/>
        </w:rPr>
        <w:t>1、</w:t>
      </w:r>
      <w:r>
        <w:rPr>
          <w:rFonts w:hint="default" w:ascii="Arial Narrow" w:hAnsi="Arial Narrow" w:eastAsia="仿宋_GB2312" w:cs="Arial Narrow"/>
          <w:highlight w:val="none"/>
          <w:lang w:val="en-US" w:eastAsia="zh-CN"/>
        </w:rPr>
        <w:t>未设立项目目标和绩效指标。武昌区科产局对单位整体工作分科室设立了年度工作要点，并规定了各项工作完成时限，但未针对“计划管理费”项目设立相应的年度目标和绩效指标，不利于整体工作的计划和开展，也不利于项目完成后的绩效评价分析。</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2、资金使用范围不明晰。《武昌区科学技术研究与开发资金管理办法》规定“计划管理费，指为组织和管理科技计划项目而支出的费用。一般包括：规划与指南的制定和发布、项目评审、评估、监督检查、项目验收及绩效考评、科技管理人员培训等工作所发生的费用。”评价小组通过查看项目支出明细账和记账凭证，发现园区维修、信访法律服务费、担保公司风险排查审计等不属于计划管理费资金开支范围，却从项目资金支付的情况。经访谈，得知为了保证区级财政资金的支出进度，少量资金从项目预算资金列支，项目单位未严格按资金使用范围拨付。</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outlineLvl w:val="9"/>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lang w:val="en-US" w:eastAsia="zh-CN"/>
        </w:rPr>
        <w:t>3、资金拨付证明材料不齐全。项目评价小组通过查阅项目支出凭证发现，部分凭证资料不齐全，例如双创周活动交由众创空间有限公司负责组织，但武昌区科产局未与对方签订任何协议或合同；采购感应器报销只有采购发票，缺少采购请示；报销恒源鑫通制作大学生创业基地展牌、印刷资料没有合同或者费用清单等证明材料。</w:t>
      </w:r>
    </w:p>
    <w:p>
      <w:pPr>
        <w:keepNext w:val="0"/>
        <w:keepLines w:val="0"/>
        <w:pageBreakBefore w:val="0"/>
        <w:kinsoku/>
        <w:wordWrap/>
        <w:overflowPunct/>
        <w:topLinePunct w:val="0"/>
        <w:autoSpaceDE/>
        <w:autoSpaceDN/>
        <w:bidi w:val="0"/>
        <w:adjustRightInd/>
        <w:snapToGrid w:val="0"/>
        <w:ind w:firstLine="482"/>
        <w:textAlignment w:val="auto"/>
        <w:outlineLvl w:val="1"/>
        <w:rPr>
          <w:rFonts w:hint="default" w:ascii="Arial Narrow" w:hAnsi="Arial Narrow" w:eastAsia="仿宋_GB2312" w:cs="Arial Narrow"/>
          <w:b/>
          <w:bCs/>
          <w:highlight w:val="none"/>
        </w:rPr>
      </w:pPr>
      <w:bookmarkStart w:id="111" w:name="_Toc24356"/>
      <w:r>
        <w:rPr>
          <w:rFonts w:hint="default" w:ascii="Arial Narrow" w:hAnsi="Arial Narrow" w:eastAsia="仿宋_GB2312" w:cs="Arial Narrow"/>
          <w:b/>
          <w:bCs/>
          <w:highlight w:val="none"/>
        </w:rPr>
        <w:t>（三）建议</w:t>
      </w:r>
      <w:bookmarkEnd w:id="108"/>
      <w:bookmarkEnd w:id="110"/>
      <w:bookmarkEnd w:id="111"/>
      <w:bookmarkStart w:id="112" w:name="_Toc387957834"/>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 w:val="0"/>
          <w:bCs w:val="0"/>
          <w:highlight w:val="none"/>
          <w:lang w:val="en-US" w:eastAsia="zh-CN"/>
        </w:rPr>
        <w:t>1、完善项目绩效体系建设。在项目开展时，对项目进行充分全面的了解，可由各工作负责科室根据项目特点和年度工作计划，设定科学、合理、可衡量的绩效目标、绩效指标和预计完成目标值，交由党政办公室核查汇总。建立项目绩效评价体系，健全绩效评价工作机制。</w:t>
      </w:r>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 w:val="0"/>
          <w:bCs w:val="0"/>
          <w:highlight w:val="none"/>
          <w:lang w:val="en-US" w:eastAsia="zh-CN"/>
        </w:rPr>
        <w:t>2、规范项目资金使用用途，合理安排项目资金支出，严格做到专款专用，保证项目实施效果。项目单位可建立月度分析机制，每月对各系统各部门的支出情况制作清单，报各分管领导，便于及时关注并督促协调。同时，定期召开专门会议，会商预算执行进度，对影响预算进度的因素进行逐一解剖分析，提出有针对性的解决办法，避免因为资金问题影响进度。</w:t>
      </w:r>
    </w:p>
    <w:p>
      <w:pPr>
        <w:keepNext w:val="0"/>
        <w:keepLines w:val="0"/>
        <w:pageBreakBefore w:val="0"/>
        <w:kinsoku/>
        <w:wordWrap/>
        <w:overflowPunct/>
        <w:topLinePunct w:val="0"/>
        <w:autoSpaceDE/>
        <w:autoSpaceDN/>
        <w:bidi w:val="0"/>
        <w:adjustRightInd/>
        <w:snapToGrid w:val="0"/>
        <w:ind w:firstLine="482"/>
        <w:textAlignment w:val="auto"/>
        <w:rPr>
          <w:rFonts w:hint="default" w:ascii="Arial Narrow" w:hAnsi="Arial Narrow" w:eastAsia="仿宋_GB2312" w:cs="Arial Narrow"/>
          <w:b w:val="0"/>
          <w:bCs w:val="0"/>
          <w:highlight w:val="none"/>
          <w:lang w:val="en-US" w:eastAsia="zh-CN"/>
        </w:rPr>
      </w:pPr>
      <w:r>
        <w:rPr>
          <w:rFonts w:hint="default" w:ascii="Arial Narrow" w:hAnsi="Arial Narrow" w:eastAsia="仿宋_GB2312" w:cs="Arial Narrow"/>
          <w:b w:val="0"/>
          <w:bCs w:val="0"/>
          <w:highlight w:val="none"/>
          <w:lang w:val="en-US" w:eastAsia="zh-CN"/>
        </w:rPr>
        <w:t>3、严格遵循财务管理制度，规范审批流程。报销人在报销开支时，原则上应使用规范的发票单据，注明经手人、证明人和批准人，注明使用用途和开支渠道。财务人员在费用报销审批时需关注发票、合同、请示文件等附件的完整性。</w:t>
      </w:r>
    </w:p>
    <w:p>
      <w:pPr>
        <w:keepNext w:val="0"/>
        <w:keepLines w:val="0"/>
        <w:pageBreakBefore w:val="0"/>
        <w:numPr>
          <w:ilvl w:val="0"/>
          <w:numId w:val="13"/>
        </w:numPr>
        <w:kinsoku/>
        <w:wordWrap/>
        <w:overflowPunct/>
        <w:topLinePunct w:val="0"/>
        <w:autoSpaceDE/>
        <w:autoSpaceDN/>
        <w:bidi w:val="0"/>
        <w:adjustRightInd/>
        <w:snapToGrid w:val="0"/>
        <w:ind w:firstLine="482"/>
        <w:textAlignment w:val="auto"/>
        <w:outlineLvl w:val="0"/>
        <w:rPr>
          <w:rFonts w:hint="default" w:ascii="Arial Narrow" w:hAnsi="Arial Narrow" w:eastAsia="仿宋_GB2312" w:cs="Arial Narrow"/>
          <w:b/>
        </w:rPr>
      </w:pPr>
      <w:bookmarkStart w:id="113" w:name="_Toc32152"/>
      <w:bookmarkStart w:id="114" w:name="_Toc9981"/>
      <w:r>
        <w:rPr>
          <w:rFonts w:hint="default" w:ascii="Arial Narrow" w:hAnsi="Arial Narrow" w:eastAsia="仿宋_GB2312" w:cs="Arial Narrow"/>
          <w:b/>
        </w:rPr>
        <w:t>其他需说明的问题</w:t>
      </w:r>
      <w:bookmarkEnd w:id="113"/>
      <w:bookmarkEnd w:id="114"/>
    </w:p>
    <w:p>
      <w:pPr>
        <w:keepNext w:val="0"/>
        <w:keepLines w:val="0"/>
        <w:pageBreakBefore w:val="0"/>
        <w:kinsoku/>
        <w:wordWrap/>
        <w:overflowPunct/>
        <w:topLinePunct w:val="0"/>
        <w:autoSpaceDE/>
        <w:autoSpaceDN/>
        <w:bidi w:val="0"/>
        <w:adjustRightInd/>
        <w:snapToGrid w:val="0"/>
        <w:ind w:firstLine="480"/>
        <w:textAlignment w:val="auto"/>
        <w:outlineLvl w:val="1"/>
        <w:rPr>
          <w:rFonts w:hint="default" w:ascii="Arial Narrow" w:hAnsi="Arial Narrow" w:eastAsia="仿宋_GB2312" w:cs="Arial Narrow"/>
          <w:bCs/>
        </w:rPr>
      </w:pPr>
      <w:bookmarkStart w:id="115" w:name="_Toc21109"/>
      <w:r>
        <w:rPr>
          <w:rFonts w:hint="default" w:ascii="Arial Narrow" w:hAnsi="Arial Narrow" w:eastAsia="仿宋_GB2312" w:cs="Arial Narrow"/>
          <w:bCs/>
        </w:rPr>
        <w:t>（一）关于评价责任的说明</w:t>
      </w:r>
      <w:bookmarkEnd w:id="115"/>
    </w:p>
    <w:p>
      <w:pPr>
        <w:keepNext w:val="0"/>
        <w:keepLines w:val="0"/>
        <w:pageBreakBefore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rPr>
      </w:pPr>
      <w:r>
        <w:rPr>
          <w:rFonts w:hint="default" w:ascii="Arial Narrow" w:hAnsi="Arial Narrow" w:eastAsia="仿宋_GB2312" w:cs="Arial Narrow"/>
          <w:bCs/>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keepNext w:val="0"/>
        <w:keepLines w:val="0"/>
        <w:pageBreakBefore w:val="0"/>
        <w:kinsoku/>
        <w:wordWrap/>
        <w:overflowPunct/>
        <w:topLinePunct w:val="0"/>
        <w:autoSpaceDE/>
        <w:autoSpaceDN/>
        <w:bidi w:val="0"/>
        <w:adjustRightInd/>
        <w:snapToGrid w:val="0"/>
        <w:ind w:firstLine="480"/>
        <w:textAlignment w:val="auto"/>
        <w:outlineLvl w:val="1"/>
        <w:rPr>
          <w:rFonts w:hint="default" w:ascii="Arial Narrow" w:hAnsi="Arial Narrow" w:eastAsia="仿宋_GB2312" w:cs="Arial Narrow"/>
          <w:bCs/>
        </w:rPr>
      </w:pPr>
      <w:bookmarkStart w:id="116" w:name="_Toc14428"/>
      <w:r>
        <w:rPr>
          <w:rFonts w:hint="default" w:ascii="Arial Narrow" w:hAnsi="Arial Narrow" w:eastAsia="仿宋_GB2312" w:cs="Arial Narrow"/>
          <w:bCs/>
        </w:rPr>
        <w:t>（二）关于本项目评价中局限性的说明</w:t>
      </w:r>
      <w:bookmarkEnd w:id="116"/>
    </w:p>
    <w:p>
      <w:pPr>
        <w:keepNext w:val="0"/>
        <w:keepLines w:val="0"/>
        <w:pageBreakBefore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highlight w:val="none"/>
        </w:rPr>
      </w:pPr>
      <w:r>
        <w:rPr>
          <w:rFonts w:hint="default" w:ascii="Arial Narrow" w:hAnsi="Arial Narrow" w:eastAsia="仿宋_GB2312" w:cs="Arial Narrow"/>
          <w:bCs/>
          <w:highlight w:val="none"/>
        </w:rPr>
        <w:t>1、本次评价项目数据是基于</w:t>
      </w:r>
      <w:r>
        <w:rPr>
          <w:rFonts w:hint="default" w:ascii="Arial Narrow" w:hAnsi="Arial Narrow" w:eastAsia="仿宋_GB2312" w:cs="Arial Narrow"/>
          <w:bCs/>
          <w:highlight w:val="none"/>
          <w:lang w:val="en-US" w:eastAsia="zh-CN"/>
        </w:rPr>
        <w:t>武汉市武昌区科技和产业发展局</w:t>
      </w:r>
      <w:r>
        <w:rPr>
          <w:rFonts w:hint="default" w:ascii="Arial Narrow" w:hAnsi="Arial Narrow" w:eastAsia="仿宋_GB2312" w:cs="Arial Narrow"/>
          <w:bCs/>
          <w:highlight w:val="none"/>
        </w:rPr>
        <w:t>提供的，涉及范围较广、数据多，无法一一核实其真实性，因此可能对结果的准确性产生一定的影响。</w:t>
      </w:r>
    </w:p>
    <w:p>
      <w:pPr>
        <w:keepNext w:val="0"/>
        <w:keepLines w:val="0"/>
        <w:pageBreakBefore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highlight w:val="none"/>
        </w:rPr>
      </w:pPr>
      <w:r>
        <w:rPr>
          <w:rFonts w:hint="default" w:ascii="Arial Narrow" w:hAnsi="Arial Narrow" w:eastAsia="仿宋_GB2312" w:cs="Arial Narrow"/>
          <w:bCs/>
          <w:highlight w:val="none"/>
        </w:rPr>
        <w:t>2、对于绩效评价框架中的部分定性指标，无法根据量化的数据评价并得出分数，评议结果主要依据评价人员的职业判断。</w:t>
      </w:r>
    </w:p>
    <w:p>
      <w:pPr>
        <w:keepNext w:val="0"/>
        <w:keepLines w:val="0"/>
        <w:pageBreakBefore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highlight w:val="none"/>
        </w:rPr>
      </w:pPr>
      <w:r>
        <w:rPr>
          <w:rFonts w:hint="eastAsia" w:ascii="Arial Narrow" w:hAnsi="Arial Narrow" w:cs="Arial Narrow"/>
          <w:bCs/>
          <w:highlight w:val="none"/>
          <w:lang w:val="en-US" w:eastAsia="zh-CN"/>
        </w:rPr>
        <w:t>3</w:t>
      </w:r>
      <w:r>
        <w:rPr>
          <w:rFonts w:hint="default" w:ascii="Arial Narrow" w:hAnsi="Arial Narrow" w:eastAsia="仿宋_GB2312" w:cs="Arial Narrow"/>
          <w:bCs/>
          <w:highlight w:val="none"/>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keepNext w:val="0"/>
        <w:keepLines w:val="0"/>
        <w:pageBreakBefore w:val="0"/>
        <w:kinsoku/>
        <w:wordWrap/>
        <w:overflowPunct/>
        <w:topLinePunct w:val="0"/>
        <w:autoSpaceDE/>
        <w:autoSpaceDN/>
        <w:bidi w:val="0"/>
        <w:adjustRightInd/>
        <w:snapToGrid w:val="0"/>
        <w:ind w:firstLine="480"/>
        <w:textAlignment w:val="auto"/>
        <w:rPr>
          <w:rFonts w:hint="default" w:ascii="Arial Narrow" w:hAnsi="Arial Narrow" w:eastAsia="仿宋_GB2312" w:cs="Arial Narrow"/>
          <w:bCs/>
          <w:highlight w:val="none"/>
        </w:rPr>
      </w:pPr>
      <w:r>
        <w:rPr>
          <w:rFonts w:hint="eastAsia" w:ascii="Arial Narrow" w:hAnsi="Arial Narrow" w:cs="Arial Narrow"/>
          <w:bCs/>
          <w:highlight w:val="none"/>
          <w:lang w:val="en-US" w:eastAsia="zh-CN"/>
        </w:rPr>
        <w:t>4</w:t>
      </w:r>
      <w:r>
        <w:rPr>
          <w:rFonts w:hint="default" w:ascii="Arial Narrow" w:hAnsi="Arial Narrow" w:eastAsia="仿宋_GB2312" w:cs="Arial Narrow"/>
          <w:bCs/>
          <w:highlight w:val="none"/>
        </w:rPr>
        <w:t>、本项目是经常性的资金使用项目，而且专业性较强。受具体参加本次项目的评价人员的专业能力的影响，对专业指标设定的全面性以及问题、建议提出的专业性可能存在一定的局限性。</w:t>
      </w:r>
    </w:p>
    <w:bookmarkEnd w:id="112"/>
    <w:p>
      <w:pPr>
        <w:snapToGrid w:val="0"/>
        <w:ind w:firstLine="0" w:firstLineChars="0"/>
        <w:outlineLvl w:val="1"/>
        <w:rPr>
          <w:rFonts w:hint="default" w:ascii="Arial Narrow" w:hAnsi="Arial Narrow" w:eastAsia="仿宋_GB2312" w:cs="Arial Narrow"/>
          <w:b/>
          <w:bCs/>
        </w:rPr>
      </w:pPr>
      <w:bookmarkStart w:id="117" w:name="_Toc387957836"/>
      <w:bookmarkStart w:id="118" w:name="_Toc406668061"/>
      <w:bookmarkStart w:id="119" w:name="_Toc5673"/>
      <w:bookmarkStart w:id="120" w:name="_Toc406666387"/>
    </w:p>
    <w:p>
      <w:pPr>
        <w:snapToGrid w:val="0"/>
        <w:ind w:firstLine="0" w:firstLineChars="0"/>
        <w:outlineLvl w:val="1"/>
        <w:rPr>
          <w:rFonts w:hint="default" w:ascii="Arial Narrow" w:hAnsi="Arial Narrow" w:eastAsia="仿宋_GB2312" w:cs="Arial Narrow"/>
          <w:b/>
          <w:bCs/>
        </w:rPr>
      </w:pPr>
    </w:p>
    <w:p>
      <w:pPr>
        <w:snapToGrid w:val="0"/>
        <w:ind w:firstLine="0" w:firstLineChars="0"/>
        <w:outlineLvl w:val="1"/>
        <w:rPr>
          <w:rFonts w:hint="default" w:ascii="Arial Narrow" w:hAnsi="Arial Narrow" w:eastAsia="仿宋_GB2312" w:cs="Arial Narrow"/>
          <w:b/>
          <w:bCs/>
        </w:rPr>
      </w:pPr>
    </w:p>
    <w:p>
      <w:pPr>
        <w:snapToGrid w:val="0"/>
        <w:ind w:firstLine="0" w:firstLineChars="0"/>
        <w:outlineLvl w:val="0"/>
        <w:rPr>
          <w:rFonts w:hint="default" w:ascii="Arial Narrow" w:hAnsi="Arial Narrow" w:eastAsia="仿宋_GB2312" w:cs="Arial Narrow"/>
        </w:rPr>
      </w:pPr>
      <w:bookmarkStart w:id="121" w:name="_Toc14752"/>
      <w:r>
        <w:rPr>
          <w:rFonts w:hint="default" w:ascii="Arial Narrow" w:hAnsi="Arial Narrow" w:eastAsia="仿宋_GB2312" w:cs="Arial Narrow"/>
          <w:b/>
          <w:bCs/>
        </w:rPr>
        <w:t>附件</w:t>
      </w:r>
      <w:bookmarkEnd w:id="117"/>
      <w:r>
        <w:rPr>
          <w:rFonts w:hint="default" w:ascii="Arial Narrow" w:hAnsi="Arial Narrow" w:eastAsia="仿宋_GB2312" w:cs="Arial Narrow"/>
          <w:b/>
          <w:bCs/>
        </w:rPr>
        <w:t>：</w:t>
      </w:r>
      <w:bookmarkEnd w:id="118"/>
      <w:bookmarkEnd w:id="119"/>
      <w:bookmarkEnd w:id="120"/>
      <w:bookmarkEnd w:id="121"/>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w:t>
      </w:r>
      <w:r>
        <w:rPr>
          <w:rFonts w:hint="default" w:ascii="Arial Narrow" w:hAnsi="Arial Narrow" w:eastAsia="仿宋_GB2312" w:cs="Arial Narrow"/>
        </w:rPr>
        <w:t>1：项目绩效评价评分表及说明</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w:t>
      </w:r>
      <w:r>
        <w:rPr>
          <w:rFonts w:hint="default" w:ascii="Arial Narrow" w:hAnsi="Arial Narrow" w:eastAsia="仿宋_GB2312" w:cs="Arial Narrow"/>
        </w:rPr>
        <w:t>2：绩效目标完成情况对比表</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w:t>
      </w:r>
      <w:r>
        <w:rPr>
          <w:rFonts w:hint="default" w:ascii="Arial Narrow" w:hAnsi="Arial Narrow" w:eastAsia="仿宋_GB2312" w:cs="Arial Narrow"/>
        </w:rPr>
        <w:t>3：基础数据表</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w:t>
      </w:r>
      <w:r>
        <w:rPr>
          <w:rFonts w:hint="default" w:ascii="Arial Narrow" w:hAnsi="Arial Narrow" w:eastAsia="仿宋_GB2312" w:cs="Arial Narrow"/>
        </w:rPr>
        <w:t>4：访谈大纲</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w:t>
      </w:r>
      <w:r>
        <w:rPr>
          <w:rFonts w:hint="default" w:ascii="Arial Narrow" w:hAnsi="Arial Narrow" w:eastAsia="仿宋_GB2312" w:cs="Arial Narrow"/>
        </w:rPr>
        <w:t>5：访谈记录</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附件6</w:t>
      </w:r>
      <w:r>
        <w:rPr>
          <w:rFonts w:hint="default" w:ascii="Arial Narrow" w:hAnsi="Arial Narrow" w:eastAsia="仿宋_GB2312" w:cs="Arial Narrow"/>
        </w:rPr>
        <w:t>：评价现场照片</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附件7</w:t>
      </w:r>
      <w:r>
        <w:rPr>
          <w:rFonts w:hint="default" w:ascii="Arial Narrow" w:hAnsi="Arial Narrow" w:eastAsia="仿宋_GB2312" w:cs="Arial Narrow"/>
        </w:rPr>
        <w:t>：绩效评价实施方案</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附件8</w:t>
      </w:r>
      <w:r>
        <w:rPr>
          <w:rFonts w:hint="default" w:ascii="Arial Narrow" w:hAnsi="Arial Narrow" w:eastAsia="仿宋_GB2312" w:cs="Arial Narrow"/>
          <w:lang w:eastAsia="zh-CN"/>
        </w:rPr>
        <w:t>：</w:t>
      </w:r>
      <w:r>
        <w:rPr>
          <w:rFonts w:hint="default" w:ascii="Arial Narrow" w:hAnsi="Arial Narrow" w:eastAsia="仿宋_GB2312" w:cs="Arial Narrow"/>
        </w:rPr>
        <w:t>其他支持评价结论的相关资料</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附件9</w:t>
      </w:r>
      <w:r>
        <w:rPr>
          <w:rFonts w:hint="default" w:ascii="Arial Narrow" w:hAnsi="Arial Narrow" w:eastAsia="仿宋_GB2312" w:cs="Arial Narrow"/>
          <w:lang w:eastAsia="zh-CN"/>
        </w:rPr>
        <w:t>：</w:t>
      </w:r>
      <w:r>
        <w:rPr>
          <w:rFonts w:hint="default" w:ascii="Arial Narrow" w:hAnsi="Arial Narrow" w:eastAsia="仿宋_GB2312" w:cs="Arial Narrow"/>
        </w:rPr>
        <w:t>评价机构营业执照（复印件）</w:t>
      </w:r>
    </w:p>
    <w:p>
      <w:pPr>
        <w:snapToGrid w:val="0"/>
        <w:ind w:left="0" w:leftChars="0" w:firstLine="0" w:firstLineChars="0"/>
        <w:rPr>
          <w:rFonts w:hint="default" w:ascii="Arial Narrow" w:hAnsi="Arial Narrow" w:eastAsia="仿宋_GB2312" w:cs="Arial Narrow"/>
        </w:rPr>
      </w:pPr>
      <w:r>
        <w:rPr>
          <w:rFonts w:hint="default" w:ascii="Arial Narrow" w:hAnsi="Arial Narrow" w:eastAsia="仿宋_GB2312" w:cs="Arial Narrow"/>
          <w:lang w:val="en-US" w:eastAsia="zh-CN"/>
        </w:rPr>
        <w:t>附件10</w:t>
      </w:r>
      <w:r>
        <w:rPr>
          <w:rFonts w:hint="default" w:ascii="Arial Narrow" w:hAnsi="Arial Narrow" w:eastAsia="仿宋_GB2312" w:cs="Arial Narrow"/>
          <w:lang w:eastAsia="zh-CN"/>
        </w:rPr>
        <w:t>：</w:t>
      </w:r>
      <w:r>
        <w:rPr>
          <w:rFonts w:hint="default" w:ascii="Arial Narrow" w:hAnsi="Arial Narrow" w:eastAsia="仿宋_GB2312" w:cs="Arial Narrow"/>
        </w:rPr>
        <w:t>相关评价人员执业证明文件（复印件）</w:t>
      </w: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480"/>
        <w:jc w:val="right"/>
        <w:rPr>
          <w:rFonts w:hint="default" w:ascii="Arial Narrow" w:hAnsi="Arial Narrow" w:eastAsia="仿宋_GB2312" w:cs="Arial Narrow"/>
        </w:rPr>
      </w:pPr>
      <w:r>
        <w:rPr>
          <w:rFonts w:hint="default" w:ascii="Arial Narrow" w:hAnsi="Arial Narrow" w:eastAsia="仿宋_GB2312" w:cs="Arial Narrow"/>
        </w:rPr>
        <w:t>致同会计师事务所（特殊普通合伙）武汉分所</w:t>
      </w:r>
    </w:p>
    <w:p>
      <w:pPr>
        <w:snapToGrid w:val="0"/>
        <w:ind w:firstLine="480"/>
        <w:jc w:val="right"/>
        <w:rPr>
          <w:rFonts w:hint="default" w:ascii="Arial Narrow" w:hAnsi="Arial Narrow" w:eastAsia="仿宋_GB2312" w:cs="Arial Narrow"/>
        </w:rPr>
      </w:pPr>
      <w:r>
        <w:rPr>
          <w:rFonts w:hint="default" w:ascii="Arial Narrow" w:hAnsi="Arial Narrow" w:eastAsia="仿宋_GB2312" w:cs="Arial Narrow"/>
        </w:rPr>
        <w:t>2017年</w:t>
      </w:r>
      <w:r>
        <w:rPr>
          <w:rFonts w:hint="default" w:ascii="Arial Narrow" w:hAnsi="Arial Narrow" w:eastAsia="仿宋_GB2312" w:cs="Arial Narrow"/>
          <w:lang w:val="en-US" w:eastAsia="zh-CN"/>
        </w:rPr>
        <w:t>5</w:t>
      </w:r>
      <w:r>
        <w:rPr>
          <w:rFonts w:hint="default" w:ascii="Arial Narrow" w:hAnsi="Arial Narrow" w:eastAsia="仿宋_GB2312" w:cs="Arial Narrow"/>
        </w:rPr>
        <w:t>月31日</w:t>
      </w: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480"/>
        <w:rPr>
          <w:rFonts w:hint="default" w:ascii="Arial Narrow" w:hAnsi="Arial Narrow" w:eastAsia="仿宋_GB2312" w:cs="Arial Narrow"/>
        </w:rPr>
      </w:pPr>
    </w:p>
    <w:p>
      <w:pPr>
        <w:snapToGrid w:val="0"/>
        <w:ind w:firstLine="6720" w:firstLineChars="2800"/>
        <w:rPr>
          <w:rFonts w:hint="default" w:ascii="Arial Narrow" w:hAnsi="Arial Narrow" w:eastAsia="仿宋_GB2312" w:cs="Arial Narrow"/>
        </w:rPr>
      </w:pPr>
    </w:p>
    <w:sectPr>
      <w:headerReference r:id="rId9" w:type="default"/>
      <w:footerReference r:id="rId10" w:type="default"/>
      <w:pgSz w:w="11906" w:h="16838"/>
      <w:pgMar w:top="1440" w:right="1800" w:bottom="1440" w:left="180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swiss"/>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22</w:t>
    </w:r>
    <w:r>
      <w:rPr>
        <w:rFonts w:ascii="Arial Narrow" w:hAnsi="Arial Narrow"/>
        <w:sz w:val="21"/>
        <w:szCs w:val="21"/>
      </w:rPr>
      <w:fldChar w:fldCharType="end"/>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0" w:firstLineChars="0"/>
      <w:jc w:val="both"/>
    </w:pPr>
    <w:r>
      <w:rPr>
        <w:rFonts w:ascii="宋体" w:hAnsi="宋体" w:eastAsia="宋体" w:cs="宋体"/>
        <w:sz w:val="24"/>
        <w:szCs w:val="24"/>
      </w:rPr>
      <w:drawing>
        <wp:anchor distT="0" distB="0" distL="114300" distR="114300" simplePos="0" relativeHeight="251657216" behindDoc="0" locked="0" layoutInCell="1" allowOverlap="1">
          <wp:simplePos x="0" y="0"/>
          <wp:positionH relativeFrom="page">
            <wp:posOffset>1111250</wp:posOffset>
          </wp:positionH>
          <wp:positionV relativeFrom="page">
            <wp:posOffset>266065</wp:posOffset>
          </wp:positionV>
          <wp:extent cx="2203450" cy="636905"/>
          <wp:effectExtent l="0" t="0" r="6350" b="10795"/>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
                  <a:stretch>
                    <a:fillRect/>
                  </a:stretch>
                </pic:blipFill>
                <pic:spPr>
                  <a:xfrm>
                    <a:off x="0" y="0"/>
                    <a:ext cx="2203450" cy="636905"/>
                  </a:xfrm>
                  <a:prstGeom prst="rect">
                    <a:avLst/>
                  </a:prstGeom>
                  <a:noFill/>
                  <a:ln w="9525">
                    <a:noFill/>
                  </a:ln>
                </pic:spPr>
              </pic:pic>
            </a:graphicData>
          </a:graphic>
        </wp:anchor>
      </w:drawing>
    </w:r>
    <w:r>
      <w:rPr>
        <w:rFonts w:ascii="Calibri" w:hAnsi="Calibri" w:eastAsia="黑体" w:cs="黑体"/>
        <w:b/>
        <w:sz w:val="14"/>
        <w:szCs w:val="14"/>
      </w:rPr>
      <w:pict>
        <v:rect id="文本框 26" o:spid="_x0000_s3073" o:spt="1" style="position:absolute;left:0pt;margin-left:354.55pt;margin-top:43.95pt;height:101.9pt;width:150.15pt;mso-position-horizontal-relative:page;mso-position-vertical-relative:page;z-index:251658240;mso-width-relative:page;mso-height-relative:page;" filled="f" stroked="f" coordsize="21600,21600">
          <v:path/>
          <v:fill on="f" focussize="0,0"/>
          <v:stroke on="f"/>
          <v:imagedata o:title=""/>
          <o:lock v:ext="edit"/>
          <v:textbox>
            <w:txbxContent>
              <w:p>
                <w:pPr>
                  <w:spacing w:line="240" w:lineRule="auto"/>
                  <w:ind w:firstLine="281"/>
                  <w:rPr>
                    <w:rFonts w:eastAsia="黑体"/>
                    <w:b/>
                    <w:sz w:val="14"/>
                    <w:szCs w:val="14"/>
                  </w:rPr>
                </w:pPr>
                <w:r>
                  <w:rPr>
                    <w:rFonts w:hint="eastAsia" w:ascii="Calibri" w:hAnsi="Calibri" w:eastAsia="黑体" w:cs="黑体"/>
                    <w:b/>
                    <w:sz w:val="14"/>
                    <w:szCs w:val="14"/>
                    <w:lang w:bidi="ar"/>
                  </w:rPr>
                  <w:t>致同会计师事务所（特殊普通合伙）</w:t>
                </w:r>
              </w:p>
              <w:p>
                <w:pPr>
                  <w:spacing w:line="240" w:lineRule="auto"/>
                  <w:ind w:firstLine="281"/>
                  <w:rPr>
                    <w:rFonts w:eastAsia="黑体"/>
                    <w:b/>
                    <w:sz w:val="14"/>
                    <w:szCs w:val="14"/>
                  </w:rPr>
                </w:pPr>
                <w:r>
                  <w:rPr>
                    <w:rFonts w:hint="eastAsia" w:ascii="Calibri" w:hAnsi="Calibri" w:eastAsia="黑体" w:cs="黑体"/>
                    <w:b/>
                    <w:sz w:val="14"/>
                    <w:szCs w:val="14"/>
                    <w:lang w:bidi="ar"/>
                  </w:rPr>
                  <w:t>武汉分所</w:t>
                </w:r>
              </w:p>
              <w:p>
                <w:pPr>
                  <w:spacing w:line="240" w:lineRule="auto"/>
                  <w:ind w:left="279" w:leftChars="114" w:hanging="5" w:hangingChars="4"/>
                  <w:rPr>
                    <w:rFonts w:eastAsia="黑体"/>
                    <w:sz w:val="14"/>
                    <w:szCs w:val="14"/>
                  </w:rPr>
                </w:pPr>
                <w:r>
                  <w:rPr>
                    <w:rFonts w:hint="eastAsia" w:ascii="Calibri" w:hAnsi="Calibri" w:eastAsia="黑体" w:cs="黑体"/>
                    <w:sz w:val="14"/>
                    <w:szCs w:val="14"/>
                    <w:lang w:bidi="ar"/>
                  </w:rPr>
                  <w:t>中国武汉武昌区中北路</w:t>
                </w:r>
                <w:r>
                  <w:rPr>
                    <w:rFonts w:ascii="Calibri" w:hAnsi="Calibri" w:eastAsia="黑体"/>
                    <w:sz w:val="14"/>
                    <w:szCs w:val="14"/>
                    <w:lang w:bidi="ar"/>
                  </w:rPr>
                  <w:t>58</w:t>
                </w:r>
                <w:r>
                  <w:rPr>
                    <w:rFonts w:hint="eastAsia" w:ascii="Calibri" w:hAnsi="Calibri" w:eastAsia="黑体" w:cs="黑体"/>
                    <w:sz w:val="14"/>
                    <w:szCs w:val="14"/>
                    <w:lang w:bidi="ar"/>
                  </w:rPr>
                  <w:t>号汉街总部国际</w:t>
                </w:r>
                <w:r>
                  <w:rPr>
                    <w:rFonts w:ascii="Calibri" w:hAnsi="Calibri" w:eastAsia="黑体"/>
                    <w:sz w:val="14"/>
                    <w:szCs w:val="14"/>
                    <w:lang w:bidi="ar"/>
                  </w:rPr>
                  <w:t>E</w:t>
                </w:r>
                <w:r>
                  <w:rPr>
                    <w:rFonts w:hint="eastAsia" w:ascii="Calibri" w:hAnsi="Calibri" w:eastAsia="黑体" w:cs="黑体"/>
                    <w:sz w:val="14"/>
                    <w:szCs w:val="14"/>
                    <w:lang w:bidi="ar"/>
                  </w:rPr>
                  <w:t>座</w:t>
                </w:r>
                <w:r>
                  <w:rPr>
                    <w:rFonts w:ascii="Calibri" w:hAnsi="Calibri" w:eastAsia="黑体"/>
                    <w:sz w:val="14"/>
                    <w:szCs w:val="14"/>
                    <w:lang w:bidi="ar"/>
                  </w:rPr>
                  <w:t>29</w:t>
                </w:r>
                <w:r>
                  <w:rPr>
                    <w:rFonts w:hint="eastAsia" w:ascii="Calibri" w:hAnsi="Calibri" w:eastAsia="黑体" w:cs="黑体"/>
                    <w:sz w:val="14"/>
                    <w:szCs w:val="14"/>
                    <w:lang w:bidi="ar"/>
                  </w:rPr>
                  <w:t>层邮编</w:t>
                </w:r>
                <w:r>
                  <w:rPr>
                    <w:rFonts w:ascii="Calibri" w:hAnsi="Calibri" w:eastAsia="黑体"/>
                    <w:sz w:val="14"/>
                    <w:szCs w:val="14"/>
                    <w:lang w:bidi="ar"/>
                  </w:rPr>
                  <w:t>430071</w:t>
                </w:r>
              </w:p>
              <w:p>
                <w:pPr>
                  <w:spacing w:line="240" w:lineRule="auto"/>
                  <w:ind w:firstLine="280"/>
                  <w:rPr>
                    <w:rFonts w:eastAsia="黑体"/>
                    <w:sz w:val="14"/>
                    <w:szCs w:val="14"/>
                  </w:rPr>
                </w:pPr>
                <w:r>
                  <w:rPr>
                    <w:rFonts w:hint="eastAsia" w:ascii="Calibri" w:hAnsi="Calibri" w:eastAsia="黑体" w:cs="黑体"/>
                    <w:sz w:val="14"/>
                    <w:szCs w:val="14"/>
                    <w:lang w:bidi="ar"/>
                  </w:rPr>
                  <w:t>电话</w:t>
                </w:r>
                <w:r>
                  <w:rPr>
                    <w:rFonts w:ascii="Calibri" w:hAnsi="Calibri" w:eastAsia="黑体"/>
                    <w:sz w:val="14"/>
                    <w:szCs w:val="14"/>
                    <w:lang w:bidi="ar"/>
                  </w:rPr>
                  <w:t xml:space="preserve"> +86 27 87819677</w:t>
                </w:r>
              </w:p>
              <w:p>
                <w:pPr>
                  <w:spacing w:line="240" w:lineRule="auto"/>
                  <w:ind w:firstLine="280"/>
                  <w:rPr>
                    <w:rFonts w:eastAsia="黑体"/>
                    <w:sz w:val="14"/>
                    <w:szCs w:val="14"/>
                  </w:rPr>
                </w:pPr>
                <w:r>
                  <w:rPr>
                    <w:rFonts w:hint="eastAsia" w:ascii="Calibri" w:hAnsi="Calibri" w:eastAsia="黑体" w:cs="黑体"/>
                    <w:sz w:val="14"/>
                    <w:szCs w:val="14"/>
                    <w:lang w:bidi="ar"/>
                  </w:rPr>
                  <w:t>传真</w:t>
                </w:r>
                <w:r>
                  <w:rPr>
                    <w:rFonts w:ascii="Calibri" w:hAnsi="Calibri" w:eastAsia="黑体"/>
                    <w:sz w:val="14"/>
                    <w:szCs w:val="14"/>
                    <w:lang w:bidi="ar"/>
                  </w:rPr>
                  <w:t xml:space="preserve"> +86 27 87812377</w:t>
                </w:r>
              </w:p>
              <w:p>
                <w:pPr>
                  <w:spacing w:line="240" w:lineRule="auto"/>
                  <w:ind w:firstLine="280"/>
                  <w:rPr>
                    <w:rFonts w:eastAsia="黑体"/>
                    <w:sz w:val="14"/>
                    <w:szCs w:val="14"/>
                  </w:rPr>
                </w:pPr>
                <w:r>
                  <w:rPr>
                    <w:rFonts w:ascii="Calibri" w:hAnsi="Calibri" w:eastAsia="黑体"/>
                    <w:sz w:val="14"/>
                    <w:szCs w:val="14"/>
                    <w:lang w:bidi="ar"/>
                  </w:rPr>
                  <w:t>www.grantthornton.cn</w:t>
                </w:r>
              </w:p>
              <w:p>
                <w:pPr>
                  <w:ind w:firstLine="280"/>
                  <w:rPr>
                    <w:rFonts w:ascii="Arial Narrow" w:hAnsi="Arial Narrow" w:eastAsia="黑体" w:cs="Arial Narrow"/>
                    <w:sz w:val="14"/>
                    <w:szCs w:val="14"/>
                  </w:rPr>
                </w:pPr>
              </w:p>
            </w:txbxContent>
          </v:textbox>
        </v:rect>
      </w:pic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B62"/>
    <w:multiLevelType w:val="multilevel"/>
    <w:tmpl w:val="21294B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6F579A"/>
    <w:multiLevelType w:val="singleLevel"/>
    <w:tmpl w:val="286F579A"/>
    <w:lvl w:ilvl="0" w:tentative="0">
      <w:start w:val="2"/>
      <w:numFmt w:val="decimal"/>
      <w:suff w:val="nothing"/>
      <w:lvlText w:val="%1、"/>
      <w:lvlJc w:val="left"/>
    </w:lvl>
  </w:abstractNum>
  <w:abstractNum w:abstractNumId="2">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CF8897"/>
    <w:multiLevelType w:val="singleLevel"/>
    <w:tmpl w:val="58CF8897"/>
    <w:lvl w:ilvl="0" w:tentative="0">
      <w:start w:val="1"/>
      <w:numFmt w:val="decimal"/>
      <w:suff w:val="nothing"/>
      <w:lvlText w:val="（%1）"/>
      <w:lvlJc w:val="left"/>
    </w:lvl>
  </w:abstractNum>
  <w:abstractNum w:abstractNumId="4">
    <w:nsid w:val="58CF905B"/>
    <w:multiLevelType w:val="singleLevel"/>
    <w:tmpl w:val="58CF905B"/>
    <w:lvl w:ilvl="0" w:tentative="0">
      <w:start w:val="2"/>
      <w:numFmt w:val="decimal"/>
      <w:suff w:val="nothing"/>
      <w:lvlText w:val="（%1）"/>
      <w:lvlJc w:val="left"/>
    </w:lvl>
  </w:abstractNum>
  <w:abstractNum w:abstractNumId="5">
    <w:nsid w:val="58CF95B9"/>
    <w:multiLevelType w:val="singleLevel"/>
    <w:tmpl w:val="58CF95B9"/>
    <w:lvl w:ilvl="0" w:tentative="0">
      <w:start w:val="2"/>
      <w:numFmt w:val="decimal"/>
      <w:suff w:val="nothing"/>
      <w:lvlText w:val="（%1）"/>
      <w:lvlJc w:val="left"/>
    </w:lvl>
  </w:abstractNum>
  <w:abstractNum w:abstractNumId="6">
    <w:nsid w:val="58CF9DF0"/>
    <w:multiLevelType w:val="singleLevel"/>
    <w:tmpl w:val="58CF9DF0"/>
    <w:lvl w:ilvl="0" w:tentative="0">
      <w:start w:val="2"/>
      <w:numFmt w:val="decimal"/>
      <w:suff w:val="nothing"/>
      <w:lvlText w:val="（%1）"/>
      <w:lvlJc w:val="left"/>
    </w:lvl>
  </w:abstractNum>
  <w:abstractNum w:abstractNumId="7">
    <w:nsid w:val="58D3DB60"/>
    <w:multiLevelType w:val="singleLevel"/>
    <w:tmpl w:val="58D3DB60"/>
    <w:lvl w:ilvl="0" w:tentative="0">
      <w:start w:val="1"/>
      <w:numFmt w:val="decimal"/>
      <w:suff w:val="nothing"/>
      <w:lvlText w:val="%1、"/>
      <w:lvlJc w:val="left"/>
    </w:lvl>
  </w:abstractNum>
  <w:abstractNum w:abstractNumId="8">
    <w:nsid w:val="58D3DDD7"/>
    <w:multiLevelType w:val="singleLevel"/>
    <w:tmpl w:val="58D3DDD7"/>
    <w:lvl w:ilvl="0" w:tentative="0">
      <w:start w:val="4"/>
      <w:numFmt w:val="chineseCounting"/>
      <w:suff w:val="nothing"/>
      <w:lvlText w:val="（%1）"/>
      <w:lvlJc w:val="left"/>
    </w:lvl>
  </w:abstractNum>
  <w:abstractNum w:abstractNumId="9">
    <w:nsid w:val="58D3DEE4"/>
    <w:multiLevelType w:val="singleLevel"/>
    <w:tmpl w:val="58D3DEE4"/>
    <w:lvl w:ilvl="0" w:tentative="0">
      <w:start w:val="1"/>
      <w:numFmt w:val="decimal"/>
      <w:suff w:val="nothing"/>
      <w:lvlText w:val="%1、"/>
      <w:lvlJc w:val="left"/>
    </w:lvl>
  </w:abstractNum>
  <w:abstractNum w:abstractNumId="10">
    <w:nsid w:val="58D4CF4E"/>
    <w:multiLevelType w:val="singleLevel"/>
    <w:tmpl w:val="58D4CF4E"/>
    <w:lvl w:ilvl="0" w:tentative="0">
      <w:start w:val="6"/>
      <w:numFmt w:val="chineseCounting"/>
      <w:suff w:val="nothing"/>
      <w:lvlText w:val="%1、"/>
      <w:lvlJc w:val="left"/>
    </w:lvl>
  </w:abstractNum>
  <w:abstractNum w:abstractNumId="11">
    <w:nsid w:val="58D5D5FF"/>
    <w:multiLevelType w:val="singleLevel"/>
    <w:tmpl w:val="58D5D5FF"/>
    <w:lvl w:ilvl="0" w:tentative="0">
      <w:start w:val="3"/>
      <w:numFmt w:val="chineseCounting"/>
      <w:suff w:val="nothing"/>
      <w:lvlText w:val="%1、"/>
      <w:lvlJc w:val="left"/>
    </w:lvl>
  </w:abstractNum>
  <w:abstractNum w:abstractNumId="12">
    <w:nsid w:val="593A0B72"/>
    <w:multiLevelType w:val="singleLevel"/>
    <w:tmpl w:val="593A0B72"/>
    <w:lvl w:ilvl="0" w:tentative="0">
      <w:start w:val="1"/>
      <w:numFmt w:val="decimal"/>
      <w:suff w:val="nothing"/>
      <w:lvlText w:val="（%1）"/>
      <w:lvlJc w:val="left"/>
    </w:lvl>
  </w:abstractNum>
  <w:num w:numId="1">
    <w:abstractNumId w:val="2"/>
  </w:num>
  <w:num w:numId="2">
    <w:abstractNumId w:val="11"/>
  </w:num>
  <w:num w:numId="3">
    <w:abstractNumId w:val="3"/>
  </w:num>
  <w:num w:numId="4">
    <w:abstractNumId w:val="4"/>
  </w:num>
  <w:num w:numId="5">
    <w:abstractNumId w:val="5"/>
  </w:num>
  <w:num w:numId="6">
    <w:abstractNumId w:val="1"/>
  </w:num>
  <w:num w:numId="7">
    <w:abstractNumId w:val="12"/>
  </w:num>
  <w:num w:numId="8">
    <w:abstractNumId w:val="6"/>
  </w:num>
  <w:num w:numId="9">
    <w:abstractNumId w:val="0"/>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1"/>
  <w:bordersDoNotSurroundHeader w:val="0"/>
  <w:bordersDoNotSurroundFooter w:val="0"/>
  <w:documentProtection w:enforcement="0"/>
  <w:defaultTabStop w:val="420"/>
  <w:drawingGridHorizontalSpacing w:val="120"/>
  <w:drawingGridVerticalSpacing w:val="204"/>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D7"/>
    <w:rsid w:val="00002A69"/>
    <w:rsid w:val="00004468"/>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436D6"/>
    <w:rsid w:val="00051092"/>
    <w:rsid w:val="0005129C"/>
    <w:rsid w:val="0005263F"/>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8CF"/>
    <w:rsid w:val="000B0707"/>
    <w:rsid w:val="000B351B"/>
    <w:rsid w:val="000B65EF"/>
    <w:rsid w:val="000C0AC8"/>
    <w:rsid w:val="000C2C67"/>
    <w:rsid w:val="000C4653"/>
    <w:rsid w:val="000C4C40"/>
    <w:rsid w:val="000C7932"/>
    <w:rsid w:val="000C793B"/>
    <w:rsid w:val="000D124B"/>
    <w:rsid w:val="000D264B"/>
    <w:rsid w:val="000D32E5"/>
    <w:rsid w:val="000D34A6"/>
    <w:rsid w:val="000D37BE"/>
    <w:rsid w:val="000D4156"/>
    <w:rsid w:val="000D5CCA"/>
    <w:rsid w:val="000D7608"/>
    <w:rsid w:val="000E16BD"/>
    <w:rsid w:val="000E1A4F"/>
    <w:rsid w:val="000E3E46"/>
    <w:rsid w:val="000E5026"/>
    <w:rsid w:val="000E5B9F"/>
    <w:rsid w:val="000F1F5E"/>
    <w:rsid w:val="000F2AE1"/>
    <w:rsid w:val="000F482F"/>
    <w:rsid w:val="000F7ABD"/>
    <w:rsid w:val="00101AA1"/>
    <w:rsid w:val="00105D84"/>
    <w:rsid w:val="00107C77"/>
    <w:rsid w:val="00107E2F"/>
    <w:rsid w:val="00115891"/>
    <w:rsid w:val="00117519"/>
    <w:rsid w:val="00134F95"/>
    <w:rsid w:val="00142BA0"/>
    <w:rsid w:val="00143DA4"/>
    <w:rsid w:val="001441F8"/>
    <w:rsid w:val="0014542F"/>
    <w:rsid w:val="00147E31"/>
    <w:rsid w:val="00152FB6"/>
    <w:rsid w:val="001542F3"/>
    <w:rsid w:val="001547E8"/>
    <w:rsid w:val="001548CF"/>
    <w:rsid w:val="00156601"/>
    <w:rsid w:val="00157614"/>
    <w:rsid w:val="0016074D"/>
    <w:rsid w:val="00162CC9"/>
    <w:rsid w:val="00164900"/>
    <w:rsid w:val="001676D8"/>
    <w:rsid w:val="00170B49"/>
    <w:rsid w:val="00172A27"/>
    <w:rsid w:val="00173694"/>
    <w:rsid w:val="0017597C"/>
    <w:rsid w:val="0018053D"/>
    <w:rsid w:val="00180C97"/>
    <w:rsid w:val="00182DAE"/>
    <w:rsid w:val="0018363A"/>
    <w:rsid w:val="001871E1"/>
    <w:rsid w:val="001907A0"/>
    <w:rsid w:val="001907BC"/>
    <w:rsid w:val="001968CF"/>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2554"/>
    <w:rsid w:val="001D4085"/>
    <w:rsid w:val="001D50A9"/>
    <w:rsid w:val="001E1192"/>
    <w:rsid w:val="001E212B"/>
    <w:rsid w:val="001E22FB"/>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3156"/>
    <w:rsid w:val="00226CA1"/>
    <w:rsid w:val="00227F82"/>
    <w:rsid w:val="002331CD"/>
    <w:rsid w:val="00242395"/>
    <w:rsid w:val="00242589"/>
    <w:rsid w:val="00243172"/>
    <w:rsid w:val="00243D70"/>
    <w:rsid w:val="00244813"/>
    <w:rsid w:val="0024753B"/>
    <w:rsid w:val="0024762E"/>
    <w:rsid w:val="00247BA5"/>
    <w:rsid w:val="00251B7B"/>
    <w:rsid w:val="002520DB"/>
    <w:rsid w:val="002604FB"/>
    <w:rsid w:val="002612E9"/>
    <w:rsid w:val="00262E9B"/>
    <w:rsid w:val="00263172"/>
    <w:rsid w:val="00263E33"/>
    <w:rsid w:val="00263E5D"/>
    <w:rsid w:val="00267DA6"/>
    <w:rsid w:val="002706C6"/>
    <w:rsid w:val="00273665"/>
    <w:rsid w:val="0027412C"/>
    <w:rsid w:val="0027499A"/>
    <w:rsid w:val="00275D0D"/>
    <w:rsid w:val="00280B02"/>
    <w:rsid w:val="0028633D"/>
    <w:rsid w:val="002911A7"/>
    <w:rsid w:val="00291951"/>
    <w:rsid w:val="002953EE"/>
    <w:rsid w:val="00297AFA"/>
    <w:rsid w:val="002A0822"/>
    <w:rsid w:val="002A175B"/>
    <w:rsid w:val="002A731C"/>
    <w:rsid w:val="002A7693"/>
    <w:rsid w:val="002A7703"/>
    <w:rsid w:val="002A7AA4"/>
    <w:rsid w:val="002B0C65"/>
    <w:rsid w:val="002B30E0"/>
    <w:rsid w:val="002B55AD"/>
    <w:rsid w:val="002C012C"/>
    <w:rsid w:val="002C05DC"/>
    <w:rsid w:val="002C21EB"/>
    <w:rsid w:val="002C249E"/>
    <w:rsid w:val="002C439E"/>
    <w:rsid w:val="002C5757"/>
    <w:rsid w:val="002C5D77"/>
    <w:rsid w:val="002D1D84"/>
    <w:rsid w:val="002E11FA"/>
    <w:rsid w:val="002E21D6"/>
    <w:rsid w:val="002F1C3F"/>
    <w:rsid w:val="002F44AB"/>
    <w:rsid w:val="002F7973"/>
    <w:rsid w:val="0031024E"/>
    <w:rsid w:val="00312F11"/>
    <w:rsid w:val="003132F6"/>
    <w:rsid w:val="00313552"/>
    <w:rsid w:val="00315407"/>
    <w:rsid w:val="00322C3A"/>
    <w:rsid w:val="003313C3"/>
    <w:rsid w:val="003326C1"/>
    <w:rsid w:val="003363C3"/>
    <w:rsid w:val="0034018A"/>
    <w:rsid w:val="00343216"/>
    <w:rsid w:val="00344CC3"/>
    <w:rsid w:val="0034515E"/>
    <w:rsid w:val="00347FD1"/>
    <w:rsid w:val="003506E6"/>
    <w:rsid w:val="00352DF8"/>
    <w:rsid w:val="00356E00"/>
    <w:rsid w:val="0036466F"/>
    <w:rsid w:val="003712A9"/>
    <w:rsid w:val="00372944"/>
    <w:rsid w:val="00374FFF"/>
    <w:rsid w:val="003750CC"/>
    <w:rsid w:val="0037593E"/>
    <w:rsid w:val="00376DC7"/>
    <w:rsid w:val="0038083D"/>
    <w:rsid w:val="00383115"/>
    <w:rsid w:val="003837E2"/>
    <w:rsid w:val="00384096"/>
    <w:rsid w:val="00387964"/>
    <w:rsid w:val="0039007B"/>
    <w:rsid w:val="00390399"/>
    <w:rsid w:val="0039079D"/>
    <w:rsid w:val="003919EC"/>
    <w:rsid w:val="003920BE"/>
    <w:rsid w:val="0039236F"/>
    <w:rsid w:val="00392AA2"/>
    <w:rsid w:val="00392F5E"/>
    <w:rsid w:val="00394FAF"/>
    <w:rsid w:val="003967AC"/>
    <w:rsid w:val="0039690B"/>
    <w:rsid w:val="003A5187"/>
    <w:rsid w:val="003B1278"/>
    <w:rsid w:val="003B4EE3"/>
    <w:rsid w:val="003C10E7"/>
    <w:rsid w:val="003C49E8"/>
    <w:rsid w:val="003C5736"/>
    <w:rsid w:val="003C7E1F"/>
    <w:rsid w:val="003D37E8"/>
    <w:rsid w:val="003D5E40"/>
    <w:rsid w:val="003D6BE5"/>
    <w:rsid w:val="003D6DD4"/>
    <w:rsid w:val="003D7EF3"/>
    <w:rsid w:val="003D7FF0"/>
    <w:rsid w:val="003E16C4"/>
    <w:rsid w:val="003E2919"/>
    <w:rsid w:val="003E3C53"/>
    <w:rsid w:val="003E6369"/>
    <w:rsid w:val="003F0641"/>
    <w:rsid w:val="003F2581"/>
    <w:rsid w:val="003F3003"/>
    <w:rsid w:val="003F4A08"/>
    <w:rsid w:val="003F5DA7"/>
    <w:rsid w:val="003F640B"/>
    <w:rsid w:val="003F78E3"/>
    <w:rsid w:val="004016BF"/>
    <w:rsid w:val="00402380"/>
    <w:rsid w:val="0040727E"/>
    <w:rsid w:val="00412C52"/>
    <w:rsid w:val="0041356F"/>
    <w:rsid w:val="00414470"/>
    <w:rsid w:val="00415214"/>
    <w:rsid w:val="004156F2"/>
    <w:rsid w:val="0041689F"/>
    <w:rsid w:val="00417F32"/>
    <w:rsid w:val="0042114C"/>
    <w:rsid w:val="00424A8D"/>
    <w:rsid w:val="004251FE"/>
    <w:rsid w:val="00432769"/>
    <w:rsid w:val="004337AA"/>
    <w:rsid w:val="00436630"/>
    <w:rsid w:val="00436685"/>
    <w:rsid w:val="00436978"/>
    <w:rsid w:val="00437ABF"/>
    <w:rsid w:val="004406CE"/>
    <w:rsid w:val="004416B6"/>
    <w:rsid w:val="00444C92"/>
    <w:rsid w:val="00444F7A"/>
    <w:rsid w:val="00445884"/>
    <w:rsid w:val="00446C56"/>
    <w:rsid w:val="00446E9B"/>
    <w:rsid w:val="00447CE1"/>
    <w:rsid w:val="00461176"/>
    <w:rsid w:val="004637D6"/>
    <w:rsid w:val="00464BF7"/>
    <w:rsid w:val="00465728"/>
    <w:rsid w:val="004720AA"/>
    <w:rsid w:val="00472375"/>
    <w:rsid w:val="00482AC7"/>
    <w:rsid w:val="0049123B"/>
    <w:rsid w:val="00496736"/>
    <w:rsid w:val="00497DCD"/>
    <w:rsid w:val="004A4024"/>
    <w:rsid w:val="004A4C34"/>
    <w:rsid w:val="004A5982"/>
    <w:rsid w:val="004A5CFE"/>
    <w:rsid w:val="004B0A18"/>
    <w:rsid w:val="004B2A1B"/>
    <w:rsid w:val="004B2DE5"/>
    <w:rsid w:val="004B331B"/>
    <w:rsid w:val="004B4000"/>
    <w:rsid w:val="004B6F1C"/>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5692"/>
    <w:rsid w:val="00527E66"/>
    <w:rsid w:val="00534945"/>
    <w:rsid w:val="005360A1"/>
    <w:rsid w:val="00537C3E"/>
    <w:rsid w:val="0054431F"/>
    <w:rsid w:val="00544890"/>
    <w:rsid w:val="00547FC6"/>
    <w:rsid w:val="00552615"/>
    <w:rsid w:val="005535EB"/>
    <w:rsid w:val="005567B3"/>
    <w:rsid w:val="005632D3"/>
    <w:rsid w:val="005655D1"/>
    <w:rsid w:val="005658C9"/>
    <w:rsid w:val="00565929"/>
    <w:rsid w:val="005659EE"/>
    <w:rsid w:val="00565D9A"/>
    <w:rsid w:val="00566498"/>
    <w:rsid w:val="005708E6"/>
    <w:rsid w:val="005812C2"/>
    <w:rsid w:val="00583F95"/>
    <w:rsid w:val="00596AF0"/>
    <w:rsid w:val="00597947"/>
    <w:rsid w:val="005A0AF1"/>
    <w:rsid w:val="005A21FC"/>
    <w:rsid w:val="005B1178"/>
    <w:rsid w:val="005B159F"/>
    <w:rsid w:val="005C7BB8"/>
    <w:rsid w:val="005D24E1"/>
    <w:rsid w:val="005D7826"/>
    <w:rsid w:val="005E016C"/>
    <w:rsid w:val="005E0E0C"/>
    <w:rsid w:val="005E35A2"/>
    <w:rsid w:val="005E38D2"/>
    <w:rsid w:val="005E4009"/>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210B"/>
    <w:rsid w:val="00624274"/>
    <w:rsid w:val="00626CD9"/>
    <w:rsid w:val="00630956"/>
    <w:rsid w:val="00636115"/>
    <w:rsid w:val="00640016"/>
    <w:rsid w:val="00641EED"/>
    <w:rsid w:val="00642106"/>
    <w:rsid w:val="00646876"/>
    <w:rsid w:val="00650DEF"/>
    <w:rsid w:val="00651741"/>
    <w:rsid w:val="0065236E"/>
    <w:rsid w:val="00656BC8"/>
    <w:rsid w:val="0066273D"/>
    <w:rsid w:val="00662D0D"/>
    <w:rsid w:val="006642D3"/>
    <w:rsid w:val="006711A5"/>
    <w:rsid w:val="00672644"/>
    <w:rsid w:val="00673AC3"/>
    <w:rsid w:val="00676441"/>
    <w:rsid w:val="00677567"/>
    <w:rsid w:val="00681A0C"/>
    <w:rsid w:val="00682BA7"/>
    <w:rsid w:val="00687B7B"/>
    <w:rsid w:val="00691499"/>
    <w:rsid w:val="00692356"/>
    <w:rsid w:val="0069340D"/>
    <w:rsid w:val="006969CC"/>
    <w:rsid w:val="006A324D"/>
    <w:rsid w:val="006A769A"/>
    <w:rsid w:val="006A7A55"/>
    <w:rsid w:val="006B2DDC"/>
    <w:rsid w:val="006B5939"/>
    <w:rsid w:val="006B6D45"/>
    <w:rsid w:val="006B776D"/>
    <w:rsid w:val="006C0C87"/>
    <w:rsid w:val="006C2D23"/>
    <w:rsid w:val="006C2D83"/>
    <w:rsid w:val="006C3F2E"/>
    <w:rsid w:val="006C4D9E"/>
    <w:rsid w:val="006D10DC"/>
    <w:rsid w:val="006D22CB"/>
    <w:rsid w:val="006D281E"/>
    <w:rsid w:val="006D3823"/>
    <w:rsid w:val="006D3E5C"/>
    <w:rsid w:val="006D431A"/>
    <w:rsid w:val="006D6DB9"/>
    <w:rsid w:val="006E149F"/>
    <w:rsid w:val="006E37A4"/>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FB8"/>
    <w:rsid w:val="00756213"/>
    <w:rsid w:val="00757369"/>
    <w:rsid w:val="00760264"/>
    <w:rsid w:val="00760E63"/>
    <w:rsid w:val="0076125E"/>
    <w:rsid w:val="007614A0"/>
    <w:rsid w:val="00766CC5"/>
    <w:rsid w:val="0076789B"/>
    <w:rsid w:val="0077612D"/>
    <w:rsid w:val="00780BCF"/>
    <w:rsid w:val="00782046"/>
    <w:rsid w:val="0078403F"/>
    <w:rsid w:val="007857C2"/>
    <w:rsid w:val="007951AE"/>
    <w:rsid w:val="007960FC"/>
    <w:rsid w:val="007A1325"/>
    <w:rsid w:val="007A260C"/>
    <w:rsid w:val="007A4561"/>
    <w:rsid w:val="007B096A"/>
    <w:rsid w:val="007B5BCC"/>
    <w:rsid w:val="007B63BA"/>
    <w:rsid w:val="007B6A8C"/>
    <w:rsid w:val="007C0582"/>
    <w:rsid w:val="007C2929"/>
    <w:rsid w:val="007C5815"/>
    <w:rsid w:val="007D0A9C"/>
    <w:rsid w:val="007D12ED"/>
    <w:rsid w:val="007D518A"/>
    <w:rsid w:val="007D6002"/>
    <w:rsid w:val="007D6F8A"/>
    <w:rsid w:val="007E062F"/>
    <w:rsid w:val="007E5FF6"/>
    <w:rsid w:val="007F0CD4"/>
    <w:rsid w:val="007F15F0"/>
    <w:rsid w:val="007F3EA6"/>
    <w:rsid w:val="007F4D68"/>
    <w:rsid w:val="007F581B"/>
    <w:rsid w:val="00800E4A"/>
    <w:rsid w:val="008015DF"/>
    <w:rsid w:val="00801640"/>
    <w:rsid w:val="0080288E"/>
    <w:rsid w:val="008053EB"/>
    <w:rsid w:val="00805A0A"/>
    <w:rsid w:val="00807F2C"/>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5546B"/>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D0512"/>
    <w:rsid w:val="008D1468"/>
    <w:rsid w:val="008D33D6"/>
    <w:rsid w:val="008D53AA"/>
    <w:rsid w:val="008D5A00"/>
    <w:rsid w:val="008E0EA8"/>
    <w:rsid w:val="008E5FB9"/>
    <w:rsid w:val="008F3EA9"/>
    <w:rsid w:val="008F5689"/>
    <w:rsid w:val="008F69BF"/>
    <w:rsid w:val="009003B0"/>
    <w:rsid w:val="009015AD"/>
    <w:rsid w:val="00901FBE"/>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38B2"/>
    <w:rsid w:val="00934B5A"/>
    <w:rsid w:val="0094138A"/>
    <w:rsid w:val="00946554"/>
    <w:rsid w:val="00953385"/>
    <w:rsid w:val="009536E4"/>
    <w:rsid w:val="009553EB"/>
    <w:rsid w:val="009556E8"/>
    <w:rsid w:val="00960332"/>
    <w:rsid w:val="00963C82"/>
    <w:rsid w:val="009754A1"/>
    <w:rsid w:val="00977B6C"/>
    <w:rsid w:val="00981B94"/>
    <w:rsid w:val="009850DD"/>
    <w:rsid w:val="009852EE"/>
    <w:rsid w:val="0098648A"/>
    <w:rsid w:val="009918A8"/>
    <w:rsid w:val="00991D89"/>
    <w:rsid w:val="00995CC6"/>
    <w:rsid w:val="009964F7"/>
    <w:rsid w:val="009A07B6"/>
    <w:rsid w:val="009A2934"/>
    <w:rsid w:val="009A3167"/>
    <w:rsid w:val="009A488C"/>
    <w:rsid w:val="009A6B01"/>
    <w:rsid w:val="009B0E77"/>
    <w:rsid w:val="009B2E7B"/>
    <w:rsid w:val="009B7C3D"/>
    <w:rsid w:val="009C21D3"/>
    <w:rsid w:val="009C32B1"/>
    <w:rsid w:val="009C3BDF"/>
    <w:rsid w:val="009C6399"/>
    <w:rsid w:val="009C700D"/>
    <w:rsid w:val="009D117E"/>
    <w:rsid w:val="009D2C81"/>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00EE"/>
    <w:rsid w:val="00A210A1"/>
    <w:rsid w:val="00A22D6C"/>
    <w:rsid w:val="00A231F8"/>
    <w:rsid w:val="00A24CA1"/>
    <w:rsid w:val="00A269A7"/>
    <w:rsid w:val="00A31277"/>
    <w:rsid w:val="00A34428"/>
    <w:rsid w:val="00A44C1F"/>
    <w:rsid w:val="00A46DAF"/>
    <w:rsid w:val="00A47C58"/>
    <w:rsid w:val="00A529A1"/>
    <w:rsid w:val="00A52BA6"/>
    <w:rsid w:val="00A52F2C"/>
    <w:rsid w:val="00A5353E"/>
    <w:rsid w:val="00A54B3F"/>
    <w:rsid w:val="00A61261"/>
    <w:rsid w:val="00A61FD4"/>
    <w:rsid w:val="00A63AA9"/>
    <w:rsid w:val="00A669E9"/>
    <w:rsid w:val="00A67D0F"/>
    <w:rsid w:val="00A7144C"/>
    <w:rsid w:val="00A86036"/>
    <w:rsid w:val="00A86542"/>
    <w:rsid w:val="00A87F7C"/>
    <w:rsid w:val="00A908A5"/>
    <w:rsid w:val="00A91DAE"/>
    <w:rsid w:val="00A9633A"/>
    <w:rsid w:val="00AA46EA"/>
    <w:rsid w:val="00AA559B"/>
    <w:rsid w:val="00AB29C4"/>
    <w:rsid w:val="00AB60C4"/>
    <w:rsid w:val="00AC14F0"/>
    <w:rsid w:val="00AC2DF7"/>
    <w:rsid w:val="00AC548A"/>
    <w:rsid w:val="00AD1840"/>
    <w:rsid w:val="00AD5C59"/>
    <w:rsid w:val="00AD68CA"/>
    <w:rsid w:val="00AE270B"/>
    <w:rsid w:val="00AE5064"/>
    <w:rsid w:val="00AE5365"/>
    <w:rsid w:val="00AE55CB"/>
    <w:rsid w:val="00AF06F2"/>
    <w:rsid w:val="00AF3FDF"/>
    <w:rsid w:val="00AF5069"/>
    <w:rsid w:val="00AF564E"/>
    <w:rsid w:val="00B01326"/>
    <w:rsid w:val="00B0164D"/>
    <w:rsid w:val="00B019F5"/>
    <w:rsid w:val="00B02152"/>
    <w:rsid w:val="00B031D5"/>
    <w:rsid w:val="00B04CC4"/>
    <w:rsid w:val="00B04F4E"/>
    <w:rsid w:val="00B052BC"/>
    <w:rsid w:val="00B05BCA"/>
    <w:rsid w:val="00B05CB2"/>
    <w:rsid w:val="00B222AE"/>
    <w:rsid w:val="00B22D6C"/>
    <w:rsid w:val="00B33B98"/>
    <w:rsid w:val="00B34669"/>
    <w:rsid w:val="00B349F7"/>
    <w:rsid w:val="00B3578A"/>
    <w:rsid w:val="00B37407"/>
    <w:rsid w:val="00B431EF"/>
    <w:rsid w:val="00B51ADD"/>
    <w:rsid w:val="00B553D8"/>
    <w:rsid w:val="00B569AD"/>
    <w:rsid w:val="00B56E34"/>
    <w:rsid w:val="00B57039"/>
    <w:rsid w:val="00B6093A"/>
    <w:rsid w:val="00B668D2"/>
    <w:rsid w:val="00B72C1F"/>
    <w:rsid w:val="00B73C5F"/>
    <w:rsid w:val="00B74177"/>
    <w:rsid w:val="00B74665"/>
    <w:rsid w:val="00B76D53"/>
    <w:rsid w:val="00B82656"/>
    <w:rsid w:val="00B83704"/>
    <w:rsid w:val="00B90CC2"/>
    <w:rsid w:val="00B93330"/>
    <w:rsid w:val="00B96017"/>
    <w:rsid w:val="00B96778"/>
    <w:rsid w:val="00BA2BEC"/>
    <w:rsid w:val="00BA4E80"/>
    <w:rsid w:val="00BA56B6"/>
    <w:rsid w:val="00BB60A8"/>
    <w:rsid w:val="00BC0274"/>
    <w:rsid w:val="00BC3E88"/>
    <w:rsid w:val="00BD0BA4"/>
    <w:rsid w:val="00BD1F78"/>
    <w:rsid w:val="00BD1FC3"/>
    <w:rsid w:val="00BE1259"/>
    <w:rsid w:val="00BE73A7"/>
    <w:rsid w:val="00BF0647"/>
    <w:rsid w:val="00BF33D3"/>
    <w:rsid w:val="00C00CEE"/>
    <w:rsid w:val="00C06624"/>
    <w:rsid w:val="00C07110"/>
    <w:rsid w:val="00C10B17"/>
    <w:rsid w:val="00C117C2"/>
    <w:rsid w:val="00C11868"/>
    <w:rsid w:val="00C1364A"/>
    <w:rsid w:val="00C16188"/>
    <w:rsid w:val="00C22374"/>
    <w:rsid w:val="00C2276F"/>
    <w:rsid w:val="00C23D65"/>
    <w:rsid w:val="00C23FFB"/>
    <w:rsid w:val="00C242AF"/>
    <w:rsid w:val="00C2698A"/>
    <w:rsid w:val="00C308CC"/>
    <w:rsid w:val="00C309EB"/>
    <w:rsid w:val="00C30A7C"/>
    <w:rsid w:val="00C30E54"/>
    <w:rsid w:val="00C32BC8"/>
    <w:rsid w:val="00C34157"/>
    <w:rsid w:val="00C348C3"/>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0D75"/>
    <w:rsid w:val="00C81852"/>
    <w:rsid w:val="00C81D03"/>
    <w:rsid w:val="00C830AA"/>
    <w:rsid w:val="00C83E2E"/>
    <w:rsid w:val="00C853F1"/>
    <w:rsid w:val="00C8640F"/>
    <w:rsid w:val="00C92A41"/>
    <w:rsid w:val="00CA20C8"/>
    <w:rsid w:val="00CB0887"/>
    <w:rsid w:val="00CB23C6"/>
    <w:rsid w:val="00CC1988"/>
    <w:rsid w:val="00CC19AA"/>
    <w:rsid w:val="00CC3865"/>
    <w:rsid w:val="00CC5859"/>
    <w:rsid w:val="00CC5C28"/>
    <w:rsid w:val="00CC6A6D"/>
    <w:rsid w:val="00CD01A6"/>
    <w:rsid w:val="00CD3D9D"/>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3BBE"/>
    <w:rsid w:val="00D27AF2"/>
    <w:rsid w:val="00D30805"/>
    <w:rsid w:val="00D32D8D"/>
    <w:rsid w:val="00D33266"/>
    <w:rsid w:val="00D33644"/>
    <w:rsid w:val="00D40678"/>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6219A"/>
    <w:rsid w:val="00D726C9"/>
    <w:rsid w:val="00D77B55"/>
    <w:rsid w:val="00D77F22"/>
    <w:rsid w:val="00D800EA"/>
    <w:rsid w:val="00D83991"/>
    <w:rsid w:val="00D83A75"/>
    <w:rsid w:val="00D848FF"/>
    <w:rsid w:val="00D86515"/>
    <w:rsid w:val="00D92DBF"/>
    <w:rsid w:val="00D942F0"/>
    <w:rsid w:val="00D9704A"/>
    <w:rsid w:val="00DA2837"/>
    <w:rsid w:val="00DA2C69"/>
    <w:rsid w:val="00DA2F9A"/>
    <w:rsid w:val="00DA3DE8"/>
    <w:rsid w:val="00DB0341"/>
    <w:rsid w:val="00DB1144"/>
    <w:rsid w:val="00DB1A6E"/>
    <w:rsid w:val="00DB3373"/>
    <w:rsid w:val="00DB3ACE"/>
    <w:rsid w:val="00DB4415"/>
    <w:rsid w:val="00DB662D"/>
    <w:rsid w:val="00DB6793"/>
    <w:rsid w:val="00DC4310"/>
    <w:rsid w:val="00DC69A7"/>
    <w:rsid w:val="00DC7E56"/>
    <w:rsid w:val="00DD07D3"/>
    <w:rsid w:val="00DD19A1"/>
    <w:rsid w:val="00DD2557"/>
    <w:rsid w:val="00DD4453"/>
    <w:rsid w:val="00DD4862"/>
    <w:rsid w:val="00DE0934"/>
    <w:rsid w:val="00DE105F"/>
    <w:rsid w:val="00DE658A"/>
    <w:rsid w:val="00DE6720"/>
    <w:rsid w:val="00DF0BEC"/>
    <w:rsid w:val="00DF47DD"/>
    <w:rsid w:val="00DF73FE"/>
    <w:rsid w:val="00E01478"/>
    <w:rsid w:val="00E01655"/>
    <w:rsid w:val="00E01E5D"/>
    <w:rsid w:val="00E04274"/>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13CA"/>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D3252"/>
    <w:rsid w:val="00ED625C"/>
    <w:rsid w:val="00EE2803"/>
    <w:rsid w:val="00EE3359"/>
    <w:rsid w:val="00EE6CEB"/>
    <w:rsid w:val="00EF2329"/>
    <w:rsid w:val="00EF3750"/>
    <w:rsid w:val="00EF3AD0"/>
    <w:rsid w:val="00EF51D9"/>
    <w:rsid w:val="00EF6670"/>
    <w:rsid w:val="00EF7867"/>
    <w:rsid w:val="00F007F5"/>
    <w:rsid w:val="00F034DE"/>
    <w:rsid w:val="00F105BB"/>
    <w:rsid w:val="00F11D13"/>
    <w:rsid w:val="00F15BC0"/>
    <w:rsid w:val="00F21FB9"/>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626DA"/>
    <w:rsid w:val="00F75A94"/>
    <w:rsid w:val="00F7643C"/>
    <w:rsid w:val="00F866DF"/>
    <w:rsid w:val="00F87BB1"/>
    <w:rsid w:val="00F91449"/>
    <w:rsid w:val="00F91525"/>
    <w:rsid w:val="00F939A0"/>
    <w:rsid w:val="00F93A2D"/>
    <w:rsid w:val="00F945F2"/>
    <w:rsid w:val="00F9606C"/>
    <w:rsid w:val="00F96E1E"/>
    <w:rsid w:val="00F9702B"/>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0D94"/>
    <w:rsid w:val="00FE15C5"/>
    <w:rsid w:val="00FE1DB5"/>
    <w:rsid w:val="00FE1F54"/>
    <w:rsid w:val="00FE5BA5"/>
    <w:rsid w:val="00FE7174"/>
    <w:rsid w:val="00FF018C"/>
    <w:rsid w:val="00FF0713"/>
    <w:rsid w:val="00FF1DC6"/>
    <w:rsid w:val="00FF6F97"/>
    <w:rsid w:val="00FF7089"/>
    <w:rsid w:val="0150708B"/>
    <w:rsid w:val="016226DC"/>
    <w:rsid w:val="01AA0404"/>
    <w:rsid w:val="01DB1042"/>
    <w:rsid w:val="01FB0B7E"/>
    <w:rsid w:val="0230273D"/>
    <w:rsid w:val="02572AE5"/>
    <w:rsid w:val="02BE5C12"/>
    <w:rsid w:val="02CA3F14"/>
    <w:rsid w:val="030A59F6"/>
    <w:rsid w:val="037E648E"/>
    <w:rsid w:val="03A22486"/>
    <w:rsid w:val="04563371"/>
    <w:rsid w:val="04A02898"/>
    <w:rsid w:val="04AB0172"/>
    <w:rsid w:val="055C73A4"/>
    <w:rsid w:val="05985CA5"/>
    <w:rsid w:val="05BC59A3"/>
    <w:rsid w:val="05C668EF"/>
    <w:rsid w:val="0694014F"/>
    <w:rsid w:val="06C708E9"/>
    <w:rsid w:val="06ED5D31"/>
    <w:rsid w:val="073B3319"/>
    <w:rsid w:val="07522972"/>
    <w:rsid w:val="075B0402"/>
    <w:rsid w:val="07C85155"/>
    <w:rsid w:val="08576AE2"/>
    <w:rsid w:val="086D03E7"/>
    <w:rsid w:val="088410BB"/>
    <w:rsid w:val="09BE7CBD"/>
    <w:rsid w:val="0A244DC0"/>
    <w:rsid w:val="0A26246C"/>
    <w:rsid w:val="0A352C5F"/>
    <w:rsid w:val="0A4166E2"/>
    <w:rsid w:val="0AD319F6"/>
    <w:rsid w:val="0B0B5C3A"/>
    <w:rsid w:val="0B123381"/>
    <w:rsid w:val="0B1C4126"/>
    <w:rsid w:val="0B344DE1"/>
    <w:rsid w:val="0B700E25"/>
    <w:rsid w:val="0BB96433"/>
    <w:rsid w:val="0C3F702D"/>
    <w:rsid w:val="0C852279"/>
    <w:rsid w:val="0C95396C"/>
    <w:rsid w:val="0D727ED9"/>
    <w:rsid w:val="0DE85BEB"/>
    <w:rsid w:val="0ECC7A63"/>
    <w:rsid w:val="0FA435FB"/>
    <w:rsid w:val="1017350D"/>
    <w:rsid w:val="1073377E"/>
    <w:rsid w:val="109D7E32"/>
    <w:rsid w:val="10E8301D"/>
    <w:rsid w:val="11093193"/>
    <w:rsid w:val="11A07972"/>
    <w:rsid w:val="11D305F4"/>
    <w:rsid w:val="12030D81"/>
    <w:rsid w:val="12123C55"/>
    <w:rsid w:val="12AE5D97"/>
    <w:rsid w:val="138D1A88"/>
    <w:rsid w:val="139578CD"/>
    <w:rsid w:val="13D569CC"/>
    <w:rsid w:val="169418CC"/>
    <w:rsid w:val="1795368D"/>
    <w:rsid w:val="17F10DAA"/>
    <w:rsid w:val="180E5AC7"/>
    <w:rsid w:val="18987862"/>
    <w:rsid w:val="18AF57F3"/>
    <w:rsid w:val="18E927D3"/>
    <w:rsid w:val="19374F50"/>
    <w:rsid w:val="196A065C"/>
    <w:rsid w:val="19920ADE"/>
    <w:rsid w:val="19CA20F1"/>
    <w:rsid w:val="1A4B4313"/>
    <w:rsid w:val="1A674E9E"/>
    <w:rsid w:val="1B3426A1"/>
    <w:rsid w:val="1B802D68"/>
    <w:rsid w:val="1C541C3D"/>
    <w:rsid w:val="1C7B77AF"/>
    <w:rsid w:val="1C8B2F38"/>
    <w:rsid w:val="1CF61D5B"/>
    <w:rsid w:val="1DA964B1"/>
    <w:rsid w:val="1DBA2736"/>
    <w:rsid w:val="1DC71EB3"/>
    <w:rsid w:val="1DC72229"/>
    <w:rsid w:val="1DD2696A"/>
    <w:rsid w:val="1E2A5CAE"/>
    <w:rsid w:val="1E446920"/>
    <w:rsid w:val="1EC34408"/>
    <w:rsid w:val="1F08068B"/>
    <w:rsid w:val="1F211DFE"/>
    <w:rsid w:val="1F5C5624"/>
    <w:rsid w:val="201072CD"/>
    <w:rsid w:val="20443520"/>
    <w:rsid w:val="206B3296"/>
    <w:rsid w:val="206F1E77"/>
    <w:rsid w:val="207A60AE"/>
    <w:rsid w:val="20DA3B7B"/>
    <w:rsid w:val="212301CC"/>
    <w:rsid w:val="21D450F0"/>
    <w:rsid w:val="21DD25F8"/>
    <w:rsid w:val="21F77427"/>
    <w:rsid w:val="228E358E"/>
    <w:rsid w:val="22E91BA7"/>
    <w:rsid w:val="2374651B"/>
    <w:rsid w:val="23B04BEF"/>
    <w:rsid w:val="23C82C51"/>
    <w:rsid w:val="23DB2990"/>
    <w:rsid w:val="23F87DC5"/>
    <w:rsid w:val="23FD42B5"/>
    <w:rsid w:val="248360B2"/>
    <w:rsid w:val="24907FED"/>
    <w:rsid w:val="24EB41F2"/>
    <w:rsid w:val="24F835EE"/>
    <w:rsid w:val="24FF0626"/>
    <w:rsid w:val="251F4739"/>
    <w:rsid w:val="25D56CCF"/>
    <w:rsid w:val="262E720E"/>
    <w:rsid w:val="26754FD5"/>
    <w:rsid w:val="26D3151D"/>
    <w:rsid w:val="26DD5907"/>
    <w:rsid w:val="26EF3D66"/>
    <w:rsid w:val="272D0BE4"/>
    <w:rsid w:val="28A600A1"/>
    <w:rsid w:val="28D91A97"/>
    <w:rsid w:val="28DE0B33"/>
    <w:rsid w:val="28EA21EC"/>
    <w:rsid w:val="29361ECC"/>
    <w:rsid w:val="29500CDB"/>
    <w:rsid w:val="299D61DD"/>
    <w:rsid w:val="29E84166"/>
    <w:rsid w:val="2A3F632F"/>
    <w:rsid w:val="2A5A6F54"/>
    <w:rsid w:val="2AB10937"/>
    <w:rsid w:val="2ABF664D"/>
    <w:rsid w:val="2B500C0D"/>
    <w:rsid w:val="2B744E3C"/>
    <w:rsid w:val="2B9752A4"/>
    <w:rsid w:val="2BA03F32"/>
    <w:rsid w:val="2C2F1EF1"/>
    <w:rsid w:val="2D32039E"/>
    <w:rsid w:val="2D6E1D3C"/>
    <w:rsid w:val="2DC0511F"/>
    <w:rsid w:val="2E142917"/>
    <w:rsid w:val="2E554F1C"/>
    <w:rsid w:val="2EBE4548"/>
    <w:rsid w:val="2F9261F0"/>
    <w:rsid w:val="2FB55E69"/>
    <w:rsid w:val="2FC463E3"/>
    <w:rsid w:val="2FD6309E"/>
    <w:rsid w:val="2FE1369A"/>
    <w:rsid w:val="2FFB2293"/>
    <w:rsid w:val="308C425D"/>
    <w:rsid w:val="30B045D6"/>
    <w:rsid w:val="30DA0658"/>
    <w:rsid w:val="315A183F"/>
    <w:rsid w:val="31836B53"/>
    <w:rsid w:val="31D06AC7"/>
    <w:rsid w:val="3201792A"/>
    <w:rsid w:val="32EA6242"/>
    <w:rsid w:val="336B7906"/>
    <w:rsid w:val="339239A5"/>
    <w:rsid w:val="33D1083B"/>
    <w:rsid w:val="35D12D18"/>
    <w:rsid w:val="35FF2E7F"/>
    <w:rsid w:val="369907FF"/>
    <w:rsid w:val="36BC4B3B"/>
    <w:rsid w:val="36CE0D94"/>
    <w:rsid w:val="3746010E"/>
    <w:rsid w:val="37993D40"/>
    <w:rsid w:val="37ED18A6"/>
    <w:rsid w:val="382E0D56"/>
    <w:rsid w:val="38873299"/>
    <w:rsid w:val="38F74EC4"/>
    <w:rsid w:val="3A0350ED"/>
    <w:rsid w:val="3A2A1B78"/>
    <w:rsid w:val="3A354B18"/>
    <w:rsid w:val="3A552000"/>
    <w:rsid w:val="3A8A54FD"/>
    <w:rsid w:val="3AC577F8"/>
    <w:rsid w:val="3B7C5D77"/>
    <w:rsid w:val="3B7E2C42"/>
    <w:rsid w:val="3BB012DD"/>
    <w:rsid w:val="3C1C2C5C"/>
    <w:rsid w:val="3C4A0491"/>
    <w:rsid w:val="3C506D2A"/>
    <w:rsid w:val="3C5411A6"/>
    <w:rsid w:val="3CA95D44"/>
    <w:rsid w:val="3CC32673"/>
    <w:rsid w:val="3CC413D7"/>
    <w:rsid w:val="3CDC1AF2"/>
    <w:rsid w:val="3CE507CE"/>
    <w:rsid w:val="3D103D69"/>
    <w:rsid w:val="3E1E0375"/>
    <w:rsid w:val="3E3D544B"/>
    <w:rsid w:val="3ECB488B"/>
    <w:rsid w:val="3F37323F"/>
    <w:rsid w:val="3F4B70C4"/>
    <w:rsid w:val="3FA32042"/>
    <w:rsid w:val="404F7994"/>
    <w:rsid w:val="409D2340"/>
    <w:rsid w:val="4103485C"/>
    <w:rsid w:val="41263F6F"/>
    <w:rsid w:val="416416A2"/>
    <w:rsid w:val="41860FE0"/>
    <w:rsid w:val="41DE44EF"/>
    <w:rsid w:val="41FF1EE4"/>
    <w:rsid w:val="42495C92"/>
    <w:rsid w:val="42D832DB"/>
    <w:rsid w:val="436A69D9"/>
    <w:rsid w:val="439E7D35"/>
    <w:rsid w:val="43A70FA7"/>
    <w:rsid w:val="43DE06CE"/>
    <w:rsid w:val="43F85F46"/>
    <w:rsid w:val="44874025"/>
    <w:rsid w:val="449B04BD"/>
    <w:rsid w:val="44BE1A48"/>
    <w:rsid w:val="455519A9"/>
    <w:rsid w:val="456E58C7"/>
    <w:rsid w:val="45AA56B2"/>
    <w:rsid w:val="45E9607B"/>
    <w:rsid w:val="46C812D9"/>
    <w:rsid w:val="46C87DB6"/>
    <w:rsid w:val="479F276E"/>
    <w:rsid w:val="47C00A18"/>
    <w:rsid w:val="47D24E93"/>
    <w:rsid w:val="48445DB2"/>
    <w:rsid w:val="48610552"/>
    <w:rsid w:val="48865FD7"/>
    <w:rsid w:val="48CC17E0"/>
    <w:rsid w:val="48DE2C2A"/>
    <w:rsid w:val="491C0417"/>
    <w:rsid w:val="49226F36"/>
    <w:rsid w:val="49F8038D"/>
    <w:rsid w:val="4A5450D5"/>
    <w:rsid w:val="4A577846"/>
    <w:rsid w:val="4A814A75"/>
    <w:rsid w:val="4AAB2367"/>
    <w:rsid w:val="4B587D80"/>
    <w:rsid w:val="4B794A75"/>
    <w:rsid w:val="4C481612"/>
    <w:rsid w:val="4CE31007"/>
    <w:rsid w:val="4DCF7719"/>
    <w:rsid w:val="4E0C1ED3"/>
    <w:rsid w:val="4E1247D0"/>
    <w:rsid w:val="4E361A20"/>
    <w:rsid w:val="4E7A2720"/>
    <w:rsid w:val="4EFB00A3"/>
    <w:rsid w:val="4F154D83"/>
    <w:rsid w:val="4F4F68ED"/>
    <w:rsid w:val="4F8265F6"/>
    <w:rsid w:val="4F88033D"/>
    <w:rsid w:val="4FC26476"/>
    <w:rsid w:val="506629E3"/>
    <w:rsid w:val="508E6CE9"/>
    <w:rsid w:val="51075EE0"/>
    <w:rsid w:val="517E0914"/>
    <w:rsid w:val="51A859AC"/>
    <w:rsid w:val="51BA686C"/>
    <w:rsid w:val="51CB362E"/>
    <w:rsid w:val="526247ED"/>
    <w:rsid w:val="5280644A"/>
    <w:rsid w:val="52D77B68"/>
    <w:rsid w:val="53FD4AD4"/>
    <w:rsid w:val="54AB0A9F"/>
    <w:rsid w:val="550256A3"/>
    <w:rsid w:val="553848F4"/>
    <w:rsid w:val="55496910"/>
    <w:rsid w:val="5583780A"/>
    <w:rsid w:val="55E71E61"/>
    <w:rsid w:val="56A41031"/>
    <w:rsid w:val="56B6206E"/>
    <w:rsid w:val="56BE00DB"/>
    <w:rsid w:val="56DB58F4"/>
    <w:rsid w:val="57471F10"/>
    <w:rsid w:val="57821EF3"/>
    <w:rsid w:val="579B0B41"/>
    <w:rsid w:val="57BF44F5"/>
    <w:rsid w:val="57CE0CC1"/>
    <w:rsid w:val="57FB2087"/>
    <w:rsid w:val="58A050EB"/>
    <w:rsid w:val="5941093A"/>
    <w:rsid w:val="597B5451"/>
    <w:rsid w:val="59BD4E2B"/>
    <w:rsid w:val="5A2A46E6"/>
    <w:rsid w:val="5B0864CF"/>
    <w:rsid w:val="5B1303C5"/>
    <w:rsid w:val="5B851218"/>
    <w:rsid w:val="5BE13B34"/>
    <w:rsid w:val="5C1F24BB"/>
    <w:rsid w:val="5C37508B"/>
    <w:rsid w:val="5CE8235B"/>
    <w:rsid w:val="5D4B1209"/>
    <w:rsid w:val="5D896E53"/>
    <w:rsid w:val="5DA978C3"/>
    <w:rsid w:val="5DEB1C1A"/>
    <w:rsid w:val="5E4A063F"/>
    <w:rsid w:val="5E693AAB"/>
    <w:rsid w:val="5EFC1AD7"/>
    <w:rsid w:val="5F031474"/>
    <w:rsid w:val="5F62675A"/>
    <w:rsid w:val="5FAA6277"/>
    <w:rsid w:val="5FC95CEB"/>
    <w:rsid w:val="60F5717C"/>
    <w:rsid w:val="60FE6594"/>
    <w:rsid w:val="613C5D46"/>
    <w:rsid w:val="61572592"/>
    <w:rsid w:val="61A27A81"/>
    <w:rsid w:val="61A627E1"/>
    <w:rsid w:val="621C7B65"/>
    <w:rsid w:val="62762596"/>
    <w:rsid w:val="627C6AED"/>
    <w:rsid w:val="630A3F4F"/>
    <w:rsid w:val="636D5F4D"/>
    <w:rsid w:val="63EC700F"/>
    <w:rsid w:val="645C5C98"/>
    <w:rsid w:val="64BE40E4"/>
    <w:rsid w:val="64D155F7"/>
    <w:rsid w:val="65405644"/>
    <w:rsid w:val="654F440B"/>
    <w:rsid w:val="65DE7CD5"/>
    <w:rsid w:val="65E25D72"/>
    <w:rsid w:val="66235ADF"/>
    <w:rsid w:val="66257384"/>
    <w:rsid w:val="6644064F"/>
    <w:rsid w:val="66DA71AF"/>
    <w:rsid w:val="66E819F5"/>
    <w:rsid w:val="66F56392"/>
    <w:rsid w:val="67130C1F"/>
    <w:rsid w:val="6743520B"/>
    <w:rsid w:val="6788267A"/>
    <w:rsid w:val="67E310E9"/>
    <w:rsid w:val="68885653"/>
    <w:rsid w:val="68E33921"/>
    <w:rsid w:val="6930224C"/>
    <w:rsid w:val="6954369D"/>
    <w:rsid w:val="6A2B68B1"/>
    <w:rsid w:val="6AAE3AE4"/>
    <w:rsid w:val="6BA2044B"/>
    <w:rsid w:val="6BBD7903"/>
    <w:rsid w:val="6BBE019B"/>
    <w:rsid w:val="6C200AAA"/>
    <w:rsid w:val="6C6A3C22"/>
    <w:rsid w:val="6CA715BB"/>
    <w:rsid w:val="6CB40C14"/>
    <w:rsid w:val="6CF27464"/>
    <w:rsid w:val="6DE210D3"/>
    <w:rsid w:val="6E852881"/>
    <w:rsid w:val="6ECC48DD"/>
    <w:rsid w:val="6FBB48F8"/>
    <w:rsid w:val="70344EA3"/>
    <w:rsid w:val="70CA6959"/>
    <w:rsid w:val="71343664"/>
    <w:rsid w:val="71C852BA"/>
    <w:rsid w:val="71DC73A1"/>
    <w:rsid w:val="72392C87"/>
    <w:rsid w:val="725F1C2E"/>
    <w:rsid w:val="72696DDB"/>
    <w:rsid w:val="726A72A5"/>
    <w:rsid w:val="72E6066E"/>
    <w:rsid w:val="73A15D8A"/>
    <w:rsid w:val="73EC1703"/>
    <w:rsid w:val="74426023"/>
    <w:rsid w:val="74543023"/>
    <w:rsid w:val="747E2FDB"/>
    <w:rsid w:val="74AC4F83"/>
    <w:rsid w:val="74DC0082"/>
    <w:rsid w:val="75391C20"/>
    <w:rsid w:val="753E290B"/>
    <w:rsid w:val="75482565"/>
    <w:rsid w:val="757502FC"/>
    <w:rsid w:val="75BD1C5B"/>
    <w:rsid w:val="7677108D"/>
    <w:rsid w:val="76DD3E7F"/>
    <w:rsid w:val="776C5DBE"/>
    <w:rsid w:val="77942D68"/>
    <w:rsid w:val="77AB3090"/>
    <w:rsid w:val="788953F2"/>
    <w:rsid w:val="79261039"/>
    <w:rsid w:val="79502DD1"/>
    <w:rsid w:val="7A887F3C"/>
    <w:rsid w:val="7B0F5D26"/>
    <w:rsid w:val="7C6D3FBC"/>
    <w:rsid w:val="7D077AD5"/>
    <w:rsid w:val="7D1E6B73"/>
    <w:rsid w:val="7D7100F2"/>
    <w:rsid w:val="7DA146D1"/>
    <w:rsid w:val="7DCA3B54"/>
    <w:rsid w:val="7DDF5E0F"/>
    <w:rsid w:val="7E4F7E9C"/>
    <w:rsid w:val="7E957F82"/>
    <w:rsid w:val="7EE47D1A"/>
    <w:rsid w:val="7EF86566"/>
    <w:rsid w:val="7F781EA7"/>
    <w:rsid w:val="7FA54843"/>
    <w:rsid w:val="7FE7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annotation subject"/>
    <w:basedOn w:val="6"/>
    <w:next w:val="6"/>
    <w:link w:val="35"/>
    <w:unhideWhenUsed/>
    <w:qFormat/>
    <w:uiPriority w:val="99"/>
    <w:rPr>
      <w:b/>
      <w:bCs/>
    </w:rPr>
  </w:style>
  <w:style w:type="paragraph" w:styleId="6">
    <w:name w:val="annotation text"/>
    <w:basedOn w:val="1"/>
    <w:link w:val="33"/>
    <w:unhideWhenUsed/>
    <w:qFormat/>
    <w:uiPriority w:val="99"/>
    <w:pPr>
      <w:jc w:val="left"/>
    </w:pPr>
  </w:style>
  <w:style w:type="paragraph" w:styleId="7">
    <w:name w:val="toc 7"/>
    <w:basedOn w:val="1"/>
    <w:next w:val="1"/>
    <w:qFormat/>
    <w:uiPriority w:val="39"/>
    <w:pPr>
      <w:ind w:left="1800"/>
      <w:jc w:val="left"/>
    </w:pPr>
    <w:rPr>
      <w:sz w:val="18"/>
      <w:szCs w:val="18"/>
    </w:rPr>
  </w:style>
  <w:style w:type="paragraph" w:styleId="8">
    <w:name w:val="Document Map"/>
    <w:basedOn w:val="1"/>
    <w:link w:val="36"/>
    <w:unhideWhenUsed/>
    <w:qFormat/>
    <w:uiPriority w:val="99"/>
    <w:rPr>
      <w:rFonts w:ascii="宋体" w:eastAsia="宋体"/>
      <w:sz w:val="18"/>
      <w:szCs w:val="18"/>
    </w:rPr>
  </w:style>
  <w:style w:type="paragraph" w:styleId="9">
    <w:name w:val="toc 5"/>
    <w:basedOn w:val="1"/>
    <w:next w:val="1"/>
    <w:qFormat/>
    <w:uiPriority w:val="39"/>
    <w:pPr>
      <w:ind w:left="1200"/>
      <w:jc w:val="left"/>
    </w:pPr>
    <w:rPr>
      <w:sz w:val="18"/>
      <w:szCs w:val="18"/>
    </w:rPr>
  </w:style>
  <w:style w:type="paragraph" w:styleId="10">
    <w:name w:val="toc 3"/>
    <w:basedOn w:val="1"/>
    <w:next w:val="1"/>
    <w:qFormat/>
    <w:uiPriority w:val="39"/>
    <w:pPr>
      <w:spacing w:line="300" w:lineRule="exact"/>
      <w:ind w:left="567"/>
      <w:jc w:val="left"/>
    </w:pPr>
    <w:rPr>
      <w:iCs/>
      <w:sz w:val="28"/>
      <w:szCs w:val="20"/>
    </w:rPr>
  </w:style>
  <w:style w:type="paragraph" w:styleId="11">
    <w:name w:val="toc 8"/>
    <w:basedOn w:val="1"/>
    <w:next w:val="1"/>
    <w:qFormat/>
    <w:uiPriority w:val="39"/>
    <w:pPr>
      <w:ind w:left="2100"/>
      <w:jc w:val="left"/>
    </w:pPr>
    <w:rPr>
      <w:sz w:val="18"/>
      <w:szCs w:val="18"/>
    </w:rPr>
  </w:style>
  <w:style w:type="paragraph" w:styleId="12">
    <w:name w:val="Date"/>
    <w:basedOn w:val="1"/>
    <w:next w:val="1"/>
    <w:qFormat/>
    <w:uiPriority w:val="0"/>
    <w:pPr>
      <w:ind w:left="100" w:leftChars="2500"/>
    </w:pPr>
    <w:rPr>
      <w:rFonts w:eastAsia="宋体"/>
      <w:sz w:val="21"/>
    </w:rPr>
  </w:style>
  <w:style w:type="paragraph" w:styleId="13">
    <w:name w:val="Balloon Text"/>
    <w:basedOn w:val="1"/>
    <w:link w:val="30"/>
    <w:qFormat/>
    <w:uiPriority w:val="0"/>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8"/>
      <w:szCs w:val="20"/>
    </w:rPr>
  </w:style>
  <w:style w:type="paragraph" w:styleId="17">
    <w:name w:val="toc 4"/>
    <w:basedOn w:val="1"/>
    <w:next w:val="1"/>
    <w:qFormat/>
    <w:uiPriority w:val="39"/>
    <w:pPr>
      <w:tabs>
        <w:tab w:val="right" w:leader="dot" w:pos="8693"/>
      </w:tabs>
      <w:spacing w:line="300" w:lineRule="exact"/>
      <w:ind w:left="902"/>
      <w:jc w:val="left"/>
    </w:pPr>
    <w:rPr>
      <w:sz w:val="28"/>
      <w:szCs w:val="18"/>
    </w:rPr>
  </w:style>
  <w:style w:type="paragraph" w:styleId="18">
    <w:name w:val="toc 6"/>
    <w:basedOn w:val="1"/>
    <w:next w:val="1"/>
    <w:qFormat/>
    <w:uiPriority w:val="39"/>
    <w:pPr>
      <w:ind w:left="1500"/>
      <w:jc w:val="left"/>
    </w:pPr>
    <w:rPr>
      <w:sz w:val="18"/>
      <w:szCs w:val="18"/>
    </w:rPr>
  </w:style>
  <w:style w:type="paragraph" w:styleId="19">
    <w:name w:val="toc 2"/>
    <w:basedOn w:val="1"/>
    <w:next w:val="1"/>
    <w:qFormat/>
    <w:uiPriority w:val="39"/>
    <w:pPr>
      <w:spacing w:line="300" w:lineRule="exact"/>
      <w:jc w:val="left"/>
    </w:pPr>
    <w:rPr>
      <w:smallCaps/>
      <w:sz w:val="28"/>
      <w:szCs w:val="20"/>
    </w:rPr>
  </w:style>
  <w:style w:type="paragraph" w:styleId="20">
    <w:name w:val="toc 9"/>
    <w:basedOn w:val="1"/>
    <w:next w:val="1"/>
    <w:qFormat/>
    <w:uiPriority w:val="39"/>
    <w:pPr>
      <w:ind w:left="2400"/>
      <w:jc w:val="left"/>
    </w:pPr>
    <w:rPr>
      <w:sz w:val="18"/>
      <w:szCs w:val="18"/>
    </w:r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2">
    <w:name w:val="Title"/>
    <w:basedOn w:val="1"/>
    <w:next w:val="1"/>
    <w:link w:val="29"/>
    <w:qFormat/>
    <w:uiPriority w:val="10"/>
    <w:pPr>
      <w:jc w:val="left"/>
      <w:outlineLvl w:val="3"/>
    </w:pPr>
    <w:rPr>
      <w:rFonts w:ascii="Cambria" w:hAnsi="Cambria"/>
      <w:bCs/>
      <w:szCs w:val="32"/>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Char"/>
    <w:basedOn w:val="23"/>
    <w:link w:val="22"/>
    <w:qFormat/>
    <w:uiPriority w:val="10"/>
    <w:rPr>
      <w:rFonts w:ascii="Cambria" w:hAnsi="Cambria" w:eastAsia="仿宋_GB2312" w:cs="Times New Roman"/>
      <w:bCs/>
      <w:kern w:val="2"/>
      <w:sz w:val="24"/>
      <w:szCs w:val="32"/>
    </w:rPr>
  </w:style>
  <w:style w:type="character" w:customStyle="1" w:styleId="30">
    <w:name w:val="批注框文本 Char"/>
    <w:link w:val="13"/>
    <w:qFormat/>
    <w:uiPriority w:val="0"/>
    <w:rPr>
      <w:rFonts w:eastAsia="仿宋_GB2312"/>
      <w:kern w:val="2"/>
      <w:sz w:val="18"/>
      <w:szCs w:val="18"/>
    </w:rPr>
  </w:style>
  <w:style w:type="character" w:customStyle="1" w:styleId="31">
    <w:name w:val="页脚 Char"/>
    <w:link w:val="14"/>
    <w:qFormat/>
    <w:uiPriority w:val="99"/>
    <w:rPr>
      <w:rFonts w:eastAsia="仿宋_GB2312"/>
      <w:kern w:val="2"/>
      <w:sz w:val="18"/>
      <w:szCs w:val="18"/>
    </w:rPr>
  </w:style>
  <w:style w:type="character" w:customStyle="1" w:styleId="32">
    <w:name w:val="apple-converted-space"/>
    <w:basedOn w:val="23"/>
    <w:qFormat/>
    <w:uiPriority w:val="0"/>
  </w:style>
  <w:style w:type="character" w:customStyle="1" w:styleId="33">
    <w:name w:val="批注文字 Char"/>
    <w:basedOn w:val="23"/>
    <w:link w:val="6"/>
    <w:semiHidden/>
    <w:qFormat/>
    <w:uiPriority w:val="99"/>
    <w:rPr>
      <w:rFonts w:eastAsia="仿宋_GB2312"/>
      <w:kern w:val="2"/>
      <w:sz w:val="24"/>
      <w:szCs w:val="24"/>
    </w:rPr>
  </w:style>
  <w:style w:type="character" w:customStyle="1" w:styleId="34">
    <w:name w:val="页眉 Char"/>
    <w:link w:val="15"/>
    <w:qFormat/>
    <w:uiPriority w:val="0"/>
    <w:rPr>
      <w:rFonts w:eastAsia="仿宋_GB2312"/>
      <w:kern w:val="2"/>
      <w:sz w:val="18"/>
      <w:szCs w:val="18"/>
    </w:rPr>
  </w:style>
  <w:style w:type="character" w:customStyle="1" w:styleId="35">
    <w:name w:val="批注主题 Char"/>
    <w:basedOn w:val="33"/>
    <w:link w:val="5"/>
    <w:semiHidden/>
    <w:qFormat/>
    <w:uiPriority w:val="99"/>
    <w:rPr>
      <w:rFonts w:eastAsia="仿宋_GB2312"/>
      <w:b/>
      <w:bCs/>
      <w:kern w:val="2"/>
      <w:sz w:val="24"/>
      <w:szCs w:val="24"/>
    </w:rPr>
  </w:style>
  <w:style w:type="character" w:customStyle="1" w:styleId="36">
    <w:name w:val="文档结构图 Char"/>
    <w:basedOn w:val="23"/>
    <w:link w:val="8"/>
    <w:semiHidden/>
    <w:qFormat/>
    <w:uiPriority w:val="99"/>
    <w:rPr>
      <w:rFonts w:ascii="宋体"/>
      <w:kern w:val="2"/>
      <w:sz w:val="18"/>
      <w:szCs w:val="18"/>
    </w:rPr>
  </w:style>
  <w:style w:type="paragraph" w:customStyle="1" w:styleId="37">
    <w:name w:val="_Style 1"/>
    <w:basedOn w:val="1"/>
    <w:qFormat/>
    <w:uiPriority w:val="0"/>
    <w:rPr>
      <w:rFonts w:eastAsia="宋体"/>
      <w:sz w:val="21"/>
    </w:rPr>
  </w:style>
  <w:style w:type="paragraph" w:customStyle="1" w:styleId="38">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9">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40">
    <w:name w:val="列出段落1"/>
    <w:basedOn w:val="1"/>
    <w:qFormat/>
    <w:uiPriority w:val="34"/>
    <w:pPr>
      <w:ind w:firstLine="420"/>
    </w:pPr>
  </w:style>
  <w:style w:type="paragraph" w:customStyle="1" w:styleId="41">
    <w:name w:val="列出段落2"/>
    <w:basedOn w:val="1"/>
    <w:qFormat/>
    <w:uiPriority w:val="34"/>
    <w:pPr>
      <w:ind w:firstLine="420"/>
    </w:pPr>
  </w:style>
  <w:style w:type="paragraph" w:customStyle="1" w:styleId="42">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3">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table" w:customStyle="1" w:styleId="44">
    <w:name w:val="网格型1"/>
    <w:basedOn w:val="27"/>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font21"/>
    <w:basedOn w:val="23"/>
    <w:qFormat/>
    <w:uiPriority w:val="0"/>
    <w:rPr>
      <w:rFonts w:ascii="Arial Narrow" w:hAnsi="Arial Narrow" w:eastAsia="Arial Narrow" w:cs="Arial Narrow"/>
      <w:color w:val="000000"/>
      <w:sz w:val="20"/>
      <w:szCs w:val="20"/>
      <w:u w:val="none"/>
    </w:rPr>
  </w:style>
  <w:style w:type="character" w:customStyle="1" w:styleId="46">
    <w:name w:val="font31"/>
    <w:basedOn w:val="23"/>
    <w:qFormat/>
    <w:uiPriority w:val="0"/>
    <w:rPr>
      <w:rFonts w:hint="eastAsia" w:ascii="仿宋_GB2312" w:eastAsia="仿宋_GB2312" w:cs="仿宋_GB2312"/>
      <w:color w:val="000000"/>
      <w:sz w:val="20"/>
      <w:szCs w:val="20"/>
      <w:u w:val="none"/>
    </w:rPr>
  </w:style>
  <w:style w:type="character" w:customStyle="1" w:styleId="47">
    <w:name w:val="font11"/>
    <w:basedOn w:val="23"/>
    <w:qFormat/>
    <w:uiPriority w:val="0"/>
    <w:rPr>
      <w:rFonts w:hint="default" w:ascii="Arial Narrow" w:hAnsi="Arial Narrow" w:eastAsia="Arial Narrow" w:cs="Arial Narrow"/>
      <w:color w:val="000000"/>
      <w:sz w:val="20"/>
      <w:szCs w:val="20"/>
      <w:u w:val="none"/>
    </w:rPr>
  </w:style>
  <w:style w:type="character" w:customStyle="1" w:styleId="48">
    <w:name w:val="font4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4.png"/><Relationship Id="rId17" Type="http://schemas.openxmlformats.org/officeDocument/2006/relationships/diagramColors" Target="diagrams/colors1.xml"/><Relationship Id="rId16" Type="http://schemas.openxmlformats.org/officeDocument/2006/relationships/diagramQuickStyle" Target="diagrams/quickStyle1.xml"/><Relationship Id="rId15" Type="http://schemas.openxmlformats.org/officeDocument/2006/relationships/diagramLayout" Target="diagrams/layout1.xml"/><Relationship Id="rId14" Type="http://schemas.openxmlformats.org/officeDocument/2006/relationships/diagramData" Target="diagrams/data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7494;&#26124;&#21306;&#31185;&#20135;&#23616;\&#22270;&#34920;&#29256;-&#32489;&#25928;&#35780;&#20215;&#35780;&#20998;&#34920;&#21450;&#35828;&#26126;&#26694;&#2655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27494;&#26124;&#21306;&#31185;&#20135;&#23616;\&#22270;&#34920;&#29256;-&#32489;&#25928;&#35780;&#20215;&#35780;&#20998;&#34920;&#21450;&#35828;&#26126;&#26694;&#2655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7494;&#26124;&#21306;&#31185;&#20135;&#23616;\&#22270;&#34920;&#29256;-&#32489;&#25928;&#35780;&#20215;&#35780;&#20998;&#34920;&#21450;&#35828;&#26126;&#26694;&#2655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7494;&#26124;&#21306;&#31185;&#20135;&#23616;\&#22270;&#34920;&#29256;-&#32489;&#25928;&#35780;&#20215;&#35780;&#20998;&#34920;&#21450;&#35828;&#26126;&#26694;&#2655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7494;&#26124;&#21306;&#31185;&#20135;&#23616;\&#22270;&#34920;&#29256;-&#32489;&#25928;&#35780;&#20215;&#35780;&#20998;&#34920;&#21450;&#35828;&#26126;&#26694;&#2655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项目投入指标得分情况</a:t>
            </a:r>
            <a:endPar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overlay val="0"/>
    </c:title>
    <c:autoTitleDeleted val="0"/>
    <c:plotArea>
      <c:layout/>
      <c:barChart>
        <c:barDir val="col"/>
        <c:grouping val="clustered"/>
        <c:varyColors val="0"/>
        <c:ser>
          <c:idx val="0"/>
          <c:order val="0"/>
          <c:tx>
            <c:strRef>
              <c:f>"指标分值"</c:f>
              <c:strCache>
                <c:ptCount val="1"/>
                <c:pt idx="0">
                  <c:v>指标分值</c:v>
                </c:pt>
              </c:strCache>
            </c:strRef>
          </c:tx>
          <c:spPr>
            <a:solidFill>
              <a:schemeClr val="accent6">
                <a:lumMod val="40000"/>
                <a:lumOff val="60000"/>
              </a:schemeClr>
            </a:solidFill>
          </c:spPr>
          <c:invertIfNegative val="0"/>
          <c:dLbls>
            <c:delete val="1"/>
          </c:dLbls>
          <c:cat>
            <c:strRef>
              <c:f>'[图表版-绩效评价评分表及说明框架.xlsx]Sheet1'!$D$2:$D$5</c:f>
              <c:strCache>
                <c:ptCount val="4"/>
                <c:pt idx="0">
                  <c:v>项目立项规范性</c:v>
                </c:pt>
                <c:pt idx="1">
                  <c:v>绩效目标合理性</c:v>
                </c:pt>
                <c:pt idx="2">
                  <c:v>资金到位率</c:v>
                </c:pt>
                <c:pt idx="3">
                  <c:v>到位及时率</c:v>
                </c:pt>
              </c:strCache>
            </c:strRef>
          </c:cat>
          <c:val>
            <c:numRef>
              <c:f>'[图表版-绩效评价评分表及说明框架.xlsx]Sheet1'!$E$2:$E$5</c:f>
              <c:numCache>
                <c:formatCode>General</c:formatCode>
                <c:ptCount val="4"/>
                <c:pt idx="0">
                  <c:v>3</c:v>
                </c:pt>
                <c:pt idx="1">
                  <c:v>3</c:v>
                </c:pt>
                <c:pt idx="2">
                  <c:v>3</c:v>
                </c:pt>
                <c:pt idx="3">
                  <c:v>3</c:v>
                </c:pt>
              </c:numCache>
            </c:numRef>
          </c:val>
        </c:ser>
        <c:dLbls>
          <c:showLegendKey val="0"/>
          <c:showVal val="0"/>
          <c:showCatName val="0"/>
          <c:showSerName val="0"/>
          <c:showPercent val="0"/>
          <c:showBubbleSize val="0"/>
        </c:dLbls>
        <c:gapWidth val="150"/>
        <c:axId val="156234880"/>
        <c:axId val="156236416"/>
      </c:barChart>
      <c:lineChart>
        <c:grouping val="standard"/>
        <c:varyColors val="0"/>
        <c:ser>
          <c:idx val="1"/>
          <c:order val="1"/>
          <c:tx>
            <c:strRef>
              <c:f>"评分分值"</c:f>
              <c:strCache>
                <c:ptCount val="1"/>
                <c:pt idx="0">
                  <c:v>评分分值</c:v>
                </c:pt>
              </c:strCache>
            </c:strRef>
          </c:tx>
          <c:spPr>
            <a:ln w="28575" cap="rnd" cmpd="sng" algn="ctr">
              <a:solidFill>
                <a:srgbClr val="00B0F0"/>
              </a:solidFill>
              <a:prstDash val="solid"/>
              <a:round/>
            </a:ln>
          </c:spPr>
          <c:marker>
            <c:symbol val="none"/>
          </c:marker>
          <c:dLbls>
            <c:delete val="1"/>
          </c:dLbls>
          <c:cat>
            <c:strRef>
              <c:f>'[图表版-绩效评价评分表及说明框架.xlsx]Sheet1'!$D$2:$D$5</c:f>
              <c:strCache>
                <c:ptCount val="4"/>
                <c:pt idx="0">
                  <c:v>项目立项规范性</c:v>
                </c:pt>
                <c:pt idx="1">
                  <c:v>绩效目标合理性</c:v>
                </c:pt>
                <c:pt idx="2">
                  <c:v>资金到位率</c:v>
                </c:pt>
                <c:pt idx="3">
                  <c:v>到位及时率</c:v>
                </c:pt>
              </c:strCache>
            </c:strRef>
          </c:cat>
          <c:val>
            <c:numRef>
              <c:f>'[图表版-绩效评价评分表及说明框架.xlsx]Sheet1'!$F$2:$F$5</c:f>
              <c:numCache>
                <c:formatCode>General</c:formatCode>
                <c:ptCount val="4"/>
                <c:pt idx="0">
                  <c:v>3</c:v>
                </c:pt>
                <c:pt idx="1">
                  <c:v>2</c:v>
                </c:pt>
                <c:pt idx="2">
                  <c:v>3</c:v>
                </c:pt>
                <c:pt idx="3">
                  <c:v>3</c:v>
                </c:pt>
              </c:numCache>
            </c:numRef>
          </c:val>
          <c:smooth val="0"/>
        </c:ser>
        <c:dLbls>
          <c:showLegendKey val="0"/>
          <c:showVal val="0"/>
          <c:showCatName val="0"/>
          <c:showSerName val="0"/>
          <c:showPercent val="0"/>
          <c:showBubbleSize val="0"/>
        </c:dLbls>
        <c:marker val="0"/>
        <c:smooth val="0"/>
        <c:axId val="156234880"/>
        <c:axId val="156236416"/>
      </c:lineChart>
      <c:catAx>
        <c:axId val="156234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156236416"/>
        <c:crosses val="autoZero"/>
        <c:auto val="1"/>
        <c:lblAlgn val="ctr"/>
        <c:lblOffset val="100"/>
        <c:noMultiLvlLbl val="0"/>
      </c:catAx>
      <c:valAx>
        <c:axId val="156236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6234880"/>
        <c:crosses val="autoZero"/>
        <c:crossBetween val="between"/>
      </c:valAx>
    </c:plotArea>
    <c:legend>
      <c:legendPos val="b"/>
      <c:layout>
        <c:manualLayout>
          <c:xMode val="edge"/>
          <c:yMode val="edge"/>
          <c:x val="0.372203616878768"/>
          <c:y val="0.9002032520325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atin typeface="仿宋_GB2312" panose="02010609030101010101" pitchFamily="3" charset="-122"/>
                <a:ea typeface="仿宋_GB2312" panose="02010609030101010101" pitchFamily="3" charset="-122"/>
              </a:rPr>
              <a:t>项目过程指标得分情况</a:t>
            </a:r>
            <a:endParaRPr>
              <a:latin typeface="仿宋_GB2312" panose="02010609030101010101" pitchFamily="3" charset="-122"/>
              <a:ea typeface="仿宋_GB2312" panose="02010609030101010101" pitchFamily="3" charset="-122"/>
            </a:endParaRPr>
          </a:p>
        </c:rich>
      </c:tx>
      <c:layout/>
      <c:overlay val="0"/>
    </c:title>
    <c:autoTitleDeleted val="0"/>
    <c:plotArea>
      <c:layout/>
      <c:barChart>
        <c:barDir val="col"/>
        <c:grouping val="clustered"/>
        <c:varyColors val="0"/>
        <c:ser>
          <c:idx val="0"/>
          <c:order val="0"/>
          <c:tx>
            <c:strRef>
              <c:f>"指标分值"</c:f>
              <c:strCache>
                <c:ptCount val="1"/>
                <c:pt idx="0">
                  <c:v>指标分值</c:v>
                </c:pt>
              </c:strCache>
            </c:strRef>
          </c:tx>
          <c:spPr>
            <a:gradFill>
              <a:gsLst>
                <a:gs pos="30000">
                  <a:srgbClr val="0FB62A"/>
                </a:gs>
                <a:gs pos="100000">
                  <a:schemeClr val="accent3">
                    <a:lumMod val="20000"/>
                    <a:lumOff val="80000"/>
                  </a:schemeClr>
                </a:gs>
              </a:gsLst>
              <a:lin ang="5400000" scaled="0"/>
            </a:gradFill>
          </c:spPr>
          <c:invertIfNegative val="0"/>
          <c:dLbls>
            <c:delete val="1"/>
          </c:dLbls>
          <c:cat>
            <c:strRef>
              <c:f>'[图表版-绩效评价评分表及说明框架.xlsx]Sheet1'!$D$6:$D$13</c:f>
              <c:strCache>
                <c:ptCount val="8"/>
                <c:pt idx="0">
                  <c:v>管理制度健全性</c:v>
                </c:pt>
                <c:pt idx="1">
                  <c:v>制度执行有效性</c:v>
                </c:pt>
                <c:pt idx="2">
                  <c:v>项目质量可控性</c:v>
                </c:pt>
                <c:pt idx="3">
                  <c:v>财务制度健全性</c:v>
                </c:pt>
                <c:pt idx="4">
                  <c:v>资金使用合规性</c:v>
                </c:pt>
                <c:pt idx="5">
                  <c:v>财务监控有效性</c:v>
                </c:pt>
                <c:pt idx="6">
                  <c:v>组织机构健全性</c:v>
                </c:pt>
                <c:pt idx="7">
                  <c:v>档案资料完整性</c:v>
                </c:pt>
              </c:strCache>
            </c:strRef>
          </c:cat>
          <c:val>
            <c:numRef>
              <c:f>'[图表版-绩效评价评分表及说明框架.xlsx]Sheet1'!$E$6:$E$13</c:f>
              <c:numCache>
                <c:formatCode>General</c:formatCode>
                <c:ptCount val="8"/>
                <c:pt idx="0">
                  <c:v>3</c:v>
                </c:pt>
                <c:pt idx="1">
                  <c:v>3</c:v>
                </c:pt>
                <c:pt idx="2">
                  <c:v>4</c:v>
                </c:pt>
                <c:pt idx="3">
                  <c:v>3</c:v>
                </c:pt>
                <c:pt idx="4">
                  <c:v>3</c:v>
                </c:pt>
                <c:pt idx="5">
                  <c:v>4</c:v>
                </c:pt>
                <c:pt idx="6">
                  <c:v>3</c:v>
                </c:pt>
                <c:pt idx="7">
                  <c:v>3</c:v>
                </c:pt>
              </c:numCache>
            </c:numRef>
          </c:val>
        </c:ser>
        <c:dLbls>
          <c:showLegendKey val="0"/>
          <c:showVal val="0"/>
          <c:showCatName val="0"/>
          <c:showSerName val="0"/>
          <c:showPercent val="0"/>
          <c:showBubbleSize val="0"/>
        </c:dLbls>
        <c:gapWidth val="75"/>
        <c:overlap val="40"/>
        <c:axId val="161039872"/>
        <c:axId val="161041408"/>
      </c:barChart>
      <c:lineChart>
        <c:grouping val="standard"/>
        <c:varyColors val="0"/>
        <c:ser>
          <c:idx val="1"/>
          <c:order val="1"/>
          <c:tx>
            <c:strRef>
              <c:f>"评分分值"</c:f>
              <c:strCache>
                <c:ptCount val="1"/>
                <c:pt idx="0">
                  <c:v>评分分值</c:v>
                </c:pt>
              </c:strCache>
            </c:strRef>
          </c:tx>
          <c:spPr>
            <a:ln w="28575" cap="rnd" cmpd="sng" algn="ctr">
              <a:solidFill>
                <a:schemeClr val="accent6">
                  <a:lumMod val="75000"/>
                </a:schemeClr>
              </a:solidFill>
              <a:prstDash val="solid"/>
              <a:round/>
            </a:ln>
          </c:spPr>
          <c:marker>
            <c:symbol val="none"/>
          </c:marker>
          <c:dLbls>
            <c:delete val="1"/>
          </c:dLbls>
          <c:cat>
            <c:strRef>
              <c:f>'[图表版-绩效评价评分表及说明框架.xlsx]Sheet1'!$D$6:$D$13</c:f>
              <c:strCache>
                <c:ptCount val="8"/>
                <c:pt idx="0">
                  <c:v>管理制度健全性</c:v>
                </c:pt>
                <c:pt idx="1">
                  <c:v>制度执行有效性</c:v>
                </c:pt>
                <c:pt idx="2">
                  <c:v>项目质量可控性</c:v>
                </c:pt>
                <c:pt idx="3">
                  <c:v>财务制度健全性</c:v>
                </c:pt>
                <c:pt idx="4">
                  <c:v>资金使用合规性</c:v>
                </c:pt>
                <c:pt idx="5">
                  <c:v>财务监控有效性</c:v>
                </c:pt>
                <c:pt idx="6">
                  <c:v>组织机构健全性</c:v>
                </c:pt>
                <c:pt idx="7">
                  <c:v>档案资料完整性</c:v>
                </c:pt>
              </c:strCache>
            </c:strRef>
          </c:cat>
          <c:val>
            <c:numRef>
              <c:f>'[图表版-绩效评价评分表及说明框架.xlsx]Sheet1'!$F$6:$F$13</c:f>
              <c:numCache>
                <c:formatCode>General</c:formatCode>
                <c:ptCount val="8"/>
                <c:pt idx="0">
                  <c:v>3</c:v>
                </c:pt>
                <c:pt idx="1">
                  <c:v>2</c:v>
                </c:pt>
                <c:pt idx="2">
                  <c:v>4</c:v>
                </c:pt>
                <c:pt idx="3">
                  <c:v>3</c:v>
                </c:pt>
                <c:pt idx="4">
                  <c:v>2</c:v>
                </c:pt>
                <c:pt idx="5">
                  <c:v>3</c:v>
                </c:pt>
                <c:pt idx="6">
                  <c:v>3</c:v>
                </c:pt>
                <c:pt idx="7">
                  <c:v>3</c:v>
                </c:pt>
              </c:numCache>
            </c:numRef>
          </c:val>
          <c:smooth val="0"/>
        </c:ser>
        <c:dLbls>
          <c:showLegendKey val="0"/>
          <c:showVal val="0"/>
          <c:showCatName val="0"/>
          <c:showSerName val="0"/>
          <c:showPercent val="0"/>
          <c:showBubbleSize val="0"/>
        </c:dLbls>
        <c:marker val="0"/>
        <c:smooth val="0"/>
        <c:axId val="161039872"/>
        <c:axId val="161041408"/>
      </c:lineChart>
      <c:catAx>
        <c:axId val="1610398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161041408"/>
        <c:crosses val="autoZero"/>
        <c:auto val="1"/>
        <c:lblAlgn val="ctr"/>
        <c:lblOffset val="100"/>
        <c:noMultiLvlLbl val="0"/>
      </c:catAx>
      <c:valAx>
        <c:axId val="161041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p>
        </c:txPr>
        <c:crossAx val="161039872"/>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atin typeface="仿宋_GB2312" panose="02010609030101010101" pitchFamily="3" charset="-122"/>
                <a:ea typeface="仿宋_GB2312" panose="02010609030101010101" pitchFamily="3" charset="-122"/>
              </a:rPr>
              <a:t>项目产出指标得分情况</a:t>
            </a:r>
            <a:endParaRPr>
              <a:latin typeface="仿宋_GB2312" panose="02010609030101010101" pitchFamily="3" charset="-122"/>
              <a:ea typeface="仿宋_GB2312" panose="02010609030101010101" pitchFamily="3" charset="-122"/>
            </a:endParaRPr>
          </a:p>
        </c:rich>
      </c:tx>
      <c:layout/>
      <c:overlay val="0"/>
    </c:title>
    <c:autoTitleDeleted val="0"/>
    <c:plotArea>
      <c:layout/>
      <c:barChart>
        <c:barDir val="col"/>
        <c:grouping val="clustered"/>
        <c:varyColors val="0"/>
        <c:ser>
          <c:idx val="0"/>
          <c:order val="0"/>
          <c:tx>
            <c:strRef>
              <c:f>"指标分值"</c:f>
              <c:strCache>
                <c:ptCount val="1"/>
                <c:pt idx="0">
                  <c:v>指标分值</c:v>
                </c:pt>
              </c:strCache>
            </c:strRef>
          </c:tx>
          <c:spPr>
            <a:gradFill flip="none" rotWithShape="1">
              <a:gsLst>
                <a:gs pos="100000">
                  <a:srgbClr val="FBFB11"/>
                </a:gs>
                <a:gs pos="100000">
                  <a:srgbClr val="838309"/>
                </a:gs>
              </a:gsLst>
              <a:path path="circle">
                <a:fillToRect l="100000" t="100000"/>
              </a:path>
              <a:tileRect r="-100000" b="-100000"/>
            </a:gradFill>
          </c:spPr>
          <c:invertIfNegative val="0"/>
          <c:dLbls>
            <c:delete val="1"/>
          </c:dLbls>
          <c:cat>
            <c:strRef>
              <c:f>'[图表版-绩效评价评分表及说明框架.xlsx]Sheet1'!$D$14:$D$20</c:f>
              <c:strCache>
                <c:ptCount val="7"/>
                <c:pt idx="0">
                  <c:v>新能源汽车推广活动次数</c:v>
                </c:pt>
                <c:pt idx="1">
                  <c:v>名优新品展销会承办完成率</c:v>
                </c:pt>
                <c:pt idx="2">
                  <c:v>办公设备采购完成率</c:v>
                </c:pt>
                <c:pt idx="3">
                  <c:v>创业活动开展进度</c:v>
                </c:pt>
                <c:pt idx="4">
                  <c:v>业务能力保证程度</c:v>
                </c:pt>
                <c:pt idx="5">
                  <c:v>完成及时率</c:v>
                </c:pt>
                <c:pt idx="6">
                  <c:v>资金使用率</c:v>
                </c:pt>
              </c:strCache>
            </c:strRef>
          </c:cat>
          <c:val>
            <c:numRef>
              <c:f>'[图表版-绩效评价评分表及说明框架.xlsx]Sheet1'!$E$14:$E$20</c:f>
              <c:numCache>
                <c:formatCode>General</c:formatCode>
                <c:ptCount val="7"/>
                <c:pt idx="0">
                  <c:v>3</c:v>
                </c:pt>
                <c:pt idx="1">
                  <c:v>4</c:v>
                </c:pt>
                <c:pt idx="2">
                  <c:v>3</c:v>
                </c:pt>
                <c:pt idx="3">
                  <c:v>5</c:v>
                </c:pt>
                <c:pt idx="4">
                  <c:v>5</c:v>
                </c:pt>
                <c:pt idx="5">
                  <c:v>3</c:v>
                </c:pt>
                <c:pt idx="6">
                  <c:v>3</c:v>
                </c:pt>
              </c:numCache>
            </c:numRef>
          </c:val>
        </c:ser>
        <c:dLbls>
          <c:showLegendKey val="0"/>
          <c:showVal val="0"/>
          <c:showCatName val="0"/>
          <c:showSerName val="0"/>
          <c:showPercent val="0"/>
          <c:showBubbleSize val="0"/>
        </c:dLbls>
        <c:gapWidth val="150"/>
        <c:overlap val="0"/>
        <c:axId val="161061888"/>
        <c:axId val="161075968"/>
      </c:barChart>
      <c:lineChart>
        <c:grouping val="standard"/>
        <c:varyColors val="0"/>
        <c:ser>
          <c:idx val="1"/>
          <c:order val="1"/>
          <c:tx>
            <c:strRef>
              <c:f>"评分分值"</c:f>
              <c:strCache>
                <c:ptCount val="1"/>
                <c:pt idx="0">
                  <c:v>评分分值</c:v>
                </c:pt>
              </c:strCache>
            </c:strRef>
          </c:tx>
          <c:spPr>
            <a:ln w="28575" cap="rnd" cmpd="sng" algn="ctr">
              <a:solidFill>
                <a:srgbClr val="00B050"/>
              </a:solidFill>
              <a:prstDash val="solid"/>
              <a:round/>
            </a:ln>
          </c:spPr>
          <c:marker>
            <c:symbol val="none"/>
          </c:marker>
          <c:dLbls>
            <c:delete val="1"/>
          </c:dLbls>
          <c:cat>
            <c:strRef>
              <c:f>'[图表版-绩效评价评分表及说明框架.xlsx]Sheet1'!$D$14:$D$20</c:f>
              <c:strCache>
                <c:ptCount val="7"/>
                <c:pt idx="0">
                  <c:v>新能源汽车推广活动次数</c:v>
                </c:pt>
                <c:pt idx="1">
                  <c:v>名优新品展销会承办完成率</c:v>
                </c:pt>
                <c:pt idx="2">
                  <c:v>办公设备采购完成率</c:v>
                </c:pt>
                <c:pt idx="3">
                  <c:v>创业活动开展进度</c:v>
                </c:pt>
                <c:pt idx="4">
                  <c:v>业务能力保证程度</c:v>
                </c:pt>
                <c:pt idx="5">
                  <c:v>完成及时率</c:v>
                </c:pt>
                <c:pt idx="6">
                  <c:v>资金使用率</c:v>
                </c:pt>
              </c:strCache>
            </c:strRef>
          </c:cat>
          <c:val>
            <c:numRef>
              <c:f>'[图表版-绩效评价评分表及说明框架.xlsx]Sheet1'!$F$14:$F$20</c:f>
              <c:numCache>
                <c:formatCode>General</c:formatCode>
                <c:ptCount val="7"/>
                <c:pt idx="0">
                  <c:v>2.5</c:v>
                </c:pt>
                <c:pt idx="1">
                  <c:v>4</c:v>
                </c:pt>
                <c:pt idx="2">
                  <c:v>2.5</c:v>
                </c:pt>
                <c:pt idx="3">
                  <c:v>5</c:v>
                </c:pt>
                <c:pt idx="4">
                  <c:v>5</c:v>
                </c:pt>
                <c:pt idx="5">
                  <c:v>3</c:v>
                </c:pt>
                <c:pt idx="6">
                  <c:v>3</c:v>
                </c:pt>
              </c:numCache>
            </c:numRef>
          </c:val>
          <c:smooth val="0"/>
        </c:ser>
        <c:dLbls>
          <c:showLegendKey val="0"/>
          <c:showVal val="0"/>
          <c:showCatName val="0"/>
          <c:showSerName val="0"/>
          <c:showPercent val="0"/>
          <c:showBubbleSize val="0"/>
        </c:dLbls>
        <c:marker val="0"/>
        <c:smooth val="0"/>
        <c:axId val="161061888"/>
        <c:axId val="161075968"/>
      </c:lineChart>
      <c:catAx>
        <c:axId val="1610618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161075968"/>
        <c:crosses val="autoZero"/>
        <c:auto val="1"/>
        <c:lblAlgn val="ctr"/>
        <c:lblOffset val="100"/>
        <c:noMultiLvlLbl val="0"/>
      </c:catAx>
      <c:valAx>
        <c:axId val="161075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061888"/>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t>项目效果指标得分情况</a:t>
            </a:r>
          </a:p>
        </c:rich>
      </c:tx>
      <c:layout/>
      <c:overlay val="0"/>
    </c:title>
    <c:autoTitleDeleted val="0"/>
    <c:plotArea>
      <c:layout/>
      <c:barChart>
        <c:barDir val="col"/>
        <c:grouping val="clustered"/>
        <c:varyColors val="0"/>
        <c:ser>
          <c:idx val="0"/>
          <c:order val="0"/>
          <c:tx>
            <c:strRef>
              <c:f>"指标分值"</c:f>
              <c:strCache>
                <c:ptCount val="1"/>
                <c:pt idx="0">
                  <c:v>指标分值</c:v>
                </c:pt>
              </c:strCache>
            </c:strRef>
          </c:tx>
          <c:spPr>
            <a:gradFill flip="none" rotWithShape="1">
              <a:gsLst>
                <a:gs pos="0">
                  <a:srgbClr val="4BACC6">
                    <a:lumMod val="60000"/>
                    <a:lumOff val="40000"/>
                    <a:shade val="30000"/>
                    <a:satMod val="115000"/>
                  </a:srgbClr>
                </a:gs>
                <a:gs pos="50000">
                  <a:srgbClr val="4BACC6">
                    <a:lumMod val="60000"/>
                    <a:lumOff val="40000"/>
                    <a:shade val="67500"/>
                    <a:satMod val="115000"/>
                  </a:srgbClr>
                </a:gs>
                <a:gs pos="100000">
                  <a:srgbClr val="4BACC6">
                    <a:lumMod val="60000"/>
                    <a:lumOff val="40000"/>
                    <a:shade val="100000"/>
                    <a:satMod val="115000"/>
                  </a:srgbClr>
                </a:gs>
              </a:gsLst>
              <a:lin ang="16200000" scaled="1"/>
              <a:tileRect/>
            </a:gradFill>
          </c:spPr>
          <c:invertIfNegative val="0"/>
          <c:dLbls>
            <c:delete val="1"/>
          </c:dLbls>
          <c:cat>
            <c:strRef>
              <c:f>'[图表版-绩效评价评分表及说明框架.xlsx]Sheet1'!$D$21:$D$27</c:f>
              <c:strCache>
                <c:ptCount val="7"/>
                <c:pt idx="0">
                  <c:v>技术市场交易额增幅</c:v>
                </c:pt>
                <c:pt idx="1">
                  <c:v>高新技术企业收入增长率</c:v>
                </c:pt>
                <c:pt idx="2">
                  <c:v>提供创业空间</c:v>
                </c:pt>
                <c:pt idx="3">
                  <c:v>科技创新能力提升度</c:v>
                </c:pt>
                <c:pt idx="4">
                  <c:v>营造创新创业文化氛围</c:v>
                </c:pt>
                <c:pt idx="5">
                  <c:v>立体创业创新服务机制</c:v>
                </c:pt>
                <c:pt idx="6">
                  <c:v>社会公众满意度</c:v>
                </c:pt>
              </c:strCache>
            </c:strRef>
          </c:cat>
          <c:val>
            <c:numRef>
              <c:f>'[图表版-绩效评价评分表及说明框架.xlsx]Sheet1'!$E$21:$E$27</c:f>
              <c:numCache>
                <c:formatCode>General</c:formatCode>
                <c:ptCount val="7"/>
                <c:pt idx="0">
                  <c:v>4</c:v>
                </c:pt>
                <c:pt idx="1">
                  <c:v>4</c:v>
                </c:pt>
                <c:pt idx="2">
                  <c:v>5</c:v>
                </c:pt>
                <c:pt idx="3">
                  <c:v>5</c:v>
                </c:pt>
                <c:pt idx="4">
                  <c:v>6</c:v>
                </c:pt>
                <c:pt idx="5">
                  <c:v>6</c:v>
                </c:pt>
                <c:pt idx="6">
                  <c:v>6</c:v>
                </c:pt>
              </c:numCache>
            </c:numRef>
          </c:val>
        </c:ser>
        <c:dLbls>
          <c:showLegendKey val="0"/>
          <c:showVal val="0"/>
          <c:showCatName val="0"/>
          <c:showSerName val="0"/>
          <c:showPercent val="0"/>
          <c:showBubbleSize val="0"/>
        </c:dLbls>
        <c:gapWidth val="150"/>
        <c:overlap val="0"/>
        <c:axId val="161817344"/>
        <c:axId val="161818880"/>
      </c:barChart>
      <c:lineChart>
        <c:grouping val="standard"/>
        <c:varyColors val="0"/>
        <c:ser>
          <c:idx val="1"/>
          <c:order val="1"/>
          <c:tx>
            <c:strRef>
              <c:f>"评分分值"</c:f>
              <c:strCache>
                <c:ptCount val="1"/>
                <c:pt idx="0">
                  <c:v>评分分值</c:v>
                </c:pt>
              </c:strCache>
            </c:strRef>
          </c:tx>
          <c:marker>
            <c:symbol val="none"/>
          </c:marker>
          <c:dLbls>
            <c:delete val="1"/>
          </c:dLbls>
          <c:cat>
            <c:strRef>
              <c:f>'[图表版-绩效评价评分表及说明框架.xlsx]Sheet1'!$D$21:$D$27</c:f>
              <c:strCache>
                <c:ptCount val="7"/>
                <c:pt idx="0">
                  <c:v>技术市场交易额增幅</c:v>
                </c:pt>
                <c:pt idx="1">
                  <c:v>高新技术企业收入增长率</c:v>
                </c:pt>
                <c:pt idx="2">
                  <c:v>提供创业空间</c:v>
                </c:pt>
                <c:pt idx="3">
                  <c:v>科技创新能力提升度</c:v>
                </c:pt>
                <c:pt idx="4">
                  <c:v>营造创新创业文化氛围</c:v>
                </c:pt>
                <c:pt idx="5">
                  <c:v>立体创业创新服务机制</c:v>
                </c:pt>
                <c:pt idx="6">
                  <c:v>社会公众满意度</c:v>
                </c:pt>
              </c:strCache>
            </c:strRef>
          </c:cat>
          <c:val>
            <c:numRef>
              <c:f>'[图表版-绩效评价评分表及说明框架.xlsx]Sheet1'!$F$21:$F$27</c:f>
              <c:numCache>
                <c:formatCode>General</c:formatCode>
                <c:ptCount val="7"/>
                <c:pt idx="0">
                  <c:v>4</c:v>
                </c:pt>
                <c:pt idx="1">
                  <c:v>4</c:v>
                </c:pt>
                <c:pt idx="2">
                  <c:v>5</c:v>
                </c:pt>
                <c:pt idx="3">
                  <c:v>5</c:v>
                </c:pt>
                <c:pt idx="4">
                  <c:v>6</c:v>
                </c:pt>
                <c:pt idx="5">
                  <c:v>6</c:v>
                </c:pt>
                <c:pt idx="6">
                  <c:v>5.5</c:v>
                </c:pt>
              </c:numCache>
            </c:numRef>
          </c:val>
          <c:smooth val="0"/>
        </c:ser>
        <c:dLbls>
          <c:showLegendKey val="0"/>
          <c:showVal val="0"/>
          <c:showCatName val="0"/>
          <c:showSerName val="0"/>
          <c:showPercent val="0"/>
          <c:showBubbleSize val="0"/>
        </c:dLbls>
        <c:marker val="0"/>
        <c:smooth val="0"/>
        <c:axId val="161817344"/>
        <c:axId val="161818880"/>
      </c:lineChart>
      <c:catAx>
        <c:axId val="161817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161818880"/>
        <c:crosses val="autoZero"/>
        <c:auto val="1"/>
        <c:lblAlgn val="ctr"/>
        <c:lblOffset val="100"/>
        <c:noMultiLvlLbl val="0"/>
      </c:catAx>
      <c:valAx>
        <c:axId val="161818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p>
        </c:txPr>
        <c:crossAx val="161817344"/>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atin typeface="仿宋_GB2312" panose="02010609030101010101" pitchFamily="3" charset="-122"/>
                <a:ea typeface="仿宋_GB2312" panose="02010609030101010101" pitchFamily="3" charset="-122"/>
              </a:rPr>
              <a:t>计划管理费项目各指标评分情况</a:t>
            </a:r>
            <a:endParaRPr>
              <a:latin typeface="仿宋_GB2312" panose="02010609030101010101" pitchFamily="3" charset="-122"/>
              <a:ea typeface="仿宋_GB2312" panose="02010609030101010101" pitchFamily="3" charset="-122"/>
            </a:endParaRPr>
          </a:p>
        </c:rich>
      </c:tx>
      <c:layout/>
      <c:overlay val="0"/>
    </c:title>
    <c:autoTitleDeleted val="0"/>
    <c:plotArea>
      <c:layout/>
      <c:barChart>
        <c:barDir val="col"/>
        <c:grouping val="clustered"/>
        <c:varyColors val="0"/>
        <c:ser>
          <c:idx val="0"/>
          <c:order val="0"/>
          <c:tx>
            <c:strRef>
              <c:f>"权重"</c:f>
              <c:strCache>
                <c:ptCount val="1"/>
                <c:pt idx="0">
                  <c:v>权重</c:v>
                </c:pt>
              </c:strCache>
            </c:strRef>
          </c:tx>
          <c:spPr>
            <a:solidFill>
              <a:srgbClr val="00B0F0"/>
            </a:solidFill>
          </c:spPr>
          <c:invertIfNegative val="0"/>
          <c:dLbls>
            <c:delete val="1"/>
          </c:dLbls>
          <c:cat>
            <c:strRef>
              <c:f>'[图表版-绩效评价评分表及说明框架.xlsx]Sheet1'!$A$30:$A$34</c:f>
              <c:strCache>
                <c:ptCount val="5"/>
                <c:pt idx="0">
                  <c:v>投   入</c:v>
                </c:pt>
                <c:pt idx="1">
                  <c:v>过   程</c:v>
                </c:pt>
                <c:pt idx="2">
                  <c:v>产   出</c:v>
                </c:pt>
                <c:pt idx="3">
                  <c:v>效   果</c:v>
                </c:pt>
                <c:pt idx="4">
                  <c:v>总   分</c:v>
                </c:pt>
              </c:strCache>
            </c:strRef>
          </c:cat>
          <c:val>
            <c:numRef>
              <c:f>'[图表版-绩效评价评分表及说明框架.xlsx]Sheet1'!$B$30:$B$34</c:f>
              <c:numCache>
                <c:formatCode>General</c:formatCode>
                <c:ptCount val="5"/>
                <c:pt idx="0">
                  <c:v>12</c:v>
                </c:pt>
                <c:pt idx="1">
                  <c:v>26</c:v>
                </c:pt>
                <c:pt idx="2">
                  <c:v>26</c:v>
                </c:pt>
                <c:pt idx="3">
                  <c:v>36</c:v>
                </c:pt>
                <c:pt idx="4">
                  <c:v>100</c:v>
                </c:pt>
              </c:numCache>
            </c:numRef>
          </c:val>
        </c:ser>
        <c:ser>
          <c:idx val="1"/>
          <c:order val="1"/>
          <c:tx>
            <c:strRef>
              <c:f>"得分"</c:f>
              <c:strCache>
                <c:ptCount val="1"/>
                <c:pt idx="0">
                  <c:v>得分</c:v>
                </c:pt>
              </c:strCache>
            </c:strRef>
          </c:tx>
          <c:spPr>
            <a:solidFill>
              <a:schemeClr val="accent3">
                <a:lumMod val="60000"/>
                <a:lumOff val="40000"/>
              </a:schemeClr>
            </a:solidFill>
          </c:spPr>
          <c:invertIfNegative val="0"/>
          <c:dLbls>
            <c:delete val="1"/>
          </c:dLbls>
          <c:cat>
            <c:strRef>
              <c:f>'[图表版-绩效评价评分表及说明框架.xlsx]Sheet1'!$A$30:$A$34</c:f>
              <c:strCache>
                <c:ptCount val="5"/>
                <c:pt idx="0">
                  <c:v>投   入</c:v>
                </c:pt>
                <c:pt idx="1">
                  <c:v>过   程</c:v>
                </c:pt>
                <c:pt idx="2">
                  <c:v>产   出</c:v>
                </c:pt>
                <c:pt idx="3">
                  <c:v>效   果</c:v>
                </c:pt>
                <c:pt idx="4">
                  <c:v>总   分</c:v>
                </c:pt>
              </c:strCache>
            </c:strRef>
          </c:cat>
          <c:val>
            <c:numRef>
              <c:f>'[图表版-绩效评价评分表及说明框架.xlsx]Sheet1'!$C$30:$C$34</c:f>
              <c:numCache>
                <c:formatCode>General</c:formatCode>
                <c:ptCount val="5"/>
                <c:pt idx="0">
                  <c:v>11</c:v>
                </c:pt>
                <c:pt idx="1">
                  <c:v>23</c:v>
                </c:pt>
                <c:pt idx="2">
                  <c:v>25</c:v>
                </c:pt>
                <c:pt idx="3">
                  <c:v>35.5</c:v>
                </c:pt>
                <c:pt idx="4">
                  <c:v>94.5</c:v>
                </c:pt>
              </c:numCache>
            </c:numRef>
          </c:val>
        </c:ser>
        <c:dLbls>
          <c:showLegendKey val="0"/>
          <c:showVal val="0"/>
          <c:showCatName val="0"/>
          <c:showSerName val="0"/>
          <c:showPercent val="0"/>
          <c:showBubbleSize val="0"/>
        </c:dLbls>
        <c:gapWidth val="150"/>
        <c:axId val="161004160"/>
        <c:axId val="161005952"/>
      </c:barChart>
      <c:catAx>
        <c:axId val="1610041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005952"/>
        <c:crosses val="autoZero"/>
        <c:auto val="1"/>
        <c:lblAlgn val="ctr"/>
        <c:lblOffset val="100"/>
        <c:noMultiLvlLbl val="0"/>
      </c:catAx>
      <c:valAx>
        <c:axId val="161005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p>
        </c:txPr>
        <c:crossAx val="16100416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Table>
    </c:plotArea>
    <c:plotVisOnly val="1"/>
    <c:dispBlanksAs val="gap"/>
    <c:showDLblsOverMax val="0"/>
  </c:chart>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custT="1"/>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sz="950">
              <a:solidFill>
                <a:sysClr val="window" lastClr="FFFFFF"/>
              </a:solidFill>
              <a:latin typeface="仿宋_GB2312" panose="02010609030101010101" pitchFamily="3" charset="-122"/>
              <a:ea typeface="仿宋_GB2312" panose="02010609030101010101" pitchFamily="3" charset="-122"/>
              <a:cs typeface="+mn-cs"/>
            </a:rPr>
            <a:t>绩效评价的评价原则</a:t>
          </a:r>
        </a:p>
      </dgm:t>
    </dgm:pt>
    <dgm:pt modelId="{5657338A-E5FA-4EF5-BD8A-D52F54EE1777}" cxnId="{9039BC57-CC96-4B32-B42B-BB651741E847}" type="parTrans">
      <dgm:prSet/>
      <dgm:spPr/>
      <dgm:t>
        <a:bodyPr/>
        <a:p>
          <a:endParaRPr lang="zh-CN" altLang="en-US" sz="900">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sz="900">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仿宋_GB2312" panose="02010609030101010101" pitchFamily="3" charset="-122"/>
              <a:ea typeface="仿宋_GB2312" panose="02010609030101010101" pitchFamily="3" charset="-122"/>
            </a:rPr>
            <a:t>相关性原则</a:t>
          </a:r>
          <a:endParaRPr lang="zh-CN" altLang="en-US" sz="1000" b="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gm:t>
    </dgm:pt>
    <dgm:pt modelId="{2FB28D79-3636-4821-82E3-476D88957CAC}" cxnId="{646836D6-B5FF-45ED-96B0-A9055A7B4AD8}" type="parTrans">
      <dgm:prSet/>
      <dgm:spPr/>
      <dgm:t>
        <a:bodyPr/>
        <a:p>
          <a:endParaRPr lang="zh-CN" altLang="en-US" sz="900">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sz="900">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仿宋_GB2312" panose="02010609030101010101" pitchFamily="3" charset="-122"/>
              <a:ea typeface="仿宋_GB2312" panose="02010609030101010101" pitchFamily="3" charset="-122"/>
            </a:rPr>
            <a:t>系统性原则</a:t>
          </a:r>
          <a:endParaRPr lang="zh-CN" altLang="en-US" sz="1000" b="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gm:t>
    </dgm:pt>
    <dgm:pt modelId="{FEA0136C-8D14-4E35-8EC9-C5DD07D12C57}" cxnId="{7FEF86F8-D727-4C94-B442-E1DDF3E8D6F1}" type="parTrans">
      <dgm:prSet/>
      <dgm:spPr/>
      <dgm:t>
        <a:bodyPr/>
        <a:p>
          <a:endParaRPr lang="zh-CN" altLang="en-US" sz="900">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sz="900">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仿宋_GB2312" panose="02010609030101010101" pitchFamily="3" charset="-122"/>
              <a:ea typeface="仿宋_GB2312" panose="02010609030101010101" pitchFamily="3" charset="-122"/>
            </a:rPr>
            <a:t>可比性原则</a:t>
          </a:r>
          <a:endParaRPr lang="zh-CN" altLang="en-US" sz="1000" b="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gm:t>
    </dgm:pt>
    <dgm:pt modelId="{6A1C25AB-A71C-4D3F-82EB-94D27A4562CA}" cxnId="{C14EB5EA-53F3-46A1-B228-6D57BB79EA00}" type="sibTrans">
      <dgm:prSet/>
      <dgm:spPr/>
      <dgm:t>
        <a:bodyPr/>
        <a:p>
          <a:endParaRPr lang="zh-CN" altLang="en-US" sz="900">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sz="900">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仿宋_GB2312" panose="02010609030101010101" pitchFamily="3" charset="-122"/>
              <a:ea typeface="仿宋_GB2312" panose="02010609030101010101" pitchFamily="3" charset="-122"/>
            </a:rPr>
            <a:t>重要性原则</a:t>
          </a:r>
          <a:endParaRPr lang="zh-CN" altLang="en-US" sz="1000" b="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gm:t>
    </dgm:pt>
    <dgm:pt modelId="{8EACE757-831E-4655-8450-6C7DC2935722}" cxnId="{C24ADC57-E4D4-4CFD-8AA4-8AF9378520A6}" type="sibTrans">
      <dgm:prSet/>
      <dgm:spPr/>
      <dgm:t>
        <a:bodyPr/>
        <a:p>
          <a:endParaRPr lang="zh-CN" altLang="en-US" sz="900">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sz="900">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仿宋_GB2312" panose="02010609030101010101" pitchFamily="3" charset="-122"/>
              <a:ea typeface="仿宋_GB2312" panose="02010609030101010101" pitchFamily="3" charset="-122"/>
            </a:rPr>
            <a:t>经济性原则</a:t>
          </a:r>
          <a:endParaRPr lang="zh-CN" altLang="en-US" sz="1000" b="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gm:t>
    </dgm:pt>
    <dgm:pt modelId="{225303CF-67E3-4C26-8D66-2B3238776171}" cxnId="{6666FC02-9C8D-4DA8-94F5-983077957394}" type="parTrans">
      <dgm:prSet/>
      <dgm:spPr/>
      <dgm:t>
        <a:bodyPr/>
        <a:p>
          <a:endParaRPr lang="zh-CN" altLang="en-US" sz="900"/>
        </a:p>
      </dgm:t>
    </dgm:pt>
    <dgm:pt modelId="{7D2CB469-A4CC-40FA-99F6-C4C66367721B}" cxnId="{6666FC02-9C8D-4DA8-94F5-983077957394}" type="sibTrans">
      <dgm:prSet/>
      <dgm:spPr/>
      <dgm:t>
        <a:bodyPr/>
        <a:p>
          <a:endParaRPr lang="zh-CN" altLang="en-US" sz="900"/>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7E2EB25B-F196-4276-B7DF-EF102A0405AF}" type="presOf" srcId="{4B7C27DC-5868-4F38-A9F2-056BB1C2E427}" destId="{1B7179B6-C9DE-4BDA-8663-4B679997E5DA}" srcOrd="0" destOrd="0" presId="urn:microsoft.com/office/officeart/2005/8/layout/lProcess3#1"/>
    <dgm:cxn modelId="{C24ADC57-E4D4-4CFD-8AA4-8AF9378520A6}" srcId="{AE44D3A4-6643-4157-86EA-2E0899415F11}" destId="{ED222693-D855-4D4D-BFDE-6812A6E41E9C}" srcOrd="1" destOrd="0" parTransId="{ADEAD72F-D2CF-4287-9279-C31D0DCB7910}" sibTransId="{8EACE757-831E-4655-8450-6C7DC2935722}"/>
    <dgm:cxn modelId="{459CA50E-9562-48B3-A31F-046F277D87F0}" type="presOf" srcId="{15882016-B55C-44E9-8F1F-2EA976ABCA60}" destId="{6E8D7C1F-A22A-42B0-A090-A57413634287}" srcOrd="0" destOrd="0" presId="urn:microsoft.com/office/officeart/2005/8/layout/lProcess3#1"/>
    <dgm:cxn modelId="{9B2A1AD9-D5DF-4BD7-BC25-DAAAB5D1B6E5}" type="presOf" srcId="{42B1CAFA-34EB-45A3-9248-7D2EFA1D06C6}" destId="{15B667A0-41D3-4D24-9402-E2D0A9F3193D}" srcOrd="0" destOrd="0" presId="urn:microsoft.com/office/officeart/2005/8/layout/lProcess3#1"/>
    <dgm:cxn modelId="{8365D90E-1C43-4FF7-B3C6-44F8F5527612}" type="presOf" srcId="{802CEB23-70DC-44EA-A221-D2B4F2AC6070}" destId="{3133D0F3-2920-497C-9B75-49DB36BD1C0F}"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A5565266-7055-454A-9E4C-2B47A4AD8818}" type="presOf" srcId="{ED222693-D855-4D4D-BFDE-6812A6E41E9C}" destId="{B8691B77-4694-4BFA-9DAF-40A313A447BB}" srcOrd="0" destOrd="0" presId="urn:microsoft.com/office/officeart/2005/8/layout/lProcess3#1"/>
    <dgm:cxn modelId="{295B4ABC-046C-437A-9F12-7C77583726D2}" type="presOf" srcId="{0CB1D884-927A-4CD8-ADA4-973A535D4546}" destId="{C330E3A1-3D1D-4453-A315-50DA58578E8B}"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D6CE7A77-CB84-477C-A7D9-775D25750DC8}" type="presOf" srcId="{AE44D3A4-6643-4157-86EA-2E0899415F11}" destId="{77482DA5-41E1-41D0-A9D6-79B1CCF7F452}" srcOrd="0" destOrd="0" presId="urn:microsoft.com/office/officeart/2005/8/layout/lProcess3#1"/>
    <dgm:cxn modelId="{39B4AAD1-BC5C-4A4D-A878-F3CA8A7675D3}" type="presParOf" srcId="{1B7179B6-C9DE-4BDA-8663-4B679997E5DA}" destId="{3F78EC4B-0C67-44FB-979D-2F5321EED4DA}" srcOrd="0" destOrd="0" presId="urn:microsoft.com/office/officeart/2005/8/layout/lProcess3#1"/>
    <dgm:cxn modelId="{E8764F64-6124-47E7-A3B8-6F8E42E85227}" type="presParOf" srcId="{3F78EC4B-0C67-44FB-979D-2F5321EED4DA}" destId="{77482DA5-41E1-41D0-A9D6-79B1CCF7F452}" srcOrd="0" destOrd="0" presId="urn:microsoft.com/office/officeart/2005/8/layout/lProcess3#1"/>
    <dgm:cxn modelId="{3695AF1D-0A33-4B5A-8D1F-3D40A92CE873}" type="presParOf" srcId="{3F78EC4B-0C67-44FB-979D-2F5321EED4DA}" destId="{A94D0795-03CA-49E3-BD5E-7CA45A077131}" srcOrd="1" destOrd="0" presId="urn:microsoft.com/office/officeart/2005/8/layout/lProcess3#1"/>
    <dgm:cxn modelId="{85DA5C89-AAD8-4E75-818B-4980D83B06C8}" type="presParOf" srcId="{3F78EC4B-0C67-44FB-979D-2F5321EED4DA}" destId="{6E8D7C1F-A22A-42B0-A090-A57413634287}" srcOrd="2" destOrd="0" presId="urn:microsoft.com/office/officeart/2005/8/layout/lProcess3#1"/>
    <dgm:cxn modelId="{C841A05E-0811-4C1A-9D25-005D9D414B63}" type="presParOf" srcId="{3F78EC4B-0C67-44FB-979D-2F5321EED4DA}" destId="{CFC898DE-59DC-4028-BA1D-378513CCEA10}" srcOrd="3" destOrd="0" presId="urn:microsoft.com/office/officeart/2005/8/layout/lProcess3#1"/>
    <dgm:cxn modelId="{2C8C25CC-F707-4098-BD24-9906749048CE}" type="presParOf" srcId="{3F78EC4B-0C67-44FB-979D-2F5321EED4DA}" destId="{B8691B77-4694-4BFA-9DAF-40A313A447BB}" srcOrd="4" destOrd="0" presId="urn:microsoft.com/office/officeart/2005/8/layout/lProcess3#1"/>
    <dgm:cxn modelId="{FE0E9261-309D-435B-879D-40E70E51AD93}" type="presParOf" srcId="{3F78EC4B-0C67-44FB-979D-2F5321EED4DA}" destId="{1751DC88-55FC-4BBC-AEEB-04B17C466DA1}" srcOrd="5" destOrd="0" presId="urn:microsoft.com/office/officeart/2005/8/layout/lProcess3#1"/>
    <dgm:cxn modelId="{65EAAC62-E90F-4657-81E9-0ABCDDDC2A6F}" type="presParOf" srcId="{3F78EC4B-0C67-44FB-979D-2F5321EED4DA}" destId="{C330E3A1-3D1D-4453-A315-50DA58578E8B}" srcOrd="6" destOrd="0" presId="urn:microsoft.com/office/officeart/2005/8/layout/lProcess3#1"/>
    <dgm:cxn modelId="{B7B35706-734A-4C21-B9B1-F82341287366}" type="presParOf" srcId="{3F78EC4B-0C67-44FB-979D-2F5321EED4DA}" destId="{498544C9-6F56-4FBB-A67B-E4A4562CC411}" srcOrd="7" destOrd="0" presId="urn:microsoft.com/office/officeart/2005/8/layout/lProcess3#1"/>
    <dgm:cxn modelId="{752842E8-B43B-4706-8DEC-CF2F2EAD435D}" type="presParOf" srcId="{3F78EC4B-0C67-44FB-979D-2F5321EED4DA}" destId="{15B667A0-41D3-4D24-9402-E2D0A9F3193D}" srcOrd="8" destOrd="0" presId="urn:microsoft.com/office/officeart/2005/8/layout/lProcess3#1"/>
    <dgm:cxn modelId="{1DD6232D-9735-4FB7-86C7-79ED47148F3A}" type="presParOf" srcId="{3F78EC4B-0C67-44FB-979D-2F5321EED4DA}" destId="{8A99CEBA-B231-4BAF-A04C-18FDE9C4FB8D}" srcOrd="9" destOrd="0" presId="urn:microsoft.com/office/officeart/2005/8/layout/lProcess3#1"/>
    <dgm:cxn modelId="{989AF454-0CBC-48D5-AD8F-D1689EB23659}" type="presParOf" srcId="{3F78EC4B-0C67-44FB-979D-2F5321EED4DA}" destId="{3133D0F3-2920-497C-9B75-49DB36BD1C0F}" srcOrd="10" destOrd="0" presId="urn:microsoft.com/office/officeart/2005/8/layout/lProcess3#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482DA5-41E1-41D0-A9D6-79B1CCF7F452}">
      <dsp:nvSpPr>
        <dsp:cNvPr id="0" name=""/>
        <dsp:cNvSpPr/>
      </dsp:nvSpPr>
      <dsp:spPr>
        <a:xfrm>
          <a:off x="515" y="488466"/>
          <a:ext cx="1058107" cy="423242"/>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2700" tIns="6350" rIns="0" bIns="6350" numCol="1" spcCol="1270" anchor="ctr" anchorCtr="0">
          <a:noAutofit/>
        </a:bodyPr>
        <a:lstStyle/>
        <a:p>
          <a:pPr lvl="0" algn="ctr" defTabSz="422275">
            <a:lnSpc>
              <a:spcPct val="90000"/>
            </a:lnSpc>
            <a:spcBef>
              <a:spcPct val="0"/>
            </a:spcBef>
            <a:spcAft>
              <a:spcPct val="35000"/>
            </a:spcAft>
          </a:pPr>
          <a:r>
            <a:rPr lang="zh-CN" altLang="en-US" sz="950" kern="1200">
              <a:solidFill>
                <a:sysClr val="window" lastClr="FFFFFF"/>
              </a:solidFill>
              <a:latin typeface="仿宋_GB2312" panose="02010609030101010101" pitchFamily="3" charset="-122"/>
              <a:ea typeface="仿宋_GB2312" panose="02010609030101010101" pitchFamily="3" charset="-122"/>
              <a:cs typeface="+mn-cs"/>
            </a:rPr>
            <a:t>绩效评价的评价原则</a:t>
          </a:r>
        </a:p>
      </dsp:txBody>
      <dsp:txXfrm>
        <a:off x="515" y="488466"/>
        <a:ext cx="1058107" cy="423242"/>
      </dsp:txXfrm>
    </dsp:sp>
    <dsp:sp modelId="{6E8D7C1F-A22A-42B0-A090-A57413634287}">
      <dsp:nvSpPr>
        <dsp:cNvPr id="0" name=""/>
        <dsp:cNvSpPr/>
      </dsp:nvSpPr>
      <dsp:spPr>
        <a:xfrm>
          <a:off x="921068" y="524441"/>
          <a:ext cx="878228" cy="35129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仿宋_GB2312" panose="02010609030101010101" pitchFamily="3" charset="-122"/>
              <a:ea typeface="仿宋_GB2312" panose="02010609030101010101" pitchFamily="3" charset="-122"/>
            </a:rPr>
            <a:t>相关性原则</a:t>
          </a:r>
          <a:endParaRPr lang="zh-CN" altLang="en-US" sz="1000" b="0" kern="120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sp:txBody>
      <dsp:txXfrm>
        <a:off x="921068" y="524441"/>
        <a:ext cx="878228" cy="351291"/>
      </dsp:txXfrm>
    </dsp:sp>
    <dsp:sp modelId="{B8691B77-4694-4BFA-9DAF-40A313A447BB}">
      <dsp:nvSpPr>
        <dsp:cNvPr id="0" name=""/>
        <dsp:cNvSpPr/>
      </dsp:nvSpPr>
      <dsp:spPr>
        <a:xfrm>
          <a:off x="1676345" y="524441"/>
          <a:ext cx="878228" cy="35129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仿宋_GB2312" panose="02010609030101010101" pitchFamily="3" charset="-122"/>
              <a:ea typeface="仿宋_GB2312" panose="02010609030101010101" pitchFamily="3" charset="-122"/>
            </a:rPr>
            <a:t>重要性原则</a:t>
          </a:r>
          <a:endParaRPr lang="zh-CN" altLang="en-US" sz="1000" b="0" kern="120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sp:txBody>
      <dsp:txXfrm>
        <a:off x="1676345" y="524441"/>
        <a:ext cx="878228" cy="351291"/>
      </dsp:txXfrm>
    </dsp:sp>
    <dsp:sp modelId="{C330E3A1-3D1D-4453-A315-50DA58578E8B}">
      <dsp:nvSpPr>
        <dsp:cNvPr id="0" name=""/>
        <dsp:cNvSpPr/>
      </dsp:nvSpPr>
      <dsp:spPr>
        <a:xfrm>
          <a:off x="2431622" y="524441"/>
          <a:ext cx="878228" cy="35129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仿宋_GB2312" panose="02010609030101010101" pitchFamily="3" charset="-122"/>
              <a:ea typeface="仿宋_GB2312" panose="02010609030101010101" pitchFamily="3" charset="-122"/>
            </a:rPr>
            <a:t>可比性原则</a:t>
          </a:r>
          <a:endParaRPr lang="zh-CN" altLang="en-US" sz="1000" b="0" kern="120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sp:txBody>
      <dsp:txXfrm>
        <a:off x="2431622" y="524441"/>
        <a:ext cx="878228" cy="351291"/>
      </dsp:txXfrm>
    </dsp:sp>
    <dsp:sp modelId="{15B667A0-41D3-4D24-9402-E2D0A9F3193D}">
      <dsp:nvSpPr>
        <dsp:cNvPr id="0" name=""/>
        <dsp:cNvSpPr/>
      </dsp:nvSpPr>
      <dsp:spPr>
        <a:xfrm>
          <a:off x="3186899" y="524441"/>
          <a:ext cx="878228" cy="35129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仿宋_GB2312" panose="02010609030101010101" pitchFamily="3" charset="-122"/>
              <a:ea typeface="仿宋_GB2312" panose="02010609030101010101" pitchFamily="3" charset="-122"/>
            </a:rPr>
            <a:t>系统性原则</a:t>
          </a:r>
          <a:endParaRPr lang="zh-CN" altLang="en-US" sz="1000" b="0" kern="120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sp:txBody>
      <dsp:txXfrm>
        <a:off x="3186899" y="524441"/>
        <a:ext cx="878228" cy="351291"/>
      </dsp:txXfrm>
    </dsp:sp>
    <dsp:sp modelId="{3133D0F3-2920-497C-9B75-49DB36BD1C0F}">
      <dsp:nvSpPr>
        <dsp:cNvPr id="0" name=""/>
        <dsp:cNvSpPr/>
      </dsp:nvSpPr>
      <dsp:spPr>
        <a:xfrm>
          <a:off x="3942175" y="524441"/>
          <a:ext cx="878228" cy="35129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仿宋_GB2312" panose="02010609030101010101" pitchFamily="3" charset="-122"/>
              <a:ea typeface="仿宋_GB2312" panose="02010609030101010101" pitchFamily="3" charset="-122"/>
            </a:rPr>
            <a:t>经济性原则</a:t>
          </a:r>
          <a:endParaRPr lang="zh-CN" altLang="en-US" sz="1000" b="0" kern="1200">
            <a:solidFill>
              <a:sysClr val="windowText" lastClr="000000">
                <a:hueOff val="0"/>
                <a:satOff val="0"/>
                <a:lumOff val="0"/>
                <a:alphaOff val="0"/>
              </a:sysClr>
            </a:solidFill>
            <a:latin typeface="仿宋_GB2312" panose="02010609030101010101" pitchFamily="3" charset="-122"/>
            <a:ea typeface="仿宋_GB2312" panose="02010609030101010101" pitchFamily="3" charset="-122"/>
            <a:cs typeface="+mn-cs"/>
          </a:endParaRPr>
        </a:p>
      </dsp:txBody>
      <dsp:txXfrm>
        <a:off x="3942175" y="524441"/>
        <a:ext cx="878228" cy="35129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4E5EC-AF75-4A1E-928F-BBF3888FFC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2625</Words>
  <Characters>14967</Characters>
  <Lines>124</Lines>
  <Paragraphs>35</Paragraphs>
  <TotalTime>3</TotalTime>
  <ScaleCrop>false</ScaleCrop>
  <LinksUpToDate>false</LinksUpToDate>
  <CharactersWithSpaces>17557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陈艳霞</cp:lastModifiedBy>
  <cp:lastPrinted>2017-04-06T16:33:00Z</cp:lastPrinted>
  <dcterms:modified xsi:type="dcterms:W3CDTF">2018-05-28T05:29:29Z</dcterms:modified>
  <dc:title>财政支出绩效评价报告</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