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hint="eastAsia" w:ascii="Arial Narrow" w:hAnsi="Arial Narrow" w:cs="仿宋_GB2312"/>
          <w:b/>
          <w:color w:val="000000"/>
          <w:sz w:val="44"/>
          <w:szCs w:val="44"/>
          <w:lang w:eastAsia="zh-CN"/>
        </w:rPr>
        <w:t>黄鹤楼街</w:t>
      </w:r>
      <w:r>
        <w:rPr>
          <w:rFonts w:ascii="Arial Narrow" w:hAnsi="Arial Narrow" w:cs="仿宋_GB2312"/>
          <w:b/>
          <w:color w:val="000000"/>
          <w:sz w:val="44"/>
          <w:szCs w:val="44"/>
        </w:rPr>
        <w:t>201</w:t>
      </w:r>
      <w:r>
        <w:rPr>
          <w:rFonts w:hint="eastAsia" w:ascii="Arial Narrow" w:hAnsi="Arial Narrow" w:cs="仿宋_GB2312"/>
          <w:b/>
          <w:color w:val="000000"/>
          <w:sz w:val="44"/>
          <w:szCs w:val="44"/>
          <w:lang w:val="en-US" w:eastAsia="zh-CN"/>
        </w:rPr>
        <w:t>9</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黄鹤楼</w:t>
      </w:r>
      <w:r>
        <w:rPr>
          <w:rFonts w:ascii="Arial Narrow" w:hAnsi="Arial Narrow" w:cs="仿宋_GB2312"/>
          <w:b/>
          <w:bCs/>
          <w:kern w:val="32"/>
          <w:sz w:val="32"/>
          <w:lang w:bidi="he-IL"/>
        </w:rPr>
        <w:t>街办事处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黄鹤楼</w:t>
      </w:r>
      <w:r>
        <w:rPr>
          <w:rFonts w:hint="eastAsia" w:ascii="仿宋_GB2312" w:hAnsi="仿宋_GB2312" w:cs="仿宋_GB2312"/>
          <w:b/>
          <w:bCs/>
          <w:kern w:val="32"/>
          <w:sz w:val="32"/>
          <w:lang w:bidi="he-IL"/>
        </w:rPr>
        <w:t>街办事处公共服务办公室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w:t>
      </w:r>
      <w:r>
        <w:rPr>
          <w:rFonts w:hint="eastAsia" w:ascii="仿宋_GB2312" w:hAnsi="仿宋_GB2312" w:cs="仿宋_GB2312"/>
          <w:b/>
          <w:bCs/>
          <w:sz w:val="32"/>
          <w:szCs w:val="32"/>
          <w:lang w:eastAsia="zh-CN"/>
        </w:rPr>
        <w:t>二零</w:t>
      </w:r>
      <w:bookmarkStart w:id="11" w:name="_GoBack"/>
      <w:bookmarkEnd w:id="11"/>
      <w:r>
        <w:rPr>
          <w:rFonts w:hint="eastAsia" w:ascii="仿宋_GB2312" w:hAnsi="仿宋_GB2312" w:cs="仿宋_GB2312"/>
          <w:b/>
          <w:bCs/>
          <w:sz w:val="32"/>
          <w:szCs w:val="32"/>
        </w:rPr>
        <w:t>年十月</w:t>
      </w:r>
    </w:p>
    <w:p/>
    <w:p/>
    <w:p/>
    <w:p/>
    <w:p/>
    <w:p>
      <w:pPr>
        <w:pStyle w:val="9"/>
        <w:numPr>
          <w:ilvl w:val="0"/>
          <w:numId w:val="1"/>
        </w:numPr>
        <w:spacing w:after="0" w:line="360" w:lineRule="auto"/>
        <w:ind w:firstLineChars="0"/>
        <w:jc w:val="both"/>
        <w:rPr>
          <w:rStyle w:val="10"/>
          <w:rFonts w:ascii="仿宋_GB2312" w:hAnsi="仿宋_GB2312" w:eastAsia="仿宋_GB2312" w:cs="仿宋_GB2312"/>
          <w:b/>
          <w:bCs/>
        </w:rPr>
      </w:pPr>
      <w:r>
        <w:rPr>
          <w:rStyle w:val="10"/>
          <w:rFonts w:hint="eastAsia" w:ascii="仿宋_GB2312" w:hAnsi="仿宋_GB2312" w:eastAsia="仿宋_GB2312" w:cs="仿宋_GB2312"/>
          <w:b/>
          <w:bCs/>
        </w:rPr>
        <w:t>项目基本情况</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项目概况</w:t>
      </w:r>
    </w:p>
    <w:p>
      <w:pPr>
        <w:pStyle w:val="9"/>
        <w:spacing w:after="0" w:line="360" w:lineRule="auto"/>
        <w:ind w:firstLine="700" w:firstLineChars="250"/>
        <w:rPr>
          <w:rStyle w:val="10"/>
          <w:rFonts w:ascii="仿宋_GB2312" w:hAnsi="仿宋_GB2312" w:eastAsia="仿宋_GB2312" w:cs="仿宋_GB2312"/>
        </w:rPr>
      </w:pPr>
      <w:r>
        <w:rPr>
          <w:rStyle w:val="10"/>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项目立项背景和依据</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（三）项目预算绩效目标</w:t>
      </w:r>
    </w:p>
    <w:p>
      <w:pPr>
        <w:pStyle w:val="9"/>
        <w:spacing w:after="0" w:line="360" w:lineRule="auto"/>
        <w:ind w:firstLine="440"/>
        <w:jc w:val="both"/>
        <w:rPr>
          <w:rStyle w:val="10"/>
          <w:rFonts w:ascii="仿宋_GB2312" w:hAnsi="仿宋_GB2312" w:eastAsia="仿宋_GB2312" w:cs="仿宋_GB2312"/>
        </w:rPr>
      </w:pPr>
      <w:r>
        <w:rPr>
          <w:rFonts w:hint="eastAsia"/>
        </w:rPr>
        <w:t xml:space="preserve">  </w:t>
      </w:r>
      <w:r>
        <w:rPr>
          <w:rStyle w:val="10"/>
          <w:rFonts w:hint="eastAsia" w:ascii="仿宋_GB2312" w:hAnsi="仿宋_GB2312" w:eastAsia="仿宋_GB2312" w:cs="仿宋_GB2312"/>
        </w:rPr>
        <w:t>切实解决社区居民群众最关心、最直接、最现实的各类民生问题。提高居民的幸福指数。</w:t>
      </w:r>
    </w:p>
    <w:p>
      <w:pPr>
        <w:pStyle w:val="9"/>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（一）项目概况</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1、项目所属领域</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项目性质与特点</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3、</w:t>
      </w:r>
      <w:r>
        <w:rPr>
          <w:rStyle w:val="10"/>
          <w:rFonts w:ascii="仿宋_GB2312" w:hAnsi="仿宋_GB2312" w:eastAsia="仿宋_GB2312" w:cs="仿宋_GB2312"/>
        </w:rPr>
        <w:t>项目实施情况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（1）项目实施单位：武昌区人民政府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（2）项目实施</w:t>
      </w:r>
      <w:r>
        <w:rPr>
          <w:rStyle w:val="10"/>
          <w:rFonts w:hint="eastAsia" w:ascii="仿宋_GB2312" w:hAnsi="仿宋_GB2312" w:eastAsia="仿宋_GB2312" w:cs="仿宋_GB2312"/>
        </w:rPr>
        <w:t>机构</w:t>
      </w: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w:t>
      </w:r>
      <w:r>
        <w:rPr>
          <w:rStyle w:val="10"/>
          <w:rFonts w:hint="eastAsia" w:ascii="仿宋_GB2312" w:hAnsi="仿宋_GB2312" w:eastAsia="仿宋_GB2312" w:cs="仿宋_GB2312"/>
          <w:lang w:val="en-US" w:eastAsia="zh-CN"/>
        </w:rPr>
        <w:t>4</w:t>
      </w:r>
      <w:r>
        <w:rPr>
          <w:rStyle w:val="10"/>
          <w:rFonts w:ascii="仿宋_GB2312" w:hAnsi="仿宋_GB2312" w:eastAsia="仿宋_GB2312" w:cs="仿宋_GB2312"/>
        </w:rPr>
        <w:t>个社</w:t>
      </w:r>
      <w:r>
        <w:rPr>
          <w:rStyle w:val="10"/>
          <w:rFonts w:hint="eastAsia" w:ascii="仿宋_GB2312" w:hAnsi="仿宋_GB2312" w:eastAsia="仿宋_GB2312" w:cs="仿宋_GB2312"/>
        </w:rPr>
        <w:t>区</w:t>
      </w:r>
      <w:r>
        <w:rPr>
          <w:rStyle w:val="10"/>
          <w:rFonts w:ascii="仿宋_GB2312" w:hAnsi="仿宋_GB2312" w:eastAsia="仿宋_GB2312" w:cs="仿宋_GB2312"/>
        </w:rPr>
        <w:t>。</w:t>
      </w:r>
    </w:p>
    <w:p>
      <w:pPr>
        <w:pStyle w:val="9"/>
        <w:spacing w:after="0" w:line="360" w:lineRule="auto"/>
        <w:ind w:firstLine="700" w:firstLineChars="250"/>
        <w:jc w:val="both"/>
        <w:rPr>
          <w:rFonts w:hint="eastAsia" w:ascii="仿宋" w:hAnsi="仿宋" w:eastAsia="仿宋" w:cs="仿宋"/>
          <w:sz w:val="28"/>
          <w:szCs w:val="28"/>
        </w:rPr>
      </w:pPr>
      <w:r>
        <w:rPr>
          <w:rStyle w:val="10"/>
          <w:rFonts w:ascii="仿宋_GB2312" w:hAnsi="仿宋_GB2312" w:eastAsia="仿宋_GB2312" w:cs="仿宋_GB2312"/>
        </w:rPr>
        <w:t>（3）</w:t>
      </w:r>
      <w:r>
        <w:rPr>
          <w:rStyle w:val="10"/>
          <w:rFonts w:hint="eastAsia" w:ascii="仿宋_GB2312" w:hAnsi="仿宋_GB2312" w:eastAsia="仿宋_GB2312" w:cs="仿宋_GB2312"/>
        </w:rPr>
        <w:t>项目立项设定绩效目标：</w:t>
      </w:r>
      <w:r>
        <w:rPr>
          <w:rFonts w:hint="eastAsia" w:ascii="仿宋" w:hAnsi="仿宋" w:eastAsia="仿宋" w:cs="仿宋"/>
          <w:sz w:val="28"/>
          <w:szCs w:val="28"/>
        </w:rPr>
        <w:t>“</w:t>
      </w:r>
      <w:r>
        <w:rPr>
          <w:rStyle w:val="10"/>
          <w:rFonts w:hint="eastAsia" w:ascii="仿宋_GB2312" w:hAnsi="仿宋_GB2312" w:eastAsia="仿宋_GB2312" w:cs="仿宋_GB2312"/>
        </w:rPr>
        <w:t>惠民资金项目”从四个方面制定了项目计划</w:t>
      </w:r>
      <w:r>
        <w:rPr>
          <w:rFonts w:hint="eastAsia" w:ascii="仿宋" w:hAnsi="仿宋" w:eastAsia="仿宋" w:cs="仿宋"/>
          <w:sz w:val="28"/>
          <w:szCs w:val="28"/>
        </w:rPr>
        <w:t>，</w:t>
      </w:r>
      <w:r>
        <w:rPr>
          <w:rFonts w:hint="eastAsia" w:ascii="仿宋_GB2312" w:hAnsi="宋体" w:eastAsia="仿宋_GB2312" w:cs="仿宋_GB2312"/>
          <w:kern w:val="0"/>
          <w:sz w:val="32"/>
          <w:szCs w:val="32"/>
        </w:rPr>
        <w:t>其中：</w:t>
      </w:r>
      <w:r>
        <w:rPr>
          <w:rFonts w:hint="eastAsia" w:ascii="仿宋_GB2312" w:hAnsi="宋体" w:eastAsia="仿宋_GB2312" w:cs="仿宋_GB2312"/>
          <w:kern w:val="0"/>
          <w:sz w:val="32"/>
          <w:szCs w:val="32"/>
          <w:lang w:eastAsia="zh-CN"/>
        </w:rPr>
        <w:t>计划</w:t>
      </w:r>
      <w:r>
        <w:rPr>
          <w:rFonts w:hint="eastAsia" w:ascii="仿宋_GB2312" w:hAnsi="宋体" w:eastAsia="仿宋_GB2312" w:cs="仿宋_GB2312"/>
          <w:kern w:val="0"/>
          <w:sz w:val="32"/>
          <w:szCs w:val="32"/>
        </w:rPr>
        <w:t>实施社区服务9项，开展社活动29项，社区环境改造9项，做实社区管理类16项。</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Style w:val="10"/>
          <w:rFonts w:hint="eastAsia" w:ascii="仿宋_GB2312" w:hAnsi="仿宋_GB2312" w:eastAsia="仿宋_GB2312" w:cs="仿宋_GB2312"/>
        </w:rPr>
        <w:t>（4）绩效目标完成情况：惠民资金项目的绩效目标完成情况如下：①</w:t>
      </w:r>
      <w:r>
        <w:rPr>
          <w:rStyle w:val="10"/>
          <w:rFonts w:hint="eastAsia" w:ascii="仿宋_GB2312" w:hAnsi="仿宋_GB2312" w:eastAsia="仿宋_GB2312" w:cs="仿宋_GB2312"/>
          <w:lang w:eastAsia="zh-CN"/>
        </w:rPr>
        <w:t>开展便民服务活动</w:t>
      </w:r>
      <w:r>
        <w:rPr>
          <w:rStyle w:val="10"/>
          <w:rFonts w:hint="eastAsia" w:ascii="仿宋_GB2312" w:hAnsi="仿宋_GB2312" w:eastAsia="仿宋_GB2312" w:cs="仿宋_GB2312"/>
          <w:lang w:val="en-US" w:eastAsia="zh-CN"/>
        </w:rPr>
        <w:t>48场次，服务居民6200余人次，培育社区志愿者团队6支，开展志愿者社区公共设施维护、助老、亲子等志愿服务58场次，配备适老器具66份</w:t>
      </w:r>
      <w:r>
        <w:rPr>
          <w:rStyle w:val="10"/>
          <w:rFonts w:hint="eastAsia" w:ascii="仿宋_GB2312" w:hAnsi="仿宋_GB2312" w:eastAsia="仿宋_GB2312" w:cs="仿宋_GB2312"/>
        </w:rPr>
        <w:t>；②</w:t>
      </w:r>
      <w:r>
        <w:rPr>
          <w:rStyle w:val="10"/>
          <w:rFonts w:hint="eastAsia" w:ascii="仿宋_GB2312" w:hAnsi="仿宋_GB2312" w:eastAsia="仿宋_GB2312" w:cs="仿宋_GB2312"/>
          <w:lang w:eastAsia="zh-CN"/>
        </w:rPr>
        <w:t>开展丰富多彩的各类惠民活动</w:t>
      </w:r>
      <w:r>
        <w:rPr>
          <w:rStyle w:val="10"/>
          <w:rFonts w:hint="eastAsia" w:ascii="仿宋_GB2312" w:hAnsi="仿宋_GB2312" w:eastAsia="仿宋_GB2312" w:cs="仿宋_GB2312"/>
          <w:lang w:val="en-US" w:eastAsia="zh-CN"/>
        </w:rPr>
        <w:t>29场次</w:t>
      </w:r>
      <w:r>
        <w:rPr>
          <w:rStyle w:val="10"/>
          <w:rFonts w:hint="eastAsia" w:ascii="仿宋_GB2312" w:hAnsi="仿宋_GB2312" w:eastAsia="仿宋_GB2312" w:cs="仿宋_GB2312"/>
        </w:rPr>
        <w:t>；③</w:t>
      </w:r>
      <w:r>
        <w:rPr>
          <w:rStyle w:val="10"/>
          <w:rFonts w:hint="eastAsia" w:ascii="仿宋_GB2312" w:hAnsi="仿宋_GB2312" w:eastAsia="仿宋_GB2312" w:cs="仿宋_GB2312"/>
          <w:lang w:eastAsia="zh-CN"/>
        </w:rPr>
        <w:t>重点对辖区</w:t>
      </w:r>
      <w:r>
        <w:rPr>
          <w:rStyle w:val="10"/>
          <w:rFonts w:hint="eastAsia" w:ascii="仿宋_GB2312" w:hAnsi="仿宋_GB2312" w:eastAsia="仿宋_GB2312" w:cs="仿宋_GB2312"/>
          <w:lang w:val="en-US" w:eastAsia="zh-CN"/>
        </w:rPr>
        <w:t>9个老旧院落进行基础设施改造升级，立面整治500平方、下水管网清捞、改造700米，更换落水管14条、排水盖60个、地面平整635平方、楼道粉刷、新建、维修车棚3处、新增、维修楼道灯、晒衣架等公共设施300余处</w:t>
      </w:r>
      <w:r>
        <w:rPr>
          <w:rFonts w:hint="eastAsia" w:ascii="仿宋" w:hAnsi="仿宋" w:eastAsia="仿宋" w:cs="仿宋"/>
          <w:sz w:val="28"/>
          <w:szCs w:val="28"/>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4、</w:t>
      </w:r>
      <w:r>
        <w:rPr>
          <w:rStyle w:val="10"/>
          <w:rFonts w:ascii="仿宋_GB2312" w:hAnsi="仿宋_GB2312" w:eastAsia="仿宋_GB2312" w:cs="仿宋_GB2312"/>
        </w:rPr>
        <w:t>项目经费来源和使用情况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（1）项目资金来源概况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街办事处“社区惠民资金项目”经武昌区财政局批复，下达预算资金</w:t>
      </w:r>
      <w:r>
        <w:rPr>
          <w:rStyle w:val="10"/>
          <w:rFonts w:hint="eastAsia" w:ascii="仿宋_GB2312" w:hAnsi="仿宋_GB2312" w:eastAsia="仿宋_GB2312" w:cs="仿宋_GB2312"/>
          <w:lang w:val="en-US" w:eastAsia="zh-CN"/>
        </w:rPr>
        <w:t>135</w:t>
      </w:r>
      <w:r>
        <w:rPr>
          <w:rStyle w:val="10"/>
          <w:rFonts w:ascii="仿宋_GB2312" w:hAnsi="仿宋_GB2312" w:eastAsia="仿宋_GB2312" w:cs="仿宋_GB2312"/>
        </w:rPr>
        <w:t>万元。</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项目资金使用概况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“社区惠民资金项目”实际支出</w:t>
      </w:r>
      <w:r>
        <w:rPr>
          <w:rStyle w:val="10"/>
          <w:rFonts w:hint="eastAsia" w:ascii="仿宋_GB2312" w:hAnsi="仿宋_GB2312" w:eastAsia="仿宋_GB2312" w:cs="仿宋_GB2312"/>
          <w:lang w:val="en-US" w:eastAsia="zh-CN"/>
        </w:rPr>
        <w:t>135</w:t>
      </w:r>
      <w:r>
        <w:rPr>
          <w:rStyle w:val="10"/>
          <w:rFonts w:ascii="仿宋_GB2312" w:hAnsi="仿宋_GB2312" w:eastAsia="仿宋_GB2312" w:cs="仿宋_GB2312"/>
        </w:rPr>
        <w:t>万元</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5、</w:t>
      </w:r>
      <w:r>
        <w:rPr>
          <w:rStyle w:val="10"/>
          <w:rFonts w:ascii="仿宋_GB2312" w:hAnsi="仿宋_GB2312" w:eastAsia="仿宋_GB2312" w:cs="仿宋_GB2312"/>
        </w:rPr>
        <w:t>评价指标体系</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绩效评价指标体系包括投入、过程、产出、效果四个方面。</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具体指标的分布情况、权重、指标解释、指标说明如下表所示：</w:t>
      </w:r>
    </w:p>
    <w:tbl>
      <w:tblPr>
        <w:tblStyle w:val="5"/>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1701"/>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283" w:type="dxa"/>
            <w:gridSpan w:val="2"/>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指标名称（权重）</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指标解释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立项</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项目立项规范性（2分）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项目是否按照规定的程序申请设立；</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所提交的文件、材料是否符合相关要求；</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事前是否已经过必要的可行性研究、专家论证、风险评估、集体决策等；</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绩效目标合理性（2分）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是否设定长期目标、年度目标和绩效指标；</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目标和指标的设计是否符合目标管理规范；</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根据绩效目标和完成情况的对比考核目标设立的合理性；</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落实</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资金到位率=（实际到位资金/计划投入资金）×100%。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实际到位资金：一定时期（本年度或项目期）内实际落实到具体项目的资金。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到位及时率=（及时到位资金/应到位资金）×100%。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及时到位资金：截至规定时点实际落实到具体项目的资金。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是否已制定或具有相应的项目管理制度；</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制度执行有效性（3分）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是否遵守相关法律法规和项目管理规定；</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项目调整及支出调整手续是否完备；</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项目合同书、验收报告、技术鉴定等资料是否齐全并及时归档；</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项目质量可控性（4分）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是否已制定或具有相应的项目质量要求或标准；</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是否已制定或具有相应的项目资金管理办法；</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资金使用合规性（3分）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是否符合国家财经法规和财务管理制度以及有关专项资金管理办法的规定；</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资金的拨付是否有完整的审批程序和手续；</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项目的重大开支是否经过评估认证；</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是否符合项目预算批复或合同规定的用途；</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财务监控有效性（4分）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是否已制定或具有相应的监控机制；</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项目产出</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验收合格率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效益</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社区活动丰富度（6分）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生活质量提高程度（6分）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惠民服务种类丰富度（4分）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可持续影响</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项目实施单位有机构设置支持项目实施的后续运行；</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服务对象满意度</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（8分）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服务对象对项目实施效果的满意程度。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Fonts w:ascii="Arial Narrow" w:hAnsi="Arial Narrow" w:cs="仿宋_GB2312"/>
          <w:b/>
        </w:rPr>
      </w:pPr>
      <w:r>
        <w:rPr>
          <w:rFonts w:ascii="Arial Narrow" w:hAnsi="Arial Narrow" w:cs="仿宋_GB2312"/>
          <w:b/>
        </w:rPr>
        <w:t>绩效评价结果</w:t>
      </w:r>
    </w:p>
    <w:p>
      <w:pPr>
        <w:pStyle w:val="9"/>
        <w:spacing w:after="0" w:line="360" w:lineRule="auto"/>
        <w:ind w:firstLine="700" w:firstLineChars="250"/>
        <w:jc w:val="both"/>
        <w:rPr>
          <w:rStyle w:val="10"/>
          <w:rFonts w:hint="eastAsia" w:ascii="仿宋_GB2312" w:hAnsi="仿宋_GB2312" w:eastAsia="仿宋_GB2312" w:cs="仿宋_GB2312"/>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30</w:t>
            </w:r>
          </w:p>
        </w:tc>
        <w:tc>
          <w:tcPr>
            <w:tcW w:w="2126" w:type="dxa"/>
            <w:vAlign w:val="center"/>
          </w:tcPr>
          <w:p>
            <w:pPr>
              <w:jc w:val="center"/>
              <w:textAlignment w:val="top"/>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6</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9"/>
        <w:spacing w:after="0" w:line="360" w:lineRule="auto"/>
        <w:ind w:firstLine="700" w:firstLineChars="25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四、主要经验及做法、存在的问题和改进措施</w:t>
      </w:r>
    </w:p>
    <w:p>
      <w:pPr>
        <w:pStyle w:val="9"/>
        <w:spacing w:after="0" w:line="360" w:lineRule="auto"/>
        <w:ind w:firstLine="700" w:firstLineChars="250"/>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 xml:space="preserve"> </w:t>
      </w:r>
      <w:bookmarkStart w:id="0" w:name="_Toc387957830"/>
      <w:bookmarkStart w:id="1" w:name="_Toc406668055"/>
      <w:bookmarkStart w:id="2" w:name="_Toc361304706"/>
      <w:bookmarkStart w:id="3" w:name="_Toc406666381"/>
      <w:bookmarkStart w:id="4" w:name="_Toc479244794"/>
      <w:bookmarkStart w:id="5" w:name="_Toc27928"/>
      <w:r>
        <w:rPr>
          <w:rStyle w:val="10"/>
          <w:rFonts w:ascii="仿宋_GB2312" w:hAnsi="仿宋_GB2312" w:eastAsia="仿宋_GB2312" w:cs="仿宋_GB2312"/>
          <w:color w:val="000000"/>
        </w:rPr>
        <w:t>（一）主要经验及做法</w:t>
      </w:r>
      <w:bookmarkEnd w:id="0"/>
      <w:bookmarkEnd w:id="1"/>
      <w:bookmarkEnd w:id="2"/>
      <w:bookmarkEnd w:id="3"/>
      <w:bookmarkEnd w:id="4"/>
      <w:bookmarkEnd w:id="5"/>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bookmarkStart w:id="6" w:name="_Toc16696"/>
      <w:bookmarkStart w:id="7" w:name="_Toc479244795"/>
      <w:bookmarkStart w:id="8" w:name="_Toc406668056"/>
      <w:bookmarkStart w:id="9" w:name="_Toc406666382"/>
      <w:bookmarkStart w:id="10" w:name="_Toc387957833"/>
      <w:r>
        <w:rPr>
          <w:rStyle w:val="10"/>
          <w:rFonts w:hint="eastAsia" w:ascii="仿宋_GB2312" w:hAnsi="仿宋_GB2312" w:eastAsia="仿宋_GB2312" w:cs="仿宋_GB2312"/>
          <w:color w:val="000000"/>
          <w:lang w:eastAsia="zh-CN"/>
        </w:rPr>
        <w:t>黄鹤楼街能够针对各社区特点和实际情况，抓重点的使用惠民资金主要是严格程序，管好用好惠民资金。严格按照惠民项目实施工作流程，有序推进工作进度。为扎实推进项目落实，街道按照每月调度、季度通报进度，确保各社区按进度保质保量，推进各项惠民项目。社区加强项目监督，坚持“两会一制”工作法，即“居民代表大会”、“项目询价会”、“四民工作法”，做到群众监督、群众考核、群众测评，对中标单位全程监督，确保工程质量并严格规定完工时间，确保工程质量。</w:t>
      </w:r>
    </w:p>
    <w:p>
      <w:pPr>
        <w:pStyle w:val="9"/>
        <w:spacing w:after="0" w:line="360" w:lineRule="auto"/>
        <w:ind w:firstLine="700" w:firstLineChars="25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（二）存在的问题</w:t>
      </w:r>
      <w:bookmarkEnd w:id="6"/>
      <w:bookmarkEnd w:id="7"/>
      <w:bookmarkEnd w:id="8"/>
      <w:bookmarkEnd w:id="9"/>
    </w:p>
    <w:bookmarkEnd w:id="10"/>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一是项目预算还存在不精准的问题。二是社区活动和服务类的居民惠及度比较单一，居民参与面还不够广泛。</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（三）改进措施</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lang w:eastAsia="zh-CN"/>
        </w:rPr>
        <w:t xml:space="preserve"> </w:t>
      </w:r>
      <w:r>
        <w:rPr>
          <w:rStyle w:val="10"/>
          <w:rFonts w:hint="eastAsia" w:ascii="仿宋_GB2312" w:hAnsi="仿宋_GB2312" w:eastAsia="仿宋_GB2312" w:cs="仿宋_GB2312"/>
          <w:color w:val="000000"/>
          <w:lang w:val="en-US" w:eastAsia="zh-CN"/>
        </w:rPr>
        <w:t>1、</w:t>
      </w:r>
      <w:r>
        <w:rPr>
          <w:rStyle w:val="10"/>
          <w:rFonts w:hint="eastAsia" w:ascii="仿宋_GB2312" w:hAnsi="仿宋_GB2312" w:eastAsia="仿宋_GB2312" w:cs="仿宋_GB2312"/>
          <w:color w:val="000000"/>
          <w:lang w:eastAsia="zh-CN"/>
        </w:rPr>
        <w:t>我们将贴近居民，科学谋划明年的项目，争取引入专业造价咨询公司，用好用实惠民资金。同时，加大宣传引导，调动他们参与社区建设积极性，多种途径扩大居民的参与率和知晓率；加强项目的监督和验收，确保项目按时保质保量完成。</w:t>
      </w:r>
    </w:p>
    <w:p>
      <w:pPr>
        <w:pStyle w:val="9"/>
        <w:spacing w:after="0" w:line="360" w:lineRule="auto"/>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2、建议加强惠民项目的质量控制。社区申报项目计划及实施方案时要明确项目类别，加强项目质量控制，有利于项目后期管理和统计，同时便于更好地监控惠民资金的用途及去向，有利于对惠民资金使用情况进行分析和总结。</w:t>
      </w:r>
    </w:p>
    <w:p>
      <w:pPr>
        <w:pStyle w:val="9"/>
        <w:spacing w:after="0" w:line="360" w:lineRule="auto"/>
        <w:ind w:left="0" w:leftChars="0" w:firstLine="280" w:firstLineChars="1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 xml:space="preserve">  3、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作出调整，更好地贴合居民生活，满足居民的惠民服务需求。</w:t>
      </w:r>
    </w:p>
    <w:p>
      <w:pPr>
        <w:pStyle w:val="9"/>
        <w:spacing w:after="0" w:line="360" w:lineRule="auto"/>
        <w:ind w:firstLine="700" w:firstLineChars="250"/>
        <w:jc w:val="both"/>
        <w:rPr>
          <w:rStyle w:val="10"/>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F1E4257"/>
    <w:rsid w:val="122655AB"/>
    <w:rsid w:val="129F3378"/>
    <w:rsid w:val="1D174E1E"/>
    <w:rsid w:val="2A7F3418"/>
    <w:rsid w:val="59985079"/>
    <w:rsid w:val="62524338"/>
    <w:rsid w:val="6F881751"/>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fontstyle11"/>
    <w:basedOn w:val="6"/>
    <w:qFormat/>
    <w:uiPriority w:val="0"/>
    <w:rPr>
      <w:rFonts w:ascii="宋体" w:hAnsi="宋体" w:eastAsia="宋体" w:cs="宋体"/>
      <w:color w:val="000000"/>
      <w:sz w:val="28"/>
      <w:szCs w:val="2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834</Words>
  <Characters>4754</Characters>
  <Lines>39</Lines>
  <Paragraphs>11</Paragraphs>
  <TotalTime>2</TotalTime>
  <ScaleCrop>false</ScaleCrop>
  <LinksUpToDate>false</LinksUpToDate>
  <CharactersWithSpaces>5577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Syndra~</cp:lastModifiedBy>
  <dcterms:modified xsi:type="dcterms:W3CDTF">2020-10-27T07:31:43Z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