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EC" w:rsidRDefault="00297652">
      <w:pPr>
        <w:autoSpaceDE/>
        <w:autoSpaceDN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傅家坡片地块</w:t>
      </w:r>
    </w:p>
    <w:p w:rsidR="001068EC" w:rsidRDefault="00297652">
      <w:pPr>
        <w:autoSpaceDE/>
        <w:autoSpaceDN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土壤污染状况调查信息公示</w:t>
      </w:r>
    </w:p>
    <w:p w:rsidR="001068EC" w:rsidRDefault="001068EC">
      <w:pPr>
        <w:autoSpaceDE/>
        <w:autoSpaceDN/>
        <w:spacing w:line="360" w:lineRule="auto"/>
        <w:rPr>
          <w:sz w:val="28"/>
          <w:szCs w:val="28"/>
        </w:rPr>
      </w:pP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根据《中华人民共和国土壤污染防治法》第五十九条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用途变更为住宅、公共管理与公共服务用地的，变更前应当按照规定进行土壤污染状况调查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傅家坡片地块</w:t>
      </w:r>
      <w:r>
        <w:rPr>
          <w:rFonts w:hint="eastAsia"/>
          <w:sz w:val="28"/>
          <w:szCs w:val="28"/>
        </w:rPr>
        <w:t>土壤污染状况</w:t>
      </w:r>
      <w:r>
        <w:rPr>
          <w:sz w:val="28"/>
          <w:szCs w:val="28"/>
        </w:rPr>
        <w:t>初步</w:t>
      </w:r>
      <w:r>
        <w:rPr>
          <w:rFonts w:hint="eastAsia"/>
          <w:sz w:val="28"/>
          <w:szCs w:val="28"/>
        </w:rPr>
        <w:t>调查报告由</w:t>
      </w:r>
      <w:r>
        <w:rPr>
          <w:rFonts w:hint="eastAsia"/>
          <w:sz w:val="28"/>
          <w:szCs w:val="28"/>
        </w:rPr>
        <w:t>武汉环景检测服务有限公司</w:t>
      </w:r>
      <w:r>
        <w:rPr>
          <w:rFonts w:hint="eastAsia"/>
          <w:sz w:val="28"/>
          <w:szCs w:val="28"/>
        </w:rPr>
        <w:t>编制完成，现将调查有关信息公开如下：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一、地块概况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傅家坡片地块</w:t>
      </w:r>
      <w:r>
        <w:rPr>
          <w:rFonts w:hint="eastAsia"/>
          <w:sz w:val="28"/>
          <w:szCs w:val="28"/>
          <w:lang w:val="en-US"/>
        </w:rPr>
        <w:t>位于武汉市武昌区中南路街武珞路</w:t>
      </w:r>
      <w:r>
        <w:rPr>
          <w:rFonts w:hint="eastAsia"/>
          <w:sz w:val="28"/>
          <w:szCs w:val="28"/>
          <w:lang w:val="en-US"/>
        </w:rPr>
        <w:t>262</w:t>
      </w:r>
      <w:r>
        <w:rPr>
          <w:rFonts w:hint="eastAsia"/>
          <w:sz w:val="28"/>
          <w:szCs w:val="28"/>
          <w:lang w:val="en-US"/>
        </w:rPr>
        <w:t>号，地块东侧隔无名道路为中南国际城及省应急厅宿舍桂苑小区，南至梅苑学校，西至梅苑路，北至武珞路，地块总面积约</w:t>
      </w:r>
      <w:r>
        <w:rPr>
          <w:rFonts w:hint="eastAsia"/>
          <w:sz w:val="28"/>
          <w:szCs w:val="28"/>
          <w:lang w:val="en-US"/>
        </w:rPr>
        <w:t>38157</w:t>
      </w:r>
      <w:r>
        <w:rPr>
          <w:rFonts w:hint="eastAsia"/>
          <w:sz w:val="28"/>
          <w:szCs w:val="28"/>
          <w:lang w:val="en-US"/>
        </w:rPr>
        <w:t>平方米，地块中心地理坐标为</w:t>
      </w:r>
      <w:r>
        <w:rPr>
          <w:rFonts w:hint="eastAsia"/>
          <w:sz w:val="28"/>
          <w:szCs w:val="28"/>
          <w:lang w:val="en-US"/>
        </w:rPr>
        <w:t>E</w:t>
      </w:r>
      <w:r>
        <w:rPr>
          <w:rFonts w:hint="eastAsia"/>
          <w:sz w:val="28"/>
          <w:szCs w:val="28"/>
          <w:lang w:val="en-US"/>
        </w:rPr>
        <w:t>：</w:t>
      </w:r>
      <w:r>
        <w:rPr>
          <w:rFonts w:hint="eastAsia"/>
          <w:sz w:val="28"/>
          <w:szCs w:val="28"/>
          <w:lang w:val="en-US"/>
        </w:rPr>
        <w:t>114.321236748</w:t>
      </w:r>
      <w:r>
        <w:rPr>
          <w:rFonts w:hint="eastAsia"/>
          <w:sz w:val="28"/>
          <w:szCs w:val="28"/>
          <w:lang w:val="en-US"/>
        </w:rPr>
        <w:t>；</w:t>
      </w:r>
      <w:r>
        <w:rPr>
          <w:rFonts w:hint="eastAsia"/>
          <w:sz w:val="28"/>
          <w:szCs w:val="28"/>
          <w:lang w:val="en-US"/>
        </w:rPr>
        <w:t>N</w:t>
      </w:r>
      <w:r>
        <w:rPr>
          <w:rFonts w:hint="eastAsia"/>
          <w:sz w:val="28"/>
          <w:szCs w:val="28"/>
          <w:lang w:val="en-US"/>
        </w:rPr>
        <w:t>：</w:t>
      </w:r>
      <w:r>
        <w:rPr>
          <w:rFonts w:hint="eastAsia"/>
          <w:sz w:val="28"/>
          <w:szCs w:val="28"/>
          <w:lang w:val="en-US"/>
        </w:rPr>
        <w:t>30.537118027</w:t>
      </w:r>
      <w:r>
        <w:rPr>
          <w:rFonts w:hint="eastAsia"/>
          <w:sz w:val="28"/>
          <w:szCs w:val="28"/>
          <w:lang w:val="en-US"/>
        </w:rPr>
        <w:t>。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傅家坡片地块原为傅家坡汽车客运站，隶属于湖北公路客运集团股份有限公司，始建于</w:t>
      </w:r>
      <w:r>
        <w:rPr>
          <w:rFonts w:hint="eastAsia"/>
          <w:sz w:val="28"/>
          <w:szCs w:val="28"/>
          <w:lang w:val="en-US"/>
        </w:rPr>
        <w:t>1984</w:t>
      </w:r>
      <w:r>
        <w:rPr>
          <w:rFonts w:hint="eastAsia"/>
          <w:sz w:val="28"/>
          <w:szCs w:val="28"/>
          <w:lang w:val="en-US"/>
        </w:rPr>
        <w:t>年，场地内原有建（构）筑物包括候车大厅、办公楼、商业用房、停车场、加油站及汽车修理车间等。</w:t>
      </w:r>
      <w:r>
        <w:rPr>
          <w:rFonts w:hint="eastAsia"/>
          <w:sz w:val="28"/>
          <w:szCs w:val="28"/>
          <w:lang w:val="en-US"/>
        </w:rPr>
        <w:t>2024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  <w:lang w:val="en-US"/>
        </w:rPr>
        <w:t>月，傅家坡汽车客运站关停，湖北公路客运集团股份有限公司对场地内原有建（构）筑物进行</w:t>
      </w:r>
      <w:r>
        <w:rPr>
          <w:rFonts w:hint="eastAsia"/>
          <w:sz w:val="28"/>
          <w:szCs w:val="28"/>
          <w:lang w:val="en-US"/>
        </w:rPr>
        <w:t>逐步拆除，待后期开发使用。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根据</w:t>
      </w:r>
      <w:r>
        <w:rPr>
          <w:rFonts w:hint="eastAsia"/>
          <w:sz w:val="28"/>
          <w:szCs w:val="28"/>
          <w:lang w:val="en-US"/>
        </w:rPr>
        <w:t>A110801</w:t>
      </w:r>
      <w:r>
        <w:rPr>
          <w:rFonts w:hint="eastAsia"/>
          <w:sz w:val="28"/>
          <w:szCs w:val="28"/>
          <w:lang w:val="en-US"/>
        </w:rPr>
        <w:t>管理单元（傅家坡客运站项目地块）控制性详细规划导则修改方案（见附件三），将</w:t>
      </w:r>
      <w:r>
        <w:rPr>
          <w:rFonts w:hint="eastAsia"/>
          <w:sz w:val="28"/>
          <w:szCs w:val="28"/>
          <w:lang w:val="en-US"/>
        </w:rPr>
        <w:t>A110801</w:t>
      </w:r>
      <w:r>
        <w:rPr>
          <w:rFonts w:hint="eastAsia"/>
          <w:sz w:val="28"/>
          <w:szCs w:val="28"/>
          <w:lang w:val="en-US"/>
        </w:rPr>
        <w:t>管理单元傅家坡客运站项目地块内原规划控制的商业用地、二类居住用地、防护绿地、城市道路用地调整为二类居住用地、商业用地、小学、防护绿地、城市道路用地；优化调整原规划道路及复合公共停车场线型，用地内新增一条东西向</w:t>
      </w:r>
      <w:r>
        <w:rPr>
          <w:rFonts w:hint="eastAsia"/>
          <w:sz w:val="28"/>
          <w:szCs w:val="28"/>
          <w:lang w:val="en-US"/>
        </w:rPr>
        <w:t>7</w:t>
      </w:r>
      <w:r>
        <w:rPr>
          <w:rFonts w:hint="eastAsia"/>
          <w:sz w:val="28"/>
          <w:szCs w:val="28"/>
          <w:lang w:val="en-US"/>
        </w:rPr>
        <w:t>米宽公共通道。修改后，</w:t>
      </w:r>
      <w:r>
        <w:rPr>
          <w:rFonts w:hint="eastAsia"/>
          <w:sz w:val="28"/>
          <w:szCs w:val="28"/>
          <w:lang w:val="en-US"/>
        </w:rPr>
        <w:t>A110801</w:t>
      </w:r>
      <w:r>
        <w:rPr>
          <w:rFonts w:hint="eastAsia"/>
          <w:sz w:val="28"/>
          <w:szCs w:val="28"/>
          <w:lang w:val="en-US"/>
        </w:rPr>
        <w:t>管理单元内二类居住用地增加约</w:t>
      </w:r>
      <w:r>
        <w:rPr>
          <w:rFonts w:hint="eastAsia"/>
          <w:sz w:val="28"/>
          <w:szCs w:val="28"/>
          <w:lang w:val="en-US"/>
        </w:rPr>
        <w:t>2.27</w:t>
      </w:r>
      <w:r>
        <w:rPr>
          <w:rFonts w:hint="eastAsia"/>
          <w:sz w:val="28"/>
          <w:szCs w:val="28"/>
          <w:lang w:val="en-US"/>
        </w:rPr>
        <w:t>公顷，小学增加约</w:t>
      </w:r>
      <w:r>
        <w:rPr>
          <w:rFonts w:hint="eastAsia"/>
          <w:sz w:val="28"/>
          <w:szCs w:val="28"/>
          <w:lang w:val="en-US"/>
        </w:rPr>
        <w:t>0.41</w:t>
      </w:r>
      <w:r>
        <w:rPr>
          <w:rFonts w:hint="eastAsia"/>
          <w:sz w:val="28"/>
          <w:szCs w:val="28"/>
          <w:lang w:val="en-US"/>
        </w:rPr>
        <w:t>公顷，城市道路用地增加约</w:t>
      </w:r>
      <w:r>
        <w:rPr>
          <w:rFonts w:hint="eastAsia"/>
          <w:sz w:val="28"/>
          <w:szCs w:val="28"/>
          <w:lang w:val="en-US"/>
        </w:rPr>
        <w:t>0.02</w:t>
      </w:r>
      <w:r>
        <w:rPr>
          <w:rFonts w:hint="eastAsia"/>
          <w:sz w:val="28"/>
          <w:szCs w:val="28"/>
          <w:lang w:val="en-US"/>
        </w:rPr>
        <w:t>公顷，商业用地减少约</w:t>
      </w:r>
      <w:r>
        <w:rPr>
          <w:rFonts w:hint="eastAsia"/>
          <w:sz w:val="28"/>
          <w:szCs w:val="28"/>
          <w:lang w:val="en-US"/>
        </w:rPr>
        <w:t>2.7</w:t>
      </w:r>
      <w:r>
        <w:rPr>
          <w:rFonts w:hint="eastAsia"/>
          <w:sz w:val="28"/>
          <w:szCs w:val="28"/>
          <w:lang w:val="en-US"/>
        </w:rPr>
        <w:t>公顷，其他不变</w:t>
      </w:r>
      <w:r>
        <w:rPr>
          <w:rFonts w:hint="eastAsia"/>
          <w:sz w:val="28"/>
          <w:szCs w:val="28"/>
          <w:lang w:val="en-US"/>
        </w:rPr>
        <w:t>。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2024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11</w:t>
      </w:r>
      <w:r>
        <w:rPr>
          <w:rFonts w:hint="eastAsia"/>
          <w:sz w:val="28"/>
          <w:szCs w:val="28"/>
          <w:lang w:val="en-US"/>
        </w:rPr>
        <w:t>月</w:t>
      </w:r>
      <w:r>
        <w:rPr>
          <w:rFonts w:hint="eastAsia"/>
          <w:sz w:val="28"/>
          <w:szCs w:val="28"/>
          <w:lang w:val="en-US"/>
        </w:rPr>
        <w:t>14</w:t>
      </w:r>
      <w:r>
        <w:rPr>
          <w:rFonts w:hint="eastAsia"/>
          <w:sz w:val="28"/>
          <w:szCs w:val="28"/>
          <w:lang w:val="en-US"/>
        </w:rPr>
        <w:t>日，武汉市生态环境局武昌区分局会同武汉市</w:t>
      </w:r>
      <w:r>
        <w:rPr>
          <w:rFonts w:hint="eastAsia"/>
          <w:sz w:val="28"/>
          <w:szCs w:val="28"/>
          <w:lang w:val="en-US"/>
        </w:rPr>
        <w:t>武昌区</w:t>
      </w:r>
      <w:r>
        <w:rPr>
          <w:rFonts w:hint="eastAsia"/>
          <w:sz w:val="28"/>
          <w:szCs w:val="28"/>
          <w:lang w:val="en-US"/>
        </w:rPr>
        <w:t>自然资源和</w:t>
      </w:r>
      <w:r>
        <w:rPr>
          <w:rFonts w:hint="eastAsia"/>
          <w:sz w:val="28"/>
          <w:szCs w:val="28"/>
          <w:lang w:val="en-US"/>
        </w:rPr>
        <w:t>城乡建设</w:t>
      </w:r>
      <w:r>
        <w:rPr>
          <w:rFonts w:hint="eastAsia"/>
          <w:sz w:val="28"/>
          <w:szCs w:val="28"/>
          <w:lang w:val="en-US"/>
        </w:rPr>
        <w:t>局在武昌区组织召开了</w:t>
      </w:r>
      <w:r>
        <w:rPr>
          <w:rFonts w:hint="eastAsia"/>
          <w:sz w:val="28"/>
          <w:szCs w:val="28"/>
        </w:rPr>
        <w:t>《调查</w:t>
      </w:r>
      <w:r>
        <w:rPr>
          <w:rFonts w:hint="eastAsia"/>
          <w:sz w:val="28"/>
          <w:szCs w:val="28"/>
          <w:lang w:val="en-US"/>
        </w:rPr>
        <w:t>报告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/>
        </w:rPr>
        <w:t>评审会，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val="en-US"/>
        </w:rPr>
        <w:t>形成了</w:t>
      </w:r>
      <w:r>
        <w:rPr>
          <w:rFonts w:hint="eastAsia"/>
          <w:sz w:val="28"/>
          <w:szCs w:val="28"/>
        </w:rPr>
        <w:t>专家评审意见。会后</w:t>
      </w:r>
      <w:r>
        <w:rPr>
          <w:rFonts w:hint="eastAsia"/>
          <w:sz w:val="28"/>
          <w:szCs w:val="28"/>
          <w:lang w:val="en-US"/>
        </w:rPr>
        <w:t>武汉环景检测服务有限公司</w:t>
      </w:r>
      <w:r>
        <w:rPr>
          <w:rFonts w:hint="eastAsia"/>
          <w:sz w:val="28"/>
          <w:szCs w:val="28"/>
        </w:rPr>
        <w:t>根据专家评审意见进行了修改和完善。现对地块基本信息及调查情况进行公示。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二、场地污染识别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傅家坡片地块原为傅家坡汽车客运站，隶属于湖北公路客运集团股份有限公司，始建于</w:t>
      </w:r>
      <w:r>
        <w:rPr>
          <w:rFonts w:hint="eastAsia"/>
          <w:sz w:val="28"/>
          <w:szCs w:val="28"/>
          <w:lang w:val="en-US"/>
        </w:rPr>
        <w:t>1984</w:t>
      </w:r>
      <w:r>
        <w:rPr>
          <w:rFonts w:hint="eastAsia"/>
          <w:sz w:val="28"/>
          <w:szCs w:val="28"/>
          <w:lang w:val="en-US"/>
        </w:rPr>
        <w:t>年，场地内原有建（构）筑物包括候车大厅、办公楼、商业用房、停车场、加油站及汽车修理车间等，历史运营活动主要包括汽车客运、加油站及汽车修理。</w:t>
      </w:r>
      <w:r>
        <w:rPr>
          <w:rFonts w:hint="eastAsia"/>
          <w:sz w:val="28"/>
          <w:szCs w:val="28"/>
          <w:lang w:val="en-US"/>
        </w:rPr>
        <w:t>2024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  <w:lang w:val="en-US"/>
        </w:rPr>
        <w:t>月，傅家坡</w:t>
      </w:r>
      <w:r>
        <w:rPr>
          <w:rFonts w:hint="eastAsia"/>
          <w:sz w:val="28"/>
          <w:szCs w:val="28"/>
          <w:lang w:val="en-US"/>
        </w:rPr>
        <w:t>汽车客运站关停，湖北公路客运集团股份有限公司对场地内原有建（构）筑物进行逐步拆除，待后期开发使用。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lastRenderedPageBreak/>
        <w:t>根据资料收集及人员访谈情况得知，</w:t>
      </w:r>
      <w:r>
        <w:rPr>
          <w:rFonts w:hint="eastAsia"/>
          <w:sz w:val="28"/>
          <w:szCs w:val="28"/>
          <w:lang w:val="en-US"/>
        </w:rPr>
        <w:t>地块</w:t>
      </w:r>
      <w:r>
        <w:rPr>
          <w:rFonts w:hint="eastAsia"/>
          <w:sz w:val="28"/>
          <w:szCs w:val="28"/>
        </w:rPr>
        <w:t>未发生</w:t>
      </w:r>
      <w:r>
        <w:rPr>
          <w:rFonts w:hint="eastAsia"/>
          <w:sz w:val="28"/>
          <w:szCs w:val="28"/>
          <w:lang w:val="en-US"/>
        </w:rPr>
        <w:t>过</w:t>
      </w:r>
      <w:r>
        <w:rPr>
          <w:rFonts w:hint="eastAsia"/>
          <w:sz w:val="28"/>
          <w:szCs w:val="28"/>
        </w:rPr>
        <w:t>化学品泄漏或其他环境污染事故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未曾闻到过由土壤散发的异常气味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该地块周边</w:t>
      </w:r>
      <w:r>
        <w:rPr>
          <w:rFonts w:hint="eastAsia"/>
          <w:sz w:val="28"/>
          <w:szCs w:val="28"/>
          <w:lang w:val="en-US"/>
        </w:rPr>
        <w:t>无地表水体，</w:t>
      </w:r>
      <w:r>
        <w:rPr>
          <w:rFonts w:hint="eastAsia"/>
          <w:sz w:val="28"/>
          <w:szCs w:val="28"/>
        </w:rPr>
        <w:t>附近</w:t>
      </w:r>
      <w:r>
        <w:rPr>
          <w:rFonts w:hint="eastAsia"/>
          <w:sz w:val="28"/>
          <w:szCs w:val="28"/>
        </w:rPr>
        <w:t>1km</w:t>
      </w:r>
      <w:r>
        <w:rPr>
          <w:rFonts w:hint="eastAsia"/>
          <w:sz w:val="28"/>
          <w:szCs w:val="28"/>
        </w:rPr>
        <w:t>范围内</w:t>
      </w:r>
      <w:r>
        <w:rPr>
          <w:rFonts w:hint="eastAsia"/>
          <w:sz w:val="28"/>
          <w:szCs w:val="28"/>
          <w:lang w:val="en-US"/>
        </w:rPr>
        <w:t>环境敏感目标主要为居民区、医院及学校等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/>
        </w:rPr>
        <w:t>初步调查</w:t>
      </w:r>
      <w:r>
        <w:rPr>
          <w:sz w:val="28"/>
          <w:szCs w:val="28"/>
          <w:lang w:val="en-US"/>
        </w:rPr>
        <w:t>采用专业判断法</w:t>
      </w:r>
      <w:r>
        <w:rPr>
          <w:rFonts w:hint="eastAsia"/>
          <w:sz w:val="28"/>
          <w:szCs w:val="28"/>
          <w:lang w:val="en-US"/>
        </w:rPr>
        <w:t>结合系统布点法</w:t>
      </w:r>
      <w:r>
        <w:rPr>
          <w:sz w:val="28"/>
          <w:szCs w:val="28"/>
          <w:lang w:val="en-US"/>
        </w:rPr>
        <w:t>进行监测点位的布设</w:t>
      </w:r>
      <w:r>
        <w:rPr>
          <w:rFonts w:hint="eastAsia"/>
          <w:sz w:val="28"/>
          <w:szCs w:val="28"/>
          <w:lang w:val="en-US"/>
        </w:rPr>
        <w:t>，共布设</w:t>
      </w:r>
      <w:r>
        <w:rPr>
          <w:rFonts w:hint="eastAsia"/>
          <w:sz w:val="28"/>
          <w:szCs w:val="28"/>
          <w:lang w:val="en-US"/>
        </w:rPr>
        <w:t>24</w:t>
      </w:r>
      <w:r>
        <w:rPr>
          <w:sz w:val="28"/>
          <w:szCs w:val="28"/>
          <w:lang w:val="en-US"/>
        </w:rPr>
        <w:t>个</w:t>
      </w:r>
      <w:r>
        <w:rPr>
          <w:rFonts w:hint="eastAsia"/>
          <w:sz w:val="28"/>
          <w:szCs w:val="28"/>
        </w:rPr>
        <w:t>土壤监测点、</w:t>
      </w:r>
      <w:r>
        <w:rPr>
          <w:rFonts w:hint="eastAsia"/>
          <w:sz w:val="28"/>
          <w:szCs w:val="28"/>
          <w:lang w:val="en-US"/>
        </w:rPr>
        <w:t>4</w:t>
      </w:r>
      <w:r>
        <w:rPr>
          <w:rFonts w:hint="eastAsia"/>
          <w:sz w:val="28"/>
          <w:szCs w:val="28"/>
        </w:rPr>
        <w:t>个地下水监测点。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三、调查结论</w:t>
      </w:r>
    </w:p>
    <w:p w:rsidR="001068EC" w:rsidRDefault="00297652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本次调查采集的</w:t>
      </w:r>
      <w:r>
        <w:rPr>
          <w:sz w:val="28"/>
          <w:szCs w:val="28"/>
          <w:lang w:val="en-US"/>
        </w:rPr>
        <w:t>土壤样品</w:t>
      </w:r>
      <w:r>
        <w:rPr>
          <w:rFonts w:hint="eastAsia"/>
          <w:sz w:val="28"/>
          <w:szCs w:val="28"/>
          <w:lang w:val="en-US"/>
        </w:rPr>
        <w:t>检测值均低于《土壤环境质量建设用地土壤污染风险管控标准（试行）》（</w:t>
      </w:r>
      <w:r>
        <w:rPr>
          <w:rFonts w:hint="eastAsia"/>
          <w:sz w:val="28"/>
          <w:szCs w:val="28"/>
          <w:lang w:val="en-US"/>
        </w:rPr>
        <w:t>GB36600-2018</w:t>
      </w:r>
      <w:r>
        <w:rPr>
          <w:rFonts w:hint="eastAsia"/>
          <w:sz w:val="28"/>
          <w:szCs w:val="28"/>
          <w:lang w:val="en-US"/>
        </w:rPr>
        <w:t>）中第一类用地筛选值要求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地下水检测结果表明，各项指标均未超过《地下水质量标准》（</w:t>
      </w:r>
      <w:r>
        <w:rPr>
          <w:rFonts w:hint="eastAsia"/>
          <w:sz w:val="28"/>
          <w:szCs w:val="28"/>
        </w:rPr>
        <w:t>GB/T14848-2017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/>
        </w:rPr>
        <w:t>Ⅳ</w:t>
      </w:r>
      <w:r>
        <w:rPr>
          <w:rFonts w:hint="eastAsia"/>
          <w:sz w:val="28"/>
          <w:szCs w:val="28"/>
        </w:rPr>
        <w:t>类水标准限值。</w:t>
      </w:r>
      <w:r>
        <w:rPr>
          <w:rFonts w:hint="eastAsia"/>
          <w:sz w:val="28"/>
          <w:szCs w:val="28"/>
          <w:lang w:val="en-US"/>
        </w:rPr>
        <w:t>说明场地中土壤环境质量未受到生产活动影响，可以用于居住用地开发</w:t>
      </w:r>
      <w:r>
        <w:rPr>
          <w:rFonts w:hint="eastAsia"/>
          <w:sz w:val="28"/>
          <w:szCs w:val="28"/>
          <w:lang w:val="en-US"/>
        </w:rPr>
        <w:t>使用</w:t>
      </w:r>
      <w:r>
        <w:rPr>
          <w:rFonts w:hint="eastAsia"/>
          <w:sz w:val="28"/>
          <w:szCs w:val="28"/>
          <w:lang w:val="en-US"/>
        </w:rPr>
        <w:t>。</w:t>
      </w:r>
    </w:p>
    <w:p w:rsidR="001068EC" w:rsidRDefault="001068EC">
      <w:pPr>
        <w:autoSpaceDE/>
        <w:autoSpaceDN/>
        <w:spacing w:line="360" w:lineRule="auto"/>
        <w:ind w:firstLineChars="200" w:firstLine="560"/>
        <w:rPr>
          <w:sz w:val="28"/>
          <w:szCs w:val="28"/>
          <w:lang w:val="en-US"/>
        </w:rPr>
      </w:pPr>
      <w:bookmarkStart w:id="0" w:name="_GoBack"/>
      <w:bookmarkEnd w:id="0"/>
    </w:p>
    <w:sectPr w:rsidR="001068EC" w:rsidSect="001068EC">
      <w:pgSz w:w="11910" w:h="16840"/>
      <w:pgMar w:top="1440" w:right="1800" w:bottom="1440" w:left="1800" w:header="720" w:footer="720" w:gutter="0"/>
      <w:cols w:space="0"/>
      <w:docGrid w:type="lines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652" w:rsidRDefault="00297652">
      <w:r>
        <w:separator/>
      </w:r>
    </w:p>
  </w:endnote>
  <w:endnote w:type="continuationSeparator" w:id="1">
    <w:p w:rsidR="00297652" w:rsidRDefault="00297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652" w:rsidRDefault="00297652">
      <w:r>
        <w:separator/>
      </w:r>
    </w:p>
  </w:footnote>
  <w:footnote w:type="continuationSeparator" w:id="1">
    <w:p w:rsidR="00297652" w:rsidRDefault="00297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pStyle w:val="1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none"/>
      <w:lvlText w:val="%2%1..%3"/>
      <w:lvlJc w:val="left"/>
      <w:pPr>
        <w:tabs>
          <w:tab w:val="left" w:pos="114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31"/>
        </w:tabs>
        <w:ind w:left="1559" w:hanging="708"/>
      </w:pPr>
      <w:rPr>
        <w:rFonts w:hint="eastAsia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14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92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71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37"/>
        </w:tabs>
        <w:ind w:left="4677" w:hanging="1700"/>
      </w:pPr>
      <w:rPr>
        <w:rFonts w:hint="eastAsia"/>
      </w:rPr>
    </w:lvl>
  </w:abstractNum>
  <w:abstractNum w:abstractNumId="1">
    <w:nsid w:val="14BC03B5"/>
    <w:multiLevelType w:val="singleLevel"/>
    <w:tmpl w:val="14BC03B5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20"/>
  <w:drawingGridVerticalSpacing w:val="1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docVars>
    <w:docVar w:name="commondata" w:val="eyJoZGlkIjoiMGEyZTRkYTU2ZDI2MGE0OWViOTVkNDUzMGEyMWQzNWMifQ=="/>
  </w:docVars>
  <w:rsids>
    <w:rsidRoot w:val="001068EC"/>
    <w:rsid w:val="001068EC"/>
    <w:rsid w:val="00297652"/>
    <w:rsid w:val="00320911"/>
    <w:rsid w:val="05AA0563"/>
    <w:rsid w:val="0E6A6ED5"/>
    <w:rsid w:val="1ACB4B33"/>
    <w:rsid w:val="1DAF1057"/>
    <w:rsid w:val="20ED4474"/>
    <w:rsid w:val="219C619B"/>
    <w:rsid w:val="23441130"/>
    <w:rsid w:val="31270566"/>
    <w:rsid w:val="37E34E12"/>
    <w:rsid w:val="384D6A3D"/>
    <w:rsid w:val="399E3FFD"/>
    <w:rsid w:val="462C0AD3"/>
    <w:rsid w:val="51210C91"/>
    <w:rsid w:val="51225686"/>
    <w:rsid w:val="55796209"/>
    <w:rsid w:val="7300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caption" w:semiHidden="1" w:unhideWhenUsed="1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uiPriority w:val="1"/>
    <w:qFormat/>
    <w:rsid w:val="001068EC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068EC"/>
    <w:pPr>
      <w:ind w:left="518" w:right="56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0"/>
    <w:next w:val="35"/>
    <w:uiPriority w:val="99"/>
    <w:qFormat/>
    <w:rsid w:val="001068EC"/>
    <w:rPr>
      <w:rFonts w:hAnsi="Calibri"/>
      <w:color w:val="000000"/>
      <w:sz w:val="24"/>
      <w:szCs w:val="24"/>
      <w:lang w:val="en-US" w:bidi="ar-SA"/>
    </w:rPr>
  </w:style>
  <w:style w:type="paragraph" w:customStyle="1" w:styleId="10">
    <w:name w:val="纯文本1"/>
    <w:basedOn w:val="a"/>
    <w:qFormat/>
    <w:rsid w:val="001068EC"/>
    <w:pPr>
      <w:adjustRightInd w:val="0"/>
      <w:textAlignment w:val="baseline"/>
    </w:pPr>
    <w:rPr>
      <w:rFonts w:hAnsi="Courier New"/>
      <w:szCs w:val="20"/>
    </w:rPr>
  </w:style>
  <w:style w:type="paragraph" w:customStyle="1" w:styleId="35">
    <w:name w:val="样式35"/>
    <w:basedOn w:val="26"/>
    <w:next w:val="font6"/>
    <w:qFormat/>
    <w:rsid w:val="001068EC"/>
    <w:pPr>
      <w:autoSpaceDE/>
      <w:autoSpaceDN/>
      <w:spacing w:before="0" w:after="0" w:line="312" w:lineRule="auto"/>
      <w:ind w:left="0" w:firstLine="567"/>
      <w:jc w:val="both"/>
    </w:pPr>
    <w:rPr>
      <w:rFonts w:eastAsia="宋体"/>
      <w:sz w:val="28"/>
    </w:rPr>
  </w:style>
  <w:style w:type="paragraph" w:customStyle="1" w:styleId="26">
    <w:name w:val="样式26"/>
    <w:basedOn w:val="21"/>
    <w:qFormat/>
    <w:rsid w:val="001068EC"/>
    <w:pPr>
      <w:tabs>
        <w:tab w:val="left" w:pos="567"/>
      </w:tabs>
    </w:pPr>
  </w:style>
  <w:style w:type="paragraph" w:customStyle="1" w:styleId="21">
    <w:name w:val="样式21"/>
    <w:basedOn w:val="5"/>
    <w:qFormat/>
    <w:rsid w:val="001068EC"/>
    <w:pPr>
      <w:tabs>
        <w:tab w:val="left" w:pos="540"/>
        <w:tab w:val="left" w:pos="780"/>
        <w:tab w:val="left" w:pos="1146"/>
        <w:tab w:val="left" w:pos="1889"/>
      </w:tabs>
      <w:spacing w:before="163" w:after="163"/>
    </w:pPr>
  </w:style>
  <w:style w:type="paragraph" w:customStyle="1" w:styleId="5">
    <w:name w:val="样式5"/>
    <w:basedOn w:val="12"/>
    <w:qFormat/>
    <w:rsid w:val="001068EC"/>
    <w:pPr>
      <w:spacing w:line="400" w:lineRule="exact"/>
      <w:ind w:left="482" w:firstLine="0"/>
    </w:pPr>
    <w:rPr>
      <w:rFonts w:eastAsia="仿宋_GB2312"/>
    </w:rPr>
  </w:style>
  <w:style w:type="paragraph" w:customStyle="1" w:styleId="12">
    <w:name w:val="样式12"/>
    <w:basedOn w:val="17"/>
    <w:qFormat/>
    <w:rsid w:val="001068EC"/>
    <w:pPr>
      <w:numPr>
        <w:numId w:val="1"/>
      </w:numPr>
      <w:tabs>
        <w:tab w:val="left" w:pos="900"/>
        <w:tab w:val="left" w:pos="1396"/>
      </w:tabs>
      <w:spacing w:beforeLines="0" w:afterLines="0"/>
      <w:ind w:left="1396" w:hanging="720"/>
    </w:pPr>
    <w:rPr>
      <w:color w:val="0000FF"/>
    </w:rPr>
  </w:style>
  <w:style w:type="paragraph" w:customStyle="1" w:styleId="17">
    <w:name w:val="样式17"/>
    <w:basedOn w:val="a"/>
    <w:qFormat/>
    <w:rsid w:val="001068EC"/>
    <w:pPr>
      <w:keepNext/>
      <w:keepLines/>
      <w:tabs>
        <w:tab w:val="left" w:pos="0"/>
        <w:tab w:val="left" w:pos="360"/>
      </w:tabs>
      <w:spacing w:beforeLines="50" w:afterLines="50"/>
      <w:outlineLvl w:val="0"/>
    </w:pPr>
    <w:rPr>
      <w:rFonts w:eastAsia="黑体"/>
      <w:kern w:val="44"/>
      <w:sz w:val="30"/>
      <w:szCs w:val="44"/>
    </w:rPr>
  </w:style>
  <w:style w:type="paragraph" w:customStyle="1" w:styleId="font6">
    <w:name w:val="font6"/>
    <w:basedOn w:val="a"/>
    <w:next w:val="20"/>
    <w:qFormat/>
    <w:rsid w:val="001068EC"/>
    <w:pPr>
      <w:spacing w:before="100" w:beforeAutospacing="1" w:after="100" w:afterAutospacing="1"/>
      <w:ind w:firstLine="465"/>
    </w:pPr>
    <w:rPr>
      <w:rFonts w:hint="eastAsia"/>
      <w:sz w:val="28"/>
      <w:szCs w:val="20"/>
    </w:rPr>
  </w:style>
  <w:style w:type="paragraph" w:styleId="20">
    <w:name w:val="toc 2"/>
    <w:basedOn w:val="a"/>
    <w:next w:val="a3"/>
    <w:uiPriority w:val="39"/>
    <w:qFormat/>
    <w:rsid w:val="001068EC"/>
    <w:pPr>
      <w:ind w:leftChars="200" w:left="420"/>
    </w:pPr>
    <w:rPr>
      <w:b/>
      <w:sz w:val="24"/>
    </w:rPr>
  </w:style>
  <w:style w:type="paragraph" w:styleId="a3">
    <w:name w:val="E-mail Signature"/>
    <w:basedOn w:val="a"/>
    <w:next w:val="a4"/>
    <w:qFormat/>
    <w:rsid w:val="001068EC"/>
    <w:pPr>
      <w:ind w:firstLine="420"/>
    </w:pPr>
    <w:rPr>
      <w:szCs w:val="24"/>
    </w:rPr>
  </w:style>
  <w:style w:type="paragraph" w:customStyle="1" w:styleId="a4">
    <w:name w:val="文章"/>
    <w:basedOn w:val="a5"/>
    <w:next w:val="a6"/>
    <w:qFormat/>
    <w:rsid w:val="001068EC"/>
    <w:pPr>
      <w:widowControl/>
      <w:autoSpaceDE/>
      <w:autoSpaceDN/>
      <w:ind w:firstLine="480"/>
      <w:jc w:val="center"/>
    </w:pPr>
    <w:rPr>
      <w:rFonts w:ascii="Times New Roman" w:eastAsia="宋体"/>
      <w:sz w:val="26"/>
    </w:rPr>
  </w:style>
  <w:style w:type="paragraph" w:styleId="a5">
    <w:name w:val="Body Text Indent"/>
    <w:basedOn w:val="a"/>
    <w:qFormat/>
    <w:rsid w:val="001068EC"/>
    <w:pPr>
      <w:ind w:firstLine="425"/>
    </w:pPr>
    <w:rPr>
      <w:rFonts w:eastAsia="楷体_GB2312"/>
      <w:szCs w:val="20"/>
    </w:rPr>
  </w:style>
  <w:style w:type="paragraph" w:styleId="a6">
    <w:name w:val="List"/>
    <w:basedOn w:val="a"/>
    <w:next w:val="2"/>
    <w:qFormat/>
    <w:rsid w:val="001068EC"/>
    <w:pPr>
      <w:ind w:left="420" w:hanging="420"/>
    </w:pPr>
    <w:rPr>
      <w:szCs w:val="24"/>
    </w:rPr>
  </w:style>
  <w:style w:type="paragraph" w:styleId="2">
    <w:name w:val="List Bullet 2"/>
    <w:basedOn w:val="a"/>
    <w:next w:val="xl70"/>
    <w:rsid w:val="001068EC"/>
    <w:pPr>
      <w:numPr>
        <w:numId w:val="2"/>
      </w:numPr>
    </w:pPr>
  </w:style>
  <w:style w:type="paragraph" w:customStyle="1" w:styleId="xl70">
    <w:name w:val="xl70"/>
    <w:basedOn w:val="a"/>
    <w:next w:val="11"/>
    <w:qFormat/>
    <w:rsid w:val="00106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11">
    <w:name w:val="正文缩进1"/>
    <w:basedOn w:val="a"/>
    <w:next w:val="td1"/>
    <w:qFormat/>
    <w:rsid w:val="001068EC"/>
    <w:pPr>
      <w:autoSpaceDE/>
      <w:autoSpaceDN/>
      <w:spacing w:line="360" w:lineRule="auto"/>
      <w:ind w:firstLine="420"/>
      <w:jc w:val="both"/>
    </w:pPr>
    <w:rPr>
      <w:sz w:val="28"/>
    </w:rPr>
  </w:style>
  <w:style w:type="paragraph" w:customStyle="1" w:styleId="td1">
    <w:name w:val="td1"/>
    <w:basedOn w:val="a"/>
    <w:next w:val="a"/>
    <w:qFormat/>
    <w:rsid w:val="001068EC"/>
    <w:pPr>
      <w:widowControl/>
      <w:autoSpaceDE/>
      <w:autoSpaceDN/>
      <w:spacing w:before="280" w:after="280" w:line="300" w:lineRule="atLeast"/>
      <w:ind w:firstLine="200"/>
    </w:pPr>
    <w:rPr>
      <w:rFonts w:ascii="Times New Roman"/>
      <w:color w:val="000000"/>
      <w:sz w:val="18"/>
    </w:rPr>
  </w:style>
  <w:style w:type="paragraph" w:styleId="3">
    <w:name w:val="List 3"/>
    <w:basedOn w:val="a"/>
    <w:qFormat/>
    <w:rsid w:val="001068EC"/>
    <w:pPr>
      <w:ind w:leftChars="400" w:left="100" w:hangingChars="200" w:hanging="200"/>
    </w:pPr>
  </w:style>
  <w:style w:type="paragraph" w:styleId="a7">
    <w:name w:val="Body Text"/>
    <w:basedOn w:val="a"/>
    <w:uiPriority w:val="1"/>
    <w:qFormat/>
    <w:rsid w:val="001068EC"/>
    <w:pPr>
      <w:ind w:left="761"/>
    </w:pPr>
    <w:rPr>
      <w:sz w:val="32"/>
      <w:szCs w:val="32"/>
    </w:rPr>
  </w:style>
  <w:style w:type="paragraph" w:styleId="a8">
    <w:name w:val="Plain Text"/>
    <w:basedOn w:val="a"/>
    <w:qFormat/>
    <w:rsid w:val="001068EC"/>
    <w:rPr>
      <w:rFonts w:hAnsi="Courier New"/>
      <w:sz w:val="28"/>
    </w:rPr>
  </w:style>
  <w:style w:type="paragraph" w:customStyle="1" w:styleId="a9">
    <w:name w:val="段"/>
    <w:basedOn w:val="a"/>
    <w:next w:val="a"/>
    <w:qFormat/>
    <w:rsid w:val="001068EC"/>
    <w:pPr>
      <w:widowControl/>
      <w:ind w:firstLineChars="200" w:firstLine="420"/>
    </w:pPr>
    <w:rPr>
      <w:rFonts w:hint="eastAsia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068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1068EC"/>
  </w:style>
  <w:style w:type="paragraph" w:customStyle="1" w:styleId="TableParagraph">
    <w:name w:val="Table Paragraph"/>
    <w:basedOn w:val="a"/>
    <w:uiPriority w:val="1"/>
    <w:qFormat/>
    <w:rsid w:val="001068EC"/>
  </w:style>
  <w:style w:type="paragraph" w:styleId="ab">
    <w:name w:val="header"/>
    <w:basedOn w:val="a"/>
    <w:link w:val="Char"/>
    <w:rsid w:val="00320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320911"/>
    <w:rPr>
      <w:rFonts w:ascii="宋体" w:hAnsi="宋体" w:cs="宋体"/>
      <w:sz w:val="18"/>
      <w:szCs w:val="18"/>
      <w:lang w:val="zh-CN" w:bidi="zh-CN"/>
    </w:rPr>
  </w:style>
  <w:style w:type="paragraph" w:styleId="ac">
    <w:name w:val="footer"/>
    <w:basedOn w:val="a"/>
    <w:link w:val="Char0"/>
    <w:rsid w:val="003209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320911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吴春梅</dc:creator>
  <cp:lastModifiedBy>spirit</cp:lastModifiedBy>
  <cp:revision>2</cp:revision>
  <dcterms:created xsi:type="dcterms:W3CDTF">2024-11-20T01:53:00Z</dcterms:created>
  <dcterms:modified xsi:type="dcterms:W3CDTF">2024-11-20T01:53:00Z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41BB08B3B571435B9F99DEF1BB9AC206</vt:lpwstr>
  </property>
</Properties>
</file>