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在道路或公共场所抛撒焚烧纸课冥票等丧葬用品</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第二十七条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对违反《武汉市市容环境卫生管理条例》第二十七条的行政处罚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《武汉市市容环境卫生管理条例》第二十七条第一款第三项</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禁止下列影响环境卫生的行为：（三）在道路或公共场所抛撒、焚烧纸课、冥票等丧葬用品；</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责令改正，并可以处50元罚款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《武汉市市容环境卫生管理条例》第二十七条第一款第三项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D0866"/>
    <w:rsid w:val="18E229FC"/>
    <w:rsid w:val="61CD0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2021-07-09T03:01:00Z</dcterms:created>
  <dc:creator>夏夏</dc:creator>
  <cp:lastModifiedBy>bao</cp:lastModifiedBy>
  <dcterms:modified xsi:type="dcterms:W3CDTF">2021-07-12T01:46:48Z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0BE6A368815C4FE99D6A4F0063E11720</vt:lpwstr>
  </property>
  <property fmtid="{D5CDD505-2E9C-101B-9397-08002B2CF9AE}" pid="4" name="KSOSaveFontToCloudKey">
    <vt:lpwstr>818107661_cloud</vt:lpwstr>
  </property>
</Properties>
</file>