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44"/>
          <w:szCs w:val="44"/>
        </w:rPr>
      </w:pPr>
      <w:r>
        <w:rPr>
          <w:rFonts w:hint="eastAsia" w:ascii="宋体" w:hAnsi="宋体" w:eastAsia="宋体"/>
          <w:b/>
          <w:color w:val="000000"/>
          <w:sz w:val="44"/>
          <w:szCs w:val="44"/>
        </w:rPr>
        <w:t xml:space="preserve">武昌区中南路街2019年度项目绩效自评报告 </w:t>
      </w:r>
    </w:p>
    <w:p>
      <w:pPr>
        <w:jc w:val="center"/>
        <w:rPr>
          <w:rFonts w:ascii="宋体" w:hAnsi="宋体" w:eastAsia="宋体"/>
          <w:b/>
          <w:color w:val="000000"/>
          <w:sz w:val="44"/>
          <w:szCs w:val="44"/>
        </w:rPr>
      </w:pPr>
      <w:r>
        <w:rPr>
          <w:rFonts w:hint="eastAsia" w:ascii="宋体" w:hAnsi="宋体" w:eastAsia="宋体"/>
          <w:b/>
          <w:color w:val="000000"/>
          <w:sz w:val="44"/>
          <w:szCs w:val="44"/>
        </w:rPr>
        <w:t>目录</w:t>
      </w:r>
    </w:p>
    <w:p>
      <w:pPr>
        <w:rPr>
          <w:rFonts w:cs="Times New Roman" w:asciiTheme="minorEastAsia" w:hAnsiTheme="minorEastAsia" w:eastAsiaTheme="minorEastAsia"/>
          <w:kern w:val="2"/>
          <w:sz w:val="24"/>
          <w:szCs w:val="24"/>
        </w:rPr>
      </w:pPr>
      <w:r>
        <w:rPr>
          <w:rFonts w:hint="eastAsia" w:asciiTheme="minorEastAsia" w:hAnsiTheme="minorEastAsia" w:eastAsiaTheme="minorEastAsia"/>
          <w:sz w:val="24"/>
          <w:szCs w:val="24"/>
        </w:rPr>
        <w:t>一、武昌区中南路街2019年度代表活动费绩效自评报告……………………………3</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二、武昌区中南路街2019年度扫黑除恶工作经费绩效自评报告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…6</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三、武昌区中南路街2019年度综合治理及维稳工作经费绩效自评报告……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…9</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四、武昌区中南路街2019年度红色引擎工作经费绩效自评报告…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12</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五、武昌区中南路街2019年度网格管理工作经费绩效自评报告…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…15</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六、武昌区中南路街2019年度地方志编撰经费绩效自评报告……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……18</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七、武昌区中南路街2019年度协税工作项目工作经费绩效自评报告……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…21</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八、武昌区中南路街2019年度党群工作经费（综合经费）绩效自评报告………24</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九、武昌区中南路街2019年度文明创建工作经费绩效自评报告…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…27</w:t>
      </w:r>
    </w:p>
    <w:p>
      <w:pPr>
        <w:ind w:left="480" w:hanging="480" w:hangingChars="2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十、武昌区中南路街2019年度行政事务和网格指挥中心工作经费绩效自评报</w:t>
      </w:r>
    </w:p>
    <w:p>
      <w:pPr>
        <w:ind w:firstLine="480" w:firstLineChars="2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……30</w:t>
      </w:r>
    </w:p>
    <w:p>
      <w:pPr>
        <w:ind w:left="840" w:hanging="840" w:hangingChars="35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十一、武昌区中南路街2019年度党群工作经费（社区基层党组织活动）绩效自评报告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……33</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十二、武昌区中南路街2019年度综合经济工作经费绩效自评报告………………36</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十三、武昌区中南路街2019年度安全生产工作经费绩效自评报告………………39</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十四、武昌区中南路街2019年度街道综合工作经费绩效自评报告………………42</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十五、武昌区中南路街2019年度经济普查经费绩效自评报告……………………45</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十六、武昌区中南路街2019年度“四上”企业奖励经费绩效自评报告…………48</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十七、武昌区中南路街2019年度社区统计信息经费绩效自评报告………………51</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十八、武昌区中南路街2019年度追加区统计局工作经费绩效自评报告…………54</w:t>
      </w:r>
    </w:p>
    <w:p>
      <w:pP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十九、武昌区中南路街2019年度回民补贴工作</w:t>
      </w:r>
      <w:r>
        <w:rPr>
          <w:rFonts w:hint="eastAsia" w:asciiTheme="minorEastAsia" w:hAnsiTheme="minorEastAsia" w:eastAsiaTheme="minorEastAsia"/>
          <w:sz w:val="24"/>
          <w:szCs w:val="24"/>
        </w:rPr>
        <w:t>经费绩效自评报告…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…57</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二十、武昌区中南路街2019年度社区工会经费绩效自评报告……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……60</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二十一、武昌区中南路街2019年度基层兼职统战委员工作补贴绩效自评报告…63</w:t>
      </w:r>
    </w:p>
    <w:p>
      <w:pPr>
        <w:ind w:left="840" w:hanging="840" w:hangingChars="350"/>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二十二、</w:t>
      </w:r>
      <w:r>
        <w:rPr>
          <w:rFonts w:hint="eastAsia" w:asciiTheme="minorEastAsia" w:hAnsiTheme="minorEastAsia" w:eastAsiaTheme="minorEastAsia"/>
          <w:sz w:val="24"/>
          <w:szCs w:val="24"/>
        </w:rPr>
        <w:t>武昌区中南路街2019年度社区治安综合治理激励性转移支付资金工作绩效自评报告…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………………66</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二十三、武昌区中南路街2019年度重大节日慰问经费绩效自评报告……………69</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二十四、武昌区中南路街2019年度科普活动经费绩效自评报告…………………72</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二十五、武昌区中南路街2019年度社会事务管理工作经费绩效自评报告………75</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二十六、武昌区中南路街2019年社区工作者体检工作经费绩效自评报告………78</w:t>
      </w:r>
    </w:p>
    <w:p>
      <w:pP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二十七、</w:t>
      </w:r>
      <w:r>
        <w:rPr>
          <w:rFonts w:hint="eastAsia" w:asciiTheme="minorEastAsia" w:hAnsiTheme="minorEastAsia" w:eastAsiaTheme="minorEastAsia"/>
          <w:sz w:val="24"/>
          <w:szCs w:val="24"/>
        </w:rPr>
        <w:t>武昌区中南路街2019年度社区惠民资金工作经费绩效自评报告………81</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二十八、武昌区中南路街2019年度社区工作经费绩效自评报告…………………87</w:t>
      </w:r>
    </w:p>
    <w:p>
      <w:pPr>
        <w:ind w:left="720" w:hanging="720" w:hangingChars="300"/>
        <w:rPr>
          <w:rFonts w:asciiTheme="minorEastAsia" w:hAnsiTheme="minorEastAsia" w:eastAsiaTheme="minorEastAsia"/>
          <w:sz w:val="24"/>
          <w:szCs w:val="24"/>
        </w:rPr>
      </w:pPr>
      <w:r>
        <w:rPr>
          <w:rFonts w:hint="eastAsia" w:asciiTheme="minorEastAsia" w:hAnsiTheme="minorEastAsia" w:eastAsiaTheme="minorEastAsia"/>
          <w:sz w:val="24"/>
          <w:szCs w:val="24"/>
        </w:rPr>
        <w:t>二十九、武昌区中南路街2019年度晒湖社区党员服务中心用房工作经费绩效自评报告…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………………90</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三十、武昌区中南路街2019年度社区纳凉取暖经费绩效自评报告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………93</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三十一、武昌区中南路街2019年度医疗卫生管理综合工作经费绩效自评报告…96</w:t>
      </w:r>
    </w:p>
    <w:p>
      <w:pP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三十二、</w:t>
      </w:r>
      <w:r>
        <w:rPr>
          <w:rFonts w:hint="eastAsia" w:asciiTheme="minorEastAsia" w:hAnsiTheme="minorEastAsia" w:eastAsiaTheme="minorEastAsia"/>
          <w:sz w:val="24"/>
          <w:szCs w:val="24"/>
        </w:rPr>
        <w:t>武昌区中南路街2019年度计划生育服务经费绩效自评报告……………99</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三十三、武昌区中南路街2019年度城市综合管理工作经费绩效自评报告………102</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三十四、武昌区中南路街2019年度环境卫生工作经费绩效自评报告……………105</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三十五、武昌区中南路街2019年度中心城区房管专岗工作经费绩效自评报告…108</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三十六、武昌区中南路街2019年度消防业务经费绩效自评报告…………………111</w:t>
      </w:r>
    </w:p>
    <w:p>
      <w:pPr>
        <w:rPr>
          <w:rFonts w:asciiTheme="minorEastAsia" w:hAnsiTheme="minorEastAsia" w:eastAsiaTheme="minorEastAsia"/>
          <w:sz w:val="24"/>
          <w:szCs w:val="2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rPr>
          <w:rFonts w:ascii="宋体" w:hAnsi="宋体" w:eastAsia="宋体"/>
          <w:b/>
          <w:color w:val="000000"/>
          <w:sz w:val="44"/>
          <w:szCs w:val="44"/>
        </w:rPr>
      </w:pPr>
    </w:p>
    <w:p>
      <w:pP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武昌区中南路街2019年度代表活动费绩效自评报告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代表活动费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21.77</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“代表活动费”绩效评价采用比较法、公众评判法、统计计算法、实地考察等方法进行评价分析，调阅相关凭证、单据进行分析研究。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bookmarkStart w:id="0" w:name="_Toc361304672"/>
      <w:bookmarkStart w:id="1" w:name="_Toc387957799"/>
      <w:bookmarkStart w:id="2" w:name="_Toc387957800"/>
      <w:bookmarkStart w:id="3" w:name="_Toc361304673"/>
      <w:r>
        <w:rPr>
          <w:rFonts w:hint="eastAsia" w:cs="Arial Narrow" w:asciiTheme="minorEastAsia" w:hAnsiTheme="minorEastAsia" w:eastAsiaTheme="minorEastAsia"/>
          <w:b/>
          <w:bCs/>
          <w:sz w:val="28"/>
          <w:szCs w:val="28"/>
        </w:rPr>
        <w:t xml:space="preserve">    </w:t>
      </w:r>
      <w:bookmarkStart w:id="4" w:name="_Toc23887"/>
      <w:r>
        <w:rPr>
          <w:rFonts w:hint="eastAsia" w:cs="Arial Narrow" w:asciiTheme="minorEastAsia" w:hAnsiTheme="minorEastAsia" w:eastAsiaTheme="minorEastAsia"/>
          <w:b/>
          <w:bCs/>
          <w:sz w:val="28"/>
          <w:szCs w:val="28"/>
        </w:rPr>
        <w:t>五、项目基本情况</w:t>
      </w:r>
      <w:bookmarkEnd w:id="4"/>
    </w:p>
    <w:bookmarkEnd w:id="0"/>
    <w:bookmarkEnd w:id="1"/>
    <w:p>
      <w:pPr>
        <w:spacing w:line="220" w:lineRule="atLeast"/>
        <w:ind w:firstLine="560"/>
        <w:rPr>
          <w:rFonts w:ascii="宋体" w:hAnsi="宋体" w:eastAsia="宋体"/>
          <w:sz w:val="28"/>
          <w:szCs w:val="28"/>
        </w:rPr>
      </w:pPr>
      <w:r>
        <w:rPr>
          <w:rFonts w:hint="eastAsia" w:ascii="宋体" w:hAnsi="宋体" w:eastAsia="宋体"/>
          <w:sz w:val="28"/>
          <w:szCs w:val="28"/>
        </w:rPr>
        <w:t>项目全年预算数为21.77万元，执行数为21.77万元，完成预算的100 %。</w:t>
      </w:r>
      <w:bookmarkEnd w:id="2"/>
      <w:bookmarkEnd w:id="3"/>
      <w:r>
        <w:rPr>
          <w:rFonts w:hint="eastAsia" w:ascii="宋体" w:hAnsi="宋体" w:eastAsia="宋体"/>
          <w:sz w:val="28"/>
          <w:szCs w:val="28"/>
          <w:shd w:val="clear" w:color="auto" w:fill="FFFFFF"/>
        </w:rPr>
        <w:t>人大代表活</w:t>
      </w:r>
      <w:r>
        <w:rPr>
          <w:rFonts w:hint="eastAsia" w:ascii="宋体" w:hAnsi="宋体" w:eastAsia="宋体" w:cs="宋体"/>
          <w:sz w:val="28"/>
          <w:szCs w:val="28"/>
          <w:shd w:val="clear" w:color="auto" w:fill="FFFFFF"/>
        </w:rPr>
        <w:t>动费</w:t>
      </w:r>
      <w:r>
        <w:rPr>
          <w:rFonts w:hint="eastAsia" w:ascii="宋体" w:hAnsi="宋体" w:eastAsia="宋体" w:cs="MS Gothic"/>
          <w:sz w:val="28"/>
          <w:szCs w:val="28"/>
          <w:shd w:val="clear" w:color="auto" w:fill="FFFFFF"/>
        </w:rPr>
        <w:t>主要用于辖区人大代表开展</w:t>
      </w:r>
      <w:r>
        <w:rPr>
          <w:rFonts w:hint="eastAsia" w:ascii="宋体" w:hAnsi="宋体" w:eastAsia="宋体" w:cs="宋体"/>
          <w:sz w:val="28"/>
          <w:szCs w:val="28"/>
          <w:shd w:val="clear" w:color="auto" w:fill="FFFFFF"/>
        </w:rPr>
        <w:t>专题调</w:t>
      </w:r>
      <w:r>
        <w:rPr>
          <w:rFonts w:hint="eastAsia" w:ascii="宋体" w:hAnsi="宋体" w:eastAsia="宋体" w:cs="MS Gothic"/>
          <w:sz w:val="28"/>
          <w:szCs w:val="28"/>
          <w:shd w:val="clear" w:color="auto" w:fill="FFFFFF"/>
        </w:rPr>
        <w:t>研、研</w:t>
      </w:r>
      <w:r>
        <w:rPr>
          <w:rFonts w:hint="eastAsia" w:ascii="宋体" w:hAnsi="宋体" w:eastAsia="宋体" w:cs="宋体"/>
          <w:sz w:val="28"/>
          <w:szCs w:val="28"/>
          <w:shd w:val="clear" w:color="auto" w:fill="FFFFFF"/>
        </w:rPr>
        <w:t>讨</w:t>
      </w:r>
      <w:r>
        <w:rPr>
          <w:rFonts w:hint="eastAsia" w:ascii="宋体" w:hAnsi="宋体" w:eastAsia="宋体" w:cs="MS Gothic"/>
          <w:sz w:val="28"/>
          <w:szCs w:val="28"/>
          <w:shd w:val="clear" w:color="auto" w:fill="FFFFFF"/>
        </w:rPr>
        <w:t>活</w:t>
      </w:r>
      <w:r>
        <w:rPr>
          <w:rFonts w:hint="eastAsia" w:ascii="宋体" w:hAnsi="宋体" w:eastAsia="宋体" w:cs="宋体"/>
          <w:sz w:val="28"/>
          <w:szCs w:val="28"/>
          <w:shd w:val="clear" w:color="auto" w:fill="FFFFFF"/>
        </w:rPr>
        <w:t>动</w:t>
      </w:r>
      <w:r>
        <w:rPr>
          <w:rFonts w:hint="eastAsia" w:ascii="宋体" w:hAnsi="宋体" w:eastAsia="宋体" w:cs="MS Gothic"/>
          <w:sz w:val="28"/>
          <w:szCs w:val="28"/>
          <w:shd w:val="clear" w:color="auto" w:fill="FFFFFF"/>
        </w:rPr>
        <w:t>和其他</w:t>
      </w:r>
      <w:r>
        <w:rPr>
          <w:rFonts w:hint="eastAsia" w:ascii="宋体" w:hAnsi="宋体" w:eastAsia="宋体" w:cs="宋体"/>
          <w:sz w:val="28"/>
          <w:szCs w:val="28"/>
          <w:shd w:val="clear" w:color="auto" w:fill="FFFFFF"/>
        </w:rPr>
        <w:t>专题</w:t>
      </w:r>
      <w:r>
        <w:rPr>
          <w:rFonts w:hint="eastAsia" w:ascii="宋体" w:hAnsi="宋体" w:eastAsia="宋体" w:cs="MS Gothic"/>
          <w:sz w:val="28"/>
          <w:szCs w:val="28"/>
          <w:shd w:val="clear" w:color="auto" w:fill="FFFFFF"/>
        </w:rPr>
        <w:t>活</w:t>
      </w:r>
      <w:r>
        <w:rPr>
          <w:rFonts w:hint="eastAsia" w:ascii="宋体" w:hAnsi="宋体" w:eastAsia="宋体" w:cs="宋体"/>
          <w:sz w:val="28"/>
          <w:szCs w:val="28"/>
          <w:shd w:val="clear" w:color="auto" w:fill="FFFFFF"/>
        </w:rPr>
        <w:t>动</w:t>
      </w:r>
      <w:r>
        <w:rPr>
          <w:rFonts w:hint="eastAsia" w:ascii="宋体" w:hAnsi="宋体" w:eastAsia="宋体" w:cs="MS Gothic"/>
          <w:sz w:val="28"/>
          <w:szCs w:val="28"/>
          <w:shd w:val="clear" w:color="auto" w:fill="FFFFFF"/>
        </w:rPr>
        <w:t>开展的</w:t>
      </w:r>
      <w:r>
        <w:rPr>
          <w:rFonts w:hint="eastAsia" w:ascii="宋体" w:hAnsi="宋体" w:eastAsia="宋体" w:cs="宋体"/>
          <w:sz w:val="28"/>
          <w:szCs w:val="28"/>
          <w:shd w:val="clear" w:color="auto" w:fill="FFFFFF"/>
        </w:rPr>
        <w:t>经费</w:t>
      </w:r>
      <w:r>
        <w:rPr>
          <w:rFonts w:hint="eastAsia" w:ascii="宋体" w:hAnsi="宋体" w:eastAsia="宋体" w:cs="MS Gothic"/>
          <w:sz w:val="28"/>
          <w:szCs w:val="28"/>
          <w:shd w:val="clear" w:color="auto" w:fill="FFFFFF"/>
        </w:rPr>
        <w:t>支</w:t>
      </w:r>
      <w:r>
        <w:rPr>
          <w:rFonts w:hint="eastAsia" w:ascii="宋体" w:hAnsi="宋体" w:eastAsia="宋体"/>
          <w:sz w:val="28"/>
          <w:szCs w:val="28"/>
          <w:shd w:val="clear" w:color="auto" w:fill="FFFFFF"/>
        </w:rPr>
        <w:t>出。</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bookmarkStart w:id="5" w:name="_Toc387957801"/>
      <w:bookmarkStart w:id="6" w:name="_Toc406668025"/>
      <w:bookmarkStart w:id="7" w:name="_Toc406666352"/>
      <w:bookmarkStart w:id="8" w:name="_Toc361304674"/>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（二）本次评价从2020年10月12日——2020年10月26日，历时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bookmarkEnd w:id="5"/>
    <w:bookmarkEnd w:id="6"/>
    <w:bookmarkEnd w:id="7"/>
    <w:bookmarkEnd w:id="8"/>
    <w:p>
      <w:pPr>
        <w:ind w:firstLine="562"/>
        <w:rPr>
          <w:rFonts w:cs="Arial Narrow" w:asciiTheme="minorEastAsia" w:hAnsiTheme="minorEastAsia" w:eastAsiaTheme="minorEastAsia"/>
          <w:b/>
          <w:sz w:val="28"/>
          <w:szCs w:val="28"/>
        </w:rPr>
      </w:pPr>
      <w:bookmarkStart w:id="9" w:name="_Toc387957809"/>
      <w:bookmarkStart w:id="10" w:name="_Toc406668033"/>
      <w:bookmarkStart w:id="11" w:name="_Toc361302025"/>
      <w:bookmarkStart w:id="12" w:name="_Toc361304684"/>
      <w:bookmarkStart w:id="13" w:name="_Toc406666359"/>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bookmarkEnd w:id="9"/>
    <w:bookmarkEnd w:id="10"/>
    <w:bookmarkEnd w:id="11"/>
    <w:bookmarkEnd w:id="12"/>
    <w:bookmarkEnd w:id="13"/>
    <w:p>
      <w:pPr>
        <w:ind w:firstLine="562"/>
        <w:outlineLvl w:val="0"/>
        <w:rPr>
          <w:rFonts w:cs="Arial Narrow" w:asciiTheme="minorEastAsia" w:hAnsiTheme="minorEastAsia" w:eastAsiaTheme="minorEastAsia"/>
          <w:b/>
          <w:sz w:val="28"/>
          <w:szCs w:val="28"/>
        </w:rPr>
      </w:pPr>
      <w:bookmarkStart w:id="14" w:name="_Toc18443"/>
      <w:bookmarkStart w:id="15" w:name="_Toc406668044"/>
      <w:bookmarkStart w:id="16" w:name="_Toc406666370"/>
      <w:bookmarkStart w:id="17" w:name="_Toc361304693"/>
      <w:bookmarkStart w:id="18" w:name="_Toc387957819"/>
      <w:bookmarkStart w:id="19" w:name="_Toc27566"/>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bookmarkEnd w:id="14"/>
      <w:bookmarkEnd w:id="15"/>
      <w:bookmarkEnd w:id="16"/>
      <w:bookmarkEnd w:id="17"/>
      <w:bookmarkEnd w:id="18"/>
      <w:bookmarkEnd w:id="19"/>
    </w:p>
    <w:p>
      <w:pPr>
        <w:ind w:firstLine="562"/>
        <w:outlineLvl w:val="1"/>
        <w:rPr>
          <w:rFonts w:cs="Arial Narrow" w:asciiTheme="minorEastAsia" w:hAnsiTheme="minorEastAsia" w:eastAsiaTheme="minorEastAsia"/>
          <w:b/>
          <w:sz w:val="28"/>
          <w:szCs w:val="28"/>
        </w:rPr>
      </w:pPr>
      <w:bookmarkStart w:id="20" w:name="_Toc2992"/>
      <w:bookmarkStart w:id="21" w:name="_Toc3045"/>
      <w:bookmarkStart w:id="22" w:name="_Toc361304697"/>
      <w:bookmarkStart w:id="23" w:name="_Toc406666373"/>
      <w:bookmarkStart w:id="24" w:name="_Toc387957822"/>
      <w:bookmarkStart w:id="25" w:name="_Toc406668047"/>
      <w:bookmarkStart w:id="26" w:name="_Toc361302034"/>
      <w:r>
        <w:rPr>
          <w:rFonts w:cs="Arial Narrow" w:asciiTheme="minorEastAsia" w:hAnsiTheme="minorEastAsia" w:eastAsiaTheme="minorEastAsia"/>
          <w:b/>
          <w:sz w:val="28"/>
          <w:szCs w:val="28"/>
        </w:rPr>
        <w:t>（一）项目</w:t>
      </w:r>
      <w:bookmarkStart w:id="27" w:name="_Toc394181010"/>
      <w:r>
        <w:rPr>
          <w:rFonts w:cs="Arial Narrow" w:asciiTheme="minorEastAsia" w:hAnsiTheme="minorEastAsia" w:eastAsiaTheme="minorEastAsia"/>
          <w:b/>
          <w:sz w:val="28"/>
          <w:szCs w:val="28"/>
        </w:rPr>
        <w:t>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bookmarkEnd w:id="20"/>
      <w:bookmarkEnd w:id="21"/>
      <w:bookmarkEnd w:id="27"/>
    </w:p>
    <w:p>
      <w:pPr>
        <w:ind w:firstLine="560"/>
        <w:rPr>
          <w:rFonts w:cs="Arial Narrow" w:asciiTheme="minorEastAsia" w:hAnsiTheme="minorEastAsia" w:eastAsiaTheme="minorEastAsia"/>
          <w:sz w:val="28"/>
          <w:szCs w:val="28"/>
        </w:rPr>
      </w:pPr>
      <w:bookmarkStart w:id="28" w:name="_Toc394490596"/>
      <w:bookmarkStart w:id="29" w:name="_Toc394181009"/>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bookmarkEnd w:id="28"/>
      <w:bookmarkEnd w:id="29"/>
      <w:bookmarkStart w:id="30" w:name="_Toc394490597"/>
    </w:p>
    <w:bookmarkEnd w:id="22"/>
    <w:bookmarkEnd w:id="23"/>
    <w:bookmarkEnd w:id="24"/>
    <w:bookmarkEnd w:id="25"/>
    <w:bookmarkEnd w:id="26"/>
    <w:bookmarkEnd w:id="30"/>
    <w:p>
      <w:pPr>
        <w:ind w:firstLine="562"/>
        <w:outlineLvl w:val="1"/>
        <w:rPr>
          <w:rFonts w:cs="Arial Narrow" w:asciiTheme="minorEastAsia" w:hAnsiTheme="minorEastAsia" w:eastAsiaTheme="minorEastAsia"/>
          <w:b/>
          <w:sz w:val="28"/>
          <w:szCs w:val="28"/>
        </w:rPr>
      </w:pPr>
      <w:bookmarkStart w:id="31" w:name="_Toc6632"/>
      <w:bookmarkStart w:id="32" w:name="_Toc11787"/>
      <w:bookmarkStart w:id="33" w:name="_Toc406666374"/>
      <w:bookmarkStart w:id="34" w:name="_Toc406668048"/>
      <w:bookmarkStart w:id="35" w:name="_Toc361302036"/>
      <w:bookmarkStart w:id="36" w:name="_Toc387957823"/>
      <w:bookmarkStart w:id="37" w:name="_Toc361304699"/>
      <w:r>
        <w:rPr>
          <w:rFonts w:cs="Arial Narrow" w:asciiTheme="minorEastAsia" w:hAnsiTheme="minorEastAsia" w:eastAsiaTheme="minorEastAsia"/>
          <w:b/>
          <w:sz w:val="28"/>
          <w:szCs w:val="28"/>
        </w:rPr>
        <w:t>（二）项目过程（20分）</w:t>
      </w:r>
      <w:bookmarkEnd w:id="31"/>
      <w:bookmarkEnd w:id="32"/>
    </w:p>
    <w:p>
      <w:pPr>
        <w:ind w:firstLine="560"/>
        <w:rPr>
          <w:rFonts w:cs="Arial Narrow" w:asciiTheme="minorEastAsia" w:hAnsiTheme="minorEastAsia" w:eastAsiaTheme="minorEastAsia"/>
          <w:sz w:val="28"/>
          <w:szCs w:val="28"/>
        </w:rPr>
      </w:pPr>
      <w:bookmarkStart w:id="38" w:name="_Toc394181012"/>
      <w:bookmarkStart w:id="39" w:name="_Toc394490599"/>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bookmarkEnd w:id="38"/>
      <w:bookmarkEnd w:id="39"/>
    </w:p>
    <w:bookmarkEnd w:id="33"/>
    <w:bookmarkEnd w:id="34"/>
    <w:bookmarkEnd w:id="35"/>
    <w:bookmarkEnd w:id="36"/>
    <w:bookmarkEnd w:id="37"/>
    <w:p>
      <w:pPr>
        <w:ind w:firstLine="562"/>
        <w:outlineLvl w:val="1"/>
        <w:rPr>
          <w:rFonts w:cs="Arial Narrow" w:asciiTheme="minorEastAsia" w:hAnsiTheme="minorEastAsia" w:eastAsiaTheme="minorEastAsia"/>
          <w:b/>
          <w:sz w:val="28"/>
          <w:szCs w:val="28"/>
        </w:rPr>
      </w:pPr>
      <w:bookmarkStart w:id="40" w:name="_Toc5732"/>
      <w:bookmarkStart w:id="41" w:name="_Toc24729"/>
      <w:bookmarkStart w:id="42" w:name="_Toc406668049"/>
      <w:bookmarkStart w:id="43" w:name="_Toc387957824"/>
      <w:bookmarkStart w:id="44" w:name="_Toc406666375"/>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bookmarkEnd w:id="40"/>
      <w:bookmarkEnd w:id="41"/>
    </w:p>
    <w:p>
      <w:pPr>
        <w:ind w:firstLine="560"/>
        <w:rPr>
          <w:rFonts w:cs="Arial Narrow" w:asciiTheme="minorEastAsia" w:hAnsiTheme="minorEastAsia" w:eastAsiaTheme="minorEastAsia"/>
          <w:sz w:val="28"/>
          <w:szCs w:val="28"/>
        </w:rPr>
      </w:pPr>
      <w:bookmarkStart w:id="45" w:name="_Toc394490602"/>
      <w:bookmarkStart w:id="46" w:name="_Toc394181015"/>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bookmarkEnd w:id="45"/>
      <w:bookmarkEnd w:id="46"/>
    </w:p>
    <w:bookmarkEnd w:id="42"/>
    <w:bookmarkEnd w:id="43"/>
    <w:bookmarkEnd w:id="44"/>
    <w:p>
      <w:pPr>
        <w:widowControl w:val="0"/>
        <w:numPr>
          <w:ilvl w:val="0"/>
          <w:numId w:val="1"/>
        </w:numPr>
        <w:adjustRightInd/>
        <w:snapToGrid/>
        <w:spacing w:after="0" w:line="360" w:lineRule="auto"/>
        <w:ind w:firstLine="562" w:firstLineChars="200"/>
        <w:jc w:val="both"/>
        <w:outlineLvl w:val="1"/>
        <w:rPr>
          <w:rFonts w:cs="Arial Narrow" w:asciiTheme="minorEastAsia" w:hAnsiTheme="minorEastAsia" w:eastAsiaTheme="minorEastAsia"/>
          <w:b/>
          <w:sz w:val="28"/>
          <w:szCs w:val="28"/>
        </w:rPr>
      </w:pPr>
      <w:bookmarkStart w:id="47" w:name="_Toc17482"/>
      <w:bookmarkStart w:id="48" w:name="_Toc394181022"/>
      <w:bookmarkStart w:id="49" w:name="_Toc361304701"/>
      <w:bookmarkStart w:id="50" w:name="_Toc387957826"/>
      <w:bookmarkStart w:id="51" w:name="_Toc406666377"/>
      <w:bookmarkStart w:id="52" w:name="_Toc361302038"/>
      <w:bookmarkStart w:id="53" w:name="_Toc406668051"/>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bookmarkEnd w:id="47"/>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bookmarkEnd w:id="48"/>
    <w:p>
      <w:pPr>
        <w:ind w:firstLine="562"/>
        <w:outlineLvl w:val="0"/>
        <w:rPr>
          <w:rFonts w:cs="Arial Narrow" w:asciiTheme="minorEastAsia" w:hAnsiTheme="minorEastAsia" w:eastAsiaTheme="minorEastAsia"/>
          <w:b/>
          <w:bCs/>
          <w:sz w:val="28"/>
          <w:szCs w:val="28"/>
        </w:rPr>
      </w:pPr>
      <w:bookmarkStart w:id="54" w:name="_Toc5150"/>
      <w:bookmarkStart w:id="55" w:name="_Toc17932"/>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bookmarkEnd w:id="49"/>
      <w:bookmarkEnd w:id="50"/>
      <w:bookmarkEnd w:id="51"/>
      <w:bookmarkEnd w:id="52"/>
      <w:bookmarkEnd w:id="53"/>
      <w:bookmarkEnd w:id="54"/>
      <w:bookmarkEnd w:id="55"/>
      <w:bookmarkStart w:id="56" w:name="_Toc361304702"/>
      <w:bookmarkStart w:id="57" w:name="_Toc361302039"/>
    </w:p>
    <w:bookmarkEnd w:id="56"/>
    <w:bookmarkEnd w:id="57"/>
    <w:p>
      <w:pPr>
        <w:ind w:firstLine="480"/>
        <w:rPr>
          <w:rFonts w:cs="Arial Narrow" w:asciiTheme="minorEastAsia" w:hAnsiTheme="minorEastAsia" w:eastAsiaTheme="minorEastAsia"/>
          <w:sz w:val="28"/>
          <w:szCs w:val="28"/>
        </w:rPr>
      </w:pPr>
      <w:bookmarkStart w:id="58" w:name="_Toc387957829"/>
      <w:bookmarkStart w:id="59" w:name="_Toc406666380"/>
      <w:bookmarkStart w:id="60" w:name="_Toc406668054"/>
      <w:bookmarkStart w:id="61" w:name="_Toc361304705"/>
      <w:r>
        <w:rPr>
          <w:rFonts w:hint="eastAsia" w:cs="Arial Narrow" w:asciiTheme="minorEastAsia" w:hAnsiTheme="minorEastAsia" w:eastAsiaTheme="minorEastAsia"/>
          <w:sz w:val="28"/>
          <w:szCs w:val="28"/>
        </w:rPr>
        <w:t>经综合评价，中南路街道办事处“代表活动费”绩效评价总得分为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bookmarkStart w:id="62" w:name="_Toc10775"/>
      <w:bookmarkStart w:id="63" w:name="_Toc14373"/>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w:t>
      </w:r>
      <w:bookmarkEnd w:id="58"/>
      <w:bookmarkEnd w:id="59"/>
      <w:bookmarkEnd w:id="60"/>
      <w:bookmarkEnd w:id="61"/>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bookmarkEnd w:id="62"/>
      <w:bookmarkEnd w:id="63"/>
    </w:p>
    <w:p>
      <w:pPr>
        <w:pStyle w:val="11"/>
        <w:numPr>
          <w:ilvl w:val="0"/>
          <w:numId w:val="2"/>
        </w:numPr>
        <w:snapToGrid w:val="0"/>
        <w:ind w:firstLineChars="0"/>
        <w:outlineLvl w:val="1"/>
        <w:rPr>
          <w:rFonts w:cs="Arial Narrow" w:asciiTheme="minorEastAsia" w:hAnsiTheme="minorEastAsia" w:eastAsiaTheme="minorEastAsia"/>
          <w:b/>
          <w:bCs/>
          <w:sz w:val="28"/>
          <w:szCs w:val="28"/>
        </w:rPr>
      </w:pPr>
      <w:bookmarkStart w:id="64" w:name="_Toc387957830"/>
      <w:bookmarkStart w:id="65" w:name="_Toc361304706"/>
      <w:bookmarkStart w:id="66" w:name="_Toc9568"/>
      <w:bookmarkStart w:id="67" w:name="_Toc27928"/>
      <w:bookmarkStart w:id="68" w:name="_Toc406668055"/>
      <w:bookmarkStart w:id="69" w:name="_Toc406666381"/>
      <w:r>
        <w:rPr>
          <w:rFonts w:cs="Arial Narrow" w:asciiTheme="minorEastAsia" w:hAnsiTheme="minorEastAsia" w:eastAsiaTheme="minorEastAsia"/>
          <w:b/>
          <w:bCs/>
          <w:sz w:val="28"/>
          <w:szCs w:val="28"/>
        </w:rPr>
        <w:t>主要经验及做法</w:t>
      </w:r>
      <w:bookmarkEnd w:id="64"/>
      <w:bookmarkEnd w:id="65"/>
      <w:bookmarkEnd w:id="66"/>
      <w:bookmarkEnd w:id="67"/>
      <w:bookmarkEnd w:id="68"/>
      <w:bookmarkEnd w:id="69"/>
    </w:p>
    <w:p>
      <w:pPr>
        <w:ind w:firstLine="560"/>
        <w:outlineLvl w:val="1"/>
        <w:rPr>
          <w:rFonts w:asciiTheme="minorEastAsia" w:hAnsiTheme="minorEastAsia" w:eastAsiaTheme="minorEastAsia"/>
          <w:sz w:val="28"/>
          <w:szCs w:val="28"/>
        </w:rPr>
      </w:pPr>
      <w:bookmarkStart w:id="70" w:name="_Toc406666382"/>
      <w:bookmarkStart w:id="71" w:name="_Toc16696"/>
      <w:bookmarkStart w:id="72" w:name="_Toc2011"/>
      <w:bookmarkStart w:id="73" w:name="_Toc406668056"/>
      <w:bookmarkStart w:id="74" w:name="_Toc387957833"/>
      <w:r>
        <w:rPr>
          <w:rFonts w:hint="eastAsia" w:asciiTheme="minorEastAsia" w:hAnsiTheme="minorEastAsia" w:eastAsiaTheme="minorEastAsia"/>
          <w:sz w:val="28"/>
          <w:szCs w:val="28"/>
        </w:rPr>
        <w:t>项目全年预算数为21.77万元，执行数为21.77万元，完成预算的100 %。主要产出和效果：一是各项调研成果突出，更好的建言献策；二是</w:t>
      </w:r>
      <w:r>
        <w:rPr>
          <w:rFonts w:hint="eastAsia" w:cs="宋体" w:asciiTheme="minorEastAsia" w:hAnsiTheme="minorEastAsia" w:eastAsiaTheme="minorEastAsia"/>
          <w:sz w:val="28"/>
          <w:szCs w:val="28"/>
          <w:shd w:val="clear" w:color="auto" w:fill="FFFFFF"/>
        </w:rPr>
        <w:t>紧</w:t>
      </w:r>
      <w:r>
        <w:rPr>
          <w:rFonts w:hint="eastAsia" w:cs="MS Gothic" w:asciiTheme="minorEastAsia" w:hAnsiTheme="minorEastAsia" w:eastAsiaTheme="minorEastAsia"/>
          <w:sz w:val="28"/>
          <w:szCs w:val="28"/>
          <w:shd w:val="clear" w:color="auto" w:fill="FFFFFF"/>
        </w:rPr>
        <w:t>扣</w:t>
      </w:r>
      <w:r>
        <w:rPr>
          <w:rFonts w:hint="eastAsia" w:cs="宋体" w:asciiTheme="minorEastAsia" w:hAnsiTheme="minorEastAsia" w:eastAsiaTheme="minorEastAsia"/>
          <w:sz w:val="28"/>
          <w:szCs w:val="28"/>
          <w:shd w:val="clear" w:color="auto" w:fill="FFFFFF"/>
        </w:rPr>
        <w:t>发</w:t>
      </w:r>
      <w:r>
        <w:rPr>
          <w:rFonts w:hint="eastAsia" w:cs="MS Gothic" w:asciiTheme="minorEastAsia" w:hAnsiTheme="minorEastAsia" w:eastAsiaTheme="minorEastAsia"/>
          <w:sz w:val="28"/>
          <w:szCs w:val="28"/>
          <w:shd w:val="clear" w:color="auto" w:fill="FFFFFF"/>
        </w:rPr>
        <w:t>展和民生两大主</w:t>
      </w:r>
      <w:r>
        <w:rPr>
          <w:rFonts w:hint="eastAsia" w:cs="宋体" w:asciiTheme="minorEastAsia" w:hAnsiTheme="minorEastAsia" w:eastAsiaTheme="minorEastAsia"/>
          <w:sz w:val="28"/>
          <w:szCs w:val="28"/>
          <w:shd w:val="clear" w:color="auto" w:fill="FFFFFF"/>
        </w:rPr>
        <w:t>题</w:t>
      </w:r>
      <w:r>
        <w:rPr>
          <w:rFonts w:hint="eastAsia" w:cs="MS Gothic" w:asciiTheme="minorEastAsia" w:hAnsiTheme="minorEastAsia" w:eastAsiaTheme="minorEastAsia"/>
          <w:sz w:val="28"/>
          <w:szCs w:val="28"/>
          <w:shd w:val="clear" w:color="auto" w:fill="FFFFFF"/>
        </w:rPr>
        <w:t>，开展相关活动，社会效益凸显</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bookmarkEnd w:id="70"/>
      <w:bookmarkEnd w:id="71"/>
      <w:bookmarkEnd w:id="72"/>
      <w:bookmarkEnd w:id="73"/>
    </w:p>
    <w:p>
      <w:pPr>
        <w:ind w:firstLine="560"/>
        <w:outlineLvl w:val="1"/>
        <w:rPr>
          <w:rFonts w:asciiTheme="minorEastAsia" w:hAnsiTheme="minorEastAsia" w:eastAsiaTheme="minorEastAsia"/>
          <w:sz w:val="28"/>
          <w:szCs w:val="28"/>
        </w:rPr>
      </w:pPr>
      <w:bookmarkStart w:id="75" w:name="_Toc28128"/>
      <w:bookmarkStart w:id="76" w:name="_Toc15894"/>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代表工作中信息化建设还须进一步优化，原因是信息化建设进展较慢</w:t>
      </w:r>
      <w:r>
        <w:rPr>
          <w:rFonts w:hint="eastAsia" w:asciiTheme="minorEastAsia" w:hAnsiTheme="minorEastAsia" w:eastAsiaTheme="minorEastAsia"/>
          <w:sz w:val="28"/>
          <w:szCs w:val="28"/>
        </w:rPr>
        <w:t>；</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shd w:val="clear" w:color="auto" w:fill="FFFFFF"/>
        </w:rPr>
        <w:t>监督工作中、监督手段还须进一步增加。原因是专项资金绩效监控不完善</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bookmarkEnd w:id="74"/>
    <w:bookmarkEnd w:id="75"/>
    <w:bookmarkEnd w:id="76"/>
    <w:p>
      <w:pPr>
        <w:ind w:firstLine="700" w:firstLineChars="250"/>
        <w:outlineLvl w:val="0"/>
        <w:rPr>
          <w:rFonts w:asciiTheme="minorEastAsia" w:hAnsiTheme="minorEastAsia" w:eastAsiaTheme="minorEastAsia"/>
          <w:sz w:val="28"/>
          <w:szCs w:val="28"/>
        </w:rPr>
      </w:pPr>
      <w:bookmarkStart w:id="77" w:name="_Toc12882"/>
      <w:bookmarkStart w:id="78" w:name="_Toc387957834"/>
      <w:bookmarkStart w:id="79" w:name="_Toc9981"/>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广泛发动社会各界力量，积极支持地方志编撰；</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w:t>
      </w:r>
      <w:bookmarkEnd w:id="77"/>
      <w:bookmarkEnd w:id="78"/>
      <w:bookmarkEnd w:id="79"/>
      <w:bookmarkStart w:id="80" w:name="_Toc5673"/>
      <w:bookmarkStart w:id="81" w:name="_Toc406668061"/>
      <w:bookmarkStart w:id="82" w:name="_Toc387957836"/>
      <w:bookmarkStart w:id="83" w:name="_Toc406666387"/>
      <w:r>
        <w:rPr>
          <w:rFonts w:hint="eastAsia" w:asciiTheme="minorEastAsia" w:hAnsiTheme="minorEastAsia" w:eastAsiaTheme="minorEastAsia"/>
          <w:sz w:val="28"/>
          <w:szCs w:val="28"/>
          <w:shd w:val="clear" w:color="auto" w:fill="FFFFFF"/>
        </w:rPr>
        <w:t>深入群众，积极获取更多的地方志信息</w:t>
      </w:r>
      <w:r>
        <w:rPr>
          <w:rFonts w:hint="eastAsia" w:asciiTheme="minorEastAsia" w:hAnsiTheme="minorEastAsia" w:eastAsiaTheme="minorEastAsia"/>
          <w:sz w:val="28"/>
          <w:szCs w:val="28"/>
        </w:rPr>
        <w:t>。</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bookmarkEnd w:id="80"/>
      <w:bookmarkEnd w:id="81"/>
      <w:bookmarkEnd w:id="82"/>
      <w:bookmarkEnd w:id="83"/>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武昌区中南路街2019年度扫黑除恶工作经费绩效自评报告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扫黑除恶工作经费费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15</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“扫黑除恶工作经费”绩效评价采用比较法、公众评判法、统计计算法、实地考察等方法进行评价分析，调阅相关凭证、单据进行分析研究。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ascii="宋体" w:hAnsi="宋体" w:eastAsia="宋体"/>
          <w:sz w:val="28"/>
          <w:szCs w:val="28"/>
        </w:rPr>
      </w:pPr>
      <w:r>
        <w:rPr>
          <w:rFonts w:hint="eastAsia" w:ascii="宋体" w:hAnsi="宋体" w:eastAsia="宋体"/>
          <w:sz w:val="28"/>
          <w:szCs w:val="28"/>
        </w:rPr>
        <w:t>项目全年预算数为15万元，执行数为15万元，完成预算的100 %。街道办事处</w:t>
      </w:r>
      <w:r>
        <w:rPr>
          <w:rFonts w:hint="eastAsia" w:asciiTheme="minorEastAsia" w:hAnsiTheme="minorEastAsia" w:eastAsiaTheme="minorEastAsia"/>
          <w:color w:val="000000"/>
          <w:sz w:val="28"/>
          <w:szCs w:val="28"/>
        </w:rPr>
        <w:t>把打击各类违法行为作为开展扫黑除恶专项斗争的重要抓手，铲除涉黑势力，消灭套路贷、强揽工程、非法聚集等黑恶行为，着力打造平安中南</w:t>
      </w:r>
      <w:r>
        <w:rPr>
          <w:rFonts w:hint="eastAsia" w:ascii="宋体" w:hAnsi="宋体" w:eastAsia="宋体"/>
          <w:sz w:val="28"/>
          <w:szCs w:val="28"/>
          <w:shd w:val="clear" w:color="auto" w:fill="FFFFFF"/>
        </w:rPr>
        <w:t>。</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（二）本次评价从2020年10月12日——2020年10月26日，历时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3"/>
        </w:numPr>
        <w:adjustRightInd/>
        <w:snapToGrid/>
        <w:spacing w:after="0" w:line="360" w:lineRule="auto"/>
        <w:ind w:firstLine="562"/>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cs="仿宋_GB2312" w:asciiTheme="minorEastAsia" w:hAnsiTheme="minorEastAsia" w:eastAsiaTheme="minorEastAsia"/>
          <w:sz w:val="28"/>
          <w:szCs w:val="28"/>
        </w:rPr>
        <w:t>扫黑除恶工作经</w:t>
      </w:r>
      <w:r>
        <w:rPr>
          <w:rFonts w:hint="eastAsia" w:cs="Arial Narrow" w:asciiTheme="minorEastAsia" w:hAnsiTheme="minorEastAsia" w:eastAsiaTheme="minorEastAsia"/>
          <w:sz w:val="28"/>
          <w:szCs w:val="28"/>
        </w:rPr>
        <w:t>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项目全年预算数为15万元，执行数为15万元，完成预算的100 %。主要产出和效果：一是辖区内黄赌毒等案件明显减少；二是</w:t>
      </w:r>
      <w:r>
        <w:rPr>
          <w:rFonts w:hint="eastAsia" w:cs="宋体" w:asciiTheme="minorEastAsia" w:hAnsiTheme="minorEastAsia" w:eastAsiaTheme="minorEastAsia"/>
          <w:sz w:val="28"/>
          <w:szCs w:val="28"/>
          <w:shd w:val="clear" w:color="auto" w:fill="FFFFFF"/>
        </w:rPr>
        <w:t>居民的安全感增强</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长效机制需要完善</w:t>
      </w:r>
      <w:r>
        <w:rPr>
          <w:rFonts w:hint="eastAsia" w:asciiTheme="minorEastAsia" w:hAnsiTheme="minorEastAsia" w:eastAsiaTheme="minorEastAsia"/>
          <w:sz w:val="28"/>
          <w:szCs w:val="28"/>
        </w:rPr>
        <w:t>；</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shd w:val="clear" w:color="auto" w:fill="FFFFFF"/>
        </w:rPr>
        <w:t>隐蔽性黑恶势力的铲除难度较大</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建立扫黑除恶的长效机制，把黑恶势力彻底扼杀</w:t>
      </w:r>
      <w:r>
        <w:rPr>
          <w:rFonts w:hint="eastAsia" w:asciiTheme="minorEastAsia" w:hAnsiTheme="minorEastAsia" w:eastAsiaTheme="minorEastAsia"/>
          <w:sz w:val="28"/>
          <w:szCs w:val="28"/>
        </w:rPr>
        <w:t>；</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shd w:val="clear" w:color="auto" w:fill="FFFFFF"/>
        </w:rPr>
        <w:t>多利用网络、多发动群众，形成扫黑除恶的高压态势</w:t>
      </w:r>
      <w:r>
        <w:rPr>
          <w:rFonts w:hint="eastAsia" w:asciiTheme="minorEastAsia" w:hAnsiTheme="minorEastAsia" w:eastAsiaTheme="minorEastAsia"/>
          <w:sz w:val="28"/>
          <w:szCs w:val="28"/>
        </w:rPr>
        <w:t>。</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武昌区中南路街2019年度综合治理及维稳工作经费绩效自评报告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综合治理及维稳工作经费费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130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“综合治理及维稳工作经费”绩效评价采用比较法、公众评判法、统计计算法、实地考察等方法进行评价分析，调阅相关凭证、单据进行分析研究。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ascii="宋体" w:hAnsi="宋体" w:eastAsia="宋体"/>
          <w:sz w:val="28"/>
          <w:szCs w:val="28"/>
        </w:rPr>
      </w:pPr>
      <w:r>
        <w:rPr>
          <w:rFonts w:hint="eastAsia" w:ascii="宋体" w:hAnsi="宋体" w:eastAsia="宋体"/>
          <w:sz w:val="28"/>
          <w:szCs w:val="28"/>
        </w:rPr>
        <w:t>项目全年预算数为130万元，执行数为130万元，完成预算的100 %。街道办事处</w:t>
      </w:r>
      <w:r>
        <w:rPr>
          <w:rFonts w:hint="eastAsia" w:asciiTheme="minorEastAsia" w:hAnsiTheme="minorEastAsia" w:eastAsiaTheme="minorEastAsia"/>
          <w:sz w:val="28"/>
          <w:szCs w:val="28"/>
        </w:rPr>
        <w:t>完善治安防控体系，社会环境平安稳定；全年进京劝访16批次30人次，提前预警劝返买票进京人员12人次，录入阳光系统信件104件，已全部办结，信访答复满意率达99%。加强对辖区老旧电线隐患进行排查整治，共排查出需要更换、捆扎老化电线的社区11个共计59882米。投入20余万元为老旧居民区5700余个消防灭火器进行换粉。</w:t>
      </w:r>
      <w:r>
        <w:rPr>
          <w:rFonts w:hint="eastAsia" w:ascii="宋体" w:hAnsi="宋体" w:eastAsia="宋体"/>
          <w:sz w:val="28"/>
          <w:szCs w:val="28"/>
          <w:shd w:val="clear" w:color="auto" w:fill="FFFFFF"/>
        </w:rPr>
        <w:t>。</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（二）本次评价从2020年10月12日——2020年10月26日，历时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5"/>
        </w:numPr>
        <w:adjustRightInd/>
        <w:snapToGrid/>
        <w:spacing w:after="0" w:line="360" w:lineRule="auto"/>
        <w:ind w:firstLine="562"/>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cs="仿宋_GB2312" w:asciiTheme="minorEastAsia" w:hAnsiTheme="minorEastAsia" w:eastAsiaTheme="minorEastAsia"/>
          <w:sz w:val="28"/>
          <w:szCs w:val="28"/>
        </w:rPr>
        <w:t>综合治理及维稳工作经费</w:t>
      </w:r>
      <w:r>
        <w:rPr>
          <w:rFonts w:hint="eastAsia" w:cs="Arial Narrow" w:asciiTheme="minorEastAsia" w:hAnsiTheme="minorEastAsia" w:eastAsiaTheme="minorEastAsia"/>
          <w:sz w:val="28"/>
          <w:szCs w:val="28"/>
        </w:rPr>
        <w:t>”绩效评价总得分为</w:t>
      </w:r>
      <w:r>
        <w:rPr>
          <w:rFonts w:hint="eastAsia" w:cs="Arial Narrow" w:asciiTheme="minorEastAsia" w:hAnsiTheme="minorEastAsia" w:eastAsiaTheme="minorEastAsia"/>
          <w:color w:val="FF0000"/>
          <w:sz w:val="28"/>
          <w:szCs w:val="28"/>
        </w:rPr>
        <w:t>93.00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93</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6"/>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项目全年预算数为130万元，执行数为130万元，完成预算的100 %。主要产出和效果：一是信访满意度提高；二是</w:t>
      </w:r>
      <w:r>
        <w:rPr>
          <w:rFonts w:hint="eastAsia" w:cs="宋体" w:asciiTheme="minorEastAsia" w:hAnsiTheme="minorEastAsia" w:eastAsiaTheme="minorEastAsia"/>
          <w:sz w:val="28"/>
          <w:szCs w:val="28"/>
          <w:shd w:val="clear" w:color="auto" w:fill="FFFFFF"/>
        </w:rPr>
        <w:t>居民生活、工作环境更安全</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居民诉求依然较多，后期维稳压力依然较大</w:t>
      </w:r>
      <w:r>
        <w:rPr>
          <w:rFonts w:hint="eastAsia" w:asciiTheme="minorEastAsia" w:hAnsiTheme="minorEastAsia" w:eastAsiaTheme="minorEastAsia"/>
          <w:sz w:val="28"/>
          <w:szCs w:val="28"/>
        </w:rPr>
        <w:t>；</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shd w:val="clear" w:color="auto" w:fill="FFFFFF"/>
        </w:rPr>
        <w:t>相关政策宣传不到位，居民享受好政策有些滞后</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多与居民沟通，积极帮助居民排忧解难</w:t>
      </w:r>
      <w:r>
        <w:rPr>
          <w:rFonts w:hint="eastAsia" w:asciiTheme="minorEastAsia" w:hAnsiTheme="minorEastAsia" w:eastAsiaTheme="minorEastAsia"/>
          <w:sz w:val="28"/>
          <w:szCs w:val="28"/>
        </w:rPr>
        <w:t>；</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shd w:val="clear" w:color="auto" w:fill="FFFFFF"/>
        </w:rPr>
        <w:t>加大政策宣传力度，把好政策带给每个居民家中</w:t>
      </w:r>
      <w:r>
        <w:rPr>
          <w:rFonts w:hint="eastAsia" w:asciiTheme="minorEastAsia" w:hAnsiTheme="minorEastAsia" w:eastAsiaTheme="minorEastAsia"/>
          <w:sz w:val="28"/>
          <w:szCs w:val="28"/>
        </w:rPr>
        <w:t>。</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武昌区中南路街2019年度红色引擎工程项目工作经费绩效自评报告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红色引擎工程项目工作经费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40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“红色引擎工程项目工作经费”绩效评价采用比较法、公众评判法、统计计算法、实地考察等方法进行评价分析，调阅相关凭证、单据进行分析研究。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项目全年预算数为40万元，执行数为40万元，完成预算的100 %。</w:t>
      </w:r>
    </w:p>
    <w:p>
      <w:pPr>
        <w:spacing w:line="360" w:lineRule="atLeast"/>
        <w:ind w:firstLine="560"/>
        <w:rPr>
          <w:rFonts w:asciiTheme="minorEastAsia" w:hAnsiTheme="minorEastAsia" w:eastAsiaTheme="minorEastAsia"/>
          <w:color w:val="000000"/>
          <w:sz w:val="28"/>
          <w:szCs w:val="28"/>
        </w:rPr>
      </w:pPr>
      <w:r>
        <w:rPr>
          <w:rFonts w:hint="eastAsia" w:cs="仿宋_GB2312" w:asciiTheme="minorEastAsia" w:hAnsiTheme="minorEastAsia" w:eastAsiaTheme="minorEastAsia"/>
          <w:sz w:val="28"/>
          <w:szCs w:val="28"/>
        </w:rPr>
        <w:t>红色引擎工程经费主要用于</w:t>
      </w:r>
      <w:r>
        <w:rPr>
          <w:rFonts w:cs="仿宋_GB2312" w:asciiTheme="minorEastAsia" w:hAnsiTheme="minorEastAsia" w:eastAsiaTheme="minorEastAsia"/>
          <w:sz w:val="28"/>
          <w:szCs w:val="28"/>
        </w:rPr>
        <w:t>订阅或购买用于开展党员教育的报刊、资料和设备，进行党内宣传教育活动和组织活动；培训党员和入党积极分子；开展表彰优秀党员活动；慰问生活困难党员等。街道专职党群工作者、义务组织员报酬待遇经费，要按照人员配备情况及时足额发放，严格落实</w:t>
      </w:r>
      <w:r>
        <w:rPr>
          <w:rFonts w:asciiTheme="minorEastAsia" w:hAnsiTheme="minorEastAsia" w:eastAsiaTheme="minorEastAsia"/>
          <w:color w:val="000000"/>
          <w:sz w:val="28"/>
          <w:szCs w:val="28"/>
        </w:rPr>
        <w:t>到人头，不得截留或挪作他用。</w:t>
      </w:r>
    </w:p>
    <w:p>
      <w:pPr>
        <w:spacing w:line="360" w:lineRule="atLeast"/>
        <w:ind w:firstLine="56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7"/>
        </w:numPr>
        <w:adjustRightInd/>
        <w:snapToGrid/>
        <w:spacing w:after="0" w:line="360" w:lineRule="auto"/>
        <w:ind w:firstLine="562"/>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经综合评价，中南路街道办事处“红色引擎工程项目工作经费”绩效评价总得分为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项目全年预算数为40万元，执行数为40万元，完成预算的100 %。主要产出和效果：一是</w:t>
      </w:r>
      <w:r>
        <w:rPr>
          <w:rFonts w:asciiTheme="minorEastAsia" w:hAnsiTheme="minorEastAsia" w:eastAsiaTheme="minorEastAsia"/>
          <w:color w:val="000000"/>
          <w:sz w:val="28"/>
          <w:szCs w:val="28"/>
        </w:rPr>
        <w:t>“红色引擎工程”宣传氛围更加浓厚</w:t>
      </w:r>
      <w:r>
        <w:rPr>
          <w:rFonts w:hint="eastAsia" w:asciiTheme="minorEastAsia" w:hAnsiTheme="minorEastAsia" w:eastAsiaTheme="minorEastAsia"/>
          <w:sz w:val="28"/>
          <w:szCs w:val="28"/>
        </w:rPr>
        <w:t>；二是</w:t>
      </w:r>
      <w:r>
        <w:rPr>
          <w:rFonts w:asciiTheme="minorEastAsia" w:hAnsiTheme="minorEastAsia" w:eastAsiaTheme="minorEastAsia"/>
          <w:color w:val="000000"/>
          <w:sz w:val="28"/>
          <w:szCs w:val="28"/>
        </w:rPr>
        <w:t>“红色物业”宣传展板的制作，党员教育活动的开展等使推进更加有力，党员学习教育活动更加多样化，党组织的凝聚力进一步增强</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1、红色引擎相关活动举行的频率不高；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2、宣传途径较为单一。</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1、发动辖区社区、物业等多组织红色引擎工程有关活动，提升居民、党员的参与度；</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2、通过网络、小喇叭、宣传折页等加大宣传力度。</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武昌区中南路街2019年度网格管理工作经费绩效自评报告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网格管理工作经费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96.77</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“网格管理工作经费”绩效评价采用比较法、公众评判法、统计计算法、实地考察等方法进行评价分析，调阅相关凭证、单据进行分析研究。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项目全年预算数为96.77万元，执行数为96.77万元，完成预算的100 %。进一步提升网格员管理和服务水平，加强网格员服务意识，促进社区网格员敬岗爱业，提升居民生活幸福感，促进社区治理现代化等方面落实</w:t>
      </w:r>
    </w:p>
    <w:p>
      <w:pPr>
        <w:spacing w:line="220" w:lineRule="atLeast"/>
        <w:ind w:firstLine="562"/>
        <w:rPr>
          <w:rFonts w:asciiTheme="minorEastAsia" w:hAnsiTheme="minorEastAsia" w:eastAsiaTheme="minorEastAsia"/>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9"/>
        </w:numPr>
        <w:adjustRightInd/>
        <w:snapToGrid/>
        <w:spacing w:after="0" w:line="360" w:lineRule="auto"/>
        <w:ind w:firstLine="562"/>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经综合评价，中南路街道办事处“网格管理工作经费”绩效评价总得分为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90</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0"/>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项目全年预算数为96.77万元，执行数为96.77万元，完成预算的100 %。主要产出和效果：一是提升网格服务居民的水平；二是提高网格员的业务能力。</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1、网格员流动性较大；</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2、居民需求多样化，跟进服务有所欠缺。</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1、对网格员加大业务培训力度，进一步提升业务能力；</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2、通过网格文化，进一步留住网格员。</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武昌区中南路街2019年度街道地方志编撰项目工作经费绩效自评报告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街道地方志编撰项目工作经费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3</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“地方志编撰项目工作经费”绩效评价采用比较法、公众评判法、统计计算法、实地考察等方法进行评价分析，调阅相关凭证、单据进行分析研究。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项目全年预算数为3万元，执行数为3万元，完成预算的100 %。</w:t>
      </w:r>
    </w:p>
    <w:p>
      <w:pPr>
        <w:ind w:firstLine="560"/>
        <w:rPr>
          <w:rFonts w:asciiTheme="minorEastAsia" w:hAnsiTheme="minorEastAsia" w:eastAsiaTheme="minorEastAsia"/>
          <w:color w:val="FF0000"/>
          <w:sz w:val="28"/>
          <w:szCs w:val="28"/>
        </w:rPr>
      </w:pPr>
      <w:r>
        <w:rPr>
          <w:rFonts w:hint="eastAsia" w:asciiTheme="minorEastAsia" w:hAnsiTheme="minorEastAsia" w:eastAsiaTheme="minorEastAsia"/>
          <w:color w:val="FF0000"/>
          <w:sz w:val="28"/>
          <w:szCs w:val="28"/>
        </w:rPr>
        <w:t>地方志编撰充分反映改革开放和社会主义现代化建设的进程和成果，为武昌建设创新型城区和国家中心城市核心区作贡献。2017年成立工作领导小组和工作专班，拟定编纂方案和编纂篇目大纲。明确一名分管领导负责日常管理工作，按照预算编制和管理有关规定，将街道志编纂所需要经费列入财政预算，专款专用。2017年底前完成资料搜集，2018年底完成初稿撰写和总纂评审阶段。2019--2020年底定稿出版。</w:t>
      </w:r>
    </w:p>
    <w:p>
      <w:pPr>
        <w:spacing w:line="360" w:lineRule="atLeast"/>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11"/>
        </w:numPr>
        <w:adjustRightInd/>
        <w:snapToGrid/>
        <w:spacing w:after="0" w:line="360" w:lineRule="auto"/>
        <w:ind w:firstLine="562"/>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经综合评价，中南路街道办事处“地方志编撰项目工作经费”绩效评价总得分为</w:t>
      </w:r>
      <w:r>
        <w:rPr>
          <w:rFonts w:hint="eastAsia" w:cs="Arial Narrow" w:asciiTheme="minorEastAsia" w:hAnsiTheme="minorEastAsia" w:eastAsiaTheme="minorEastAsia"/>
          <w:color w:val="FF0000"/>
          <w:sz w:val="28"/>
          <w:szCs w:val="28"/>
        </w:rPr>
        <w:t>94.00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94</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12万元，执行数为12万元，完成预算的100 %。主要产出和效果：一是根据武昌政办【2017】10号文件精神，以“存史、资政、育人”为目标，全面、系统、客观、准确地记述街道辖区内自然、政治、经济、文化和社会等方面的历史与现状，于2018年底完成初稿撰写；二是用于撰稿人员聘用、资料收集、培训、评审等经费支出。</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1、地方志编撰是一项较为复杂的工作，受限于编撰人员的知识水平，编撰的内容还有丰富的空间；</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2、资料调阅范围较为狭窄。</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1、广泛发动社会各界力量，积极支持地方志编撰；</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2、深入群众，积极获取更多的地方志信息。</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武昌区中南路街2019年度协税工作项目工作经费绩效自评报告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协税工作项目工作经费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60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“协税工作项目工作经费”绩效评价采用比较法、公众评判法、统计计算法、实地考察等方法进行评价分析，调阅相关凭证、单据进行分析研究。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项目全年预算数为60万元，执行数为60万元，完成预算的100 %。</w:t>
      </w:r>
    </w:p>
    <w:p>
      <w:pPr>
        <w:spacing w:line="360" w:lineRule="atLeast"/>
        <w:ind w:firstLine="560"/>
        <w:rPr>
          <w:rFonts w:asciiTheme="minorEastAsia" w:hAnsiTheme="minorEastAsia" w:eastAsiaTheme="minorEastAsia"/>
          <w:color w:val="FF0000"/>
          <w:sz w:val="28"/>
          <w:szCs w:val="28"/>
        </w:rPr>
      </w:pPr>
      <w:r>
        <w:rPr>
          <w:rFonts w:hint="eastAsia" w:asciiTheme="minorEastAsia" w:hAnsiTheme="minorEastAsia" w:eastAsiaTheme="minorEastAsia"/>
          <w:color w:val="FF0000"/>
          <w:sz w:val="28"/>
          <w:szCs w:val="28"/>
        </w:rPr>
        <w:t>协税工作经费主要用于辖区内招商引资，服务企业，街道资产维修维护以及改制企业困难职工，建立救助统计工作制度，招商引资工作制度，千万元以上纳税企业走访制度。千万元以上纳税企业每年至少走访2次并填写企业服务满意度调查表，服务企业，为企业办理注册登记服务。</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13"/>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经综合评价，中南路街道办事处“协税工作项目工作经费”绩效评价总得分为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60万元，执行数为60万元，完成预算的100 %。主要产出和效果：一是优化企业发展环境，区域经济平稳发展；二是紧扣服务企业、属地纳税及纳税服务，着力推进辖区经济又好又快发展，各项经济发展指标位居全区前列；三是全年招商引资完成101.34亿元，超额完成目标。</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1、企业融资难、融资贵问题依然较为突出；</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2、企业生产成本较往年有所上升。</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1、继续优化营商环境，组织辖区内企业、工商、税务、银行等部门，帮助企业降低经营成本；</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2、鼓励企业实施创新发展战略，严控生产、人力成本。</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武昌区中南路街2019年度党群工作经费（综合经费）绩效自评报告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党群工作经费（综合经费）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60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“党群工作经费（综合经费）”绩效评价采用比较法、公众评判法、统计计算法、实地考察等方法进行评价分析，调阅相关凭证、单据进行分析研究。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项目全年预算数为7万元，执行数为7万元，完成预算的100 %。</w:t>
      </w:r>
    </w:p>
    <w:p>
      <w:pPr>
        <w:ind w:firstLine="56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严格落实全面从严治党主体责任，积极开展“不忘初心、牢记使命”</w:t>
      </w:r>
      <w:r>
        <w:rPr>
          <w:rFonts w:hint="eastAsia" w:asciiTheme="minorEastAsia" w:hAnsiTheme="minorEastAsia" w:eastAsiaTheme="minorEastAsia"/>
          <w:sz w:val="28"/>
          <w:szCs w:val="28"/>
        </w:rPr>
        <w:t>主题教育</w:t>
      </w:r>
      <w:bookmarkStart w:id="109" w:name="_GoBack"/>
      <w:bookmarkEnd w:id="109"/>
      <w:r>
        <w:rPr>
          <w:rFonts w:hint="eastAsia" w:asciiTheme="minorEastAsia" w:hAnsiTheme="minorEastAsia" w:eastAsiaTheme="minorEastAsia"/>
          <w:sz w:val="28"/>
          <w:szCs w:val="28"/>
        </w:rPr>
        <w:t>。以满足居民对美好生活的向往为出发点，制定《中南路街关于街道“大工委”社区“大党委”工作实施细则》，调整街道“大工委”、街道两新综合党委成员，联合地铁11号线项目部开展红色引擎党建基地“道德讲堂”暨主题党日活动，被长江日报报道。</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15"/>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经综合评价，中南路街道办事处“党群工作经费（综合经费）工作经费”绩效评价总得分为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6"/>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7万元，执行数为7万元，完成预算的100 %。主要产出和效果：一是各社区联合辖区单位开展共驻共建活动100余次。持续打造楼宇党建品牌；二是着力转变和改进基层工作作风，扎实开展主题教育活动，基层党建工作成绩突出</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1、党建活动形式有待进一步丰富；</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2、基层凝聚力有待加强。</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1、丰富基层党组织活动形式，更好发挥战斗堡垒作用；</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2、加强队伍建设，提升凝聚力。</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武昌区中南路街2019年度文明创建项目工作经费绩效自评报告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文明创建项目工作经费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160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“文明创建项目工作经费”绩效评价采用比较法、公众评判法、统计计算法、实地考察等方法进行评价分析，调阅相关凭证、单据进行分析研究。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项目全年预算数为160万元，执行数为160万元，完成预算的100 %。</w:t>
      </w:r>
    </w:p>
    <w:p>
      <w:pPr>
        <w:ind w:firstLine="560"/>
        <w:rPr>
          <w:rFonts w:asciiTheme="minorEastAsia" w:hAnsiTheme="minorEastAsia" w:eastAsiaTheme="minorEastAsia"/>
          <w:color w:val="FF0000"/>
          <w:sz w:val="28"/>
          <w:szCs w:val="28"/>
        </w:rPr>
      </w:pPr>
      <w:r>
        <w:rPr>
          <w:rFonts w:hint="eastAsia" w:asciiTheme="minorEastAsia" w:hAnsiTheme="minorEastAsia" w:eastAsiaTheme="minorEastAsia"/>
          <w:color w:val="FF0000"/>
          <w:sz w:val="28"/>
          <w:szCs w:val="28"/>
        </w:rPr>
        <w:t>文明创建常态化管理经费。按照上级相关要求，用于文明创建常态化管理，包括：文明劝导志愿者值守补贴、公益广告制作更新、宣传氛围营造、袖章袖标装备及其他各项支出。根据上级关于加强文明创建管理的各项规定及区文明办的相关要求和专项下拨经费，为进一步提升文明创建常态化管理水平、迎检国家及市级检查，通过文明创建常态化管理经费，文明劝导水平、宣传氛围营造、迎检工作准备等各方面得到有效落实。建立专门督查机制，文明劝导补贴规范化：专人负责审核及核对每月的文明劝导补贴，实行补贴与排名直接挂钩制度，根据排名和实际成绩进行奖优罚劣；定期制作、更新公益广告和宣传栏内容，按照每季度更新社区宣传栏和辖区公益广告的要求，定期制作更新、加强宣传氛围；将上级奖励经费用于社区文明创建奖励，对区文明办下发的文明创建排名全市前十的奖励经费用于检查中连续三次排名前三的社区。</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29</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17"/>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经综合评价，中南路街道办事处“文明创建项目工作经费”绩效评价总得分为</w:t>
      </w:r>
      <w:r>
        <w:rPr>
          <w:rFonts w:hint="eastAsia" w:cs="Arial Narrow" w:asciiTheme="minorEastAsia" w:hAnsiTheme="minorEastAsia" w:eastAsiaTheme="minorEastAsia"/>
          <w:color w:val="FF0000"/>
          <w:sz w:val="28"/>
          <w:szCs w:val="28"/>
        </w:rPr>
        <w:t>93.00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29</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34</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93</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160万元，执行数为160万元，完成预算的100 %。主要产出和效果：一是提高文明创建常态化水平，“小红帽”等文明宣传氛围得到有效落实；二是通过国家及市级检查，文明劝导水平得以提升，各种不文明现象显著减少。</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1、文明创建还没有深入到每一个居民的心中；</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2、资金使用效率不高，存在一定的滞后性。</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1、多组织文明创建活动，广泛发动群众参与文明创建中；</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2、扩大文明创建的宣传范围，提高资金使用效率</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武昌区中南路街2019年度行政事务和网格指挥中心工作经费绩效自评报告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行政事务和网格指挥中心工作经费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30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“行政事务和网格指挥中心工作经费”绩效评价采用比较法、公众评判法、统计计算法、实地考察等方法进行评价分析，调阅相关凭证、单据进行分析研究。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项目全年预算数为30万元，执行数为30万元，完成预算的100 %。</w:t>
      </w:r>
    </w:p>
    <w:p>
      <w:pPr>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行政事务服务中心营造</w:t>
      </w:r>
      <w:r>
        <w:rPr>
          <w:rFonts w:hint="eastAsia" w:cs="仿宋_GB2312" w:asciiTheme="minorEastAsia" w:hAnsiTheme="minorEastAsia" w:eastAsiaTheme="minorEastAsia"/>
          <w:sz w:val="28"/>
          <w:szCs w:val="28"/>
        </w:rPr>
        <w:t>出</w:t>
      </w:r>
      <w:r>
        <w:rPr>
          <w:rFonts w:cs="仿宋_GB2312" w:asciiTheme="minorEastAsia" w:hAnsiTheme="minorEastAsia" w:eastAsiaTheme="minorEastAsia"/>
          <w:sz w:val="28"/>
          <w:szCs w:val="28"/>
        </w:rPr>
        <w:t>良好的、人性化的服务环境。</w:t>
      </w:r>
      <w:r>
        <w:rPr>
          <w:rFonts w:hint="eastAsia" w:cs="仿宋_GB2312" w:asciiTheme="minorEastAsia" w:hAnsiTheme="minorEastAsia" w:eastAsiaTheme="minorEastAsia"/>
          <w:sz w:val="28"/>
          <w:szCs w:val="28"/>
        </w:rPr>
        <w:t>网格指挥中心拉近了街道和居民的距离，及时解决居民的诉求。</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19"/>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经综合评价，中南路街道办事处“行政事务和网格指挥中心工作经费”绩效评价总得分为</w:t>
      </w:r>
      <w:r>
        <w:rPr>
          <w:rFonts w:hint="eastAsia" w:cs="Arial Narrow" w:asciiTheme="minorEastAsia" w:hAnsiTheme="minorEastAsia" w:eastAsiaTheme="minorEastAsia"/>
          <w:color w:val="FF0000"/>
          <w:sz w:val="28"/>
          <w:szCs w:val="28"/>
        </w:rPr>
        <w:t>90.00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90</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0"/>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项目全年预算数为30万元，执行数为30万元，完成预算的100 %。主要产出和效果：一是</w:t>
      </w:r>
      <w:r>
        <w:rPr>
          <w:rFonts w:cs="Arial" w:asciiTheme="minorEastAsia" w:hAnsiTheme="minorEastAsia" w:eastAsiaTheme="minorEastAsia"/>
          <w:sz w:val="28"/>
          <w:szCs w:val="28"/>
          <w:shd w:val="clear" w:color="auto" w:fill="FFFFFF"/>
        </w:rPr>
        <w:t>行政事务服务中心营造</w:t>
      </w:r>
      <w:r>
        <w:rPr>
          <w:rFonts w:hint="eastAsia" w:cs="Arial" w:asciiTheme="minorEastAsia" w:hAnsiTheme="minorEastAsia" w:eastAsiaTheme="minorEastAsia"/>
          <w:sz w:val="28"/>
          <w:szCs w:val="28"/>
          <w:shd w:val="clear" w:color="auto" w:fill="FFFFFF"/>
        </w:rPr>
        <w:t>出</w:t>
      </w:r>
      <w:r>
        <w:rPr>
          <w:rFonts w:cs="Arial" w:asciiTheme="minorEastAsia" w:hAnsiTheme="minorEastAsia" w:eastAsiaTheme="minorEastAsia"/>
          <w:sz w:val="28"/>
          <w:szCs w:val="28"/>
          <w:shd w:val="clear" w:color="auto" w:fill="FFFFFF"/>
        </w:rPr>
        <w:t>良好的、人性化的服务环境</w:t>
      </w:r>
      <w:r>
        <w:rPr>
          <w:rFonts w:hint="eastAsia" w:asciiTheme="minorEastAsia" w:hAnsiTheme="minorEastAsia" w:eastAsiaTheme="minorEastAsia"/>
          <w:sz w:val="28"/>
          <w:szCs w:val="28"/>
        </w:rPr>
        <w:t>；二是</w:t>
      </w:r>
      <w:r>
        <w:rPr>
          <w:rFonts w:hint="eastAsia" w:cs="Arial" w:asciiTheme="minorEastAsia" w:hAnsiTheme="minorEastAsia" w:eastAsiaTheme="minorEastAsia"/>
          <w:sz w:val="28"/>
          <w:szCs w:val="28"/>
          <w:shd w:val="clear" w:color="auto" w:fill="FFFFFF"/>
        </w:rPr>
        <w:t>网格指挥中心拉近了街道和居民的距离，及时解决居民的诉求</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1、存在服务不细致、不到位现象；</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2、居民需求较多，服务质量要求更高。</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1、细化服务、优化服务；</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2、结合居民需求，丰富服务途径，高质量服务。</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武昌区中南路街2019年度党群工作经费（社区基层党组织活动）工作经费绩效自评报告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党群工作经费（社区基层党组织活动）工作经费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16.9</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“党群工作经费（社区基层党组织活动）工作经费”绩效评价采用比较法、公众评判法、统计计算法、实地考察等方法进行评价分析，调阅相关凭证、单据进行分析研究。</w:t>
      </w:r>
    </w:p>
    <w:p>
      <w:pPr>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项目全年预算数为16.9万元，执行数为16.9万元，完成预算的100 %。</w:t>
      </w:r>
      <w:r>
        <w:rPr>
          <w:rFonts w:cs="仿宋_GB2312" w:asciiTheme="minorEastAsia" w:hAnsiTheme="minorEastAsia" w:eastAsiaTheme="minorEastAsia"/>
          <w:sz w:val="28"/>
          <w:szCs w:val="28"/>
        </w:rPr>
        <w:t>加强基层党组织建设，推进“两学一做”学习教育常态化制度化，</w:t>
      </w:r>
      <w:r>
        <w:rPr>
          <w:rFonts w:hint="eastAsia" w:cs="仿宋_GB2312" w:asciiTheme="minorEastAsia" w:hAnsiTheme="minorEastAsia" w:eastAsiaTheme="minorEastAsia"/>
          <w:sz w:val="28"/>
          <w:szCs w:val="28"/>
        </w:rPr>
        <w:t>进一步发挥基层党组织的战斗堡垒作用</w:t>
      </w:r>
    </w:p>
    <w:p>
      <w:pPr>
        <w:ind w:firstLine="56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六</w:t>
      </w:r>
      <w:r>
        <w:rPr>
          <w:rFonts w:hint="eastAsia" w:cs="Arial Narrow" w:asciiTheme="minorEastAsia" w:hAnsiTheme="minorEastAsia" w:eastAsiaTheme="minorEastAsia"/>
          <w:b/>
          <w:bCs/>
          <w:sz w:val="28"/>
          <w:szCs w:val="28"/>
        </w:rPr>
        <w:t>.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2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经综合评价，中南路街道办事处“党群工作经费（社区基层党组织活动）工作经费”绩效评价总得分为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项目全年预算数为16.9万元，执行数为16.9万元，完成预算的100 %。主要产出和效果：一是常态化开展支部学习活动，提升党员综合素质；二是基层党组织凝聚力、战斗力得以增强。</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1、社区基层党建活动参与度有待提高；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2、学习方式单一化。</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1、加大基层党组织活动的宣传力度；</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2、丰富学习方式，可通过视频、实践操作等加大学习力度。</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武昌区中南路街2019年度综合经济工作经费绩效自评报告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综合经济工作经费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“综合经济工作经费”绩效评价采用比较法、公众评判法、统计计算法、实地考察等方法进行评价分析，调阅相关凭证、单据进行分析研究。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项目全年预算数为20万元，执行数为20万元，完成预算的100 %。</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综合经济工作经费促进街道经济发展，对街道固定资产投资、税收等经济指标的实现有积极意义。</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23"/>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经综合评价，中南路街道办事处“综合经济工作经费”绩效评价总得分为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项目全年预算数为20万元，执行数为20万元，完成预算的100 %。主要产出和效果：一是打造更好的营商环境，促进固定资产投资；二促进辖区税收增长。</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1、复工复产因疫情原因，压力依然较大；</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2、企业生产信心有所不足。</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1、继续优化营商环境，吸引更多优质企业来街道投资；</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2、强信心，全力复工复产。</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武昌区中南路街2019年度安全生产工作经费绩效自评报告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安全生产工作经费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3</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“安全生产工作经费”绩效评价采用比较法、公众评判法、统计计算法、实地考察等方法进行评价分析，调阅相关凭证、单据进行分析研究。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asciiTheme="minorEastAsia" w:hAnsiTheme="minorEastAsia" w:eastAsiaTheme="minorEastAsia"/>
          <w:sz w:val="28"/>
          <w:szCs w:val="28"/>
        </w:rPr>
        <w:t>项</w:t>
      </w:r>
      <w:r>
        <w:rPr>
          <w:rFonts w:hint="eastAsia" w:cs="仿宋_GB2312" w:asciiTheme="minorEastAsia" w:hAnsiTheme="minorEastAsia" w:eastAsiaTheme="minorEastAsia"/>
          <w:sz w:val="28"/>
          <w:szCs w:val="28"/>
        </w:rPr>
        <w:t>目全年预算数为3万元，执行数为3万元，完成预算的100 %。</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安全生产工作保障街道公共安全，开展定期与不定期安全检查，防患于未然，提升居民安全感。</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25"/>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经综合评价，中南路街道办事处“安全生产工作经费”绩效评价总得分为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6"/>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项目全年预算数为3万元，执行数为3万元，完成预算的100 %。主要产出和效果：一是辖区居民安全感提升；二是开展各类安全检查，提高辖区居民安全生产意识。</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1、老旧小区安全生产压力较大；</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2、少数居民安全意识薄弱。</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1、加强老旧小区安全生产改造，提高安全生产能力；</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2、加大安全生产宣传力度，提高居民安全生产意识。</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武昌区中南路街2019年度街道综合工作经费绩效自评报告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街道综合工作经费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45.45</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“街道综合工作经费”绩效评价采用比较法、公众评判法、统计计算法、实地考察等方法进行评价分析，调阅相关凭证、单据进行分析研究。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项目全年预算数为45.45万元，执行数为45.45万元，完成预算的100 %。街道办事处</w:t>
      </w:r>
      <w:r>
        <w:rPr>
          <w:rFonts w:cs="仿宋_GB2312" w:asciiTheme="minorEastAsia" w:hAnsiTheme="minorEastAsia" w:eastAsiaTheme="minorEastAsia"/>
          <w:sz w:val="28"/>
          <w:szCs w:val="28"/>
        </w:rPr>
        <w:t>紧紧围绕深化平安建设、推进法治建设，加强队伍建设，加快建设平安</w:t>
      </w:r>
      <w:r>
        <w:rPr>
          <w:rFonts w:hint="eastAsia" w:cs="仿宋_GB2312" w:asciiTheme="minorEastAsia" w:hAnsiTheme="minorEastAsia" w:eastAsiaTheme="minorEastAsia"/>
          <w:sz w:val="28"/>
          <w:szCs w:val="28"/>
        </w:rPr>
        <w:t>中南</w:t>
      </w:r>
      <w:r>
        <w:rPr>
          <w:rFonts w:cs="仿宋_GB2312" w:asciiTheme="minorEastAsia" w:hAnsiTheme="minorEastAsia" w:eastAsiaTheme="minorEastAsia"/>
          <w:sz w:val="28"/>
          <w:szCs w:val="28"/>
        </w:rPr>
        <w:t>,扎实开展矛盾纠纷排查化解活动，推进积案化解，畅通信访渠道，规范信访秩序，不断创新信访工作机制，有效推动信访改革和业务提升，使群众诉求表达的渠道更加优化畅通</w:t>
      </w:r>
      <w:r>
        <w:rPr>
          <w:rFonts w:hint="eastAsia" w:cs="仿宋_GB2312" w:asciiTheme="minorEastAsia" w:hAnsiTheme="minorEastAsia" w:eastAsiaTheme="minorEastAsia"/>
          <w:sz w:val="28"/>
          <w:szCs w:val="28"/>
        </w:rPr>
        <w:t>。</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27"/>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经综合评价，中南路街道办事处“街道综合工作经费”绩效评价总得分为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项目全年预算数为45.45万元，执行数为45.45万元，完成预算的100 %。主要产出和效果：一是</w:t>
      </w:r>
      <w:r>
        <w:rPr>
          <w:rFonts w:asciiTheme="minorEastAsia" w:hAnsiTheme="minorEastAsia" w:eastAsiaTheme="minorEastAsia"/>
          <w:sz w:val="28"/>
          <w:szCs w:val="28"/>
          <w:shd w:val="clear" w:color="auto" w:fill="FFFFFF"/>
        </w:rPr>
        <w:t>信访形势持续保持平稳、有序、可控的良好局面</w:t>
      </w:r>
      <w:r>
        <w:rPr>
          <w:rFonts w:hint="eastAsia" w:asciiTheme="minorEastAsia" w:hAnsiTheme="minorEastAsia" w:eastAsiaTheme="minorEastAsia"/>
          <w:sz w:val="28"/>
          <w:szCs w:val="28"/>
        </w:rPr>
        <w:t>；二是</w:t>
      </w:r>
      <w:r>
        <w:rPr>
          <w:rFonts w:asciiTheme="minorEastAsia" w:hAnsiTheme="minorEastAsia" w:eastAsiaTheme="minorEastAsia"/>
          <w:sz w:val="28"/>
          <w:szCs w:val="28"/>
          <w:shd w:val="clear" w:color="auto" w:fill="FFFFFF"/>
        </w:rPr>
        <w:t>扎实开展矛盾纠纷排查化解活动</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加快建设平安</w:t>
      </w:r>
      <w:r>
        <w:rPr>
          <w:rFonts w:hint="eastAsia" w:asciiTheme="minorEastAsia" w:hAnsiTheme="minorEastAsia" w:eastAsiaTheme="minorEastAsia"/>
          <w:sz w:val="28"/>
          <w:szCs w:val="28"/>
          <w:shd w:val="clear" w:color="auto" w:fill="FFFFFF"/>
        </w:rPr>
        <w:t>中南</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1、非法上访现象依然存在；</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2、矛盾纠纷偶有发生。</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1、坚持法治建设，畅通依法上访渠道；</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2、依法治国、依规管理，化解居民矛盾。</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武昌区中南路街2019年度经济普查工作经费绩效自评报告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经济普查工作经费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53.12</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“经济普查工作经费”绩效评价采用比较法、公众评判法、统计计算法、实地考察等方法进行评价分析，调阅相关凭证、单据进行分析研究。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项目全年预算数为53.12万元，执行数为53.12万元，完成预算的100 %。经济普查工作经费主要用于用于街道经济普查相关工作，了解辖区第一手经济资料，为街道经济决策提供相关依据。</w:t>
      </w:r>
    </w:p>
    <w:p>
      <w:pPr>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29"/>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经综合评价，中南路街道办事处“经济普查工作经费”绩效评价总得分为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0"/>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项目全年预算数为53.12万元，执行数为53.12万元，完成预算的100 %。主要产出和效果：一是对辖区经济状况有了更深入、更细致的了解；二是摸清经济家底，经济发展决策更有针对性。</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1、经济普查数据存在一定的滞后性；</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2、企业发展变化较快，难以实时跟踪。</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1、对辖区企业经济数据进行动态跟踪；</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2、利用大数据分析经济数据。</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武昌区中南路街2019年度”四上”企业奖励经费绩效自评报告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”四上”企业奖励经费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28.92</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“四上”企业奖励经费绩效评价采用比较法、公众评判法、统计计算法、实地考察等方法进行评价分析，调阅相关凭证、单据进行分析研究。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项目全年预算数为28.92万元，执行数为28.92万元，完成预算的100 %。支持辖区“四上”企业发展，为经济添活力，促进企业高质量发展。</w:t>
      </w:r>
    </w:p>
    <w:p>
      <w:pPr>
        <w:spacing w:line="220" w:lineRule="atLeast"/>
        <w:ind w:firstLine="562"/>
        <w:rPr>
          <w:rFonts w:asciiTheme="minorEastAsia" w:hAnsiTheme="minorEastAsia" w:eastAsiaTheme="minorEastAsia"/>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3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经综合评价，中南路街道办事处““四上”企业奖励经费工作经费”绩效评价总得分为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项目全年预算数为28.92万元，执行数为28.92万元，完成预算的100 %。主要产出和效果：一是优化营商环境，区域经济加快发展；二是增添企业家信息，为发展添动力。</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1、企业发展融资成本依然较高；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2、高新技术企业发展有所不足。</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1、为企业牵线搭桥，降低融资成本；</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2、差异化奖励金额，鼓励高新技术企业发展。</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武昌区中南路街2019年度社区统计信息经费绩效自评报告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社区统计信息经费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29.76</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“社区统计信息经费”绩效评价采用比较法、公众评判法、统计计算法、实地考察等方法进行评价分析，调阅相关凭证、单据进行分析研究。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29.76万元，执行数为29.76万元，完成预算的100 %。按时组织完成基层报表联网直报工作；严格贯彻“先进库、再有数”的原则，凡具有审批或者登记企事业单位的部门，应向区统计局报送有关资料，共同做好基本单位名录库建设。</w:t>
      </w:r>
    </w:p>
    <w:p>
      <w:pPr>
        <w:spacing w:line="360" w:lineRule="atLeast"/>
        <w:ind w:firstLine="560"/>
        <w:rPr>
          <w:rFonts w:asciiTheme="minorEastAsia" w:hAnsiTheme="minorEastAsia" w:eastAsiaTheme="minorEastAsia"/>
          <w:color w:val="FF0000"/>
          <w:sz w:val="28"/>
          <w:szCs w:val="28"/>
        </w:rPr>
      </w:pP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33"/>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经综合评价，中南路街道办事处“社区统计信息经费工作经费”绩效评价总得分为</w:t>
      </w:r>
      <w:r>
        <w:rPr>
          <w:rFonts w:hint="eastAsia" w:cs="Arial Narrow" w:asciiTheme="minorEastAsia" w:hAnsiTheme="minorEastAsia" w:eastAsiaTheme="minorEastAsia"/>
          <w:color w:val="FF0000"/>
          <w:sz w:val="28"/>
          <w:szCs w:val="28"/>
        </w:rPr>
        <w:t>90.00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90</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项目全年预算数为29.76万元，执行数为29.76万元，完成预算的100 %。主要产出和效果：一是技术准确反映相关统计数据；二是完善单位名录，及时掌握相关信息。</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1、社区统计数量大，信息维护有一定滞后性；</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2、相关企业信息变化，名录库未及时更新。</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1、定期与不定期核实相关信息，及时跟进异动情况；</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2、建立信息共联，及时更新名录库。</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武昌区中南路街2019年度追加区统计局工作经费绩效自评报告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追加区统计局工作经费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6.74</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“追加区统计局工作经费”绩效评价采用比较法、公众评判法、统计计算法、实地考察等方法进行评价分析，调阅相关凭证、单据进行分析研究。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项目全年预算数为6.74万元，执行数为6.74万元，完成预算的100 %。统计辖区各类经济数据，更好呈现街道经济发展情况。</w:t>
      </w:r>
    </w:p>
    <w:p>
      <w:pPr>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35"/>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经综合评价，中南路街道办事处“追加区统计局工作经费”绩效评价总得分为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6"/>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项目全年预算数为6.74万元，执行数为6.74万元，完成预算的100 %。主要产出和效果：一是统计数据更完整、更及时；二是名录库建设更完整。</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1、事中监控手段较单一；</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2、事后监督办法不多。</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1、事中资金监控需要更加细化、优化；</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2、加强事后监督，多人复核。</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武昌区中南路街2019年度回民补贴工作经费绩效自评报告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回民补贴工作经费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22.63</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“回民补贴工作经费”绩效评价采用比较法、公众评判法、统计计算法、实地考察等方法进行评价分析，调阅相关凭证、单据进行分析研究。</w:t>
      </w:r>
    </w:p>
    <w:p>
      <w:pPr>
        <w:ind w:firstLine="562"/>
        <w:rPr>
          <w:rFonts w:cs="仿宋_GB2312" w:asciiTheme="minorEastAsia" w:hAnsiTheme="minorEastAsia" w:eastAsiaTheme="minorEastAsia"/>
          <w:sz w:val="28"/>
          <w:szCs w:val="28"/>
        </w:rPr>
      </w:pPr>
      <w:r>
        <w:rPr>
          <w:rFonts w:hint="eastAsia" w:cs="Arial Narrow" w:asciiTheme="minorEastAsia" w:hAnsiTheme="minorEastAsia" w:eastAsiaTheme="minorEastAsia"/>
          <w:b/>
          <w:bCs/>
          <w:sz w:val="28"/>
          <w:szCs w:val="28"/>
        </w:rPr>
        <w:t xml:space="preserve">    </w:t>
      </w:r>
      <w:r>
        <w:rPr>
          <w:rFonts w:hint="eastAsia" w:cs="仿宋_GB2312" w:asciiTheme="minorEastAsia" w:hAnsiTheme="minorEastAsia" w:eastAsiaTheme="minorEastAsia"/>
          <w:sz w:val="28"/>
          <w:szCs w:val="28"/>
        </w:rPr>
        <w:t>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项目全年预算数为22.63万元，执行数为22.63万元，完成预算的100 %。回民补贴主要用于回民住宿餐饮等少数民族的相关支出，关心关爱少数民族群众，促进辖区居民团结互助、共享发展成果。</w:t>
      </w:r>
    </w:p>
    <w:p>
      <w:pPr>
        <w:ind w:firstLine="562"/>
        <w:rPr>
          <w:rFonts w:asciiTheme="minorEastAsia" w:hAnsiTheme="minorEastAsia" w:eastAsiaTheme="minorEastAsia"/>
          <w:sz w:val="28"/>
          <w:szCs w:val="28"/>
        </w:rPr>
      </w:pPr>
      <w:r>
        <w:rPr>
          <w:rFonts w:hint="eastAsia" w:cs="仿宋_GB2312" w:asciiTheme="minorEastAsia" w:hAnsiTheme="minorEastAsia" w:eastAsiaTheme="minorEastAsia"/>
          <w:b/>
          <w:sz w:val="28"/>
          <w:szCs w:val="28"/>
        </w:rPr>
        <w:t>六. 基</w:t>
      </w:r>
      <w:r>
        <w:rPr>
          <w:rFonts w:hint="eastAsia" w:cs="Arial Narrow" w:asciiTheme="minorEastAsia" w:hAnsiTheme="minorEastAsia" w:eastAsiaTheme="minorEastAsia"/>
          <w:b/>
          <w:bCs/>
          <w:sz w:val="28"/>
          <w:szCs w:val="28"/>
        </w:rPr>
        <w:t>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37"/>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经综合评价，中南路街道办事处“回民补贴工作经费”绩效评价总得分为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项目全年预算数为22.63万元，执行数为22.63万元，完成预算的100 %。主要产出和效果：一是民政政策得以进一步贯彻；二是</w:t>
      </w:r>
      <w:r>
        <w:rPr>
          <w:rFonts w:hint="eastAsia" w:asciiTheme="minorEastAsia" w:hAnsiTheme="minorEastAsia" w:eastAsiaTheme="minorEastAsia"/>
          <w:sz w:val="28"/>
          <w:szCs w:val="28"/>
          <w:lang w:eastAsia="zh-CN"/>
        </w:rPr>
        <w:t>少数民族</w:t>
      </w:r>
      <w:r>
        <w:rPr>
          <w:rFonts w:hint="eastAsia" w:asciiTheme="minorEastAsia" w:hAnsiTheme="minorEastAsia" w:eastAsiaTheme="minorEastAsia"/>
          <w:sz w:val="28"/>
          <w:szCs w:val="28"/>
        </w:rPr>
        <w:t>群众也能享受到发展成果。</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1、少数民族群众需求更多，服务要求高；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2、辖区人员流动较大，人员信息掌握存在一定漏洞。</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1、针对少数民族群众的需求，灵活使用经费；</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2、及时掌握更新流动人员信息情况，弥补相关漏洞。</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武昌区中南路街2019年度社区工会经费绩效自评报告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社区工会经费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2.4</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“社区工会经费”绩效评价采用比较法、公众评判法、统计计算法、实地考察等方法进行评价分析，调阅相关凭证、单据进行分析研究。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项目全年预算数为2.4万元，执行数为2.4万元，完成预算的100 %。</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社区工会经费用于社区各项工会活动等相关支出，彰显组织关爱，提升居民幸福感。</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39"/>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经综合评价，中南路街道办事处“社区工会工作经费”绩效评价总得分为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0"/>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项目全年预算数为2.4万元，执行数为2.4万元，完成预算的100 %。主要产出和效果：一是组织工会活动，提升居民幸福感；二是拉近了与社区居民的距离。</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1、社区工会经费组织活动形式单一；</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2、社区工会成本控制压力较大。</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1、优化社区工会活动，形式多样、丰富；</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2、进一步控制工会成本，节约支出。</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武昌区中南路街2019年度基层兼职统战委员工作补贴工作经费绩效自评报告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基层兼职统战委员工作补贴工作经费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5.76</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“基层兼职统战委员工作补贴工作经费”绩效评价采用比较法、公众评判法、统计计算法、实地考察等方法进行评价分析，调阅相关凭证、单据进行分析研究。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5.76万元，执行数为5.76万元，完成预算的100 %。全面梳理辖区统战工作中存在的差距和不足，找准统一战线各领域存在的重点难点问题、统一战线工作实践中遇到的新情况新问题，促进街道统一战线工作全面提升。</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4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经综合评价，中南路街道办事处“基层兼职统战委员工作补贴工作经费”绩效评价总得分为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项目全年预算数为5.76万元，执行数为5.76万元，完成预算的100 %。主要产出和效果：一是补足街道统战工作短板，重点问题得以解决；二是针对新情况、新问题都得以妥善解决。</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1、资金监控存有不足；</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2、资金使用效益有待提高。</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1、完善事前、事中、事后监控；</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2、高效率使用工作经费。</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武昌区中南路街2019年度社会治安综合治理激励性转移支付资金绩效自评报告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社会治安综合治理激励性转移支付资金</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“社会治安综合治理激励性转移支付资金”绩效评价采用比较法、公众评判法、统计计算法、实地考察等方法进行评价分析，调阅相关凭证、单据进行分析研究。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项目全年预算数为1万元，执行数为1万元，完成预算的100 %。</w:t>
      </w:r>
    </w:p>
    <w:p>
      <w:pP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促进辖区综合治理，加强安防建设，提升安防、人防、技防水平。</w:t>
      </w:r>
    </w:p>
    <w:p>
      <w:pPr>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43"/>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经综合评价，中南路街道办事处“社会治安综合治理激励性转移支付资金工作经费”绩效评价总得分为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项目全年预算数为1万元，执行数为1万元，完成预算的100 %。主要产出和效果：一是街道治安更加安全；二是街道环境更加整洁。</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1、治安隐患仍存隐忧；</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2、人口多，管理难度相对较大。</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1、从根本上推进治安管理，用活资金；</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2、加强正能量宣传，提升辖区居民满意度。</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武昌区中南路街2019年度重大节日慰问经费绩效自评报告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重大节日慰问经费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3.35</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“重大节日慰问经费”绩效评价采用比较法、公众评判法、统计计算法、实地考察等方法进行评价分析，调阅相关凭证、单据进行分析研究。</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bCs/>
          <w:sz w:val="28"/>
          <w:szCs w:val="28"/>
        </w:rPr>
        <w:t xml:space="preserve">    </w:t>
      </w:r>
      <w:r>
        <w:rPr>
          <w:rFonts w:hint="eastAsia" w:cs="Arial Narrow" w:asciiTheme="minorEastAsia" w:hAnsiTheme="minorEastAsia" w:eastAsiaTheme="minorEastAsia"/>
          <w:b/>
          <w:sz w:val="28"/>
          <w:szCs w:val="28"/>
        </w:rPr>
        <w:t>五、项目基本情况</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项目全年预算数为3.35万元，执行数为3.35万元，完成预算的100 %。关爱、关心干部员工、居民等，烘托节日气氛，体现组织关爱。</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45"/>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经综合评价，中南路街道办事处“重大节日慰问经费工作经费”绩效评价总得分为</w:t>
      </w:r>
      <w:r>
        <w:rPr>
          <w:rFonts w:hint="eastAsia" w:cs="Arial Narrow" w:asciiTheme="minorEastAsia" w:hAnsiTheme="minorEastAsia" w:eastAsiaTheme="minorEastAsia"/>
          <w:color w:val="FF0000"/>
          <w:sz w:val="28"/>
          <w:szCs w:val="28"/>
        </w:rPr>
        <w:t>90.00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90</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6"/>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项目全年预算数为3.35万元，执行数为3.35万元，完成预算的100 %。主要产出和效果：一是干部员工关爱得以彰显；二是凝聚力、向心力得以加强</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1、关爱不及时；</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2、慰问手续监管有隐忧。</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1、提前做好节日慰问谋划，及时关爱；</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2、严格执行慰问手续，确保手续合规、完整。</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武昌区中南路街2019年度科普活动工作经费绩效自评报告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科普活动工作经费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30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“科普活动工作经费”绩效评价采用比较法、公众评判法、统计计算法、实地考察等方法进行评价分析，调阅相关凭证、单据进行分析研究。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项目全年预算数为30万元，执行数为30万元，完成预算的100 %。</w:t>
      </w:r>
    </w:p>
    <w:p>
      <w:pPr>
        <w:rPr>
          <w:rFonts w:asciiTheme="minorEastAsia" w:hAnsiTheme="minorEastAsia" w:eastAsiaTheme="minorEastAsia"/>
          <w:sz w:val="28"/>
          <w:szCs w:val="28"/>
        </w:rPr>
      </w:pPr>
      <w:r>
        <w:rPr>
          <w:rFonts w:hint="eastAsia" w:cs="Arial" w:asciiTheme="minorEastAsia" w:hAnsiTheme="minorEastAsia" w:eastAsiaTheme="minorEastAsia"/>
          <w:color w:val="333333"/>
          <w:sz w:val="28"/>
          <w:szCs w:val="28"/>
          <w:shd w:val="clear" w:color="auto" w:fill="FFFFFF"/>
        </w:rPr>
        <w:t>科普活动经费用于</w:t>
      </w:r>
      <w:r>
        <w:rPr>
          <w:rFonts w:hint="eastAsia" w:asciiTheme="minorEastAsia" w:hAnsiTheme="minorEastAsia" w:eastAsiaTheme="minorEastAsia"/>
          <w:sz w:val="28"/>
          <w:szCs w:val="28"/>
        </w:rPr>
        <w:t>科普知识</w:t>
      </w:r>
      <w:r>
        <w:rPr>
          <w:rFonts w:cs="Arial" w:asciiTheme="minorEastAsia" w:hAnsiTheme="minorEastAsia" w:eastAsiaTheme="minorEastAsia"/>
          <w:color w:val="333333"/>
          <w:sz w:val="28"/>
          <w:szCs w:val="28"/>
          <w:shd w:val="clear" w:color="auto" w:fill="FFFFFF"/>
        </w:rPr>
        <w:t>宣传资料分发、免费咨询、</w:t>
      </w:r>
      <w:r>
        <w:rPr>
          <w:rFonts w:hint="eastAsia" w:cs="Arial" w:asciiTheme="minorEastAsia" w:hAnsiTheme="minorEastAsia" w:eastAsiaTheme="minorEastAsia"/>
          <w:color w:val="333333"/>
          <w:sz w:val="28"/>
          <w:szCs w:val="28"/>
          <w:shd w:val="clear" w:color="auto" w:fill="FFFFFF"/>
        </w:rPr>
        <w:t>科普文化长廊</w:t>
      </w:r>
      <w:r>
        <w:rPr>
          <w:rFonts w:cs="Arial" w:asciiTheme="minorEastAsia" w:hAnsiTheme="minorEastAsia" w:eastAsiaTheme="minorEastAsia"/>
          <w:color w:val="333333"/>
          <w:sz w:val="28"/>
          <w:szCs w:val="28"/>
          <w:shd w:val="clear" w:color="auto" w:fill="FFFFFF"/>
        </w:rPr>
        <w:t>和科普</w:t>
      </w:r>
      <w:r>
        <w:rPr>
          <w:rFonts w:hint="eastAsia" w:cs="Arial" w:asciiTheme="minorEastAsia" w:hAnsiTheme="minorEastAsia" w:eastAsiaTheme="minorEastAsia"/>
          <w:color w:val="333333"/>
          <w:sz w:val="28"/>
          <w:szCs w:val="28"/>
          <w:shd w:val="clear" w:color="auto" w:fill="FFFFFF"/>
        </w:rPr>
        <w:t>活动等相关支出，普及科学知识，贯彻科教兴国战略</w:t>
      </w:r>
      <w:r>
        <w:rPr>
          <w:rFonts w:cs="Arial" w:asciiTheme="minorEastAsia" w:hAnsiTheme="minorEastAsia" w:eastAsiaTheme="minorEastAsia"/>
          <w:color w:val="333333"/>
          <w:sz w:val="28"/>
          <w:szCs w:val="28"/>
          <w:shd w:val="clear" w:color="auto" w:fill="FFFFFF"/>
        </w:rPr>
        <w:t>。</w:t>
      </w:r>
    </w:p>
    <w:p>
      <w:pPr>
        <w:spacing w:line="360" w:lineRule="atLeast"/>
        <w:ind w:firstLine="560"/>
        <w:rPr>
          <w:rFonts w:asciiTheme="minorEastAsia" w:hAnsiTheme="minorEastAsia" w:eastAsiaTheme="minorEastAsia"/>
          <w:color w:val="FF0000"/>
          <w:sz w:val="28"/>
          <w:szCs w:val="28"/>
        </w:rPr>
      </w:pP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17</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47"/>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34</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经综合评价，中南路街道办事处“科普活动工作经费”绩效评价总得分为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17</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34</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项目全年预算数为30万元，执行数为30万元，完成预算的100 %。主要产出和效果：一是开展多项科普活动，科学知识得到进一步普及；二是发放科普宣传资料，将科学知识传播到居民家中。</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1、居民对科普宣传认识度不够；</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2、科普活动形式不丰富。</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1、加大科普知识宣传力度，丰富宣传方式；</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2、丰富科普活动形式，通过讲座、体验式参与等让居民更好的吸收科普知识。</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武昌区中南路街2019年度社会事务管理工作经费绩效自评报告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社会事务管理工作经费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“社会事务管理工作经费”绩效评价采用比较法、公众评判法、统计计算法、实地考察等方法进行评价分析，调阅相关凭证、单据进行分析研究。</w:t>
      </w:r>
    </w:p>
    <w:p>
      <w:pPr>
        <w:outlineLvl w:val="0"/>
        <w:rPr>
          <w:rFonts w:cs="仿宋_GB2312" w:asciiTheme="minorEastAsia" w:hAnsiTheme="minorEastAsia" w:eastAsiaTheme="minorEastAsia"/>
          <w:b/>
          <w:sz w:val="28"/>
          <w:szCs w:val="28"/>
        </w:rPr>
      </w:pPr>
      <w:r>
        <w:rPr>
          <w:rFonts w:hint="eastAsia" w:cs="Arial Narrow" w:asciiTheme="minorEastAsia" w:hAnsiTheme="minorEastAsia" w:eastAsiaTheme="minorEastAsia"/>
          <w:b/>
          <w:bCs/>
          <w:sz w:val="28"/>
          <w:szCs w:val="28"/>
        </w:rPr>
        <w:t xml:space="preserve">    </w:t>
      </w:r>
      <w:r>
        <w:rPr>
          <w:rFonts w:hint="eastAsia" w:cs="仿宋_GB2312" w:asciiTheme="minorEastAsia" w:hAnsiTheme="minorEastAsia" w:eastAsiaTheme="minorEastAsia"/>
          <w:b/>
          <w:sz w:val="28"/>
          <w:szCs w:val="28"/>
        </w:rPr>
        <w:t>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项目全年预算数为10万元，执行数为10万元，完成预算的100 %，着力解决公共事务难题，化解社会矛盾。</w:t>
      </w:r>
    </w:p>
    <w:p>
      <w:pPr>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仿宋_GB2312" w:asciiTheme="minorEastAsia" w:hAnsiTheme="minorEastAsia" w:eastAsiaTheme="minorEastAsia"/>
          <w:sz w:val="28"/>
          <w:szCs w:val="28"/>
        </w:rPr>
        <w:t>（</w:t>
      </w: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49"/>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经综合评价，中南路街道办事处“社会事务管理工作经费”绩效评价总得分为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90</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0"/>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项目全年预算数为10万元，执行数为10万元，完成预算的100 %。主要产出和效果：一是社会矛盾问题进一步得到妥善解决；二是社会公共难题逐步得到解决。</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1、社会矛盾得到化解，但复杂性问题依然存在；</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2、企业生产成本较往年有所上升。</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1、继续优化营商环境，组织辖区内企业、工商、税务、银行等部门，帮助企业降低经营成本；</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2、鼓励企业实施创新发展战略，严控生产、人力成本。</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武昌区中南路街2019年度社区工作者体检项目工作经费绩效自评报告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ascii="宋体" w:hAnsi="宋体" w:eastAsia="宋体" w:cs="Arial Narrow"/>
          <w:b/>
          <w:sz w:val="28"/>
          <w:szCs w:val="28"/>
        </w:rPr>
      </w:pPr>
      <w:r>
        <w:rPr>
          <w:rFonts w:hint="eastAsia" w:ascii="宋体" w:hAnsi="宋体" w:eastAsia="宋体" w:cs="Arial Narrow"/>
          <w:b/>
          <w:sz w:val="28"/>
          <w:szCs w:val="28"/>
        </w:rPr>
        <w:t>一、</w:t>
      </w:r>
      <w:r>
        <w:rPr>
          <w:rFonts w:ascii="宋体" w:hAnsi="宋体" w:eastAsia="宋体" w:cs="Arial Narrow"/>
          <w:b/>
          <w:sz w:val="28"/>
          <w:szCs w:val="28"/>
        </w:rPr>
        <w:t>项目名称：</w:t>
      </w:r>
      <w:r>
        <w:rPr>
          <w:rFonts w:hint="eastAsia" w:ascii="宋体" w:hAnsi="宋体" w:eastAsia="宋体" w:cs="Arial Narrow"/>
          <w:b/>
          <w:sz w:val="28"/>
          <w:szCs w:val="28"/>
        </w:rPr>
        <w:t>社区工作者体检项目工作经费</w:t>
      </w:r>
    </w:p>
    <w:p>
      <w:pPr>
        <w:pStyle w:val="10"/>
        <w:ind w:left="510" w:firstLine="0" w:firstLineChars="0"/>
        <w:jc w:val="left"/>
        <w:rPr>
          <w:rFonts w:ascii="宋体" w:hAnsi="宋体" w:eastAsia="宋体" w:cs="Arial Narrow"/>
          <w:b/>
          <w:sz w:val="28"/>
          <w:szCs w:val="28"/>
        </w:rPr>
      </w:pPr>
      <w:r>
        <w:rPr>
          <w:rFonts w:hint="eastAsia" w:ascii="宋体" w:hAnsi="宋体" w:eastAsia="宋体" w:cs="Arial Narrow"/>
          <w:b/>
          <w:sz w:val="28"/>
          <w:szCs w:val="28"/>
        </w:rPr>
        <w:t>二、</w:t>
      </w:r>
      <w:r>
        <w:rPr>
          <w:rFonts w:ascii="宋体" w:hAnsi="宋体" w:eastAsia="宋体" w:cs="Arial Narrow"/>
          <w:b/>
          <w:sz w:val="28"/>
          <w:szCs w:val="28"/>
        </w:rPr>
        <w:t>项目金额：</w:t>
      </w:r>
      <w:r>
        <w:rPr>
          <w:rFonts w:hint="eastAsia" w:ascii="宋体" w:hAnsi="宋体" w:eastAsia="宋体" w:cs="Arial Narrow"/>
          <w:b/>
          <w:sz w:val="28"/>
          <w:szCs w:val="28"/>
        </w:rPr>
        <w:t>27.52</w:t>
      </w:r>
      <w:r>
        <w:rPr>
          <w:rFonts w:ascii="宋体" w:hAnsi="宋体" w:eastAsia="宋体" w:cs="Arial Narrow"/>
          <w:b/>
          <w:sz w:val="28"/>
          <w:szCs w:val="28"/>
        </w:rPr>
        <w:t>万元</w:t>
      </w:r>
    </w:p>
    <w:p>
      <w:pPr>
        <w:ind w:firstLine="562"/>
        <w:rPr>
          <w:rFonts w:ascii="宋体" w:hAnsi="宋体" w:eastAsia="宋体" w:cs="Arial Narrow"/>
          <w:b/>
          <w:sz w:val="28"/>
          <w:szCs w:val="28"/>
        </w:rPr>
      </w:pPr>
      <w:r>
        <w:rPr>
          <w:rFonts w:hint="eastAsia" w:ascii="宋体" w:hAnsi="宋体" w:eastAsia="宋体" w:cs="Arial Narrow"/>
          <w:b/>
          <w:sz w:val="28"/>
          <w:szCs w:val="28"/>
        </w:rPr>
        <w:t>三</w:t>
      </w:r>
      <w:r>
        <w:rPr>
          <w:rFonts w:ascii="宋体" w:hAnsi="宋体" w:eastAsia="宋体" w:cs="Arial Narrow"/>
          <w:b/>
          <w:sz w:val="28"/>
          <w:szCs w:val="28"/>
        </w:rPr>
        <w:t>、评价工作组组成名单</w:t>
      </w:r>
      <w:r>
        <w:rPr>
          <w:rFonts w:ascii="宋体" w:hAnsi="宋体" w:eastAsia="宋体" w:cs="Arial Narrow"/>
          <w:color w:val="FF0000"/>
          <w:sz w:val="28"/>
          <w:szCs w:val="28"/>
        </w:rPr>
        <w:t>：</w:t>
      </w:r>
      <w:r>
        <w:rPr>
          <w:rFonts w:hint="eastAsia" w:ascii="宋体" w:hAnsi="宋体" w:eastAsia="宋体" w:cs="Arial Narrow"/>
          <w:color w:val="FF0000"/>
          <w:sz w:val="28"/>
          <w:szCs w:val="28"/>
        </w:rPr>
        <w:t>杨志红、李继彬、杜珊</w:t>
      </w:r>
    </w:p>
    <w:p>
      <w:pPr>
        <w:ind w:firstLine="562"/>
        <w:rPr>
          <w:rFonts w:ascii="宋体" w:hAnsi="宋体" w:eastAsia="宋体" w:cs="Arial Narrow"/>
          <w:b/>
          <w:sz w:val="28"/>
          <w:szCs w:val="28"/>
        </w:rPr>
      </w:pPr>
      <w:r>
        <w:rPr>
          <w:rFonts w:hint="eastAsia" w:ascii="宋体" w:hAnsi="宋体" w:eastAsia="宋体" w:cs="Arial Narrow"/>
          <w:b/>
          <w:sz w:val="28"/>
          <w:szCs w:val="28"/>
        </w:rPr>
        <w:t>四</w:t>
      </w:r>
      <w:r>
        <w:rPr>
          <w:rFonts w:ascii="宋体" w:hAnsi="宋体" w:eastAsia="宋体" w:cs="Arial Narrow"/>
          <w:b/>
          <w:sz w:val="28"/>
          <w:szCs w:val="28"/>
        </w:rPr>
        <w:t>、主要评价方法概述</w:t>
      </w:r>
    </w:p>
    <w:p>
      <w:pPr>
        <w:ind w:firstLine="560"/>
        <w:rPr>
          <w:rFonts w:ascii="宋体" w:hAnsi="宋体" w:eastAsia="宋体" w:cs="仿宋_GB2312"/>
          <w:sz w:val="28"/>
          <w:szCs w:val="28"/>
        </w:rPr>
      </w:pPr>
      <w:r>
        <w:rPr>
          <w:rFonts w:hint="eastAsia" w:ascii="宋体" w:hAnsi="宋体" w:eastAsia="宋体" w:cs="仿宋_GB2312"/>
          <w:sz w:val="28"/>
          <w:szCs w:val="28"/>
        </w:rPr>
        <w:t>“社区工作者体检项目工作经费”绩效评价采用比较法、公众评判法、统计计算法、实地考察等方法进行评价分析，调阅相关凭证、单据进行分析研究。</w:t>
      </w:r>
    </w:p>
    <w:p>
      <w:pPr>
        <w:outlineLvl w:val="0"/>
        <w:rPr>
          <w:rFonts w:ascii="宋体" w:hAnsi="宋体" w:eastAsia="宋体" w:cs="Arial Narrow"/>
          <w:b/>
          <w:bCs/>
          <w:sz w:val="28"/>
          <w:szCs w:val="28"/>
        </w:rPr>
      </w:pPr>
      <w:r>
        <w:rPr>
          <w:rFonts w:hint="eastAsia" w:ascii="宋体" w:hAnsi="宋体" w:eastAsia="宋体" w:cs="Arial Narrow"/>
          <w:b/>
          <w:bCs/>
          <w:sz w:val="28"/>
          <w:szCs w:val="28"/>
        </w:rPr>
        <w:t xml:space="preserve">    五、项目基本情况</w:t>
      </w:r>
    </w:p>
    <w:p>
      <w:pPr>
        <w:spacing w:line="220" w:lineRule="atLeast"/>
        <w:ind w:firstLine="560"/>
        <w:rPr>
          <w:rFonts w:ascii="宋体" w:hAnsi="宋体" w:eastAsia="宋体"/>
          <w:sz w:val="28"/>
          <w:szCs w:val="28"/>
        </w:rPr>
      </w:pPr>
      <w:r>
        <w:rPr>
          <w:rFonts w:hint="eastAsia" w:ascii="宋体" w:hAnsi="宋体" w:eastAsia="宋体"/>
          <w:sz w:val="28"/>
          <w:szCs w:val="28"/>
        </w:rPr>
        <w:t>项目全年预算数为27.52万元，执行数为27.52万元，完成预算的100 %。贯彻中共中央国务院“共建共享，全民健康”的建设健康中国的战略部署，以中南路街领导对社区工作者体检工作要求为指导，为辖区内的社区工作者提供体检服务。</w:t>
      </w:r>
    </w:p>
    <w:p>
      <w:pPr>
        <w:ind w:firstLine="562"/>
        <w:rPr>
          <w:rFonts w:ascii="宋体" w:hAnsi="宋体" w:eastAsia="宋体" w:cs="Arial Narrow"/>
          <w:b/>
          <w:bCs/>
          <w:sz w:val="28"/>
          <w:szCs w:val="28"/>
        </w:rPr>
      </w:pPr>
      <w:r>
        <w:rPr>
          <w:rFonts w:hint="eastAsia" w:ascii="宋体" w:hAnsi="宋体" w:eastAsia="宋体" w:cs="Arial Narrow"/>
          <w:b/>
          <w:bCs/>
          <w:sz w:val="28"/>
          <w:szCs w:val="28"/>
        </w:rPr>
        <w:t>六. 基准日及评价历时</w:t>
      </w:r>
    </w:p>
    <w:p>
      <w:pPr>
        <w:ind w:firstLine="560"/>
        <w:rPr>
          <w:rFonts w:ascii="宋体" w:hAnsi="宋体" w:eastAsia="宋体" w:cs="Arial Narrow"/>
          <w:color w:val="FF0000"/>
          <w:sz w:val="28"/>
          <w:szCs w:val="28"/>
        </w:rPr>
      </w:pPr>
      <w:r>
        <w:rPr>
          <w:rFonts w:hint="eastAsia" w:ascii="宋体" w:hAnsi="宋体" w:eastAsia="宋体" w:cs="Arial Narrow"/>
          <w:color w:val="FF0000"/>
          <w:sz w:val="28"/>
          <w:szCs w:val="28"/>
        </w:rPr>
        <w:t xml:space="preserve">（一）评价基准日：2019年12月31日  </w:t>
      </w:r>
    </w:p>
    <w:p>
      <w:pPr>
        <w:ind w:firstLine="480"/>
        <w:rPr>
          <w:rFonts w:ascii="宋体" w:hAnsi="宋体" w:eastAsia="宋体" w:cs="Arial Narrow"/>
          <w:color w:val="FF0000"/>
          <w:sz w:val="28"/>
          <w:szCs w:val="28"/>
          <w:highlight w:val="darkGreen"/>
        </w:rPr>
      </w:pPr>
      <w:r>
        <w:rPr>
          <w:rFonts w:hint="eastAsia" w:ascii="宋体" w:hAnsi="宋体" w:eastAsia="宋体" w:cs="Arial Narrow"/>
          <w:color w:val="FF0000"/>
          <w:sz w:val="28"/>
          <w:szCs w:val="28"/>
        </w:rPr>
        <w:t>（二）本次评价从2019年10月12日——2019年10月</w:t>
      </w:r>
      <w:r>
        <w:rPr>
          <w:rFonts w:ascii="宋体" w:hAnsi="宋体" w:eastAsia="宋体" w:cs="Arial Narrow"/>
          <w:color w:val="FF0000"/>
          <w:sz w:val="28"/>
          <w:szCs w:val="28"/>
        </w:rPr>
        <w:t>2</w:t>
      </w:r>
      <w:r>
        <w:rPr>
          <w:rFonts w:hint="eastAsia" w:ascii="宋体" w:hAnsi="宋体" w:eastAsia="宋体" w:cs="Arial Narrow"/>
          <w:color w:val="FF0000"/>
          <w:sz w:val="28"/>
          <w:szCs w:val="28"/>
        </w:rPr>
        <w:t>6日，历时</w:t>
      </w:r>
      <w:r>
        <w:rPr>
          <w:rFonts w:ascii="宋体" w:hAnsi="宋体" w:eastAsia="宋体" w:cs="Arial Narrow"/>
          <w:color w:val="FF0000"/>
          <w:sz w:val="28"/>
          <w:szCs w:val="28"/>
        </w:rPr>
        <w:t>1</w:t>
      </w:r>
      <w:r>
        <w:rPr>
          <w:rFonts w:hint="eastAsia" w:ascii="宋体" w:hAnsi="宋体" w:eastAsia="宋体" w:cs="Arial Narrow"/>
          <w:color w:val="FF0000"/>
          <w:sz w:val="28"/>
          <w:szCs w:val="28"/>
        </w:rPr>
        <w:t>5天</w:t>
      </w:r>
    </w:p>
    <w:p>
      <w:pPr>
        <w:ind w:firstLine="562"/>
        <w:rPr>
          <w:rFonts w:ascii="宋体" w:hAnsi="宋体" w:eastAsia="宋体" w:cs="Arial Narrow"/>
          <w:b/>
          <w:sz w:val="28"/>
          <w:szCs w:val="28"/>
        </w:rPr>
      </w:pPr>
      <w:r>
        <w:rPr>
          <w:rFonts w:hint="eastAsia" w:ascii="宋体" w:hAnsi="宋体" w:eastAsia="宋体" w:cs="Arial Narrow"/>
          <w:b/>
          <w:sz w:val="28"/>
          <w:szCs w:val="28"/>
        </w:rPr>
        <w:t xml:space="preserve">七、评价指标体系    </w:t>
      </w: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INCLUDEPICTURE \d "C:\\Users\\lenovo\\AppData\\Roaming\\Tencent\\Users\\529780129\\QQ\\WinTemp\\RichOle\\0C``F527MNV0A8_T3Z}78`N.png" \* MERGEFORMATINET </w:instrText>
      </w:r>
      <w:r>
        <w:rPr>
          <w:rFonts w:ascii="宋体" w:hAnsi="宋体" w:eastAsia="宋体" w:cs="宋体"/>
          <w:sz w:val="28"/>
          <w:szCs w:val="28"/>
        </w:rPr>
        <w:fldChar w:fldCharType="end"/>
      </w:r>
    </w:p>
    <w:p>
      <w:pPr>
        <w:ind w:firstLine="560"/>
        <w:rPr>
          <w:rFonts w:ascii="宋体" w:hAnsi="宋体" w:eastAsia="宋体" w:cs="Arial Narrow"/>
          <w:sz w:val="28"/>
          <w:szCs w:val="28"/>
        </w:rPr>
      </w:pPr>
      <w:r>
        <w:rPr>
          <w:rFonts w:hint="eastAsia" w:ascii="宋体" w:hAnsi="宋体" w:eastAsia="宋体" w:cs="Arial Narrow"/>
          <w:sz w:val="28"/>
          <w:szCs w:val="28"/>
        </w:rPr>
        <w:t>绩效评价指标体系包括投入、过程、产出、效果四个方面。其中“投入”权重12分，“过程”权重20分，“产出”权重32分， “效果”36分。</w:t>
      </w:r>
    </w:p>
    <w:p>
      <w:pPr>
        <w:ind w:firstLine="562"/>
        <w:outlineLvl w:val="0"/>
        <w:rPr>
          <w:rFonts w:ascii="宋体" w:hAnsi="宋体" w:eastAsia="宋体" w:cs="Arial Narrow"/>
          <w:b/>
          <w:sz w:val="28"/>
          <w:szCs w:val="28"/>
        </w:rPr>
      </w:pPr>
      <w:r>
        <w:rPr>
          <w:rFonts w:hint="eastAsia" w:ascii="宋体" w:hAnsi="宋体" w:eastAsia="宋体" w:cs="Arial Narrow"/>
          <w:b/>
          <w:sz w:val="28"/>
          <w:szCs w:val="28"/>
        </w:rPr>
        <w:t>八</w:t>
      </w:r>
      <w:r>
        <w:rPr>
          <w:rFonts w:ascii="宋体" w:hAnsi="宋体" w:eastAsia="宋体" w:cs="Arial Narrow"/>
          <w:b/>
          <w:sz w:val="28"/>
          <w:szCs w:val="28"/>
        </w:rPr>
        <w:t>、绩效分析</w:t>
      </w:r>
    </w:p>
    <w:p>
      <w:pPr>
        <w:ind w:firstLine="562"/>
        <w:outlineLvl w:val="1"/>
        <w:rPr>
          <w:rFonts w:ascii="宋体" w:hAnsi="宋体" w:eastAsia="宋体" w:cs="Arial Narrow"/>
          <w:b/>
          <w:sz w:val="28"/>
          <w:szCs w:val="28"/>
        </w:rPr>
      </w:pPr>
      <w:r>
        <w:rPr>
          <w:rFonts w:ascii="宋体" w:hAnsi="宋体" w:eastAsia="宋体" w:cs="Arial Narrow"/>
          <w:b/>
          <w:sz w:val="28"/>
          <w:szCs w:val="28"/>
        </w:rPr>
        <w:t>（一）项目投入（1</w:t>
      </w:r>
      <w:r>
        <w:rPr>
          <w:rFonts w:hint="eastAsia" w:ascii="宋体" w:hAnsi="宋体" w:eastAsia="宋体" w:cs="Arial Narrow"/>
          <w:b/>
          <w:sz w:val="28"/>
          <w:szCs w:val="28"/>
        </w:rPr>
        <w:t>2</w:t>
      </w:r>
      <w:r>
        <w:rPr>
          <w:rFonts w:ascii="宋体" w:hAnsi="宋体" w:eastAsia="宋体" w:cs="Arial Narrow"/>
          <w:b/>
          <w:sz w:val="28"/>
          <w:szCs w:val="28"/>
        </w:rPr>
        <w:t>分）</w:t>
      </w:r>
    </w:p>
    <w:p>
      <w:pPr>
        <w:ind w:firstLine="560"/>
        <w:rPr>
          <w:rFonts w:ascii="宋体" w:hAnsi="宋体" w:eastAsia="宋体" w:cs="Arial Narrow"/>
          <w:sz w:val="28"/>
          <w:szCs w:val="28"/>
        </w:rPr>
      </w:pPr>
      <w:r>
        <w:rPr>
          <w:rFonts w:ascii="宋体" w:hAnsi="宋体" w:eastAsia="宋体" w:cs="Arial Narrow"/>
          <w:sz w:val="28"/>
          <w:szCs w:val="28"/>
        </w:rPr>
        <w:t>根据评价原则，项目投入评价得分为1</w:t>
      </w:r>
      <w:r>
        <w:rPr>
          <w:rFonts w:hint="eastAsia" w:ascii="宋体" w:hAnsi="宋体" w:eastAsia="宋体" w:cs="Arial Narrow"/>
          <w:sz w:val="28"/>
          <w:szCs w:val="28"/>
        </w:rPr>
        <w:t>2</w:t>
      </w:r>
      <w:r>
        <w:rPr>
          <w:rFonts w:ascii="宋体" w:hAnsi="宋体" w:eastAsia="宋体" w:cs="Arial Narrow"/>
          <w:sz w:val="28"/>
          <w:szCs w:val="28"/>
        </w:rPr>
        <w:t>分，评价结果为</w:t>
      </w:r>
      <w:r>
        <w:rPr>
          <w:rFonts w:hint="eastAsia" w:ascii="宋体" w:hAnsi="宋体" w:eastAsia="宋体" w:cs="Arial Narrow"/>
          <w:sz w:val="28"/>
          <w:szCs w:val="28"/>
        </w:rPr>
        <w:t>优</w:t>
      </w:r>
      <w:r>
        <w:rPr>
          <w:rFonts w:ascii="宋体" w:hAnsi="宋体" w:eastAsia="宋体" w:cs="Arial Narrow"/>
          <w:sz w:val="28"/>
          <w:szCs w:val="28"/>
        </w:rPr>
        <w:t>。</w:t>
      </w:r>
    </w:p>
    <w:p>
      <w:pPr>
        <w:ind w:firstLine="562"/>
        <w:outlineLvl w:val="1"/>
        <w:rPr>
          <w:rFonts w:ascii="宋体" w:hAnsi="宋体" w:eastAsia="宋体" w:cs="Arial Narrow"/>
          <w:b/>
          <w:sz w:val="28"/>
          <w:szCs w:val="28"/>
        </w:rPr>
      </w:pPr>
      <w:r>
        <w:rPr>
          <w:rFonts w:ascii="宋体" w:hAnsi="宋体" w:eastAsia="宋体" w:cs="Arial Narrow"/>
          <w:b/>
          <w:sz w:val="28"/>
          <w:szCs w:val="28"/>
        </w:rPr>
        <w:t>（二）项目过程（20分）</w:t>
      </w:r>
    </w:p>
    <w:p>
      <w:pPr>
        <w:ind w:firstLine="560"/>
        <w:rPr>
          <w:rFonts w:ascii="宋体" w:hAnsi="宋体" w:eastAsia="宋体" w:cs="Arial Narrow"/>
          <w:sz w:val="28"/>
          <w:szCs w:val="28"/>
        </w:rPr>
      </w:pPr>
      <w:r>
        <w:rPr>
          <w:rFonts w:ascii="宋体" w:hAnsi="宋体" w:eastAsia="宋体" w:cs="Arial Narrow"/>
          <w:sz w:val="28"/>
          <w:szCs w:val="28"/>
        </w:rPr>
        <w:t>根据评价原则，项目过程得分为</w:t>
      </w:r>
      <w:r>
        <w:rPr>
          <w:rFonts w:hint="eastAsia" w:ascii="宋体" w:hAnsi="宋体" w:eastAsia="宋体" w:cs="Arial Narrow"/>
          <w:color w:val="FF0000"/>
          <w:sz w:val="28"/>
          <w:szCs w:val="28"/>
        </w:rPr>
        <w:t>19</w:t>
      </w:r>
      <w:r>
        <w:rPr>
          <w:rFonts w:ascii="宋体" w:hAnsi="宋体" w:eastAsia="宋体" w:cs="Arial Narrow"/>
          <w:sz w:val="28"/>
          <w:szCs w:val="28"/>
        </w:rPr>
        <w:t>分，评价结果为</w:t>
      </w:r>
      <w:r>
        <w:rPr>
          <w:rFonts w:hint="eastAsia" w:ascii="宋体" w:hAnsi="宋体" w:eastAsia="宋体" w:cs="Arial Narrow"/>
          <w:sz w:val="28"/>
          <w:szCs w:val="28"/>
        </w:rPr>
        <w:t>优</w:t>
      </w:r>
      <w:r>
        <w:rPr>
          <w:rFonts w:ascii="宋体" w:hAnsi="宋体" w:eastAsia="宋体" w:cs="Arial Narrow"/>
          <w:sz w:val="28"/>
          <w:szCs w:val="28"/>
        </w:rPr>
        <w:t>。</w:t>
      </w:r>
    </w:p>
    <w:p>
      <w:pPr>
        <w:ind w:firstLine="562"/>
        <w:outlineLvl w:val="1"/>
        <w:rPr>
          <w:rFonts w:ascii="宋体" w:hAnsi="宋体" w:eastAsia="宋体" w:cs="Arial Narrow"/>
          <w:b/>
          <w:sz w:val="28"/>
          <w:szCs w:val="28"/>
        </w:rPr>
      </w:pPr>
      <w:r>
        <w:rPr>
          <w:rFonts w:ascii="宋体" w:hAnsi="宋体" w:eastAsia="宋体" w:cs="Arial Narrow"/>
          <w:b/>
          <w:sz w:val="28"/>
          <w:szCs w:val="28"/>
        </w:rPr>
        <w:t>（三）项目产出（3</w:t>
      </w:r>
      <w:r>
        <w:rPr>
          <w:rFonts w:hint="eastAsia" w:ascii="宋体" w:hAnsi="宋体" w:eastAsia="宋体" w:cs="Arial Narrow"/>
          <w:b/>
          <w:sz w:val="28"/>
          <w:szCs w:val="28"/>
        </w:rPr>
        <w:t>2</w:t>
      </w:r>
      <w:r>
        <w:rPr>
          <w:rFonts w:ascii="宋体" w:hAnsi="宋体" w:eastAsia="宋体" w:cs="Arial Narrow"/>
          <w:b/>
          <w:sz w:val="28"/>
          <w:szCs w:val="28"/>
        </w:rPr>
        <w:t>分）</w:t>
      </w:r>
    </w:p>
    <w:p>
      <w:pPr>
        <w:ind w:firstLine="560"/>
        <w:rPr>
          <w:rFonts w:ascii="宋体" w:hAnsi="宋体" w:eastAsia="宋体" w:cs="Arial Narrow"/>
          <w:sz w:val="28"/>
          <w:szCs w:val="28"/>
        </w:rPr>
      </w:pPr>
      <w:r>
        <w:rPr>
          <w:rFonts w:ascii="宋体" w:hAnsi="宋体" w:eastAsia="宋体" w:cs="Arial Narrow"/>
          <w:sz w:val="28"/>
          <w:szCs w:val="28"/>
        </w:rPr>
        <w:t>根据评价原则，项目产出评价得分为</w:t>
      </w:r>
      <w:r>
        <w:rPr>
          <w:rFonts w:hint="eastAsia" w:ascii="宋体" w:hAnsi="宋体" w:eastAsia="宋体" w:cs="Arial Narrow"/>
          <w:color w:val="FF0000"/>
          <w:sz w:val="28"/>
          <w:szCs w:val="28"/>
        </w:rPr>
        <w:t>31</w:t>
      </w:r>
      <w:r>
        <w:rPr>
          <w:rFonts w:ascii="宋体" w:hAnsi="宋体" w:eastAsia="宋体" w:cs="Arial Narrow"/>
          <w:color w:val="FF0000"/>
          <w:sz w:val="28"/>
          <w:szCs w:val="28"/>
        </w:rPr>
        <w:t>分，评价结果为</w:t>
      </w:r>
      <w:r>
        <w:rPr>
          <w:rFonts w:hint="eastAsia" w:ascii="宋体" w:hAnsi="宋体" w:eastAsia="宋体" w:cs="Arial Narrow"/>
          <w:color w:val="FF0000"/>
          <w:sz w:val="28"/>
          <w:szCs w:val="28"/>
        </w:rPr>
        <w:t>优</w:t>
      </w:r>
      <w:r>
        <w:rPr>
          <w:rFonts w:ascii="宋体" w:hAnsi="宋体" w:eastAsia="宋体" w:cs="Arial Narrow"/>
          <w:sz w:val="28"/>
          <w:szCs w:val="28"/>
        </w:rPr>
        <w:t>。</w:t>
      </w:r>
    </w:p>
    <w:p>
      <w:pPr>
        <w:widowControl w:val="0"/>
        <w:numPr>
          <w:ilvl w:val="0"/>
          <w:numId w:val="51"/>
        </w:numPr>
        <w:adjustRightInd/>
        <w:snapToGrid/>
        <w:spacing w:after="0" w:line="360" w:lineRule="auto"/>
        <w:ind w:left="1447" w:hanging="885"/>
        <w:jc w:val="both"/>
        <w:outlineLvl w:val="1"/>
        <w:rPr>
          <w:rFonts w:ascii="宋体" w:hAnsi="宋体" w:eastAsia="宋体" w:cs="Arial Narrow"/>
          <w:b/>
          <w:sz w:val="28"/>
          <w:szCs w:val="28"/>
        </w:rPr>
      </w:pPr>
      <w:r>
        <w:rPr>
          <w:rFonts w:ascii="宋体" w:hAnsi="宋体" w:eastAsia="宋体" w:cs="Arial Narrow"/>
          <w:b/>
          <w:sz w:val="28"/>
          <w:szCs w:val="28"/>
        </w:rPr>
        <w:t>项目效果（3</w:t>
      </w:r>
      <w:r>
        <w:rPr>
          <w:rFonts w:hint="eastAsia" w:ascii="宋体" w:hAnsi="宋体" w:eastAsia="宋体" w:cs="Arial Narrow"/>
          <w:b/>
          <w:sz w:val="28"/>
          <w:szCs w:val="28"/>
        </w:rPr>
        <w:t>6</w:t>
      </w:r>
      <w:r>
        <w:rPr>
          <w:rFonts w:ascii="宋体" w:hAnsi="宋体" w:eastAsia="宋体" w:cs="Arial Narrow"/>
          <w:b/>
          <w:sz w:val="28"/>
          <w:szCs w:val="28"/>
        </w:rPr>
        <w:t>分）</w:t>
      </w:r>
    </w:p>
    <w:p>
      <w:pPr>
        <w:ind w:firstLine="560"/>
        <w:rPr>
          <w:rFonts w:ascii="宋体" w:hAnsi="宋体" w:eastAsia="宋体" w:cs="Arial Narrow"/>
          <w:b/>
          <w:sz w:val="28"/>
          <w:szCs w:val="28"/>
        </w:rPr>
      </w:pPr>
      <w:r>
        <w:rPr>
          <w:rFonts w:ascii="宋体" w:hAnsi="宋体" w:eastAsia="宋体" w:cs="Arial Narrow"/>
          <w:sz w:val="28"/>
          <w:szCs w:val="28"/>
        </w:rPr>
        <w:t>根据评价原则，项目效果评价得分为</w:t>
      </w:r>
      <w:r>
        <w:rPr>
          <w:rFonts w:hint="eastAsia" w:ascii="宋体" w:hAnsi="宋体" w:eastAsia="宋体" w:cs="Arial Narrow"/>
          <w:color w:val="FF0000"/>
          <w:sz w:val="28"/>
          <w:szCs w:val="28"/>
        </w:rPr>
        <w:t>33</w:t>
      </w:r>
      <w:r>
        <w:rPr>
          <w:rFonts w:ascii="宋体" w:hAnsi="宋体" w:eastAsia="宋体" w:cs="Arial Narrow"/>
          <w:sz w:val="28"/>
          <w:szCs w:val="28"/>
        </w:rPr>
        <w:t>分，评价结果为</w:t>
      </w:r>
      <w:r>
        <w:rPr>
          <w:rFonts w:hint="eastAsia" w:ascii="宋体" w:hAnsi="宋体" w:eastAsia="宋体" w:cs="Arial Narrow"/>
          <w:color w:val="FF0000"/>
          <w:sz w:val="28"/>
          <w:szCs w:val="28"/>
        </w:rPr>
        <w:t>优</w:t>
      </w:r>
      <w:r>
        <w:rPr>
          <w:rFonts w:ascii="宋体" w:hAnsi="宋体" w:eastAsia="宋体" w:cs="Arial Narrow"/>
          <w:sz w:val="28"/>
          <w:szCs w:val="28"/>
        </w:rPr>
        <w:t>。</w:t>
      </w:r>
    </w:p>
    <w:p>
      <w:pPr>
        <w:ind w:firstLine="562"/>
        <w:outlineLvl w:val="0"/>
        <w:rPr>
          <w:rFonts w:ascii="宋体" w:hAnsi="宋体" w:eastAsia="宋体" w:cs="Arial Narrow"/>
          <w:b/>
          <w:bCs/>
          <w:sz w:val="28"/>
          <w:szCs w:val="28"/>
        </w:rPr>
      </w:pPr>
      <w:r>
        <w:rPr>
          <w:rFonts w:hint="eastAsia" w:ascii="宋体" w:hAnsi="宋体" w:eastAsia="宋体" w:cs="Arial Narrow"/>
          <w:b/>
          <w:bCs/>
          <w:sz w:val="28"/>
          <w:szCs w:val="28"/>
        </w:rPr>
        <w:t>九、</w:t>
      </w:r>
      <w:r>
        <w:rPr>
          <w:rFonts w:ascii="宋体" w:hAnsi="宋体" w:eastAsia="宋体" w:cs="Arial Narrow"/>
          <w:b/>
          <w:bCs/>
          <w:sz w:val="28"/>
          <w:szCs w:val="28"/>
        </w:rPr>
        <w:t>评价结论</w:t>
      </w:r>
    </w:p>
    <w:p>
      <w:pPr>
        <w:ind w:firstLine="480"/>
        <w:rPr>
          <w:rFonts w:ascii="宋体" w:hAnsi="宋体" w:eastAsia="宋体" w:cs="Arial Narrow"/>
          <w:sz w:val="28"/>
          <w:szCs w:val="28"/>
        </w:rPr>
      </w:pPr>
      <w:r>
        <w:rPr>
          <w:rFonts w:hint="eastAsia" w:ascii="宋体" w:hAnsi="宋体" w:eastAsia="宋体" w:cs="Arial Narrow"/>
          <w:sz w:val="28"/>
          <w:szCs w:val="28"/>
        </w:rPr>
        <w:t>经综合评价，中南路街道办事处“社区工作者体检项目工作经费”绩效评价总得分为</w:t>
      </w:r>
      <w:r>
        <w:rPr>
          <w:rFonts w:hint="eastAsia" w:ascii="宋体" w:hAnsi="宋体" w:eastAsia="宋体" w:cs="Arial Narrow"/>
          <w:color w:val="FF0000"/>
          <w:sz w:val="28"/>
          <w:szCs w:val="28"/>
        </w:rPr>
        <w:t>95.00</w:t>
      </w:r>
      <w:r>
        <w:rPr>
          <w:rFonts w:hint="eastAsia" w:ascii="宋体" w:hAnsi="宋体" w:eastAsia="宋体" w:cs="Arial Narrow"/>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ascii="宋体" w:hAnsi="宋体" w:eastAsia="宋体" w:cs="Arial Narrow"/>
                <w:b/>
                <w:bCs/>
                <w:sz w:val="28"/>
                <w:szCs w:val="28"/>
              </w:rPr>
            </w:pPr>
            <w:r>
              <w:rPr>
                <w:rFonts w:ascii="宋体" w:hAnsi="宋体" w:eastAsia="宋体" w:cs="Arial Narrow"/>
                <w:b/>
                <w:bCs/>
                <w:sz w:val="28"/>
                <w:szCs w:val="28"/>
              </w:rPr>
              <w:t>评价准则</w:t>
            </w:r>
          </w:p>
        </w:tc>
        <w:tc>
          <w:tcPr>
            <w:tcW w:w="2126" w:type="dxa"/>
            <w:tcBorders>
              <w:bottom w:val="single" w:color="008000" w:sz="6" w:space="0"/>
            </w:tcBorders>
            <w:vAlign w:val="center"/>
          </w:tcPr>
          <w:p>
            <w:pPr>
              <w:ind w:firstLine="562"/>
              <w:rPr>
                <w:rFonts w:ascii="宋体" w:hAnsi="宋体" w:eastAsia="宋体" w:cs="Arial Narrow"/>
                <w:b/>
                <w:bCs/>
                <w:sz w:val="28"/>
                <w:szCs w:val="28"/>
              </w:rPr>
            </w:pPr>
            <w:r>
              <w:rPr>
                <w:rFonts w:ascii="宋体" w:hAnsi="宋体" w:eastAsia="宋体" w:cs="Arial Narrow"/>
                <w:b/>
                <w:bCs/>
                <w:sz w:val="28"/>
                <w:szCs w:val="28"/>
              </w:rPr>
              <w:t>准则分值</w:t>
            </w:r>
          </w:p>
        </w:tc>
        <w:tc>
          <w:tcPr>
            <w:tcW w:w="2268" w:type="dxa"/>
            <w:tcBorders>
              <w:bottom w:val="single" w:color="008000" w:sz="6" w:space="0"/>
            </w:tcBorders>
            <w:vAlign w:val="center"/>
          </w:tcPr>
          <w:p>
            <w:pPr>
              <w:ind w:left="183" w:firstLine="562"/>
              <w:rPr>
                <w:rFonts w:ascii="宋体" w:hAnsi="宋体" w:eastAsia="宋体" w:cs="Arial Narrow"/>
                <w:b/>
                <w:bCs/>
                <w:sz w:val="28"/>
                <w:szCs w:val="28"/>
              </w:rPr>
            </w:pPr>
            <w:r>
              <w:rPr>
                <w:rFonts w:ascii="宋体" w:hAnsi="宋体" w:eastAsia="宋体" w:cs="Arial Narrow"/>
                <w:b/>
                <w:bCs/>
                <w:sz w:val="28"/>
                <w:szCs w:val="28"/>
              </w:rPr>
              <w:t>评价得分</w:t>
            </w:r>
          </w:p>
        </w:tc>
        <w:tc>
          <w:tcPr>
            <w:tcW w:w="2126" w:type="dxa"/>
            <w:tcBorders>
              <w:bottom w:val="single" w:color="008000" w:sz="6" w:space="0"/>
            </w:tcBorders>
            <w:vAlign w:val="center"/>
          </w:tcPr>
          <w:p>
            <w:pPr>
              <w:ind w:firstLine="562"/>
              <w:rPr>
                <w:rFonts w:ascii="宋体" w:hAnsi="宋体" w:eastAsia="宋体" w:cs="Arial Narrow"/>
                <w:b/>
                <w:bCs/>
                <w:sz w:val="28"/>
                <w:szCs w:val="28"/>
              </w:rPr>
            </w:pPr>
            <w:r>
              <w:rPr>
                <w:rFonts w:ascii="宋体" w:hAnsi="宋体" w:eastAsia="宋体" w:cs="Arial Narrow"/>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ascii="宋体" w:hAnsi="宋体" w:eastAsia="宋体" w:cs="Arial Narrow"/>
                <w:sz w:val="28"/>
                <w:szCs w:val="28"/>
              </w:rPr>
            </w:pPr>
            <w:r>
              <w:rPr>
                <w:rFonts w:ascii="宋体" w:hAnsi="宋体" w:eastAsia="宋体" w:cs="Arial Narrow"/>
                <w:sz w:val="28"/>
                <w:szCs w:val="28"/>
              </w:rPr>
              <w:t>项目投入</w:t>
            </w:r>
          </w:p>
        </w:tc>
        <w:tc>
          <w:tcPr>
            <w:tcW w:w="2126" w:type="dxa"/>
            <w:vAlign w:val="center"/>
          </w:tcPr>
          <w:p>
            <w:pPr>
              <w:ind w:firstLine="840" w:firstLineChars="300"/>
              <w:rPr>
                <w:rFonts w:ascii="宋体" w:hAnsi="宋体" w:eastAsia="宋体" w:cs="Arial Narrow"/>
                <w:sz w:val="28"/>
                <w:szCs w:val="28"/>
              </w:rPr>
            </w:pPr>
            <w:r>
              <w:rPr>
                <w:rFonts w:ascii="宋体" w:hAnsi="宋体" w:eastAsia="宋体" w:cs="Arial Narrow"/>
                <w:sz w:val="28"/>
                <w:szCs w:val="28"/>
              </w:rPr>
              <w:t>1</w:t>
            </w:r>
            <w:r>
              <w:rPr>
                <w:rFonts w:hint="eastAsia" w:ascii="宋体" w:hAnsi="宋体" w:eastAsia="宋体" w:cs="Arial Narrow"/>
                <w:sz w:val="28"/>
                <w:szCs w:val="28"/>
              </w:rPr>
              <w:t>2</w:t>
            </w:r>
            <w:r>
              <w:rPr>
                <w:rFonts w:ascii="宋体" w:hAnsi="宋体" w:eastAsia="宋体" w:cs="Arial Narrow"/>
                <w:sz w:val="28"/>
                <w:szCs w:val="28"/>
              </w:rPr>
              <w:t>分</w:t>
            </w:r>
          </w:p>
        </w:tc>
        <w:tc>
          <w:tcPr>
            <w:tcW w:w="2268" w:type="dxa"/>
            <w:vAlign w:val="center"/>
          </w:tcPr>
          <w:p>
            <w:pPr>
              <w:ind w:left="167" w:leftChars="76" w:firstLine="980" w:firstLineChars="350"/>
              <w:rPr>
                <w:rFonts w:ascii="宋体" w:hAnsi="宋体" w:eastAsia="宋体" w:cs="Arial Narrow"/>
                <w:sz w:val="28"/>
                <w:szCs w:val="28"/>
              </w:rPr>
            </w:pPr>
            <w:r>
              <w:rPr>
                <w:rFonts w:hint="eastAsia" w:ascii="宋体" w:hAnsi="宋体" w:eastAsia="宋体" w:cs="Arial Narrow"/>
                <w:sz w:val="28"/>
                <w:szCs w:val="28"/>
              </w:rPr>
              <w:t>12</w:t>
            </w:r>
            <w:r>
              <w:rPr>
                <w:rFonts w:ascii="宋体" w:hAnsi="宋体" w:eastAsia="宋体" w:cs="Arial Narrow"/>
                <w:sz w:val="28"/>
                <w:szCs w:val="28"/>
              </w:rPr>
              <w:t>分</w:t>
            </w:r>
          </w:p>
        </w:tc>
        <w:tc>
          <w:tcPr>
            <w:tcW w:w="2126" w:type="dxa"/>
            <w:vAlign w:val="center"/>
          </w:tcPr>
          <w:p>
            <w:pPr>
              <w:jc w:val="center"/>
              <w:rPr>
                <w:rFonts w:ascii="宋体" w:hAnsi="宋体" w:eastAsia="宋体" w:cs="Arial Narrow"/>
                <w:sz w:val="28"/>
                <w:szCs w:val="28"/>
              </w:rPr>
            </w:pPr>
            <w:r>
              <w:rPr>
                <w:rFonts w:hint="eastAsia" w:ascii="宋体" w:hAnsi="宋体" w:eastAsia="宋体" w:cs="Arial Narrow"/>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ascii="宋体" w:hAnsi="宋体" w:eastAsia="宋体" w:cs="Arial Narrow"/>
                <w:sz w:val="28"/>
                <w:szCs w:val="28"/>
              </w:rPr>
            </w:pPr>
            <w:r>
              <w:rPr>
                <w:rFonts w:ascii="宋体" w:hAnsi="宋体" w:eastAsia="宋体" w:cs="Arial Narrow"/>
                <w:sz w:val="28"/>
                <w:szCs w:val="28"/>
              </w:rPr>
              <w:t>项目过程</w:t>
            </w:r>
          </w:p>
        </w:tc>
        <w:tc>
          <w:tcPr>
            <w:tcW w:w="2126" w:type="dxa"/>
            <w:vAlign w:val="center"/>
          </w:tcPr>
          <w:p>
            <w:pPr>
              <w:ind w:firstLine="840" w:firstLineChars="300"/>
              <w:rPr>
                <w:rFonts w:ascii="宋体" w:hAnsi="宋体" w:eastAsia="宋体" w:cs="Arial Narrow"/>
                <w:color w:val="FF0000"/>
                <w:sz w:val="28"/>
                <w:szCs w:val="28"/>
              </w:rPr>
            </w:pPr>
            <w:r>
              <w:rPr>
                <w:rFonts w:hint="eastAsia" w:ascii="宋体" w:hAnsi="宋体" w:eastAsia="宋体" w:cs="Arial Narrow"/>
                <w:color w:val="FF0000"/>
                <w:sz w:val="28"/>
                <w:szCs w:val="28"/>
              </w:rPr>
              <w:t>2</w:t>
            </w:r>
            <w:r>
              <w:rPr>
                <w:rFonts w:ascii="宋体" w:hAnsi="宋体" w:eastAsia="宋体" w:cs="Arial Narrow"/>
                <w:color w:val="FF0000"/>
                <w:sz w:val="28"/>
                <w:szCs w:val="28"/>
              </w:rPr>
              <w:t>0分</w:t>
            </w:r>
          </w:p>
        </w:tc>
        <w:tc>
          <w:tcPr>
            <w:tcW w:w="2268" w:type="dxa"/>
            <w:vAlign w:val="center"/>
          </w:tcPr>
          <w:p>
            <w:pPr>
              <w:ind w:left="167" w:leftChars="76" w:firstLine="980" w:firstLineChars="350"/>
              <w:rPr>
                <w:rFonts w:ascii="宋体" w:hAnsi="宋体" w:eastAsia="宋体" w:cs="Arial Narrow"/>
                <w:color w:val="FF0000"/>
                <w:sz w:val="28"/>
                <w:szCs w:val="28"/>
              </w:rPr>
            </w:pPr>
            <w:r>
              <w:rPr>
                <w:rFonts w:hint="eastAsia" w:ascii="宋体" w:hAnsi="宋体" w:eastAsia="宋体" w:cs="Arial Narrow"/>
                <w:color w:val="FF0000"/>
                <w:sz w:val="28"/>
                <w:szCs w:val="28"/>
              </w:rPr>
              <w:t>19</w:t>
            </w:r>
            <w:r>
              <w:rPr>
                <w:rFonts w:ascii="宋体" w:hAnsi="宋体" w:eastAsia="宋体" w:cs="Arial Narrow"/>
                <w:color w:val="FF0000"/>
                <w:sz w:val="28"/>
                <w:szCs w:val="28"/>
              </w:rPr>
              <w:t>分</w:t>
            </w:r>
          </w:p>
        </w:tc>
        <w:tc>
          <w:tcPr>
            <w:tcW w:w="2126" w:type="dxa"/>
            <w:vAlign w:val="center"/>
          </w:tcPr>
          <w:p>
            <w:pPr>
              <w:jc w:val="center"/>
              <w:rPr>
                <w:rFonts w:ascii="宋体" w:hAnsi="宋体" w:eastAsia="宋体" w:cs="Arial Narrow"/>
                <w:color w:val="FF0000"/>
                <w:sz w:val="28"/>
                <w:szCs w:val="28"/>
              </w:rPr>
            </w:pPr>
            <w:r>
              <w:rPr>
                <w:rFonts w:hint="eastAsia" w:ascii="宋体" w:hAnsi="宋体" w:eastAsia="宋体" w:cs="Arial Narrow"/>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ascii="宋体" w:hAnsi="宋体" w:eastAsia="宋体" w:cs="Arial Narrow"/>
                <w:sz w:val="28"/>
                <w:szCs w:val="28"/>
              </w:rPr>
            </w:pPr>
            <w:r>
              <w:rPr>
                <w:rFonts w:ascii="宋体" w:hAnsi="宋体" w:eastAsia="宋体" w:cs="Arial Narrow"/>
                <w:sz w:val="28"/>
                <w:szCs w:val="28"/>
              </w:rPr>
              <w:t>项目产出</w:t>
            </w:r>
          </w:p>
        </w:tc>
        <w:tc>
          <w:tcPr>
            <w:tcW w:w="2126" w:type="dxa"/>
            <w:vAlign w:val="center"/>
          </w:tcPr>
          <w:p>
            <w:pPr>
              <w:ind w:firstLine="840" w:firstLineChars="300"/>
              <w:textAlignment w:val="top"/>
              <w:rPr>
                <w:rFonts w:ascii="宋体" w:hAnsi="宋体" w:eastAsia="宋体" w:cs="Arial Narrow"/>
                <w:color w:val="FF0000"/>
                <w:sz w:val="28"/>
                <w:szCs w:val="28"/>
              </w:rPr>
            </w:pPr>
            <w:r>
              <w:rPr>
                <w:rFonts w:ascii="宋体" w:hAnsi="宋体" w:eastAsia="宋体" w:cs="Arial Narrow"/>
                <w:color w:val="FF0000"/>
                <w:sz w:val="28"/>
                <w:szCs w:val="28"/>
              </w:rPr>
              <w:t>3</w:t>
            </w:r>
            <w:r>
              <w:rPr>
                <w:rFonts w:hint="eastAsia" w:ascii="宋体" w:hAnsi="宋体" w:eastAsia="宋体" w:cs="Arial Narrow"/>
                <w:color w:val="FF0000"/>
                <w:sz w:val="28"/>
                <w:szCs w:val="28"/>
              </w:rPr>
              <w:t>2</w:t>
            </w:r>
            <w:r>
              <w:rPr>
                <w:rFonts w:ascii="宋体" w:hAnsi="宋体" w:eastAsia="宋体" w:cs="Arial Narrow"/>
                <w:color w:val="FF0000"/>
                <w:sz w:val="28"/>
                <w:szCs w:val="28"/>
              </w:rPr>
              <w:t>分</w:t>
            </w:r>
          </w:p>
        </w:tc>
        <w:tc>
          <w:tcPr>
            <w:tcW w:w="2268" w:type="dxa"/>
            <w:vAlign w:val="center"/>
          </w:tcPr>
          <w:p>
            <w:pPr>
              <w:ind w:left="167" w:leftChars="76" w:firstLine="980" w:firstLineChars="350"/>
              <w:textAlignment w:val="top"/>
              <w:rPr>
                <w:rFonts w:ascii="宋体" w:hAnsi="宋体" w:eastAsia="宋体" w:cs="Arial Narrow"/>
                <w:color w:val="FF0000"/>
                <w:sz w:val="28"/>
                <w:szCs w:val="28"/>
              </w:rPr>
            </w:pPr>
            <w:r>
              <w:rPr>
                <w:rFonts w:hint="eastAsia" w:ascii="宋体" w:hAnsi="宋体" w:eastAsia="宋体" w:cs="Arial Narrow"/>
                <w:color w:val="FF0000"/>
                <w:sz w:val="28"/>
                <w:szCs w:val="28"/>
              </w:rPr>
              <w:t>31</w:t>
            </w:r>
            <w:r>
              <w:rPr>
                <w:rFonts w:ascii="宋体" w:hAnsi="宋体" w:eastAsia="宋体" w:cs="Arial Narrow"/>
                <w:color w:val="FF0000"/>
                <w:sz w:val="28"/>
                <w:szCs w:val="28"/>
              </w:rPr>
              <w:t>分</w:t>
            </w:r>
          </w:p>
        </w:tc>
        <w:tc>
          <w:tcPr>
            <w:tcW w:w="2126" w:type="dxa"/>
            <w:vAlign w:val="center"/>
          </w:tcPr>
          <w:p>
            <w:pPr>
              <w:jc w:val="center"/>
              <w:textAlignment w:val="top"/>
              <w:rPr>
                <w:rFonts w:ascii="宋体" w:hAnsi="宋体" w:eastAsia="宋体" w:cs="Arial Narrow"/>
                <w:color w:val="FF0000"/>
                <w:sz w:val="28"/>
                <w:szCs w:val="28"/>
              </w:rPr>
            </w:pPr>
            <w:r>
              <w:rPr>
                <w:rFonts w:hint="eastAsia" w:ascii="宋体" w:hAnsi="宋体" w:eastAsia="宋体" w:cs="Arial Narrow"/>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ascii="宋体" w:hAnsi="宋体" w:eastAsia="宋体" w:cs="Arial Narrow"/>
                <w:sz w:val="28"/>
                <w:szCs w:val="28"/>
              </w:rPr>
            </w:pPr>
            <w:r>
              <w:rPr>
                <w:rFonts w:ascii="宋体" w:hAnsi="宋体" w:eastAsia="宋体" w:cs="Arial Narrow"/>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ascii="宋体" w:hAnsi="宋体" w:eastAsia="宋体" w:cs="Arial Narrow"/>
                <w:color w:val="FF0000"/>
                <w:sz w:val="28"/>
                <w:szCs w:val="28"/>
              </w:rPr>
            </w:pPr>
            <w:r>
              <w:rPr>
                <w:rFonts w:ascii="宋体" w:hAnsi="宋体" w:eastAsia="宋体" w:cs="Arial Narrow"/>
                <w:color w:val="FF0000"/>
                <w:sz w:val="28"/>
                <w:szCs w:val="28"/>
              </w:rPr>
              <w:t>3</w:t>
            </w:r>
            <w:r>
              <w:rPr>
                <w:rFonts w:hint="eastAsia" w:ascii="宋体" w:hAnsi="宋体" w:eastAsia="宋体" w:cs="Arial Narrow"/>
                <w:color w:val="FF0000"/>
                <w:sz w:val="28"/>
                <w:szCs w:val="28"/>
              </w:rPr>
              <w:t>6</w:t>
            </w:r>
            <w:r>
              <w:rPr>
                <w:rFonts w:ascii="宋体" w:hAnsi="宋体" w:eastAsia="宋体" w:cs="Arial Narrow"/>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ascii="宋体" w:hAnsi="宋体" w:eastAsia="宋体" w:cs="Arial Narrow"/>
                <w:color w:val="FF0000"/>
                <w:sz w:val="28"/>
                <w:szCs w:val="28"/>
              </w:rPr>
            </w:pPr>
            <w:r>
              <w:rPr>
                <w:rFonts w:hint="eastAsia" w:ascii="宋体" w:hAnsi="宋体" w:eastAsia="宋体" w:cs="Arial Narrow"/>
                <w:color w:val="FF0000"/>
                <w:sz w:val="28"/>
                <w:szCs w:val="28"/>
              </w:rPr>
              <w:t>33</w:t>
            </w:r>
            <w:r>
              <w:rPr>
                <w:rFonts w:ascii="宋体" w:hAnsi="宋体" w:eastAsia="宋体" w:cs="Arial Narrow"/>
                <w:color w:val="FF0000"/>
                <w:sz w:val="28"/>
                <w:szCs w:val="28"/>
              </w:rPr>
              <w:t>分</w:t>
            </w:r>
          </w:p>
        </w:tc>
        <w:tc>
          <w:tcPr>
            <w:tcW w:w="2126" w:type="dxa"/>
            <w:tcBorders>
              <w:top w:val="single" w:color="008000" w:sz="6" w:space="0"/>
              <w:bottom w:val="single" w:color="008000" w:sz="6" w:space="0"/>
            </w:tcBorders>
            <w:vAlign w:val="center"/>
          </w:tcPr>
          <w:p>
            <w:pPr>
              <w:jc w:val="center"/>
              <w:rPr>
                <w:rFonts w:ascii="宋体" w:hAnsi="宋体" w:eastAsia="宋体" w:cs="Arial Narrow"/>
                <w:color w:val="FF0000"/>
                <w:sz w:val="28"/>
                <w:szCs w:val="28"/>
              </w:rPr>
            </w:pPr>
            <w:r>
              <w:rPr>
                <w:rFonts w:hint="eastAsia" w:ascii="宋体" w:hAnsi="宋体" w:eastAsia="宋体" w:cs="Arial Narrow"/>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ascii="宋体" w:hAnsi="宋体" w:eastAsia="宋体" w:cs="Arial Narrow"/>
                <w:sz w:val="28"/>
                <w:szCs w:val="28"/>
              </w:rPr>
            </w:pPr>
            <w:r>
              <w:rPr>
                <w:rFonts w:ascii="宋体" w:hAnsi="宋体" w:eastAsia="宋体" w:cs="Arial Narrow"/>
                <w:sz w:val="28"/>
                <w:szCs w:val="28"/>
              </w:rPr>
              <w:t>综合绩效</w:t>
            </w:r>
          </w:p>
        </w:tc>
        <w:tc>
          <w:tcPr>
            <w:tcW w:w="2126" w:type="dxa"/>
            <w:tcBorders>
              <w:top w:val="single" w:color="008000" w:sz="6" w:space="0"/>
            </w:tcBorders>
            <w:vAlign w:val="center"/>
          </w:tcPr>
          <w:p>
            <w:pPr>
              <w:ind w:firstLine="560"/>
              <w:rPr>
                <w:rFonts w:ascii="宋体" w:hAnsi="宋体" w:eastAsia="宋体" w:cs="Arial Narrow"/>
                <w:color w:val="FF0000"/>
                <w:sz w:val="28"/>
                <w:szCs w:val="28"/>
              </w:rPr>
            </w:pPr>
            <w:r>
              <w:rPr>
                <w:rFonts w:ascii="宋体" w:hAnsi="宋体" w:eastAsia="宋体" w:cs="Arial Narrow"/>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ascii="宋体" w:hAnsi="宋体" w:eastAsia="宋体" w:cs="Arial Narrow"/>
                <w:color w:val="FF0000"/>
                <w:sz w:val="28"/>
                <w:szCs w:val="28"/>
              </w:rPr>
            </w:pPr>
            <w:r>
              <w:rPr>
                <w:rFonts w:hint="eastAsia" w:ascii="宋体" w:hAnsi="宋体" w:eastAsia="宋体" w:cs="Arial Narrow"/>
                <w:color w:val="FF0000"/>
                <w:sz w:val="28"/>
                <w:szCs w:val="28"/>
              </w:rPr>
              <w:t>95</w:t>
            </w:r>
            <w:r>
              <w:rPr>
                <w:rFonts w:ascii="宋体" w:hAnsi="宋体" w:eastAsia="宋体" w:cs="Arial Narrow"/>
                <w:color w:val="FF0000"/>
                <w:sz w:val="28"/>
                <w:szCs w:val="28"/>
              </w:rPr>
              <w:t>分</w:t>
            </w:r>
          </w:p>
        </w:tc>
        <w:tc>
          <w:tcPr>
            <w:tcW w:w="2126" w:type="dxa"/>
            <w:tcBorders>
              <w:top w:val="single" w:color="008000" w:sz="6" w:space="0"/>
            </w:tcBorders>
            <w:vAlign w:val="center"/>
          </w:tcPr>
          <w:p>
            <w:pPr>
              <w:jc w:val="center"/>
              <w:rPr>
                <w:rFonts w:ascii="宋体" w:hAnsi="宋体" w:eastAsia="宋体" w:cs="Arial Narrow"/>
                <w:color w:val="FF0000"/>
                <w:sz w:val="28"/>
                <w:szCs w:val="28"/>
              </w:rPr>
            </w:pPr>
            <w:r>
              <w:rPr>
                <w:rFonts w:hint="eastAsia" w:ascii="宋体" w:hAnsi="宋体" w:eastAsia="宋体" w:cs="Arial Narrow"/>
                <w:color w:val="FF0000"/>
                <w:sz w:val="28"/>
                <w:szCs w:val="28"/>
              </w:rPr>
              <w:t>优</w:t>
            </w:r>
          </w:p>
        </w:tc>
      </w:tr>
    </w:tbl>
    <w:p>
      <w:pPr>
        <w:rPr>
          <w:rFonts w:ascii="宋体" w:hAnsi="宋体" w:eastAsia="宋体" w:cs="Arial Narrow"/>
          <w:sz w:val="28"/>
          <w:szCs w:val="28"/>
        </w:rPr>
      </w:pPr>
      <w:r>
        <w:rPr>
          <w:rFonts w:hint="eastAsia" w:ascii="宋体" w:hAnsi="宋体" w:eastAsia="宋体" w:cs="Arial Narrow"/>
          <w:sz w:val="28"/>
          <w:szCs w:val="28"/>
        </w:rPr>
        <w:t xml:space="preserve"> </w:t>
      </w:r>
    </w:p>
    <w:p>
      <w:pPr>
        <w:ind w:firstLine="562"/>
        <w:rPr>
          <w:rFonts w:ascii="宋体" w:hAnsi="宋体" w:eastAsia="宋体" w:cs="Arial Narrow"/>
          <w:b/>
          <w:sz w:val="28"/>
          <w:szCs w:val="28"/>
        </w:rPr>
      </w:pPr>
      <w:r>
        <w:rPr>
          <w:rFonts w:hint="eastAsia" w:ascii="宋体" w:hAnsi="宋体" w:eastAsia="宋体" w:cs="Arial Narrow"/>
          <w:b/>
          <w:sz w:val="28"/>
          <w:szCs w:val="28"/>
        </w:rPr>
        <w:t>十</w:t>
      </w:r>
      <w:r>
        <w:rPr>
          <w:rFonts w:ascii="宋体" w:hAnsi="宋体" w:eastAsia="宋体" w:cs="Arial Narrow"/>
          <w:b/>
          <w:sz w:val="28"/>
          <w:szCs w:val="28"/>
        </w:rPr>
        <w:t>、主要</w:t>
      </w:r>
      <w:r>
        <w:rPr>
          <w:rFonts w:hint="eastAsia" w:ascii="宋体" w:hAnsi="宋体" w:eastAsia="宋体" w:cs="Arial Narrow"/>
          <w:b/>
          <w:sz w:val="28"/>
          <w:szCs w:val="28"/>
        </w:rPr>
        <w:t>经验</w:t>
      </w:r>
      <w:r>
        <w:rPr>
          <w:rFonts w:ascii="宋体" w:hAnsi="宋体" w:eastAsia="宋体" w:cs="Arial Narrow"/>
          <w:b/>
          <w:sz w:val="28"/>
          <w:szCs w:val="28"/>
        </w:rPr>
        <w:t>及做法、存在的问题和建议</w:t>
      </w:r>
    </w:p>
    <w:p>
      <w:pPr>
        <w:pStyle w:val="11"/>
        <w:numPr>
          <w:ilvl w:val="0"/>
          <w:numId w:val="52"/>
        </w:numPr>
        <w:snapToGrid w:val="0"/>
        <w:ind w:firstLineChars="0"/>
        <w:outlineLvl w:val="1"/>
        <w:rPr>
          <w:rFonts w:ascii="宋体" w:hAnsi="宋体" w:eastAsia="宋体" w:cs="Arial Narrow"/>
          <w:b/>
          <w:bCs/>
          <w:sz w:val="28"/>
          <w:szCs w:val="28"/>
        </w:rPr>
      </w:pPr>
      <w:r>
        <w:rPr>
          <w:rFonts w:ascii="宋体" w:hAnsi="宋体" w:eastAsia="宋体" w:cs="Arial Narrow"/>
          <w:b/>
          <w:bCs/>
          <w:sz w:val="28"/>
          <w:szCs w:val="28"/>
        </w:rPr>
        <w:t>主要经验及做法</w:t>
      </w:r>
    </w:p>
    <w:p>
      <w:pPr>
        <w:ind w:firstLine="560"/>
        <w:outlineLvl w:val="1"/>
        <w:rPr>
          <w:rFonts w:ascii="宋体" w:hAnsi="宋体" w:eastAsia="宋体"/>
          <w:sz w:val="28"/>
          <w:szCs w:val="28"/>
        </w:rPr>
      </w:pPr>
      <w:r>
        <w:rPr>
          <w:rFonts w:hint="eastAsia" w:ascii="宋体" w:hAnsi="宋体" w:eastAsia="宋体"/>
          <w:sz w:val="28"/>
          <w:szCs w:val="28"/>
        </w:rPr>
        <w:t>项目全年预算数为27.52万元，执行数为27.52万元，完成预算的100 %。主要产出和效果：一是落实“健康中国”理念，关爱基层员工；二是体现以人为本的理念，关爱社区工作者，增强了他们的幸福感、获得感。</w:t>
      </w:r>
    </w:p>
    <w:p>
      <w:pPr>
        <w:ind w:firstLine="562"/>
        <w:outlineLvl w:val="1"/>
        <w:rPr>
          <w:rFonts w:ascii="宋体" w:hAnsi="宋体" w:eastAsia="宋体" w:cs="Arial Narrow"/>
          <w:b/>
          <w:bCs/>
          <w:sz w:val="28"/>
          <w:szCs w:val="28"/>
        </w:rPr>
      </w:pPr>
      <w:r>
        <w:rPr>
          <w:rFonts w:hint="eastAsia" w:ascii="宋体" w:hAnsi="宋体" w:eastAsia="宋体" w:cs="Arial Narrow"/>
          <w:b/>
          <w:bCs/>
          <w:sz w:val="28"/>
          <w:szCs w:val="28"/>
        </w:rPr>
        <w:t>（二）</w:t>
      </w:r>
      <w:r>
        <w:rPr>
          <w:rFonts w:ascii="宋体" w:hAnsi="宋体" w:eastAsia="宋体" w:cs="Arial Narrow"/>
          <w:b/>
          <w:bCs/>
          <w:sz w:val="28"/>
          <w:szCs w:val="28"/>
        </w:rPr>
        <w:t>存在的问题</w:t>
      </w:r>
    </w:p>
    <w:p>
      <w:pPr>
        <w:ind w:firstLine="560"/>
        <w:outlineLvl w:val="1"/>
        <w:rPr>
          <w:rFonts w:ascii="宋体" w:hAnsi="宋体" w:eastAsia="宋体"/>
          <w:sz w:val="28"/>
          <w:szCs w:val="28"/>
        </w:rPr>
      </w:pPr>
      <w:r>
        <w:rPr>
          <w:rFonts w:hint="eastAsia" w:ascii="宋体" w:hAnsi="宋体" w:eastAsia="宋体"/>
          <w:sz w:val="28"/>
          <w:szCs w:val="28"/>
        </w:rPr>
        <w:t>1、区工作者对体检项目需求不一，体检不能满足个性化需求；</w:t>
      </w:r>
    </w:p>
    <w:p>
      <w:pPr>
        <w:ind w:firstLine="560"/>
        <w:outlineLvl w:val="1"/>
        <w:rPr>
          <w:rFonts w:ascii="宋体" w:hAnsi="宋体" w:eastAsia="宋体"/>
          <w:sz w:val="28"/>
          <w:szCs w:val="28"/>
        </w:rPr>
      </w:pPr>
      <w:r>
        <w:rPr>
          <w:rFonts w:hint="eastAsia" w:ascii="宋体" w:hAnsi="宋体" w:eastAsia="宋体"/>
          <w:sz w:val="28"/>
          <w:szCs w:val="28"/>
        </w:rPr>
        <w:t>2、体检安排的医院较为固定，部分社区居民对体检医院有不同的需求。</w:t>
      </w:r>
    </w:p>
    <w:p>
      <w:pPr>
        <w:ind w:firstLine="562"/>
        <w:outlineLvl w:val="1"/>
        <w:rPr>
          <w:rFonts w:ascii="宋体" w:hAnsi="宋体" w:eastAsia="宋体" w:cs="Arial Narrow"/>
          <w:b/>
          <w:bCs/>
          <w:sz w:val="28"/>
          <w:szCs w:val="28"/>
        </w:rPr>
      </w:pPr>
      <w:r>
        <w:rPr>
          <w:rFonts w:ascii="宋体" w:hAnsi="宋体" w:eastAsia="宋体" w:cs="Arial Narrow"/>
          <w:b/>
          <w:bCs/>
          <w:sz w:val="28"/>
          <w:szCs w:val="28"/>
        </w:rPr>
        <w:t>（三）建议</w:t>
      </w:r>
    </w:p>
    <w:p>
      <w:pPr>
        <w:ind w:firstLine="700" w:firstLineChars="250"/>
        <w:outlineLvl w:val="0"/>
        <w:rPr>
          <w:rFonts w:ascii="宋体" w:hAnsi="宋体" w:eastAsia="宋体"/>
          <w:sz w:val="28"/>
          <w:szCs w:val="28"/>
        </w:rPr>
      </w:pPr>
      <w:r>
        <w:rPr>
          <w:rFonts w:hint="eastAsia" w:ascii="宋体" w:hAnsi="宋体" w:eastAsia="宋体"/>
          <w:sz w:val="28"/>
          <w:szCs w:val="28"/>
        </w:rPr>
        <w:t>1、做好需求调查，了解社区工作者体检需求，结合医院实际，提供个性化体检服务；</w:t>
      </w:r>
    </w:p>
    <w:p>
      <w:pPr>
        <w:spacing w:line="220" w:lineRule="atLeast"/>
        <w:ind w:firstLine="560"/>
        <w:rPr>
          <w:rFonts w:ascii="宋体" w:hAnsi="宋体" w:eastAsia="宋体"/>
          <w:color w:val="FF0000"/>
          <w:sz w:val="28"/>
          <w:szCs w:val="28"/>
        </w:rPr>
      </w:pPr>
      <w:r>
        <w:rPr>
          <w:rFonts w:hint="eastAsia" w:ascii="宋体" w:hAnsi="宋体" w:eastAsia="宋体"/>
          <w:sz w:val="28"/>
          <w:szCs w:val="28"/>
        </w:rPr>
        <w:t>2、</w:t>
      </w:r>
      <w:r>
        <w:rPr>
          <w:rFonts w:hint="eastAsia" w:ascii="宋体" w:hAnsi="宋体" w:eastAsia="宋体"/>
          <w:color w:val="FF0000"/>
          <w:sz w:val="28"/>
          <w:szCs w:val="28"/>
        </w:rPr>
        <w:t>建立健全各项管理制度（如体检查对制度、体检信息保密制度、引导服务制度、沟通与信息反馈制度、健康咨询、教育与健康回访制度），优化工作流程，完善注意事项。</w:t>
      </w:r>
    </w:p>
    <w:p>
      <w:pPr>
        <w:ind w:firstLine="560"/>
        <w:rPr>
          <w:rFonts w:ascii="宋体" w:hAnsi="宋体" w:eastAsia="宋体" w:cs="Arial Narrow"/>
          <w:sz w:val="28"/>
          <w:szCs w:val="28"/>
        </w:rPr>
      </w:pPr>
      <w:r>
        <w:rPr>
          <w:rFonts w:hint="eastAsia" w:ascii="宋体" w:hAnsi="宋体" w:eastAsia="宋体" w:cs="Arial Narrow"/>
          <w:sz w:val="28"/>
          <w:szCs w:val="28"/>
        </w:rPr>
        <w:t xml:space="preserve">                         </w:t>
      </w:r>
    </w:p>
    <w:p>
      <w:pPr>
        <w:ind w:firstLine="5880" w:firstLineChars="2100"/>
        <w:rPr>
          <w:rFonts w:ascii="宋体" w:hAnsi="宋体" w:eastAsia="宋体" w:cs="Arial Narrow"/>
          <w:sz w:val="28"/>
          <w:szCs w:val="28"/>
        </w:rPr>
      </w:pPr>
      <w:r>
        <w:rPr>
          <w:rFonts w:hint="eastAsia" w:ascii="宋体" w:hAnsi="宋体" w:eastAsia="宋体" w:cs="Arial Narrow"/>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武昌区中南路街2019年度惠民资金项目工作经费绩效自评报告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惠民资金项目工作经费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 xml:space="preserve"> 575</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“惠民资金项目工作经费”绩效评价采用比较法、公众评判法、统计计算法、实地考察等方法进行评价分析，调阅相关凭证、单据进行分析研究。</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（一）比较法。根据调阅的“惠民资金项目工作经费项目”资料和实地观察，了解项目实际实施情况，与项目申报时确定的绩效目标进行对比，评价绩效目标的实现程度。</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（二）公众评判法。通过访谈、调查问卷了解社区居民对惠民项目的满意程度。</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（三）统计计算法。根据收集到的数据，加以计算分析项目的绩效目标实现程度。</w:t>
      </w:r>
    </w:p>
    <w:p>
      <w:pPr>
        <w:ind w:firstLine="560"/>
        <w:rPr>
          <w:rFonts w:cs="Arial Narrow" w:asciiTheme="minorEastAsia" w:hAnsiTheme="minorEastAsia" w:eastAsiaTheme="minorEastAsia"/>
          <w:b/>
          <w:sz w:val="28"/>
          <w:szCs w:val="28"/>
        </w:rPr>
      </w:pPr>
      <w:r>
        <w:rPr>
          <w:rFonts w:hint="eastAsia" w:cs="仿宋_GB2312" w:asciiTheme="minorEastAsia" w:hAnsiTheme="minorEastAsia" w:eastAsiaTheme="minorEastAsia"/>
          <w:sz w:val="28"/>
          <w:szCs w:val="28"/>
        </w:rPr>
        <w:t>（四）实地考察。是指前往项目具体实施地进行考察，了解项目的实施情况，</w:t>
      </w:r>
    </w:p>
    <w:p>
      <w:pPr>
        <w:ind w:firstLine="562"/>
        <w:rPr>
          <w:rFonts w:cs="仿宋_GB2312" w:asciiTheme="minorEastAsia" w:hAnsiTheme="minorEastAsia" w:eastAsiaTheme="minorEastAsia"/>
          <w:sz w:val="28"/>
          <w:szCs w:val="28"/>
        </w:rPr>
      </w:pPr>
      <w:r>
        <w:rPr>
          <w:rFonts w:hint="eastAsia" w:cs="Arial Narrow" w:asciiTheme="minorEastAsia" w:hAnsiTheme="minorEastAsia" w:eastAsiaTheme="minorEastAsia"/>
          <w:b/>
          <w:sz w:val="28"/>
          <w:szCs w:val="28"/>
        </w:rPr>
        <w:t>五、</w:t>
      </w:r>
      <w:r>
        <w:rPr>
          <w:rFonts w:cs="Arial Narrow" w:asciiTheme="minorEastAsia" w:hAnsiTheme="minorEastAsia" w:eastAsiaTheme="minorEastAsia"/>
          <w:b/>
          <w:bCs/>
          <w:sz w:val="28"/>
          <w:szCs w:val="28"/>
        </w:rPr>
        <w:t>开展绩效评价的背景</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六、项目基本情况</w:t>
      </w:r>
    </w:p>
    <w:p>
      <w:pPr>
        <w:ind w:firstLine="562"/>
        <w:outlineLvl w:val="1"/>
        <w:rPr>
          <w:rFonts w:cs="Arial Narrow" w:asciiTheme="minorEastAsia" w:hAnsiTheme="minorEastAsia" w:eastAsiaTheme="minorEastAsia"/>
          <w:b/>
          <w:bCs/>
          <w:sz w:val="28"/>
          <w:szCs w:val="28"/>
        </w:rPr>
      </w:pPr>
      <w:bookmarkStart w:id="84" w:name="_Toc818"/>
      <w:r>
        <w:rPr>
          <w:rFonts w:hint="eastAsia" w:cs="Arial Narrow" w:asciiTheme="minorEastAsia" w:hAnsiTheme="minorEastAsia" w:eastAsiaTheme="minorEastAsia"/>
          <w:b/>
          <w:bCs/>
          <w:sz w:val="28"/>
          <w:szCs w:val="28"/>
        </w:rPr>
        <w:t>（一）项目概况</w:t>
      </w:r>
      <w:bookmarkEnd w:id="84"/>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1. 项目立项</w:t>
      </w:r>
      <w:r>
        <w:rPr>
          <w:rFonts w:cs="Arial Narrow" w:asciiTheme="minorEastAsia" w:hAnsiTheme="minorEastAsia" w:eastAsiaTheme="minorEastAsia"/>
          <w:b/>
          <w:bCs/>
          <w:sz w:val="28"/>
          <w:szCs w:val="28"/>
        </w:rPr>
        <w:t>背景</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中南路街道办事处</w:t>
      </w:r>
      <w:r>
        <w:rPr>
          <w:rFonts w:cs="Arial Narrow" w:asciiTheme="minorEastAsia" w:hAnsiTheme="minorEastAsia" w:eastAsiaTheme="minorEastAsia"/>
          <w:sz w:val="28"/>
          <w:szCs w:val="28"/>
        </w:rPr>
        <w:t>惠民资金项目是应武昌区全面推进创建</w:t>
      </w:r>
      <w:r>
        <w:rPr>
          <w:rFonts w:hint="eastAsia" w:cs="Arial Narrow" w:asciiTheme="minorEastAsia" w:hAnsiTheme="minorEastAsia" w:eastAsiaTheme="minorEastAsia"/>
          <w:sz w:val="28"/>
          <w:szCs w:val="28"/>
        </w:rPr>
        <w:t>幸福</w:t>
      </w:r>
      <w:r>
        <w:rPr>
          <w:rFonts w:cs="Arial Narrow" w:asciiTheme="minorEastAsia" w:hAnsiTheme="minorEastAsia" w:eastAsiaTheme="minorEastAsia"/>
          <w:sz w:val="28"/>
          <w:szCs w:val="28"/>
        </w:rPr>
        <w:t>社区的需要提出的</w:t>
      </w:r>
      <w:r>
        <w:rPr>
          <w:rFonts w:hint="eastAsia" w:cs="Arial Narrow" w:asciiTheme="minorEastAsia" w:hAnsiTheme="minorEastAsia" w:eastAsiaTheme="minorEastAsia"/>
          <w:sz w:val="28"/>
          <w:szCs w:val="28"/>
        </w:rPr>
        <w:t>。</w:t>
      </w:r>
      <w:r>
        <w:rPr>
          <w:rFonts w:cs="Arial Narrow" w:asciiTheme="minorEastAsia" w:hAnsiTheme="minorEastAsia" w:eastAsiaTheme="minorEastAsia"/>
          <w:color w:val="FF0000"/>
          <w:sz w:val="28"/>
          <w:szCs w:val="28"/>
        </w:rPr>
        <w:t>武昌区</w:t>
      </w:r>
      <w:r>
        <w:rPr>
          <w:rFonts w:hint="eastAsia" w:cs="Arial Narrow" w:asciiTheme="minorEastAsia" w:hAnsiTheme="minorEastAsia" w:eastAsiaTheme="minorEastAsia"/>
          <w:color w:val="FF0000"/>
          <w:sz w:val="28"/>
          <w:szCs w:val="28"/>
        </w:rPr>
        <w:t>中南路街道办事处具体活动就是</w:t>
      </w:r>
      <w:r>
        <w:rPr>
          <w:rFonts w:cs="Arial Narrow" w:asciiTheme="minorEastAsia" w:hAnsiTheme="minorEastAsia" w:eastAsiaTheme="minorEastAsia"/>
          <w:color w:val="FF0000"/>
          <w:sz w:val="28"/>
          <w:szCs w:val="28"/>
        </w:rPr>
        <w:t>对</w:t>
      </w:r>
      <w:r>
        <w:rPr>
          <w:rFonts w:hint="eastAsia" w:cs="Arial Narrow" w:asciiTheme="minorEastAsia" w:hAnsiTheme="minorEastAsia" w:eastAsiaTheme="minorEastAsia"/>
          <w:color w:val="FF0000"/>
          <w:sz w:val="28"/>
          <w:szCs w:val="28"/>
        </w:rPr>
        <w:t>24个社区的社区服务、社区活动、社区环境和社区管理等项目进行建设。目标是在2018年度完成各项目，解决社区居民最关心、最直接、最现实的利益问题，建立健全打通服务群众“最后一公里”常态化机制。</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2.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2.1 评价基准日：2019年12月31日  </w:t>
      </w:r>
    </w:p>
    <w:p>
      <w:pPr>
        <w:ind w:firstLine="56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2.2 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b/>
          <w:sz w:val="28"/>
          <w:szCs w:val="28"/>
        </w:rPr>
        <w:t>3．</w:t>
      </w:r>
      <w:r>
        <w:rPr>
          <w:rFonts w:hint="eastAsia" w:cs="Arial Narrow" w:asciiTheme="minorEastAsia" w:hAnsiTheme="minorEastAsia" w:eastAsiaTheme="minorEastAsia"/>
          <w:color w:val="FF0000"/>
          <w:sz w:val="28"/>
          <w:szCs w:val="28"/>
        </w:rPr>
        <w:t>项目实施周期与地点</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2019年1月3</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日至2019年12月3</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日；武昌区人民政府中南路街道办事处所辖24个社区</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4.项目完成概况：</w:t>
      </w:r>
      <w:r>
        <w:rPr>
          <w:rFonts w:hint="eastAsia" w:cs="Arial Narrow" w:asciiTheme="minorEastAsia" w:hAnsiTheme="minorEastAsia" w:eastAsiaTheme="minorEastAsia"/>
          <w:color w:val="FF0000"/>
          <w:sz w:val="28"/>
          <w:szCs w:val="28"/>
        </w:rPr>
        <w:t>截止到绩效评价日，中南路街24社区已完成惠民项目300余项。</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（二）项目经费来源和使用情况</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1.项目资金来源概况</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项目资金来源概况：</w:t>
      </w:r>
      <w:r>
        <w:rPr>
          <w:rFonts w:cs="Arial Narrow" w:asciiTheme="minorEastAsia" w:hAnsiTheme="minorEastAsia" w:eastAsiaTheme="minorEastAsia"/>
          <w:sz w:val="28"/>
          <w:szCs w:val="28"/>
        </w:rPr>
        <w:t>根据《</w:t>
      </w:r>
      <w:r>
        <w:rPr>
          <w:rFonts w:hint="eastAsia" w:cs="Arial Narrow" w:asciiTheme="minorEastAsia" w:hAnsiTheme="minorEastAsia" w:eastAsiaTheme="minorEastAsia"/>
          <w:sz w:val="28"/>
          <w:szCs w:val="28"/>
        </w:rPr>
        <w:t>关于进一步规范社区惠民项目资金使用管理的通知</w:t>
      </w:r>
      <w:r>
        <w:rPr>
          <w:rFonts w:cs="Arial Narrow" w:asciiTheme="minorEastAsia" w:hAnsiTheme="minorEastAsia" w:eastAsiaTheme="minorEastAsia"/>
          <w:sz w:val="28"/>
          <w:szCs w:val="28"/>
        </w:rPr>
        <w:t>》，社区</w:t>
      </w:r>
      <w:r>
        <w:rPr>
          <w:rFonts w:hint="eastAsia" w:cs="Arial Narrow" w:asciiTheme="minorEastAsia" w:hAnsiTheme="minorEastAsia" w:eastAsiaTheme="minorEastAsia"/>
          <w:sz w:val="28"/>
          <w:szCs w:val="28"/>
        </w:rPr>
        <w:t>惠民</w:t>
      </w:r>
      <w:r>
        <w:rPr>
          <w:rFonts w:cs="Arial Narrow" w:asciiTheme="minorEastAsia" w:hAnsiTheme="minorEastAsia" w:eastAsiaTheme="minorEastAsia"/>
          <w:sz w:val="28"/>
          <w:szCs w:val="28"/>
        </w:rPr>
        <w:t>资金项目经费为</w:t>
      </w:r>
      <w:r>
        <w:rPr>
          <w:rFonts w:hint="eastAsia" w:cs="Arial Narrow" w:asciiTheme="minorEastAsia" w:hAnsiTheme="minorEastAsia" w:eastAsiaTheme="minorEastAsia"/>
          <w:sz w:val="28"/>
          <w:szCs w:val="28"/>
        </w:rPr>
        <w:t>575</w:t>
      </w:r>
      <w:r>
        <w:rPr>
          <w:rFonts w:cs="Arial Narrow" w:asciiTheme="minorEastAsia" w:hAnsiTheme="minorEastAsia" w:eastAsiaTheme="minorEastAsia"/>
          <w:sz w:val="28"/>
          <w:szCs w:val="28"/>
        </w:rPr>
        <w:t>万元，</w:t>
      </w:r>
      <w:r>
        <w:rPr>
          <w:rFonts w:hint="eastAsia" w:cs="Arial Narrow" w:asciiTheme="minorEastAsia" w:hAnsiTheme="minorEastAsia" w:eastAsiaTheme="minorEastAsia"/>
          <w:sz w:val="28"/>
          <w:szCs w:val="28"/>
        </w:rPr>
        <w:t>项目资金均为区级财政资金。</w:t>
      </w:r>
    </w:p>
    <w:p>
      <w:pPr>
        <w:ind w:left="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2.项目资金使用概况</w:t>
      </w:r>
      <w:bookmarkStart w:id="85" w:name="_Toc361304427"/>
      <w:bookmarkStart w:id="86" w:name="_Toc361304679"/>
      <w:bookmarkStart w:id="87" w:name="_Toc361303718"/>
      <w:bookmarkStart w:id="88" w:name="_Toc361304169"/>
      <w:bookmarkStart w:id="89" w:name="_Toc361302024"/>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在社区推行“四民”工作法，合理利用惠民资金，在24个社区实施惠民项目共计300余项。二社区居民生活质量提高，楼道粉刷、防盗门制安、楼道灯安装、破损道路维修、楼栋雨水管的更换、电动车棚的制作，社区宣传展板的制作、休闲桌椅的安装等工程项目， 购买社会组织服务，社区在各类传统节假日举行的活动及各项惠民演出活动的开展，为社区居民带来了更多的便利。</w:t>
      </w:r>
    </w:p>
    <w:bookmarkEnd w:id="85"/>
    <w:bookmarkEnd w:id="86"/>
    <w:bookmarkEnd w:id="87"/>
    <w:bookmarkEnd w:id="88"/>
    <w:bookmarkEnd w:id="89"/>
    <w:p>
      <w:pPr>
        <w:ind w:firstLine="562"/>
        <w:outlineLvl w:val="1"/>
        <w:rPr>
          <w:rFonts w:cs="Arial Narrow" w:asciiTheme="minorEastAsia" w:hAnsiTheme="minorEastAsia" w:eastAsiaTheme="minorEastAsia"/>
          <w:b/>
          <w:bCs/>
          <w:sz w:val="28"/>
          <w:szCs w:val="28"/>
        </w:rPr>
      </w:pPr>
      <w:bookmarkStart w:id="90" w:name="_Toc21318"/>
      <w:bookmarkStart w:id="91" w:name="_Toc406668030"/>
      <w:bookmarkStart w:id="92" w:name="_Toc406666356"/>
      <w:bookmarkStart w:id="93" w:name="_Toc16351"/>
      <w:bookmarkStart w:id="94" w:name="_Toc361304680"/>
      <w:r>
        <w:rPr>
          <w:rFonts w:hint="eastAsia" w:cs="Arial Narrow" w:asciiTheme="minorEastAsia" w:hAnsiTheme="minorEastAsia" w:eastAsiaTheme="minorEastAsia"/>
          <w:b/>
          <w:bCs/>
          <w:sz w:val="28"/>
          <w:szCs w:val="28"/>
        </w:rPr>
        <w:t>（三）项目绩效目标</w:t>
      </w:r>
      <w:bookmarkEnd w:id="90"/>
    </w:p>
    <w:bookmarkEnd w:id="91"/>
    <w:bookmarkEnd w:id="92"/>
    <w:bookmarkEnd w:id="93"/>
    <w:bookmarkEnd w:id="94"/>
    <w:p>
      <w:pPr>
        <w:ind w:firstLine="560"/>
        <w:rPr>
          <w:rFonts w:cs="Arial Narrow" w:asciiTheme="minorEastAsia" w:hAnsiTheme="minorEastAsia" w:eastAsiaTheme="minorEastAsia"/>
          <w:sz w:val="28"/>
          <w:szCs w:val="28"/>
        </w:rPr>
      </w:pPr>
      <w:bookmarkStart w:id="95" w:name="_Toc3631"/>
      <w:bookmarkStart w:id="96" w:name="_Toc387957806"/>
      <w:bookmarkStart w:id="97" w:name="_Toc361304681"/>
      <w:r>
        <w:rPr>
          <w:rFonts w:hint="eastAsia" w:cs="Arial Narrow" w:asciiTheme="minorEastAsia" w:hAnsiTheme="minorEastAsia" w:eastAsiaTheme="minorEastAsia"/>
          <w:color w:val="FF0000"/>
          <w:sz w:val="28"/>
          <w:szCs w:val="28"/>
        </w:rPr>
        <w:t>惠民资金项目的绩效目标</w:t>
      </w:r>
      <w:r>
        <w:rPr>
          <w:rFonts w:hint="eastAsia" w:cs="Arial Narrow" w:asciiTheme="minorEastAsia" w:hAnsiTheme="minorEastAsia" w:eastAsiaTheme="minorEastAsia"/>
          <w:sz w:val="28"/>
          <w:szCs w:val="28"/>
        </w:rPr>
        <w:t>使社区居民拥有良好的生活环境和丰富多彩的社区服务，解决社区居民切身实际的利益问题，不断提高社区居民的幸福感、安全感，提高社区居民生活质量，组织和联系社区居民，建设和谐发展的城市家园。</w:t>
      </w:r>
    </w:p>
    <w:bookmarkEnd w:id="95"/>
    <w:p>
      <w:pPr>
        <w:ind w:firstLine="562"/>
        <w:outlineLvl w:val="0"/>
        <w:rPr>
          <w:rFonts w:cs="Arial Narrow" w:asciiTheme="minorEastAsia" w:hAnsiTheme="minorEastAsia" w:eastAsiaTheme="minorEastAsia"/>
          <w:b/>
          <w:bCs/>
          <w:sz w:val="28"/>
          <w:szCs w:val="28"/>
        </w:rPr>
      </w:pPr>
      <w:bookmarkStart w:id="98" w:name="_Toc2883"/>
      <w:bookmarkStart w:id="99" w:name="_Toc406666357"/>
      <w:bookmarkStart w:id="100" w:name="_Toc14372"/>
      <w:bookmarkStart w:id="101" w:name="_Toc406668031"/>
      <w:r>
        <w:rPr>
          <w:rFonts w:hint="eastAsia" w:cs="Arial Narrow" w:asciiTheme="minorEastAsia" w:hAnsiTheme="minorEastAsia" w:eastAsiaTheme="minorEastAsia"/>
          <w:b/>
          <w:bCs/>
          <w:sz w:val="28"/>
          <w:szCs w:val="28"/>
        </w:rPr>
        <w:t>七、绩效评价工作情况</w:t>
      </w:r>
      <w:bookmarkEnd w:id="96"/>
      <w:bookmarkEnd w:id="97"/>
      <w:bookmarkEnd w:id="98"/>
      <w:bookmarkEnd w:id="99"/>
      <w:bookmarkEnd w:id="100"/>
      <w:bookmarkEnd w:id="101"/>
      <w:bookmarkStart w:id="102" w:name="_Toc361304682"/>
    </w:p>
    <w:bookmarkEnd w:id="102"/>
    <w:p>
      <w:pPr>
        <w:ind w:firstLine="562"/>
        <w:outlineLvl w:val="1"/>
        <w:rPr>
          <w:rFonts w:cs="Arial Narrow" w:asciiTheme="minorEastAsia" w:hAnsiTheme="minorEastAsia" w:eastAsiaTheme="minorEastAsia"/>
          <w:b/>
          <w:bCs/>
          <w:sz w:val="28"/>
          <w:szCs w:val="28"/>
        </w:rPr>
      </w:pPr>
      <w:bookmarkStart w:id="103" w:name="_Toc25167"/>
      <w:r>
        <w:rPr>
          <w:rFonts w:hint="eastAsia" w:cs="Arial Narrow" w:asciiTheme="minorEastAsia" w:hAnsiTheme="minorEastAsia" w:eastAsiaTheme="minorEastAsia"/>
          <w:b/>
          <w:bCs/>
          <w:sz w:val="28"/>
          <w:szCs w:val="28"/>
        </w:rPr>
        <w:t>（一）绩效评价目的</w:t>
      </w:r>
      <w:bookmarkEnd w:id="103"/>
    </w:p>
    <w:p>
      <w:pPr>
        <w:widowControl w:val="0"/>
        <w:numPr>
          <w:ilvl w:val="0"/>
          <w:numId w:val="53"/>
        </w:numPr>
        <w:adjustRightInd/>
        <w:spacing w:after="0" w:line="360" w:lineRule="auto"/>
        <w:ind w:firstLine="560" w:firstLineChars="200"/>
        <w:jc w:val="both"/>
        <w:rPr>
          <w:rFonts w:cs="Arial Narrow" w:asciiTheme="minorEastAsia" w:hAnsiTheme="minorEastAsia" w:eastAsiaTheme="minorEastAsia"/>
          <w:sz w:val="28"/>
          <w:szCs w:val="28"/>
        </w:rPr>
      </w:pPr>
      <w:bookmarkStart w:id="104" w:name="_Toc32197"/>
      <w:bookmarkStart w:id="105" w:name="_Toc14614"/>
      <w:r>
        <w:rPr>
          <w:rFonts w:cs="Arial Narrow" w:asciiTheme="minorEastAsia" w:hAnsiTheme="minorEastAsia" w:eastAsiaTheme="minorEastAsia"/>
          <w:sz w:val="28"/>
          <w:szCs w:val="28"/>
        </w:rPr>
        <w:t>对“</w:t>
      </w:r>
      <w:r>
        <w:rPr>
          <w:rFonts w:cs="Arial Narrow" w:asciiTheme="minorEastAsia" w:hAnsiTheme="minorEastAsia" w:eastAsiaTheme="minorEastAsia"/>
          <w:bCs/>
          <w:sz w:val="28"/>
          <w:szCs w:val="28"/>
        </w:rPr>
        <w:t>社区</w:t>
      </w:r>
      <w:r>
        <w:rPr>
          <w:rFonts w:hint="eastAsia" w:cs="Arial Narrow" w:asciiTheme="minorEastAsia" w:hAnsiTheme="minorEastAsia" w:eastAsiaTheme="minorEastAsia"/>
          <w:bCs/>
          <w:sz w:val="28"/>
          <w:szCs w:val="28"/>
        </w:rPr>
        <w:t>惠民</w:t>
      </w:r>
      <w:r>
        <w:rPr>
          <w:rFonts w:cs="Arial Narrow" w:asciiTheme="minorEastAsia" w:hAnsiTheme="minorEastAsia" w:eastAsiaTheme="minorEastAsia"/>
          <w:bCs/>
          <w:sz w:val="28"/>
          <w:szCs w:val="28"/>
        </w:rPr>
        <w:t>资金项目</w:t>
      </w:r>
      <w:r>
        <w:rPr>
          <w:rFonts w:cs="Arial Narrow" w:asciiTheme="minorEastAsia" w:hAnsiTheme="minorEastAsia" w:eastAsiaTheme="minorEastAsia"/>
          <w:sz w:val="28"/>
          <w:szCs w:val="28"/>
        </w:rPr>
        <w:t>”从项目决策到项目绩效的全过程进行科学、客观、公正的评价，为合理分配资金、优化支出提供依据。</w:t>
      </w:r>
    </w:p>
    <w:p>
      <w:pPr>
        <w:widowControl w:val="0"/>
        <w:numPr>
          <w:ilvl w:val="0"/>
          <w:numId w:val="53"/>
        </w:numPr>
        <w:adjustRightInd/>
        <w:spacing w:after="0" w:line="360" w:lineRule="auto"/>
        <w:ind w:firstLine="480"/>
        <w:jc w:val="both"/>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通过绩效评价为合理分配资金、优化支出提供依据。</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3、通过绩效评价总结前一年度项目实施的经验教训。</w:t>
      </w:r>
      <w:bookmarkEnd w:id="104"/>
      <w:bookmarkEnd w:id="105"/>
      <w:bookmarkStart w:id="106" w:name="_Toc22061"/>
    </w:p>
    <w:p>
      <w:pPr>
        <w:ind w:firstLine="562"/>
        <w:rPr>
          <w:rFonts w:cs="Arial Narrow" w:asciiTheme="minorEastAsia" w:hAnsiTheme="minorEastAsia" w:eastAsiaTheme="minorEastAsia"/>
          <w:b/>
          <w:sz w:val="28"/>
          <w:szCs w:val="28"/>
        </w:rPr>
      </w:pPr>
      <w:r>
        <w:rPr>
          <w:rFonts w:hint="eastAsia" w:cs="仿宋_GB2312" w:asciiTheme="minorEastAsia" w:hAnsiTheme="minorEastAsia" w:eastAsiaTheme="minorEastAsia"/>
          <w:b/>
          <w:sz w:val="28"/>
          <w:szCs w:val="28"/>
        </w:rPr>
        <w:t>（二）绩效评价框架</w:t>
      </w:r>
      <w:bookmarkEnd w:id="106"/>
    </w:p>
    <w:p>
      <w:pPr>
        <w:ind w:firstLine="562"/>
        <w:rPr>
          <w:rFonts w:cs="Arial Narrow" w:asciiTheme="minorEastAsia" w:hAnsiTheme="minorEastAsia" w:eastAsiaTheme="minorEastAsia"/>
          <w:sz w:val="28"/>
          <w:szCs w:val="28"/>
        </w:rPr>
      </w:pPr>
      <w:r>
        <w:rPr>
          <w:rFonts w:hint="eastAsia" w:cs="Arial Narrow" w:asciiTheme="minorEastAsia" w:hAnsiTheme="minorEastAsia" w:eastAsiaTheme="minorEastAsia"/>
          <w:b/>
          <w:bCs/>
          <w:sz w:val="28"/>
          <w:szCs w:val="28"/>
        </w:rPr>
        <w:t>1、评价原则</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科学规范原则、公正公开原则、分级分类原则、绩效相关原则。</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2、评价依据</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（1）项目行为依据</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1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①</w:t>
      </w:r>
      <w:r>
        <w:rPr>
          <w:rFonts w:cs="Arial Narrow" w:asciiTheme="minorEastAsia" w:hAnsiTheme="minorEastAsia" w:eastAsiaTheme="minorEastAsia"/>
          <w:sz w:val="28"/>
          <w:szCs w:val="28"/>
        </w:rPr>
        <w:fldChar w:fldCharType="end"/>
      </w:r>
      <w:r>
        <w:rPr>
          <w:rFonts w:hint="eastAsia" w:cs="Arial Narrow" w:asciiTheme="minorEastAsia" w:hAnsiTheme="minorEastAsia" w:eastAsiaTheme="minorEastAsia"/>
          <w:sz w:val="28"/>
          <w:szCs w:val="28"/>
        </w:rPr>
        <w:t>中南路街社区惠民资金项目资金计划表</w:t>
      </w:r>
    </w:p>
    <w:p>
      <w:pPr>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2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②</w:t>
      </w:r>
      <w:r>
        <w:rPr>
          <w:rFonts w:cs="Arial Narrow" w:asciiTheme="minorEastAsia" w:hAnsiTheme="minorEastAsia" w:eastAsiaTheme="minorEastAsia"/>
          <w:sz w:val="28"/>
          <w:szCs w:val="28"/>
        </w:rPr>
        <w:fldChar w:fldCharType="end"/>
      </w:r>
      <w:r>
        <w:rPr>
          <w:rFonts w:hint="eastAsia" w:cs="Arial Narrow" w:asciiTheme="minorEastAsia" w:hAnsiTheme="minorEastAsia" w:eastAsiaTheme="minorEastAsia"/>
          <w:sz w:val="28"/>
          <w:szCs w:val="28"/>
        </w:rPr>
        <w:t>《关于进一步规范社区惠民项目资金使用管理的通知》</w:t>
      </w:r>
    </w:p>
    <w:p>
      <w:pPr>
        <w:widowControl w:val="0"/>
        <w:numPr>
          <w:ilvl w:val="0"/>
          <w:numId w:val="54"/>
        </w:numPr>
        <w:adjustRightInd/>
        <w:spacing w:after="0" w:line="360" w:lineRule="auto"/>
        <w:ind w:firstLine="560" w:firstLineChars="2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法律、法规依据</w:t>
      </w:r>
    </w:p>
    <w:p>
      <w:pPr>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1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①</w:t>
      </w:r>
      <w:r>
        <w:rPr>
          <w:rFonts w:cs="Arial Narrow" w:asciiTheme="minorEastAsia" w:hAnsiTheme="minorEastAsia" w:eastAsiaTheme="minorEastAsia"/>
          <w:sz w:val="28"/>
          <w:szCs w:val="28"/>
        </w:rPr>
        <w:fldChar w:fldCharType="end"/>
      </w:r>
      <w:r>
        <w:rPr>
          <w:rFonts w:cs="Arial Narrow" w:asciiTheme="minorEastAsia" w:hAnsiTheme="minorEastAsia" w:eastAsiaTheme="minorEastAsia"/>
          <w:sz w:val="28"/>
          <w:szCs w:val="28"/>
        </w:rPr>
        <w:t>《中华人民共和国预算法》；</w:t>
      </w:r>
    </w:p>
    <w:p>
      <w:pPr>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2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②</w:t>
      </w:r>
      <w:r>
        <w:rPr>
          <w:rFonts w:cs="Arial Narrow" w:asciiTheme="minorEastAsia" w:hAnsiTheme="minorEastAsia" w:eastAsiaTheme="minorEastAsia"/>
          <w:sz w:val="28"/>
          <w:szCs w:val="28"/>
        </w:rPr>
        <w:fldChar w:fldCharType="end"/>
      </w:r>
      <w:r>
        <w:rPr>
          <w:rFonts w:cs="Arial Narrow" w:asciiTheme="minorEastAsia" w:hAnsiTheme="minorEastAsia" w:eastAsiaTheme="minorEastAsia"/>
          <w:sz w:val="28"/>
          <w:szCs w:val="28"/>
        </w:rPr>
        <w:t>财政部《财政支出绩效评价管理暂行办法》（财预</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2011</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285号）；</w:t>
      </w:r>
    </w:p>
    <w:p>
      <w:pPr>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3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③</w:t>
      </w:r>
      <w:r>
        <w:rPr>
          <w:rFonts w:cs="Arial Narrow" w:asciiTheme="minorEastAsia" w:hAnsiTheme="minorEastAsia" w:eastAsiaTheme="minorEastAsia"/>
          <w:sz w:val="28"/>
          <w:szCs w:val="28"/>
        </w:rPr>
        <w:fldChar w:fldCharType="end"/>
      </w:r>
      <w:r>
        <w:rPr>
          <w:rFonts w:cs="Arial Narrow" w:asciiTheme="minorEastAsia" w:hAnsiTheme="minorEastAsia" w:eastAsiaTheme="minorEastAsia"/>
          <w:sz w:val="28"/>
          <w:szCs w:val="28"/>
        </w:rPr>
        <w:t xml:space="preserve">《武昌区财政支出绩效评价管理暂行办法》 </w:t>
      </w:r>
    </w:p>
    <w:p>
      <w:pPr>
        <w:widowControl w:val="0"/>
        <w:numPr>
          <w:ilvl w:val="0"/>
          <w:numId w:val="54"/>
        </w:numPr>
        <w:adjustRightInd/>
        <w:spacing w:after="0" w:line="360" w:lineRule="auto"/>
        <w:ind w:firstLine="560" w:firstLineChars="2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项目财务资料依据</w:t>
      </w:r>
    </w:p>
    <w:p>
      <w:pPr>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1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①</w:t>
      </w:r>
      <w:r>
        <w:rPr>
          <w:rFonts w:cs="Arial Narrow" w:asciiTheme="minorEastAsia" w:hAnsiTheme="minorEastAsia" w:eastAsiaTheme="minorEastAsia"/>
          <w:sz w:val="28"/>
          <w:szCs w:val="28"/>
        </w:rPr>
        <w:fldChar w:fldCharType="end"/>
      </w:r>
      <w:r>
        <w:rPr>
          <w:rFonts w:hint="eastAsia" w:cs="Arial Narrow" w:asciiTheme="minorEastAsia" w:hAnsiTheme="minorEastAsia" w:eastAsiaTheme="minorEastAsia"/>
          <w:sz w:val="28"/>
          <w:szCs w:val="28"/>
        </w:rPr>
        <w:t>项目</w:t>
      </w:r>
      <w:r>
        <w:rPr>
          <w:rFonts w:cs="Arial Narrow" w:asciiTheme="minorEastAsia" w:hAnsiTheme="minorEastAsia" w:eastAsiaTheme="minorEastAsia"/>
          <w:sz w:val="28"/>
          <w:szCs w:val="28"/>
        </w:rPr>
        <w:t>支出明细账</w:t>
      </w:r>
    </w:p>
    <w:p>
      <w:pPr>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2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②</w:t>
      </w:r>
      <w:r>
        <w:rPr>
          <w:rFonts w:cs="Arial Narrow" w:asciiTheme="minorEastAsia" w:hAnsiTheme="minorEastAsia" w:eastAsiaTheme="minorEastAsia"/>
          <w:sz w:val="28"/>
          <w:szCs w:val="28"/>
        </w:rPr>
        <w:fldChar w:fldCharType="end"/>
      </w:r>
      <w:r>
        <w:rPr>
          <w:rFonts w:cs="Arial Narrow" w:asciiTheme="minorEastAsia" w:hAnsiTheme="minorEastAsia" w:eastAsiaTheme="minorEastAsia"/>
          <w:sz w:val="28"/>
          <w:szCs w:val="28"/>
        </w:rPr>
        <w:t>记账凭证及有关附件</w:t>
      </w:r>
    </w:p>
    <w:p>
      <w:pPr>
        <w:ind w:firstLine="478" w:firstLineChars="171"/>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③武昌区社区惠民项目资金使用管理办法征求意见稿</w:t>
      </w:r>
    </w:p>
    <w:p>
      <w:pPr>
        <w:ind w:firstLine="478" w:firstLineChars="171"/>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④《2014年武昌区社区惠民项目资金使用管理办法补充说明》</w:t>
      </w:r>
    </w:p>
    <w:p>
      <w:pPr>
        <w:widowControl w:val="0"/>
        <w:numPr>
          <w:ilvl w:val="0"/>
          <w:numId w:val="55"/>
        </w:numPr>
        <w:adjustRightInd/>
        <w:spacing w:after="0" w:line="360" w:lineRule="auto"/>
        <w:ind w:firstLine="562" w:firstLineChars="20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1"/>
        <w:rPr>
          <w:rFonts w:cs="Arial Narrow" w:asciiTheme="minorEastAsia" w:hAnsiTheme="minorEastAsia" w:eastAsiaTheme="minorEastAsia"/>
          <w:b/>
          <w:sz w:val="28"/>
          <w:szCs w:val="28"/>
        </w:rPr>
      </w:pPr>
      <w:bookmarkStart w:id="107" w:name="_Toc15120"/>
      <w:r>
        <w:rPr>
          <w:rFonts w:hint="eastAsia" w:cs="Arial Narrow" w:asciiTheme="minorEastAsia" w:hAnsiTheme="minorEastAsia" w:eastAsiaTheme="minorEastAsia"/>
          <w:b/>
          <w:sz w:val="28"/>
          <w:szCs w:val="28"/>
        </w:rPr>
        <w:t>（三）证据收集方式</w:t>
      </w:r>
      <w:bookmarkEnd w:id="107"/>
    </w:p>
    <w:p>
      <w:pPr>
        <w:ind w:firstLine="560"/>
        <w:rPr>
          <w:rFonts w:cs="Arial Narrow" w:asciiTheme="minorEastAsia" w:hAnsiTheme="minorEastAsia" w:eastAsiaTheme="minorEastAsia"/>
          <w:bCs/>
          <w:sz w:val="28"/>
          <w:szCs w:val="28"/>
        </w:rPr>
      </w:pPr>
      <w:bookmarkStart w:id="108" w:name="_Toc13985"/>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社区</w:t>
      </w:r>
      <w:r>
        <w:rPr>
          <w:rFonts w:hint="eastAsia" w:cs="Arial Narrow" w:asciiTheme="minorEastAsia" w:hAnsiTheme="minorEastAsia" w:eastAsiaTheme="minorEastAsia"/>
          <w:sz w:val="28"/>
          <w:szCs w:val="28"/>
        </w:rPr>
        <w:t>惠民</w:t>
      </w:r>
      <w:r>
        <w:rPr>
          <w:rFonts w:cs="Arial Narrow" w:asciiTheme="minorEastAsia" w:hAnsiTheme="minorEastAsia" w:eastAsiaTheme="minorEastAsia"/>
          <w:sz w:val="28"/>
          <w:szCs w:val="28"/>
        </w:rPr>
        <w:t>资金项目</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绩效评价</w:t>
      </w:r>
      <w:r>
        <w:rPr>
          <w:rFonts w:hint="eastAsia" w:cs="Arial Narrow" w:asciiTheme="minorEastAsia" w:hAnsiTheme="minorEastAsia" w:eastAsiaTheme="minorEastAsia"/>
          <w:bCs/>
          <w:sz w:val="28"/>
          <w:szCs w:val="28"/>
        </w:rPr>
        <w:t>计划采取深入项目单位实地察看、面访、座谈、查阅相关资料、核查财务凭证等证据收集方法，获取大量高质量和准确可靠的数据信息，同时对项目实施相关机构进行访谈，随机选取社区居民进行座谈，收集绩效评价所需的基础性资料。</w:t>
      </w:r>
      <w:bookmarkEnd w:id="108"/>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1分，评价结果为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项目立项规范、绩效目标合理，符合客观实际。资金到位及时，但资金投入方向并未100%投向惠民项目，因此资金投入扣1分。</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过程指标主要从业务管理、财务管理两个方面来具体评价</w:t>
      </w:r>
      <w:r>
        <w:rPr>
          <w:rFonts w:hint="eastAsia" w:cs="Arial Narrow" w:asciiTheme="minorEastAsia" w:hAnsiTheme="minorEastAsia" w:eastAsiaTheme="minorEastAsia"/>
          <w:sz w:val="28"/>
          <w:szCs w:val="28"/>
        </w:rPr>
        <w:t>。</w:t>
      </w:r>
      <w:r>
        <w:rPr>
          <w:rFonts w:hint="eastAsia" w:cs="Arial Narrow" w:asciiTheme="minorEastAsia" w:hAnsiTheme="minorEastAsia" w:eastAsiaTheme="minorEastAsia"/>
          <w:bCs/>
          <w:sz w:val="28"/>
          <w:szCs w:val="28"/>
        </w:rPr>
        <w:t>在</w:t>
      </w:r>
      <w:r>
        <w:rPr>
          <w:rFonts w:cs="Arial Narrow" w:asciiTheme="minorEastAsia" w:hAnsiTheme="minorEastAsia" w:eastAsiaTheme="minorEastAsia"/>
          <w:bCs/>
          <w:sz w:val="28"/>
          <w:szCs w:val="28"/>
        </w:rPr>
        <w:t>业务管理</w:t>
      </w:r>
      <w:r>
        <w:rPr>
          <w:rFonts w:hint="eastAsia" w:cs="Arial Narrow" w:asciiTheme="minorEastAsia" w:hAnsiTheme="minorEastAsia" w:eastAsiaTheme="minorEastAsia"/>
          <w:bCs/>
          <w:sz w:val="28"/>
          <w:szCs w:val="28"/>
        </w:rPr>
        <w:t>方面，</w:t>
      </w:r>
      <w:r>
        <w:rPr>
          <w:rFonts w:hint="eastAsia" w:cs="Arial Narrow" w:asciiTheme="minorEastAsia" w:hAnsiTheme="minorEastAsia" w:eastAsiaTheme="minorEastAsia"/>
          <w:sz w:val="28"/>
          <w:szCs w:val="28"/>
        </w:rPr>
        <w:t>中南路街办事处未细化项目完成情况检查与回访制度，根据评分标准，扣1分。项目实施单位在项目完成后对项目质量进行了检查、验收评估，</w:t>
      </w:r>
      <w:r>
        <w:rPr>
          <w:rFonts w:hint="eastAsia" w:cs="Arial Narrow" w:asciiTheme="minorEastAsia" w:hAnsiTheme="minorEastAsia" w:eastAsiaTheme="minorEastAsia"/>
          <w:color w:val="FF0000"/>
          <w:sz w:val="28"/>
          <w:szCs w:val="28"/>
        </w:rPr>
        <w:t>但评估方法单一，扣1分</w:t>
      </w:r>
      <w:r>
        <w:rPr>
          <w:rFonts w:hint="eastAsia" w:cs="Arial Narrow" w:asciiTheme="minorEastAsia" w:hAnsiTheme="minorEastAsia" w:eastAsiaTheme="minorEastAsia"/>
          <w:sz w:val="28"/>
          <w:szCs w:val="28"/>
        </w:rPr>
        <w:t>。财务管理上</w:t>
      </w:r>
      <w:r>
        <w:rPr>
          <w:rFonts w:cs="Arial Narrow" w:asciiTheme="minorEastAsia" w:hAnsiTheme="minorEastAsia" w:eastAsiaTheme="minorEastAsia"/>
          <w:sz w:val="28"/>
          <w:szCs w:val="28"/>
        </w:rPr>
        <w:t>财务制度健全</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资金使用合规性</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财务监控有效</w:t>
      </w:r>
      <w:r>
        <w:rPr>
          <w:rFonts w:hint="eastAsia"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通过查看</w:t>
      </w:r>
      <w:r>
        <w:rPr>
          <w:rFonts w:hint="eastAsia" w:cs="Arial Narrow" w:asciiTheme="minorEastAsia" w:hAnsiTheme="minorEastAsia" w:eastAsiaTheme="minorEastAsia"/>
          <w:color w:val="FF0000"/>
          <w:sz w:val="28"/>
          <w:szCs w:val="28"/>
        </w:rPr>
        <w:t>《中南路街2018年社区惠民项目资金完成情况统计表》了解到，该项目2018年计划推进四大类300个项目</w:t>
      </w:r>
      <w:r>
        <w:rPr>
          <w:rFonts w:hint="eastAsia" w:cs="Arial Narrow" w:asciiTheme="minorEastAsia" w:hAnsiTheme="minorEastAsia" w:eastAsiaTheme="minorEastAsia"/>
          <w:sz w:val="28"/>
          <w:szCs w:val="28"/>
        </w:rPr>
        <w:t>，</w:t>
      </w:r>
      <w:r>
        <w:rPr>
          <w:rFonts w:hint="eastAsia" w:cs="Arial Narrow" w:asciiTheme="minorEastAsia" w:hAnsiTheme="minorEastAsia" w:eastAsiaTheme="minorEastAsia"/>
          <w:color w:val="FF0000"/>
          <w:sz w:val="28"/>
          <w:szCs w:val="28"/>
        </w:rPr>
        <w:t>目前部分项目未跟上进度，扣2分。</w:t>
      </w:r>
    </w:p>
    <w:p>
      <w:pPr>
        <w:widowControl w:val="0"/>
        <w:numPr>
          <w:ilvl w:val="0"/>
          <w:numId w:val="56"/>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查阅相关资料，社区惠民项目开展顺利，满足居民生活需求，但未安排专人负责后期回访、跟踪维护事项，未见后期相关跟进痕迹，扣2分。从社区随机访谈30名社区居民，其中27人表示满意，2人表示比较满意，1人表示不太满意，经统计得出，服务对象满意度为90.00%，</w:t>
      </w:r>
      <w:r>
        <w:rPr>
          <w:rFonts w:hint="eastAsia" w:cs="Arial Narrow" w:asciiTheme="minorEastAsia" w:hAnsiTheme="minorEastAsia" w:eastAsiaTheme="minorEastAsia"/>
          <w:color w:val="FF0000"/>
          <w:sz w:val="28"/>
          <w:szCs w:val="28"/>
        </w:rPr>
        <w:t>扣1分。</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经综合评价，中南路街道办事处“惠民资金项目工作经费”绩效评价总得分为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1分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（一）主要经验及做法</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bCs/>
          <w:color w:val="000000" w:themeColor="text1"/>
          <w:sz w:val="28"/>
          <w:szCs w:val="28"/>
        </w:rPr>
        <w:t>惠民项目丰富且贴合居民的需求。在社区服务中，对社区活动室进行改造；在社区活动中，社区举办活动庆祝儿童节、重阳节、端午节等，开展艺术节等活动；在社区环境改造中，</w:t>
      </w:r>
      <w:r>
        <w:rPr>
          <w:rFonts w:hint="eastAsia" w:cs="Arial Narrow" w:asciiTheme="minorEastAsia" w:hAnsiTheme="minorEastAsia" w:eastAsiaTheme="minorEastAsia"/>
          <w:color w:val="FF0000"/>
          <w:sz w:val="28"/>
          <w:szCs w:val="28"/>
        </w:rPr>
        <w:t>楼道粉刷、防盗门制安、楼道灯安装、破损道路维修、楼栋雨水管的更换、电动车棚的制作，社区宣传展板的制作、休闲桌椅的安装</w:t>
      </w:r>
      <w:r>
        <w:rPr>
          <w:rFonts w:hint="eastAsia" w:cs="Arial Narrow" w:asciiTheme="minorEastAsia" w:hAnsiTheme="minorEastAsia" w:eastAsiaTheme="minorEastAsia"/>
          <w:bCs/>
          <w:color w:val="000000" w:themeColor="text1"/>
          <w:sz w:val="28"/>
          <w:szCs w:val="28"/>
        </w:rPr>
        <w:t>，考虑到居民实实在在的生活；在社区日常管理中，建立社区安防视频监控系统、加装小区防盗门及对讲系统、配制灭火器、灭火箱等。</w:t>
      </w:r>
    </w:p>
    <w:p>
      <w:pPr>
        <w:widowControl w:val="0"/>
        <w:numPr>
          <w:ilvl w:val="0"/>
          <w:numId w:val="57"/>
        </w:numPr>
        <w:adjustRightInd/>
        <w:spacing w:after="0" w:line="360" w:lineRule="auto"/>
        <w:ind w:firstLine="562" w:firstLineChars="200"/>
        <w:jc w:val="both"/>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存在的问题</w:t>
      </w:r>
    </w:p>
    <w:p>
      <w:pPr>
        <w:ind w:firstLine="480"/>
        <w:rPr>
          <w:rFonts w:cs="仿宋_GB2312" w:asciiTheme="minorEastAsia" w:hAnsiTheme="minorEastAsia" w:eastAsiaTheme="minorEastAsia"/>
          <w:sz w:val="28"/>
          <w:szCs w:val="28"/>
        </w:rPr>
      </w:pPr>
      <w:r>
        <w:rPr>
          <w:rFonts w:hint="eastAsia" w:asciiTheme="minorEastAsia" w:hAnsiTheme="minorEastAsia" w:eastAsiaTheme="minorEastAsia"/>
          <w:sz w:val="28"/>
          <w:szCs w:val="28"/>
        </w:rPr>
        <w:t>1.惠民项目进展缓慢。惠民工程推进慢于计划，工程实施相对滞后，存在惠民项目尚未实施的情况。</w:t>
      </w:r>
      <w:r>
        <w:rPr>
          <w:rFonts w:hint="eastAsia" w:cs="仿宋_GB2312" w:asciiTheme="minorEastAsia" w:hAnsiTheme="minorEastAsia" w:eastAsiaTheme="minorEastAsia"/>
          <w:color w:val="FF0000"/>
          <w:sz w:val="28"/>
          <w:szCs w:val="28"/>
        </w:rPr>
        <w:t>部分社区服务类、活动类项目的完成率低于年初计划安排。</w:t>
      </w:r>
    </w:p>
    <w:p>
      <w:pPr>
        <w:pStyle w:val="11"/>
        <w:snapToGrid w:val="0"/>
        <w:ind w:left="420" w:firstLine="0" w:firstLineChars="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2.惠民项目后期维护跟进不力。中南路街道制定了惠民项目规范运</w:t>
      </w:r>
    </w:p>
    <w:p>
      <w:pP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作、工作实施步骤流程、内部控制制度规范等文件，但贯彻执行不彻底，后期监督不够，惠民项目维护跟进不力，缺少相应督察回访工作。</w:t>
      </w:r>
    </w:p>
    <w:p>
      <w:pPr>
        <w:ind w:firstLine="48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3.惠民项目总结提炼不够。中南路街道对过去一年的惠民项目，总结提炼不够，缺乏完整、系统的总结文件。</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560"/>
        <w:outlineLvl w:val="1"/>
        <w:rPr>
          <w:rFonts w:cs="Arial Narrow" w:asciiTheme="minorEastAsia" w:hAnsiTheme="minorEastAsia" w:eastAsiaTheme="minorEastAsia"/>
          <w:b/>
          <w:bCs/>
          <w:sz w:val="28"/>
          <w:szCs w:val="28"/>
        </w:rPr>
      </w:pPr>
      <w:r>
        <w:rPr>
          <w:rFonts w:hint="eastAsia" w:cs="仿宋_GB2312" w:asciiTheme="minorEastAsia" w:hAnsiTheme="minorEastAsia" w:eastAsiaTheme="minorEastAsia"/>
          <w:sz w:val="28"/>
          <w:szCs w:val="28"/>
        </w:rPr>
        <w:t>1.</w:t>
      </w:r>
      <w:r>
        <w:rPr>
          <w:rFonts w:hint="eastAsia" w:asciiTheme="minorEastAsia" w:hAnsiTheme="minorEastAsia" w:eastAsiaTheme="minorEastAsia"/>
          <w:sz w:val="28"/>
          <w:szCs w:val="28"/>
        </w:rPr>
        <w:t>加强惠民项目监督管理。组织专门人员，成立惠民项目监督管理小组，配备相应办公设备，</w:t>
      </w:r>
      <w:r>
        <w:rPr>
          <w:rFonts w:hint="eastAsia" w:cs="仿宋_GB2312" w:asciiTheme="minorEastAsia" w:hAnsiTheme="minorEastAsia" w:eastAsiaTheme="minorEastAsia"/>
          <w:sz w:val="28"/>
          <w:szCs w:val="28"/>
        </w:rPr>
        <w:t>成立纪检监督小组，</w:t>
      </w:r>
      <w:r>
        <w:rPr>
          <w:rFonts w:hint="eastAsia" w:asciiTheme="minorEastAsia" w:hAnsiTheme="minorEastAsia" w:eastAsiaTheme="minorEastAsia"/>
          <w:sz w:val="28"/>
          <w:szCs w:val="28"/>
        </w:rPr>
        <w:t>对社区惠民项目进行定期与不定期的跟踪管理，确保跟上进度，做好后期项目维护，</w:t>
      </w:r>
      <w:r>
        <w:rPr>
          <w:rFonts w:hint="eastAsia" w:cs="仿宋_GB2312" w:asciiTheme="minorEastAsia" w:hAnsiTheme="minorEastAsia" w:eastAsiaTheme="minorEastAsia"/>
          <w:sz w:val="28"/>
          <w:szCs w:val="28"/>
        </w:rPr>
        <w:t>将该任务制度化规范化，并做好相关留痕工作。</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积极总结惠民项目工作经验，提高尽职履责能力。由多个部门联动进行惠民项目汇总，依据社区惠民资金的分配办法，将惠民资金应用于解决社区居民最关心、最直接、最现实的利益问题，形成完整、系统的惠民总结文件，并做好存档查询。</w:t>
      </w:r>
    </w:p>
    <w:p>
      <w:pPr>
        <w:ind w:firstLine="703" w:firstLineChars="250"/>
        <w:outlineLvl w:val="0"/>
        <w:rPr>
          <w:rFonts w:cs="Arial Narrow" w:asciiTheme="minorEastAsia" w:hAnsiTheme="minorEastAsia" w:eastAsiaTheme="minorEastAsia"/>
          <w:b/>
          <w:sz w:val="28"/>
          <w:szCs w:val="28"/>
        </w:rPr>
      </w:pPr>
      <w:r>
        <w:rPr>
          <w:rFonts w:hint="eastAsia" w:cs="仿宋_GB2312" w:asciiTheme="minorEastAsia" w:hAnsiTheme="minorEastAsia" w:eastAsiaTheme="minorEastAsia"/>
          <w:b/>
          <w:sz w:val="28"/>
          <w:szCs w:val="28"/>
        </w:rPr>
        <w:t>十一</w:t>
      </w:r>
      <w:r>
        <w:rPr>
          <w:rFonts w:hint="eastAsia" w:cs="仿宋_GB2312" w:asciiTheme="minorEastAsia" w:hAnsiTheme="minorEastAsia" w:eastAsiaTheme="minorEastAsia"/>
          <w:sz w:val="28"/>
          <w:szCs w:val="28"/>
        </w:rPr>
        <w:t>、</w:t>
      </w:r>
      <w:r>
        <w:rPr>
          <w:rFonts w:cs="Arial Narrow" w:asciiTheme="minorEastAsia" w:hAnsiTheme="minorEastAsia" w:eastAsiaTheme="minorEastAsia"/>
          <w:b/>
          <w:sz w:val="28"/>
          <w:szCs w:val="28"/>
        </w:rPr>
        <w:t>其他需说明的问题</w:t>
      </w:r>
    </w:p>
    <w:p>
      <w:pPr>
        <w:ind w:firstLine="560"/>
        <w:rPr>
          <w:rFonts w:cs="仿宋" w:asciiTheme="minorEastAsia" w:hAnsiTheme="minorEastAsia" w:eastAsiaTheme="minorEastAsia"/>
          <w:sz w:val="28"/>
          <w:szCs w:val="28"/>
        </w:rPr>
      </w:pPr>
      <w:r>
        <w:rPr>
          <w:rFonts w:hint="eastAsia" w:cs="Arial Narrow" w:asciiTheme="minorEastAsia" w:hAnsiTheme="minorEastAsia" w:eastAsiaTheme="minorEastAsia"/>
          <w:sz w:val="28"/>
          <w:szCs w:val="28"/>
        </w:rPr>
        <w:t>（一）、</w:t>
      </w:r>
      <w:r>
        <w:rPr>
          <w:rFonts w:hint="eastAsia" w:cs="仿宋" w:asciiTheme="minorEastAsia" w:hAnsiTheme="minorEastAsia" w:eastAsiaTheme="minorEastAsia"/>
          <w:sz w:val="28"/>
          <w:szCs w:val="28"/>
        </w:rPr>
        <w:t>本次绩效评价的数据统计和实施效果分析资料的收集，主要采取了抽样调查方式，评价结论是基于对抽样样本的分析评价得出。</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（二）、社会</w:t>
      </w:r>
      <w:r>
        <w:rPr>
          <w:rFonts w:cs="Arial Narrow" w:asciiTheme="minorEastAsia" w:hAnsiTheme="minorEastAsia" w:eastAsiaTheme="minorEastAsia"/>
          <w:sz w:val="28"/>
          <w:szCs w:val="28"/>
        </w:rPr>
        <w:t>公众满意度我们主要采取对</w:t>
      </w:r>
      <w:r>
        <w:rPr>
          <w:rFonts w:hint="eastAsia" w:cs="Arial Narrow" w:asciiTheme="minorEastAsia" w:hAnsiTheme="minorEastAsia" w:eastAsiaTheme="minorEastAsia"/>
          <w:sz w:val="28"/>
          <w:szCs w:val="28"/>
        </w:rPr>
        <w:t>社区居民随机访谈</w:t>
      </w:r>
      <w:r>
        <w:rPr>
          <w:rFonts w:cs="Arial Narrow" w:asciiTheme="minorEastAsia" w:hAnsiTheme="minorEastAsia" w:eastAsiaTheme="minorEastAsia"/>
          <w:sz w:val="28"/>
          <w:szCs w:val="28"/>
        </w:rPr>
        <w:t>的方式进行的，可能会导致统计性偏差，对评价结果产生一定的影响。</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武昌区中南路街2019年度社区工作经费绩效自评报告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279.41</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项目全年预算数为279.41万元，执行数为279.41万元，完成预算的100 %，保障社区日常办公必须的各种开支，促进社区更好</w:t>
      </w:r>
      <w:r>
        <w:rPr>
          <w:rFonts w:hint="eastAsia" w:asciiTheme="minorEastAsia" w:hAnsiTheme="minorEastAsia" w:eastAsiaTheme="minorEastAsia"/>
          <w:sz w:val="28"/>
          <w:szCs w:val="28"/>
          <w:lang w:val="en-US" w:eastAsia="zh-CN"/>
        </w:rPr>
        <w:t>地</w:t>
      </w:r>
      <w:r>
        <w:rPr>
          <w:rFonts w:hint="eastAsia" w:asciiTheme="minorEastAsia" w:hAnsiTheme="minorEastAsia" w:eastAsiaTheme="minorEastAsia"/>
          <w:sz w:val="28"/>
          <w:szCs w:val="28"/>
        </w:rPr>
        <w:t>为居民服务。</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58"/>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9"/>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279.41万元，执行数为279.41万元，完成预算的100 %。主要产出和效果：一是满足了社区日常工作的各项开支，为社区正常工作开展提供了充足的资金支持；二是促进社区进一步为居民服务，提升服务质量，满足居民需求。</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1、社区居民的服务要求越来越高，对经费的需求量加大；</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2、各社区间经费使用存有差距，部分社区经费使用效益较低。</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1、做优、做细对居民的服务，更有效率的使用有限资金；</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2、做好调研，促进各社区更加高效使用资金。</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武昌区中南路街2019年度晒湖社区党员服务中心用房工作经费绩效自评报告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晒湖社区党员服务中心用房工作经费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520.28</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“晒湖社区党员服务中心用房工作经费”绩效评价采用比较法、公众评判法、统计计算法、实地考察等方法进行评价分析，调阅相关凭证、单据进行分析研究。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项目全年预算数为520.28万元，执行数为520.28万元，完成预算的100 %。</w:t>
      </w:r>
    </w:p>
    <w:p>
      <w:pPr>
        <w:spacing w:line="360" w:lineRule="atLeast"/>
        <w:ind w:firstLine="560"/>
        <w:rPr>
          <w:rFonts w:asciiTheme="minorEastAsia" w:hAnsiTheme="minorEastAsia" w:eastAsiaTheme="minorEastAsia"/>
          <w:color w:val="FF0000"/>
          <w:sz w:val="28"/>
          <w:szCs w:val="28"/>
        </w:rPr>
      </w:pPr>
      <w:r>
        <w:rPr>
          <w:rFonts w:hint="eastAsia" w:asciiTheme="minorEastAsia" w:hAnsiTheme="minorEastAsia" w:eastAsiaTheme="minorEastAsia"/>
          <w:color w:val="FF0000"/>
          <w:sz w:val="28"/>
          <w:szCs w:val="28"/>
        </w:rPr>
        <w:t>协税工作经费主要用于辖区内招商引资，服务企业，街道资产维修维护以及改制企业困难职工，建立救助统计工作制度，招商引资工作制度，千万元以上纳税企业走访制度。千万元以上纳税企业每年至少走访2次并填写企业服务满意度调查表，服务企业，为企业办理注册登记服务。</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17</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60"/>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经综合评价，中南路街道办事处“晒湖社区党员服务中心用房工作经费”绩效评价总得分为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17</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91</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61"/>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项目全年预算数为520.28万元，执行数为520.28万元，完成预算的100 %。主要产出和效果：一是完善晒湖社区硬件设施；二是办公用房有保障、为居民服务提供良好场地条件。</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1、资金量大，监管压力较大；</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2、相关手续较为复杂，易出纰漏。</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1、严格按照流程办理资金支付，多汇报、多研讨；</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2、强化资金监管手续。</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武昌区中南路街2019年度社区纳凉取暖工作经费绩效自评报告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社区纳凉取暖工作经费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48</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“社区纳凉取暖工作经费”绩效评价采用比较法、公众评判法、统计计算法、实地考察等方法进行评价分析，调阅相关凭证、单据进行分析研究。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项目全年预算数为48万元，执行数为48万元，完成预算的100 %，为困难群众开立纳凉取暖点，彰显政策关爱。</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62"/>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经综合评价，中南路街道办事处“社区纳凉取暖工作经费”绩效评价总得分为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63"/>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项目全年预算数为48万元，执行数为48万元，完成预算的100 %。主要产出和效果：一是服务群众；二是</w:t>
      </w:r>
      <w:r>
        <w:rPr>
          <w:rFonts w:asciiTheme="minorEastAsia" w:hAnsiTheme="minorEastAsia" w:eastAsiaTheme="minorEastAsia"/>
          <w:color w:val="000000"/>
          <w:sz w:val="28"/>
          <w:szCs w:val="28"/>
        </w:rPr>
        <w:t>让城乡低保对象、城市“三无”对象、农村“五保”对象、优抚对象、残疾对象、环卫工、农民工及其他家庭生活困难的群众，重点关注空巢独居老人、未成年人和农村“留守”人员安稳度夏过冬</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1、纳凉取暖经费中，电费占比较高；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2、居民对纳凉取暖有较高需求。</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1、灵活使用纳凉取暖资金；</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2、多下社区，纳凉取暖点硬件配置进一步完善。</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武昌区中南路街2019年度医疗卫生管理综合工作经费绩效自评报告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医疗卫生管理综合工作经费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0.8</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“医疗卫生管理综合工作经费”绩效评价采用比较法、公众评判法、统计计算法、实地考察等方法进行评价分析，调阅相关凭证、单据进行分析研究。</w:t>
      </w:r>
    </w:p>
    <w:p>
      <w:pPr>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五、项目基本情况</w:t>
      </w:r>
    </w:p>
    <w:p>
      <w:pPr>
        <w:ind w:firstLine="56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项目全年预算数为0.8万元，执行数为0.8万元，完成预算的100 %，促进街道医疗</w:t>
      </w:r>
      <w:r>
        <w:rPr>
          <w:rFonts w:hint="eastAsia" w:asciiTheme="minorEastAsia" w:hAnsiTheme="minorEastAsia" w:eastAsiaTheme="minorEastAsia"/>
          <w:sz w:val="28"/>
          <w:szCs w:val="28"/>
        </w:rPr>
        <w:t>卫生机构健康运营，更大限度保障公共卫生安全。</w:t>
      </w:r>
    </w:p>
    <w:p>
      <w:pPr>
        <w:spacing w:line="220" w:lineRule="atLeast"/>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64"/>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经综合评价，中南路街道办事处“医疗卫生管理综合工作经费”绩效评价总得分为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65"/>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项目全年预算数为0.8万元，执行数为0.8万元，完成预算的100 %。主要产出和效果：一是辖区社区卫生服务中心正常运营；二是防控辖区传染病风险。</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1、辖区医疗卫生机构较多，经费紧张；</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2、居民公共卫生意识稍显薄弱。</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1、多走访辖区医疗卫生机构，防控传染病风险；</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2、加大公共卫生宣传，提高居民公共卫生安全意识。</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武昌区中南路街2019年度计划生育服务经费及其他计划生育服务绩效自评报告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计划生育服务经费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217.41</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“计划生育服务工作经费及其他计划生育服务”绩效评价采用比较法、公众评判法、统计计算法、实地考察等方法进行评价分析，调阅相关凭证、单据进行分析研究。</w:t>
      </w:r>
    </w:p>
    <w:p>
      <w:pPr>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项目全年预算数为217.41万元，执行数为217.41万元，完成预算的100 %用于辖区计划生育政策的宣传、计生用品的发放及计生需求家庭的关爱等。</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66"/>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经综合评价，中南路街道办事处“计划生育服务工作经费”绩效评价总得分为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67"/>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项目全年预算数为217.41万元，执行数为217.41万元，完成预算的100 %。主要产出和效果：一是辖区计划生育政策得以进一步贯彻；二是计生需求家庭得到关爱。</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1、计生经费事中监管存有隐患，计生用品不能有效满足居民需求；</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2、居民对计生政策了解度不够。</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1、对计划生育经费事中加强监管，完善过程管控；</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2、加大计生政策宣传力度，解决居民疑惑。</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武昌区中南路街2019年度城市综合管理工作经费绩效自评报告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城市综合管理工作经费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995.59</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“城市综合管理工作经费”绩效评价采用比较法、公众评判法、统计计算法、实地考察等方法进行评价分析，调阅相关凭证、单据进行分析研究。</w:t>
      </w:r>
    </w:p>
    <w:p>
      <w:pPr>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五、项目基本情况</w:t>
      </w:r>
    </w:p>
    <w:p>
      <w:pPr>
        <w:ind w:firstLine="56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项目全年预算数为995.59万元，执行数为995.59万元，完成预算的100 %。</w:t>
      </w:r>
      <w:r>
        <w:rPr>
          <w:rFonts w:cs="仿宋_GB2312" w:asciiTheme="minorEastAsia" w:hAnsiTheme="minorEastAsia" w:eastAsiaTheme="minorEastAsia"/>
          <w:sz w:val="28"/>
          <w:szCs w:val="28"/>
        </w:rPr>
        <w:t>城市综合管理工作复杂繁复，需要资金支持。按照《市容环境卫生管理条例》等法律法规要求完成市、区环境卫生管理相关绩效目标</w:t>
      </w:r>
      <w:r>
        <w:rPr>
          <w:rFonts w:hint="eastAsia" w:cs="仿宋_GB2312" w:asciiTheme="minorEastAsia" w:hAnsiTheme="minorEastAsia" w:eastAsiaTheme="minorEastAsia"/>
          <w:sz w:val="28"/>
          <w:szCs w:val="28"/>
        </w:rPr>
        <w:t>健</w:t>
      </w:r>
      <w:r>
        <w:rPr>
          <w:rFonts w:hint="eastAsia" w:asciiTheme="minorEastAsia" w:hAnsiTheme="minorEastAsia" w:eastAsiaTheme="minorEastAsia"/>
          <w:sz w:val="28"/>
          <w:szCs w:val="28"/>
        </w:rPr>
        <w:t>全城管工作机制，市容环境逐步改善；对辖区环境进行综合整治。</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68"/>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经综合评价，中南路街道办事处“城市综合管理工作经费”绩效评价总得分为</w:t>
      </w:r>
      <w:r>
        <w:rPr>
          <w:rFonts w:hint="eastAsia" w:cs="Arial Narrow" w:asciiTheme="minorEastAsia" w:hAnsiTheme="minorEastAsia" w:eastAsiaTheme="minorEastAsia"/>
          <w:color w:val="FF0000"/>
          <w:sz w:val="28"/>
          <w:szCs w:val="28"/>
        </w:rPr>
        <w:t>91.00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69"/>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项目全年预算数为995.59万元，执行数为995.59万元，完成预算的100 %。主要产出和效果：一是市容环境逐步改善；二是辖区环境进行了综合整治。</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1、环境改善与居民的需求还有差距；</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2、市容市貌有待及时更新。</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1、持续开展环境整治工作；</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2、关注市容市貌，及时改进。</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武昌区中南路街2019年度环境卫生工作经费绩效自评报告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环境卫生工作经费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1886.75</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“环境卫生工作经费”绩效评价采用比较法、公众评判法、统计计算法、实地考察等方法进行评价分析，调阅相关凭证、单据进行分析研究。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项目全年预算数为1886.75万元，执行数为1886.75万元，完成预算的100 %。按照《市容环境卫生管理条例》等法律法规要求完成市、区环境卫生管理相关绩效目标。</w:t>
      </w:r>
      <w:r>
        <w:rPr>
          <w:rFonts w:cs="仿宋_GB2312" w:asciiTheme="minorEastAsia" w:hAnsiTheme="minorEastAsia" w:eastAsiaTheme="minorEastAsia"/>
          <w:sz w:val="28"/>
          <w:szCs w:val="28"/>
        </w:rPr>
        <w:t>主要根据街道实际清扫面积按一定几次标准量化安排。</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70"/>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经综合评价，中南路街道办事处“环境卫生工作经费”绩效评价总得分为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19</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32</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71"/>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项目全年预算数为1886.75万元，执行数为1886.75万元，完成预算的100 %。主要产出和效果：一是</w:t>
      </w:r>
      <w:r>
        <w:rPr>
          <w:rFonts w:asciiTheme="minorEastAsia" w:hAnsiTheme="minorEastAsia" w:eastAsiaTheme="minorEastAsia"/>
          <w:color w:val="000000"/>
          <w:sz w:val="28"/>
          <w:szCs w:val="28"/>
        </w:rPr>
        <w:t>城区生活垃圾日产日清</w:t>
      </w:r>
      <w:r>
        <w:rPr>
          <w:rFonts w:hint="eastAsia" w:asciiTheme="minorEastAsia" w:hAnsiTheme="minorEastAsia" w:eastAsiaTheme="minorEastAsia"/>
          <w:sz w:val="28"/>
          <w:szCs w:val="28"/>
        </w:rPr>
        <w:t>；二是</w:t>
      </w:r>
      <w:r>
        <w:rPr>
          <w:rFonts w:asciiTheme="minorEastAsia" w:hAnsiTheme="minorEastAsia" w:eastAsiaTheme="minorEastAsia"/>
          <w:color w:val="000000"/>
          <w:sz w:val="28"/>
          <w:szCs w:val="28"/>
        </w:rPr>
        <w:t>保障辖区良好市容环境卫生</w:t>
      </w:r>
      <w:r>
        <w:rPr>
          <w:rFonts w:hint="eastAsia" w:asciiTheme="minorEastAsia" w:hAnsiTheme="minorEastAsia" w:eastAsiaTheme="minorEastAsia"/>
          <w:sz w:val="28"/>
          <w:szCs w:val="28"/>
        </w:rPr>
        <w:t>。</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1、辖区环境卫生得到保证，但乱丢乱放现象依然存在；</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2、日常消杀有所欠缺。</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1、加大环境卫生宣传力度，惩治乱丢乱放现象；</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2、常态化清扫，常态化消杀。</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武昌区中南路街2019年度中心城区房管专岗工作经费绩效自评报告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中心城区房管专岗工作经费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72</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“中心城区房管专岗工作经费”绩效评价采用比较法、公众评判法、统计计算法、实地考察等方法进行评价分析，调阅相关凭证、单据进行分析研究。</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五、项目基本情况</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项目全年预算数为72万元，执行数为72万元，完成预算的100 %，房管员工资薪酬支出，房管员相关业务培训等。</w:t>
      </w:r>
    </w:p>
    <w:p>
      <w:pPr>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72"/>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良</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经综合评价，中南路街道办事处“中心城区房管专岗工作经费”绩效评价总得分为</w:t>
      </w:r>
      <w:r>
        <w:rPr>
          <w:rFonts w:hint="eastAsia" w:cs="Arial Narrow" w:asciiTheme="minorEastAsia" w:hAnsiTheme="minorEastAsia" w:eastAsiaTheme="minorEastAsia"/>
          <w:color w:val="FF0000"/>
          <w:sz w:val="28"/>
          <w:szCs w:val="28"/>
        </w:rPr>
        <w:t>90.00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31</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90</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73"/>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项目全年预算数为72万元，执行数为72万元，完成预算的100 %。主要产出和效果：一是房管员工资薪酬得到保证；二是房管员业务培训，业务能力得以提高。</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1、房管专岗工资求平均，绩效突出不明显；</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2、房管专岗培训频率不高。</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1、突出房管专岗绩效；</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2、加大房管专岗的培训力度。</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武昌区中南路街2019年度消防业务经费绩效自评报告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消防业务经费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48.68</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color w:val="FF0000"/>
          <w:sz w:val="28"/>
          <w:szCs w:val="28"/>
        </w:rPr>
        <w:t>：</w:t>
      </w:r>
      <w:r>
        <w:rPr>
          <w:rFonts w:hint="eastAsia" w:cs="Arial Narrow" w:asciiTheme="minorEastAsia" w:hAnsiTheme="minorEastAsia" w:eastAsiaTheme="minorEastAsia"/>
          <w:color w:val="FF0000"/>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“消防业务经费”绩效评价采用比较法、公众评判法、统计计算法、实地考察等方法进行评价分析，调阅相关凭证、单据进行分析研究。</w:t>
      </w:r>
    </w:p>
    <w:p>
      <w:pPr>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项目全年预算数为48.68万元，执行数为48.68万元，完成预算的100 %。用于街道防火减灾各项宣传、灭火器安装更新、消防车维修等各项消防支出，将火灾隐患降到最低。</w:t>
      </w:r>
    </w:p>
    <w:p>
      <w:pPr>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ind w:firstLine="56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 xml:space="preserve">（一）评价基准日：2019年12月31日  </w:t>
      </w:r>
    </w:p>
    <w:p>
      <w:pPr>
        <w:ind w:firstLine="480"/>
        <w:rPr>
          <w:rFonts w:cs="Arial Narrow" w:asciiTheme="minorEastAsia" w:hAnsiTheme="minorEastAsia" w:eastAsiaTheme="minorEastAsia"/>
          <w:color w:val="FF0000"/>
          <w:sz w:val="28"/>
          <w:szCs w:val="28"/>
          <w:highlight w:val="darkGreen"/>
        </w:rPr>
      </w:pPr>
      <w:r>
        <w:rPr>
          <w:rFonts w:hint="eastAsia" w:cs="Arial Narrow" w:asciiTheme="minorEastAsia" w:hAnsiTheme="minorEastAsia" w:eastAsiaTheme="minorEastAsia"/>
          <w:color w:val="FF0000"/>
          <w:sz w:val="28"/>
          <w:szCs w:val="28"/>
        </w:rPr>
        <w:t>（二）本次评价从2019年10月12日——2019年10月</w:t>
      </w:r>
      <w:r>
        <w:rPr>
          <w:rFonts w:cs="Arial Narrow" w:asciiTheme="minorEastAsia" w:hAnsiTheme="minorEastAsia" w:eastAsiaTheme="minorEastAsia"/>
          <w:color w:val="FF0000"/>
          <w:sz w:val="28"/>
          <w:szCs w:val="28"/>
        </w:rPr>
        <w:t>2</w:t>
      </w:r>
      <w:r>
        <w:rPr>
          <w:rFonts w:hint="eastAsia" w:cs="Arial Narrow" w:asciiTheme="minorEastAsia" w:hAnsiTheme="minorEastAsia" w:eastAsiaTheme="minorEastAsia"/>
          <w:color w:val="FF0000"/>
          <w:sz w:val="28"/>
          <w:szCs w:val="28"/>
        </w:rPr>
        <w:t>6日，历时</w:t>
      </w:r>
      <w:r>
        <w:rPr>
          <w:rFonts w:cs="Arial Narrow" w:asciiTheme="minorEastAsia" w:hAnsiTheme="minorEastAsia" w:eastAsiaTheme="minorEastAsia"/>
          <w:color w:val="FF0000"/>
          <w:sz w:val="28"/>
          <w:szCs w:val="28"/>
        </w:rPr>
        <w:t>1</w:t>
      </w:r>
      <w:r>
        <w:rPr>
          <w:rFonts w:hint="eastAsia" w:cs="Arial Narrow" w:asciiTheme="minorEastAsia" w:hAnsiTheme="minorEastAsia" w:eastAsiaTheme="minorEastAsia"/>
          <w:color w:val="FF0000"/>
          <w:sz w:val="28"/>
          <w:szCs w:val="28"/>
        </w:rPr>
        <w:t>5天</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widowControl w:val="0"/>
        <w:numPr>
          <w:ilvl w:val="0"/>
          <w:numId w:val="74"/>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color w:val="FF0000"/>
          <w:sz w:val="28"/>
          <w:szCs w:val="28"/>
        </w:rPr>
        <w:t>优</w:t>
      </w:r>
      <w:r>
        <w:rPr>
          <w:rFonts w:cs="Arial Narrow" w:asciiTheme="minorEastAsia" w:hAnsiTheme="minorEastAsia" w:eastAsiaTheme="minorEastAsia"/>
          <w:sz w:val="28"/>
          <w:szCs w:val="28"/>
        </w:rPr>
        <w:t>。</w:t>
      </w:r>
    </w:p>
    <w:p>
      <w:pPr>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经综合评价，中南路街道办事处“消防业务工作经费”绩效评价总得分为</w:t>
      </w:r>
      <w:r>
        <w:rPr>
          <w:rFonts w:hint="eastAsia" w:cs="Arial Narrow" w:asciiTheme="minorEastAsia" w:hAnsiTheme="minorEastAsia" w:eastAsiaTheme="minorEastAsia"/>
          <w:color w:val="FF0000"/>
          <w:sz w:val="28"/>
          <w:szCs w:val="28"/>
        </w:rPr>
        <w:t>92.00</w:t>
      </w:r>
      <w:r>
        <w:rPr>
          <w:rFonts w:hint="eastAsia" w:cs="Arial Narrow" w:asciiTheme="minorEastAsia" w:hAnsiTheme="minorEastAsia" w:eastAsiaTheme="minorEastAsia"/>
          <w:sz w:val="28"/>
          <w:szCs w:val="28"/>
        </w:rPr>
        <w:t>分，评价结果为优。具体分项得分如下：</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ind w:firstLine="840" w:firstLineChars="30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0分</w:t>
            </w:r>
          </w:p>
        </w:tc>
        <w:tc>
          <w:tcPr>
            <w:tcW w:w="2268" w:type="dxa"/>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18</w:t>
            </w:r>
            <w:r>
              <w:rPr>
                <w:rFonts w:cs="Arial Narrow" w:asciiTheme="minorEastAsia" w:hAnsiTheme="minorEastAsia" w:eastAsiaTheme="minorEastAsia"/>
                <w:color w:val="FF0000"/>
                <w:sz w:val="28"/>
                <w:szCs w:val="28"/>
              </w:rPr>
              <w:t>分</w:t>
            </w:r>
          </w:p>
        </w:tc>
        <w:tc>
          <w:tcPr>
            <w:tcW w:w="2126" w:type="dxa"/>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ind w:firstLine="840" w:firstLineChars="300"/>
              <w:textAlignment w:val="top"/>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2</w:t>
            </w:r>
            <w:r>
              <w:rPr>
                <w:rFonts w:cs="Arial Narrow" w:asciiTheme="minorEastAsia" w:hAnsiTheme="minorEastAsia" w:eastAsiaTheme="minorEastAsia"/>
                <w:color w:val="FF0000"/>
                <w:sz w:val="28"/>
                <w:szCs w:val="28"/>
              </w:rPr>
              <w:t>分</w:t>
            </w:r>
          </w:p>
        </w:tc>
        <w:tc>
          <w:tcPr>
            <w:tcW w:w="2268" w:type="dxa"/>
            <w:vAlign w:val="center"/>
          </w:tcPr>
          <w:p>
            <w:pPr>
              <w:ind w:left="167" w:leftChars="76" w:firstLine="980" w:firstLineChars="350"/>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30</w:t>
            </w:r>
            <w:r>
              <w:rPr>
                <w:rFonts w:cs="Arial Narrow" w:asciiTheme="minorEastAsia" w:hAnsiTheme="minorEastAsia" w:eastAsiaTheme="minorEastAsia"/>
                <w:color w:val="FF0000"/>
                <w:sz w:val="28"/>
                <w:szCs w:val="28"/>
              </w:rPr>
              <w:t>分</w:t>
            </w:r>
          </w:p>
        </w:tc>
        <w:tc>
          <w:tcPr>
            <w:tcW w:w="2126" w:type="dxa"/>
            <w:vAlign w:val="center"/>
          </w:tcPr>
          <w:p>
            <w:pPr>
              <w:jc w:val="center"/>
              <w:textAlignment w:val="top"/>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ind w:firstLine="840" w:firstLineChars="30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3</w:t>
            </w:r>
            <w:r>
              <w:rPr>
                <w:rFonts w:hint="eastAsia" w:cs="Arial Narrow" w:asciiTheme="minorEastAsia" w:hAnsiTheme="minorEastAsia" w:eastAsiaTheme="minorEastAsia"/>
                <w:color w:val="FF0000"/>
                <w:sz w:val="28"/>
                <w:szCs w:val="28"/>
              </w:rPr>
              <w:t>6</w:t>
            </w:r>
            <w:r>
              <w:rPr>
                <w:rFonts w:cs="Arial Narrow" w:asciiTheme="minorEastAsia" w:hAnsiTheme="minorEastAsia" w:eastAsiaTheme="minorEastAsia"/>
                <w:color w:val="FF0000"/>
                <w:sz w:val="28"/>
                <w:szCs w:val="28"/>
              </w:rPr>
              <w:t>分</w:t>
            </w:r>
          </w:p>
        </w:tc>
        <w:tc>
          <w:tcPr>
            <w:tcW w:w="2268" w:type="dxa"/>
            <w:tcBorders>
              <w:top w:val="single" w:color="008000" w:sz="6" w:space="0"/>
              <w:bottom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33</w:t>
            </w:r>
            <w:r>
              <w:rPr>
                <w:rFonts w:cs="Arial Narrow" w:asciiTheme="minorEastAsia" w:hAnsiTheme="minorEastAsia" w:eastAsiaTheme="minorEastAsia"/>
                <w:color w:val="FF0000"/>
                <w:sz w:val="28"/>
                <w:szCs w:val="28"/>
              </w:rPr>
              <w:t>分</w:t>
            </w:r>
          </w:p>
        </w:tc>
        <w:tc>
          <w:tcPr>
            <w:tcW w:w="2126" w:type="dxa"/>
            <w:tcBorders>
              <w:top w:val="single" w:color="008000" w:sz="6" w:space="0"/>
              <w:bottom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ind w:firstLine="560"/>
              <w:rPr>
                <w:rFonts w:cs="Arial Narrow" w:asciiTheme="minorEastAsia" w:hAnsiTheme="minorEastAsia" w:eastAsiaTheme="minorEastAsia"/>
                <w:color w:val="FF0000"/>
                <w:sz w:val="28"/>
                <w:szCs w:val="28"/>
              </w:rPr>
            </w:pPr>
            <w:r>
              <w:rPr>
                <w:rFonts w:cs="Arial Narrow" w:asciiTheme="minorEastAsia" w:hAnsiTheme="minorEastAsia" w:eastAsiaTheme="minorEastAsia"/>
                <w:color w:val="FF0000"/>
                <w:sz w:val="28"/>
                <w:szCs w:val="28"/>
              </w:rPr>
              <w:t xml:space="preserve">  100分</w:t>
            </w:r>
          </w:p>
        </w:tc>
        <w:tc>
          <w:tcPr>
            <w:tcW w:w="2268" w:type="dxa"/>
            <w:tcBorders>
              <w:top w:val="single" w:color="008000" w:sz="6" w:space="0"/>
            </w:tcBorders>
            <w:vAlign w:val="center"/>
          </w:tcPr>
          <w:p>
            <w:pPr>
              <w:ind w:left="167" w:leftChars="76" w:firstLine="980" w:firstLineChars="350"/>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92</w:t>
            </w:r>
            <w:r>
              <w:rPr>
                <w:rFonts w:cs="Arial Narrow" w:asciiTheme="minorEastAsia" w:hAnsiTheme="minorEastAsia" w:eastAsiaTheme="minorEastAsia"/>
                <w:color w:val="FF0000"/>
                <w:sz w:val="28"/>
                <w:szCs w:val="28"/>
              </w:rPr>
              <w:t>分</w:t>
            </w:r>
          </w:p>
        </w:tc>
        <w:tc>
          <w:tcPr>
            <w:tcW w:w="2126" w:type="dxa"/>
            <w:tcBorders>
              <w:top w:val="single" w:color="008000" w:sz="6" w:space="0"/>
            </w:tcBorders>
            <w:vAlign w:val="center"/>
          </w:tcPr>
          <w:p>
            <w:pPr>
              <w:jc w:val="center"/>
              <w:rPr>
                <w:rFonts w:cs="Arial Narrow" w:asciiTheme="minorEastAsia" w:hAnsiTheme="minorEastAsia" w:eastAsiaTheme="minorEastAsia"/>
                <w:color w:val="FF0000"/>
                <w:sz w:val="28"/>
                <w:szCs w:val="28"/>
              </w:rPr>
            </w:pPr>
            <w:r>
              <w:rPr>
                <w:rFonts w:hint="eastAsia" w:cs="Arial Narrow" w:asciiTheme="minorEastAsia" w:hAnsiTheme="minorEastAsia" w:eastAsiaTheme="minorEastAsia"/>
                <w:color w:val="FF0000"/>
                <w:sz w:val="28"/>
                <w:szCs w:val="28"/>
              </w:rPr>
              <w:t>优</w:t>
            </w:r>
          </w:p>
        </w:tc>
      </w:tr>
    </w:tbl>
    <w:p>
      <w:pP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75"/>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项目全年预算数为48.68万元，执行数为48.68万元，完成预算的100 %。主要产出和效果：一是防火减灾宣传到位，居民安全意识提高；二是灭火器、消防车等及时维修、更新。</w:t>
      </w:r>
    </w:p>
    <w:p>
      <w:pPr>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1、消防培训、消防演练需要加强；</w:t>
      </w:r>
    </w:p>
    <w:p>
      <w:pPr>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2、老旧小区安全隐患较大。</w:t>
      </w:r>
    </w:p>
    <w:p>
      <w:pPr>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1、定期与不定期开展消防演练，提升消防自救能力；</w:t>
      </w:r>
    </w:p>
    <w:p>
      <w:pPr>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2、关注老旧小区消防设备，消除安全隐患。</w:t>
      </w:r>
    </w:p>
    <w:p>
      <w:pPr>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二〇二〇年十月</w:t>
      </w:r>
    </w:p>
    <w:p>
      <w:pPr>
        <w:ind w:firstLine="560"/>
        <w:rPr>
          <w:rFonts w:cs="Arial Narrow" w:asciiTheme="minorEastAsia" w:hAnsiTheme="minorEastAsia" w:eastAsiaTheme="minorEastAsia"/>
          <w:sz w:val="28"/>
          <w:szCs w:val="28"/>
        </w:rPr>
      </w:pPr>
    </w:p>
    <w:p>
      <w:pPr>
        <w:spacing w:line="220" w:lineRule="atLeast"/>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06" w:bottom="1089" w:left="1800" w:header="2041" w:footer="1134" w:gutter="0"/>
      <w:pgNumType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210" w:firstLineChars="100"/>
      <w:jc w:val="center"/>
      <w:rPr>
        <w:rStyle w:val="7"/>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1</w:t>
    </w:r>
    <w:r>
      <w:rPr>
        <w:rFonts w:ascii="Arial Narrow" w:hAnsi="Arial Narrow"/>
        <w:sz w:val="21"/>
        <w:szCs w:val="21"/>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0" w:firstLineChars="0"/>
      <w:jc w:val="both"/>
    </w:pPr>
    <w:r>
      <w:rPr>
        <w:rFonts w:ascii="Calibri" w:hAnsi="Calibri" w:eastAsia="黑体" w:cs="黑体"/>
        <w:b/>
        <w:sz w:val="14"/>
        <w:szCs w:val="14"/>
      </w:rPr>
      <w:pict>
        <v:rect id="文本框 26" o:spid="_x0000_s5121" o:spt="1" style="position:absolute;left:0pt;margin-left:359.05pt;margin-top:39.95pt;height:74.45pt;width:150.15pt;mso-position-horizontal-relative:page;mso-position-vertical-relative:pag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&#1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8010A"/>
    <w:multiLevelType w:val="singleLevel"/>
    <w:tmpl w:val="81D8010A"/>
    <w:lvl w:ilvl="0" w:tentative="0">
      <w:start w:val="1"/>
      <w:numFmt w:val="decimal"/>
      <w:suff w:val="nothing"/>
      <w:lvlText w:val="%1、"/>
      <w:lvlJc w:val="left"/>
    </w:lvl>
  </w:abstractNum>
  <w:abstractNum w:abstractNumId="1">
    <w:nsid w:val="00B30C5A"/>
    <w:multiLevelType w:val="multilevel"/>
    <w:tmpl w:val="00B30C5A"/>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025774A0"/>
    <w:multiLevelType w:val="singleLevel"/>
    <w:tmpl w:val="025774A0"/>
    <w:lvl w:ilvl="0" w:tentative="0">
      <w:start w:val="4"/>
      <w:numFmt w:val="chineseCounting"/>
      <w:suff w:val="nothing"/>
      <w:lvlText w:val="（%1）"/>
      <w:lvlJc w:val="left"/>
    </w:lvl>
  </w:abstractNum>
  <w:abstractNum w:abstractNumId="3">
    <w:nsid w:val="074F1550"/>
    <w:multiLevelType w:val="singleLevel"/>
    <w:tmpl w:val="074F1550"/>
    <w:lvl w:ilvl="0" w:tentative="0">
      <w:start w:val="4"/>
      <w:numFmt w:val="chineseCounting"/>
      <w:suff w:val="nothing"/>
      <w:lvlText w:val="（%1）"/>
      <w:lvlJc w:val="left"/>
    </w:lvl>
  </w:abstractNum>
  <w:abstractNum w:abstractNumId="4">
    <w:nsid w:val="0A2C66D6"/>
    <w:multiLevelType w:val="singleLevel"/>
    <w:tmpl w:val="0A2C66D6"/>
    <w:lvl w:ilvl="0" w:tentative="0">
      <w:start w:val="4"/>
      <w:numFmt w:val="chineseCounting"/>
      <w:suff w:val="nothing"/>
      <w:lvlText w:val="（%1）"/>
      <w:lvlJc w:val="left"/>
    </w:lvl>
  </w:abstractNum>
  <w:abstractNum w:abstractNumId="5">
    <w:nsid w:val="0A5C2475"/>
    <w:multiLevelType w:val="multilevel"/>
    <w:tmpl w:val="0A5C2475"/>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0C2D5415"/>
    <w:multiLevelType w:val="singleLevel"/>
    <w:tmpl w:val="0C2D5415"/>
    <w:lvl w:ilvl="0" w:tentative="0">
      <w:start w:val="4"/>
      <w:numFmt w:val="chineseCounting"/>
      <w:suff w:val="nothing"/>
      <w:lvlText w:val="（%1）"/>
      <w:lvlJc w:val="left"/>
    </w:lvl>
  </w:abstractNum>
  <w:abstractNum w:abstractNumId="7">
    <w:nsid w:val="0CB40E15"/>
    <w:multiLevelType w:val="multilevel"/>
    <w:tmpl w:val="0CB40E15"/>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8">
    <w:nsid w:val="0E96499D"/>
    <w:multiLevelType w:val="singleLevel"/>
    <w:tmpl w:val="0E96499D"/>
    <w:lvl w:ilvl="0" w:tentative="0">
      <w:start w:val="4"/>
      <w:numFmt w:val="chineseCounting"/>
      <w:suff w:val="nothing"/>
      <w:lvlText w:val="（%1）"/>
      <w:lvlJc w:val="left"/>
    </w:lvl>
  </w:abstractNum>
  <w:abstractNum w:abstractNumId="9">
    <w:nsid w:val="0F0A3325"/>
    <w:multiLevelType w:val="singleLevel"/>
    <w:tmpl w:val="0F0A3325"/>
    <w:lvl w:ilvl="0" w:tentative="0">
      <w:start w:val="4"/>
      <w:numFmt w:val="chineseCounting"/>
      <w:suff w:val="nothing"/>
      <w:lvlText w:val="（%1）"/>
      <w:lvlJc w:val="left"/>
    </w:lvl>
  </w:abstractNum>
  <w:abstractNum w:abstractNumId="10">
    <w:nsid w:val="0F15497A"/>
    <w:multiLevelType w:val="multilevel"/>
    <w:tmpl w:val="0F15497A"/>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1">
    <w:nsid w:val="108456CD"/>
    <w:multiLevelType w:val="multilevel"/>
    <w:tmpl w:val="108456CD"/>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2">
    <w:nsid w:val="161851C3"/>
    <w:multiLevelType w:val="multilevel"/>
    <w:tmpl w:val="161851C3"/>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3">
    <w:nsid w:val="167D65AA"/>
    <w:multiLevelType w:val="multilevel"/>
    <w:tmpl w:val="167D65AA"/>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4">
    <w:nsid w:val="16E86FAB"/>
    <w:multiLevelType w:val="singleLevel"/>
    <w:tmpl w:val="16E86FAB"/>
    <w:lvl w:ilvl="0" w:tentative="0">
      <w:start w:val="4"/>
      <w:numFmt w:val="chineseCounting"/>
      <w:suff w:val="nothing"/>
      <w:lvlText w:val="（%1）"/>
      <w:lvlJc w:val="left"/>
    </w:lvl>
  </w:abstractNum>
  <w:abstractNum w:abstractNumId="15">
    <w:nsid w:val="171A6C00"/>
    <w:multiLevelType w:val="multilevel"/>
    <w:tmpl w:val="171A6C00"/>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1F72089B"/>
    <w:multiLevelType w:val="singleLevel"/>
    <w:tmpl w:val="1F72089B"/>
    <w:lvl w:ilvl="0" w:tentative="0">
      <w:start w:val="4"/>
      <w:numFmt w:val="chineseCounting"/>
      <w:suff w:val="nothing"/>
      <w:lvlText w:val="（%1）"/>
      <w:lvlJc w:val="left"/>
    </w:lvl>
  </w:abstractNum>
  <w:abstractNum w:abstractNumId="17">
    <w:nsid w:val="2007648B"/>
    <w:multiLevelType w:val="singleLevel"/>
    <w:tmpl w:val="2007648B"/>
    <w:lvl w:ilvl="0" w:tentative="0">
      <w:start w:val="4"/>
      <w:numFmt w:val="chineseCounting"/>
      <w:suff w:val="nothing"/>
      <w:lvlText w:val="（%1）"/>
      <w:lvlJc w:val="left"/>
    </w:lvl>
  </w:abstractNum>
  <w:abstractNum w:abstractNumId="18">
    <w:nsid w:val="20591C0D"/>
    <w:multiLevelType w:val="singleLevel"/>
    <w:tmpl w:val="20591C0D"/>
    <w:lvl w:ilvl="0" w:tentative="0">
      <w:start w:val="4"/>
      <w:numFmt w:val="chineseCounting"/>
      <w:suff w:val="nothing"/>
      <w:lvlText w:val="（%1）"/>
      <w:lvlJc w:val="left"/>
    </w:lvl>
  </w:abstractNum>
  <w:abstractNum w:abstractNumId="19">
    <w:nsid w:val="21125947"/>
    <w:multiLevelType w:val="singleLevel"/>
    <w:tmpl w:val="21125947"/>
    <w:lvl w:ilvl="0" w:tentative="0">
      <w:start w:val="4"/>
      <w:numFmt w:val="chineseCounting"/>
      <w:suff w:val="nothing"/>
      <w:lvlText w:val="（%1）"/>
      <w:lvlJc w:val="left"/>
    </w:lvl>
  </w:abstractNum>
  <w:abstractNum w:abstractNumId="20">
    <w:nsid w:val="2330157A"/>
    <w:multiLevelType w:val="multilevel"/>
    <w:tmpl w:val="2330157A"/>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1">
    <w:nsid w:val="257119D8"/>
    <w:multiLevelType w:val="multilevel"/>
    <w:tmpl w:val="257119D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2">
    <w:nsid w:val="2B5A4B7D"/>
    <w:multiLevelType w:val="singleLevel"/>
    <w:tmpl w:val="2B5A4B7D"/>
    <w:lvl w:ilvl="0" w:tentative="0">
      <w:start w:val="4"/>
      <w:numFmt w:val="chineseCounting"/>
      <w:suff w:val="nothing"/>
      <w:lvlText w:val="（%1）"/>
      <w:lvlJc w:val="left"/>
    </w:lvl>
  </w:abstractNum>
  <w:abstractNum w:abstractNumId="23">
    <w:nsid w:val="2C185A9F"/>
    <w:multiLevelType w:val="singleLevel"/>
    <w:tmpl w:val="2C185A9F"/>
    <w:lvl w:ilvl="0" w:tentative="0">
      <w:start w:val="4"/>
      <w:numFmt w:val="chineseCounting"/>
      <w:suff w:val="nothing"/>
      <w:lvlText w:val="（%1）"/>
      <w:lvlJc w:val="left"/>
    </w:lvl>
  </w:abstractNum>
  <w:abstractNum w:abstractNumId="24">
    <w:nsid w:val="2C904EF5"/>
    <w:multiLevelType w:val="singleLevel"/>
    <w:tmpl w:val="2C904EF5"/>
    <w:lvl w:ilvl="0" w:tentative="0">
      <w:start w:val="4"/>
      <w:numFmt w:val="chineseCounting"/>
      <w:suff w:val="nothing"/>
      <w:lvlText w:val="（%1）"/>
      <w:lvlJc w:val="left"/>
    </w:lvl>
  </w:abstractNum>
  <w:abstractNum w:abstractNumId="25">
    <w:nsid w:val="2DAA1DBC"/>
    <w:multiLevelType w:val="multilevel"/>
    <w:tmpl w:val="2DAA1DBC"/>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6">
    <w:nsid w:val="2FFB7658"/>
    <w:multiLevelType w:val="singleLevel"/>
    <w:tmpl w:val="2FFB7658"/>
    <w:lvl w:ilvl="0" w:tentative="0">
      <w:start w:val="4"/>
      <w:numFmt w:val="chineseCounting"/>
      <w:suff w:val="nothing"/>
      <w:lvlText w:val="（%1）"/>
      <w:lvlJc w:val="left"/>
    </w:lvl>
  </w:abstractNum>
  <w:abstractNum w:abstractNumId="27">
    <w:nsid w:val="305E3174"/>
    <w:multiLevelType w:val="multilevel"/>
    <w:tmpl w:val="305E3174"/>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8">
    <w:nsid w:val="305E4F18"/>
    <w:multiLevelType w:val="multilevel"/>
    <w:tmpl w:val="305E4F1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9">
    <w:nsid w:val="308D4AF4"/>
    <w:multiLevelType w:val="singleLevel"/>
    <w:tmpl w:val="308D4AF4"/>
    <w:lvl w:ilvl="0" w:tentative="0">
      <w:start w:val="4"/>
      <w:numFmt w:val="chineseCounting"/>
      <w:suff w:val="nothing"/>
      <w:lvlText w:val="（%1）"/>
      <w:lvlJc w:val="left"/>
    </w:lvl>
  </w:abstractNum>
  <w:abstractNum w:abstractNumId="30">
    <w:nsid w:val="308E6B4E"/>
    <w:multiLevelType w:val="multilevel"/>
    <w:tmpl w:val="308E6B4E"/>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1">
    <w:nsid w:val="30E32FE1"/>
    <w:multiLevelType w:val="multilevel"/>
    <w:tmpl w:val="30E32FE1"/>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2">
    <w:nsid w:val="3C664B61"/>
    <w:multiLevelType w:val="multilevel"/>
    <w:tmpl w:val="3C664B61"/>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3">
    <w:nsid w:val="3CD579B0"/>
    <w:multiLevelType w:val="singleLevel"/>
    <w:tmpl w:val="3CD579B0"/>
    <w:lvl w:ilvl="0" w:tentative="0">
      <w:start w:val="4"/>
      <w:numFmt w:val="chineseCounting"/>
      <w:suff w:val="nothing"/>
      <w:lvlText w:val="（%1）"/>
      <w:lvlJc w:val="left"/>
    </w:lvl>
  </w:abstractNum>
  <w:abstractNum w:abstractNumId="34">
    <w:nsid w:val="40B23161"/>
    <w:multiLevelType w:val="multilevel"/>
    <w:tmpl w:val="40B23161"/>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5">
    <w:nsid w:val="41192744"/>
    <w:multiLevelType w:val="multilevel"/>
    <w:tmpl w:val="41192744"/>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6">
    <w:nsid w:val="41504BBF"/>
    <w:multiLevelType w:val="multilevel"/>
    <w:tmpl w:val="41504BBF"/>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7">
    <w:nsid w:val="42A86AD4"/>
    <w:multiLevelType w:val="singleLevel"/>
    <w:tmpl w:val="42A86AD4"/>
    <w:lvl w:ilvl="0" w:tentative="0">
      <w:start w:val="4"/>
      <w:numFmt w:val="chineseCounting"/>
      <w:suff w:val="nothing"/>
      <w:lvlText w:val="（%1）"/>
      <w:lvlJc w:val="left"/>
    </w:lvl>
  </w:abstractNum>
  <w:abstractNum w:abstractNumId="38">
    <w:nsid w:val="446B0200"/>
    <w:multiLevelType w:val="singleLevel"/>
    <w:tmpl w:val="446B0200"/>
    <w:lvl w:ilvl="0" w:tentative="0">
      <w:start w:val="4"/>
      <w:numFmt w:val="chineseCounting"/>
      <w:suff w:val="nothing"/>
      <w:lvlText w:val="（%1）"/>
      <w:lvlJc w:val="left"/>
    </w:lvl>
  </w:abstractNum>
  <w:abstractNum w:abstractNumId="39">
    <w:nsid w:val="4511697F"/>
    <w:multiLevelType w:val="singleLevel"/>
    <w:tmpl w:val="4511697F"/>
    <w:lvl w:ilvl="0" w:tentative="0">
      <w:start w:val="4"/>
      <w:numFmt w:val="chineseCounting"/>
      <w:suff w:val="nothing"/>
      <w:lvlText w:val="（%1）"/>
      <w:lvlJc w:val="left"/>
    </w:lvl>
  </w:abstractNum>
  <w:abstractNum w:abstractNumId="40">
    <w:nsid w:val="46D8148F"/>
    <w:multiLevelType w:val="singleLevel"/>
    <w:tmpl w:val="46D8148F"/>
    <w:lvl w:ilvl="0" w:tentative="0">
      <w:start w:val="4"/>
      <w:numFmt w:val="chineseCounting"/>
      <w:suff w:val="nothing"/>
      <w:lvlText w:val="（%1）"/>
      <w:lvlJc w:val="left"/>
    </w:lvl>
  </w:abstractNum>
  <w:abstractNum w:abstractNumId="41">
    <w:nsid w:val="4F3D2D39"/>
    <w:multiLevelType w:val="multilevel"/>
    <w:tmpl w:val="4F3D2D39"/>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2">
    <w:nsid w:val="4FCF0478"/>
    <w:multiLevelType w:val="multilevel"/>
    <w:tmpl w:val="4FCF047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3">
    <w:nsid w:val="4FE96B31"/>
    <w:multiLevelType w:val="multilevel"/>
    <w:tmpl w:val="4FE96B31"/>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4">
    <w:nsid w:val="503E2823"/>
    <w:multiLevelType w:val="multilevel"/>
    <w:tmpl w:val="503E2823"/>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5">
    <w:nsid w:val="505D4DEB"/>
    <w:multiLevelType w:val="singleLevel"/>
    <w:tmpl w:val="505D4DEB"/>
    <w:lvl w:ilvl="0" w:tentative="0">
      <w:start w:val="4"/>
      <w:numFmt w:val="chineseCounting"/>
      <w:suff w:val="nothing"/>
      <w:lvlText w:val="（%1）"/>
      <w:lvlJc w:val="left"/>
    </w:lvl>
  </w:abstractNum>
  <w:abstractNum w:abstractNumId="46">
    <w:nsid w:val="541D2C0A"/>
    <w:multiLevelType w:val="singleLevel"/>
    <w:tmpl w:val="541D2C0A"/>
    <w:lvl w:ilvl="0" w:tentative="0">
      <w:start w:val="4"/>
      <w:numFmt w:val="chineseCounting"/>
      <w:suff w:val="nothing"/>
      <w:lvlText w:val="（%1）"/>
      <w:lvlJc w:val="left"/>
    </w:lvl>
  </w:abstractNum>
  <w:abstractNum w:abstractNumId="47">
    <w:nsid w:val="559B531D"/>
    <w:multiLevelType w:val="multilevel"/>
    <w:tmpl w:val="559B531D"/>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8">
    <w:nsid w:val="57966728"/>
    <w:multiLevelType w:val="multilevel"/>
    <w:tmpl w:val="5796672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9">
    <w:nsid w:val="58CF9DF0"/>
    <w:multiLevelType w:val="singleLevel"/>
    <w:tmpl w:val="58CF9DF0"/>
    <w:lvl w:ilvl="0" w:tentative="0">
      <w:start w:val="2"/>
      <w:numFmt w:val="decimal"/>
      <w:suff w:val="nothing"/>
      <w:lvlText w:val="（%1）"/>
      <w:lvlJc w:val="left"/>
    </w:lvl>
  </w:abstractNum>
  <w:abstractNum w:abstractNumId="50">
    <w:nsid w:val="58D3DDD7"/>
    <w:multiLevelType w:val="singleLevel"/>
    <w:tmpl w:val="58D3DDD7"/>
    <w:lvl w:ilvl="0" w:tentative="0">
      <w:start w:val="4"/>
      <w:numFmt w:val="chineseCounting"/>
      <w:suff w:val="nothing"/>
      <w:lvlText w:val="（%1）"/>
      <w:lvlJc w:val="left"/>
    </w:lvl>
  </w:abstractNum>
  <w:abstractNum w:abstractNumId="51">
    <w:nsid w:val="58DA0C3E"/>
    <w:multiLevelType w:val="singleLevel"/>
    <w:tmpl w:val="58DA0C3E"/>
    <w:lvl w:ilvl="0" w:tentative="0">
      <w:start w:val="3"/>
      <w:numFmt w:val="decimal"/>
      <w:suff w:val="nothing"/>
      <w:lvlText w:val="%1、"/>
      <w:lvlJc w:val="left"/>
    </w:lvl>
  </w:abstractNum>
  <w:abstractNum w:abstractNumId="52">
    <w:nsid w:val="58DB16C7"/>
    <w:multiLevelType w:val="singleLevel"/>
    <w:tmpl w:val="58DB16C7"/>
    <w:lvl w:ilvl="0" w:tentative="0">
      <w:start w:val="2"/>
      <w:numFmt w:val="chineseCounting"/>
      <w:suff w:val="nothing"/>
      <w:lvlText w:val="（%1）"/>
      <w:lvlJc w:val="left"/>
    </w:lvl>
  </w:abstractNum>
  <w:abstractNum w:abstractNumId="53">
    <w:nsid w:val="591956F3"/>
    <w:multiLevelType w:val="singleLevel"/>
    <w:tmpl w:val="591956F3"/>
    <w:lvl w:ilvl="0" w:tentative="0">
      <w:start w:val="4"/>
      <w:numFmt w:val="chineseCounting"/>
      <w:suff w:val="nothing"/>
      <w:lvlText w:val="（%1）"/>
      <w:lvlJc w:val="left"/>
    </w:lvl>
  </w:abstractNum>
  <w:abstractNum w:abstractNumId="54">
    <w:nsid w:val="593342F8"/>
    <w:multiLevelType w:val="multilevel"/>
    <w:tmpl w:val="593342F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5">
    <w:nsid w:val="5A287DD3"/>
    <w:multiLevelType w:val="singleLevel"/>
    <w:tmpl w:val="5A287DD3"/>
    <w:lvl w:ilvl="0" w:tentative="0">
      <w:start w:val="4"/>
      <w:numFmt w:val="chineseCounting"/>
      <w:suff w:val="nothing"/>
      <w:lvlText w:val="（%1）"/>
      <w:lvlJc w:val="left"/>
    </w:lvl>
  </w:abstractNum>
  <w:abstractNum w:abstractNumId="56">
    <w:nsid w:val="5C1436EF"/>
    <w:multiLevelType w:val="singleLevel"/>
    <w:tmpl w:val="5C1436EF"/>
    <w:lvl w:ilvl="0" w:tentative="0">
      <w:start w:val="4"/>
      <w:numFmt w:val="chineseCounting"/>
      <w:suff w:val="nothing"/>
      <w:lvlText w:val="（%1）"/>
      <w:lvlJc w:val="left"/>
    </w:lvl>
  </w:abstractNum>
  <w:abstractNum w:abstractNumId="57">
    <w:nsid w:val="5D2F21BE"/>
    <w:multiLevelType w:val="singleLevel"/>
    <w:tmpl w:val="5D2F21BE"/>
    <w:lvl w:ilvl="0" w:tentative="0">
      <w:start w:val="4"/>
      <w:numFmt w:val="chineseCounting"/>
      <w:suff w:val="nothing"/>
      <w:lvlText w:val="（%1）"/>
      <w:lvlJc w:val="left"/>
    </w:lvl>
  </w:abstractNum>
  <w:abstractNum w:abstractNumId="58">
    <w:nsid w:val="61262C43"/>
    <w:multiLevelType w:val="multilevel"/>
    <w:tmpl w:val="61262C43"/>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9">
    <w:nsid w:val="64DB63B8"/>
    <w:multiLevelType w:val="multilevel"/>
    <w:tmpl w:val="64DB63B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0">
    <w:nsid w:val="66CC623E"/>
    <w:multiLevelType w:val="multilevel"/>
    <w:tmpl w:val="66CC623E"/>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1">
    <w:nsid w:val="66FD3B25"/>
    <w:multiLevelType w:val="singleLevel"/>
    <w:tmpl w:val="66FD3B25"/>
    <w:lvl w:ilvl="0" w:tentative="0">
      <w:start w:val="4"/>
      <w:numFmt w:val="chineseCounting"/>
      <w:suff w:val="nothing"/>
      <w:lvlText w:val="（%1）"/>
      <w:lvlJc w:val="left"/>
    </w:lvl>
  </w:abstractNum>
  <w:abstractNum w:abstractNumId="62">
    <w:nsid w:val="678E718B"/>
    <w:multiLevelType w:val="singleLevel"/>
    <w:tmpl w:val="678E718B"/>
    <w:lvl w:ilvl="0" w:tentative="0">
      <w:start w:val="4"/>
      <w:numFmt w:val="chineseCounting"/>
      <w:suff w:val="nothing"/>
      <w:lvlText w:val="（%1）"/>
      <w:lvlJc w:val="left"/>
    </w:lvl>
  </w:abstractNum>
  <w:abstractNum w:abstractNumId="63">
    <w:nsid w:val="686A07CD"/>
    <w:multiLevelType w:val="multilevel"/>
    <w:tmpl w:val="686A07CD"/>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4">
    <w:nsid w:val="69355EE1"/>
    <w:multiLevelType w:val="singleLevel"/>
    <w:tmpl w:val="69355EE1"/>
    <w:lvl w:ilvl="0" w:tentative="0">
      <w:start w:val="4"/>
      <w:numFmt w:val="chineseCounting"/>
      <w:suff w:val="nothing"/>
      <w:lvlText w:val="（%1）"/>
      <w:lvlJc w:val="left"/>
    </w:lvl>
  </w:abstractNum>
  <w:abstractNum w:abstractNumId="65">
    <w:nsid w:val="69436F05"/>
    <w:multiLevelType w:val="multilevel"/>
    <w:tmpl w:val="69436F05"/>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6">
    <w:nsid w:val="6A260840"/>
    <w:multiLevelType w:val="singleLevel"/>
    <w:tmpl w:val="6A260840"/>
    <w:lvl w:ilvl="0" w:tentative="0">
      <w:start w:val="4"/>
      <w:numFmt w:val="chineseCounting"/>
      <w:suff w:val="nothing"/>
      <w:lvlText w:val="（%1）"/>
      <w:lvlJc w:val="left"/>
    </w:lvl>
  </w:abstractNum>
  <w:abstractNum w:abstractNumId="67">
    <w:nsid w:val="6BD51E08"/>
    <w:multiLevelType w:val="singleLevel"/>
    <w:tmpl w:val="6BD51E08"/>
    <w:lvl w:ilvl="0" w:tentative="0">
      <w:start w:val="4"/>
      <w:numFmt w:val="chineseCounting"/>
      <w:suff w:val="nothing"/>
      <w:lvlText w:val="（%1）"/>
      <w:lvlJc w:val="left"/>
    </w:lvl>
  </w:abstractNum>
  <w:abstractNum w:abstractNumId="68">
    <w:nsid w:val="6E4520CD"/>
    <w:multiLevelType w:val="multilevel"/>
    <w:tmpl w:val="6E4520CD"/>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9">
    <w:nsid w:val="6EFB5B21"/>
    <w:multiLevelType w:val="multilevel"/>
    <w:tmpl w:val="6EFB5B21"/>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0">
    <w:nsid w:val="72597FE0"/>
    <w:multiLevelType w:val="singleLevel"/>
    <w:tmpl w:val="72597FE0"/>
    <w:lvl w:ilvl="0" w:tentative="0">
      <w:start w:val="4"/>
      <w:numFmt w:val="chineseCounting"/>
      <w:suff w:val="nothing"/>
      <w:lvlText w:val="（%1）"/>
      <w:lvlJc w:val="left"/>
    </w:lvl>
  </w:abstractNum>
  <w:abstractNum w:abstractNumId="71">
    <w:nsid w:val="739A3E3B"/>
    <w:multiLevelType w:val="singleLevel"/>
    <w:tmpl w:val="739A3E3B"/>
    <w:lvl w:ilvl="0" w:tentative="0">
      <w:start w:val="4"/>
      <w:numFmt w:val="chineseCounting"/>
      <w:suff w:val="nothing"/>
      <w:lvlText w:val="（%1）"/>
      <w:lvlJc w:val="left"/>
    </w:lvl>
  </w:abstractNum>
  <w:abstractNum w:abstractNumId="72">
    <w:nsid w:val="750931A3"/>
    <w:multiLevelType w:val="multilevel"/>
    <w:tmpl w:val="750931A3"/>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3">
    <w:nsid w:val="7A99227C"/>
    <w:multiLevelType w:val="multilevel"/>
    <w:tmpl w:val="7A99227C"/>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4">
    <w:nsid w:val="7FD90AA4"/>
    <w:multiLevelType w:val="singleLevel"/>
    <w:tmpl w:val="7FD90AA4"/>
    <w:lvl w:ilvl="0" w:tentative="0">
      <w:start w:val="4"/>
      <w:numFmt w:val="chineseCounting"/>
      <w:suff w:val="nothing"/>
      <w:lvlText w:val="（%1）"/>
      <w:lvlJc w:val="left"/>
    </w:lvl>
  </w:abstractNum>
  <w:num w:numId="1">
    <w:abstractNumId w:val="50"/>
  </w:num>
  <w:num w:numId="2">
    <w:abstractNumId w:val="30"/>
  </w:num>
  <w:num w:numId="3">
    <w:abstractNumId w:val="26"/>
  </w:num>
  <w:num w:numId="4">
    <w:abstractNumId w:val="28"/>
  </w:num>
  <w:num w:numId="5">
    <w:abstractNumId w:val="14"/>
  </w:num>
  <w:num w:numId="6">
    <w:abstractNumId w:val="44"/>
  </w:num>
  <w:num w:numId="7">
    <w:abstractNumId w:val="3"/>
  </w:num>
  <w:num w:numId="8">
    <w:abstractNumId w:val="42"/>
  </w:num>
  <w:num w:numId="9">
    <w:abstractNumId w:val="9"/>
  </w:num>
  <w:num w:numId="10">
    <w:abstractNumId w:val="48"/>
  </w:num>
  <w:num w:numId="11">
    <w:abstractNumId w:val="4"/>
  </w:num>
  <w:num w:numId="12">
    <w:abstractNumId w:val="32"/>
  </w:num>
  <w:num w:numId="13">
    <w:abstractNumId w:val="74"/>
  </w:num>
  <w:num w:numId="14">
    <w:abstractNumId w:val="12"/>
  </w:num>
  <w:num w:numId="15">
    <w:abstractNumId w:val="64"/>
  </w:num>
  <w:num w:numId="16">
    <w:abstractNumId w:val="72"/>
  </w:num>
  <w:num w:numId="17">
    <w:abstractNumId w:val="24"/>
  </w:num>
  <w:num w:numId="18">
    <w:abstractNumId w:val="21"/>
  </w:num>
  <w:num w:numId="19">
    <w:abstractNumId w:val="66"/>
  </w:num>
  <w:num w:numId="20">
    <w:abstractNumId w:val="34"/>
  </w:num>
  <w:num w:numId="21">
    <w:abstractNumId w:val="57"/>
  </w:num>
  <w:num w:numId="22">
    <w:abstractNumId w:val="35"/>
  </w:num>
  <w:num w:numId="23">
    <w:abstractNumId w:val="16"/>
  </w:num>
  <w:num w:numId="24">
    <w:abstractNumId w:val="43"/>
  </w:num>
  <w:num w:numId="25">
    <w:abstractNumId w:val="38"/>
  </w:num>
  <w:num w:numId="26">
    <w:abstractNumId w:val="58"/>
  </w:num>
  <w:num w:numId="27">
    <w:abstractNumId w:val="56"/>
  </w:num>
  <w:num w:numId="28">
    <w:abstractNumId w:val="7"/>
  </w:num>
  <w:num w:numId="29">
    <w:abstractNumId w:val="67"/>
  </w:num>
  <w:num w:numId="30">
    <w:abstractNumId w:val="36"/>
  </w:num>
  <w:num w:numId="31">
    <w:abstractNumId w:val="29"/>
  </w:num>
  <w:num w:numId="32">
    <w:abstractNumId w:val="73"/>
  </w:num>
  <w:num w:numId="33">
    <w:abstractNumId w:val="6"/>
  </w:num>
  <w:num w:numId="34">
    <w:abstractNumId w:val="1"/>
  </w:num>
  <w:num w:numId="35">
    <w:abstractNumId w:val="19"/>
  </w:num>
  <w:num w:numId="36">
    <w:abstractNumId w:val="10"/>
  </w:num>
  <w:num w:numId="37">
    <w:abstractNumId w:val="37"/>
  </w:num>
  <w:num w:numId="38">
    <w:abstractNumId w:val="11"/>
  </w:num>
  <w:num w:numId="39">
    <w:abstractNumId w:val="46"/>
  </w:num>
  <w:num w:numId="40">
    <w:abstractNumId w:val="59"/>
  </w:num>
  <w:num w:numId="41">
    <w:abstractNumId w:val="2"/>
  </w:num>
  <w:num w:numId="42">
    <w:abstractNumId w:val="63"/>
  </w:num>
  <w:num w:numId="43">
    <w:abstractNumId w:val="55"/>
  </w:num>
  <w:num w:numId="44">
    <w:abstractNumId w:val="25"/>
  </w:num>
  <w:num w:numId="45">
    <w:abstractNumId w:val="45"/>
  </w:num>
  <w:num w:numId="46">
    <w:abstractNumId w:val="68"/>
  </w:num>
  <w:num w:numId="47">
    <w:abstractNumId w:val="18"/>
  </w:num>
  <w:num w:numId="48">
    <w:abstractNumId w:val="60"/>
  </w:num>
  <w:num w:numId="49">
    <w:abstractNumId w:val="62"/>
  </w:num>
  <w:num w:numId="50">
    <w:abstractNumId w:val="13"/>
  </w:num>
  <w:num w:numId="51">
    <w:abstractNumId w:val="40"/>
  </w:num>
  <w:num w:numId="52">
    <w:abstractNumId w:val="47"/>
  </w:num>
  <w:num w:numId="53">
    <w:abstractNumId w:val="0"/>
  </w:num>
  <w:num w:numId="54">
    <w:abstractNumId w:val="49"/>
  </w:num>
  <w:num w:numId="55">
    <w:abstractNumId w:val="51"/>
  </w:num>
  <w:num w:numId="56">
    <w:abstractNumId w:val="61"/>
  </w:num>
  <w:num w:numId="57">
    <w:abstractNumId w:val="52"/>
  </w:num>
  <w:num w:numId="58">
    <w:abstractNumId w:val="71"/>
  </w:num>
  <w:num w:numId="59">
    <w:abstractNumId w:val="27"/>
  </w:num>
  <w:num w:numId="60">
    <w:abstractNumId w:val="33"/>
  </w:num>
  <w:num w:numId="61">
    <w:abstractNumId w:val="69"/>
  </w:num>
  <w:num w:numId="62">
    <w:abstractNumId w:val="8"/>
  </w:num>
  <w:num w:numId="63">
    <w:abstractNumId w:val="15"/>
  </w:num>
  <w:num w:numId="64">
    <w:abstractNumId w:val="70"/>
  </w:num>
  <w:num w:numId="65">
    <w:abstractNumId w:val="54"/>
  </w:num>
  <w:num w:numId="66">
    <w:abstractNumId w:val="22"/>
  </w:num>
  <w:num w:numId="67">
    <w:abstractNumId w:val="31"/>
  </w:num>
  <w:num w:numId="68">
    <w:abstractNumId w:val="17"/>
  </w:num>
  <w:num w:numId="69">
    <w:abstractNumId w:val="41"/>
  </w:num>
  <w:num w:numId="70">
    <w:abstractNumId w:val="53"/>
  </w:num>
  <w:num w:numId="71">
    <w:abstractNumId w:val="65"/>
  </w:num>
  <w:num w:numId="72">
    <w:abstractNumId w:val="39"/>
  </w:num>
  <w:num w:numId="73">
    <w:abstractNumId w:val="5"/>
  </w:num>
  <w:num w:numId="74">
    <w:abstractNumId w:val="23"/>
  </w:num>
  <w:num w:numId="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ODc4MGM4NDllM2M2MGRhZTNhNTk0ODU2NmRjYjUyMDcifQ=="/>
  </w:docVars>
  <w:rsids>
    <w:rsidRoot w:val="00D31D50"/>
    <w:rsid w:val="00023CB5"/>
    <w:rsid w:val="000F2251"/>
    <w:rsid w:val="00117024"/>
    <w:rsid w:val="0016614B"/>
    <w:rsid w:val="001E5024"/>
    <w:rsid w:val="002127EA"/>
    <w:rsid w:val="0023397C"/>
    <w:rsid w:val="002348B9"/>
    <w:rsid w:val="002369AF"/>
    <w:rsid w:val="002400FD"/>
    <w:rsid w:val="00241B42"/>
    <w:rsid w:val="00293DAA"/>
    <w:rsid w:val="002E6AFF"/>
    <w:rsid w:val="00323B43"/>
    <w:rsid w:val="00327F5D"/>
    <w:rsid w:val="00363F59"/>
    <w:rsid w:val="003D37D8"/>
    <w:rsid w:val="00426133"/>
    <w:rsid w:val="004358AB"/>
    <w:rsid w:val="00464BEA"/>
    <w:rsid w:val="004C560C"/>
    <w:rsid w:val="004D70C4"/>
    <w:rsid w:val="005521D2"/>
    <w:rsid w:val="005C102A"/>
    <w:rsid w:val="006126F1"/>
    <w:rsid w:val="006906E0"/>
    <w:rsid w:val="006D1BD3"/>
    <w:rsid w:val="006F39DD"/>
    <w:rsid w:val="00751ADB"/>
    <w:rsid w:val="00782C62"/>
    <w:rsid w:val="00795CBA"/>
    <w:rsid w:val="007A19C2"/>
    <w:rsid w:val="007B0D24"/>
    <w:rsid w:val="00850B00"/>
    <w:rsid w:val="0088286A"/>
    <w:rsid w:val="008B7726"/>
    <w:rsid w:val="008E62A3"/>
    <w:rsid w:val="009163CA"/>
    <w:rsid w:val="009271E8"/>
    <w:rsid w:val="0093770B"/>
    <w:rsid w:val="009542CD"/>
    <w:rsid w:val="009A034C"/>
    <w:rsid w:val="00A1497B"/>
    <w:rsid w:val="00A936E1"/>
    <w:rsid w:val="00AC243C"/>
    <w:rsid w:val="00B203A8"/>
    <w:rsid w:val="00B20BB9"/>
    <w:rsid w:val="00B538D2"/>
    <w:rsid w:val="00BD64CB"/>
    <w:rsid w:val="00BF308F"/>
    <w:rsid w:val="00BF4E7E"/>
    <w:rsid w:val="00C046E4"/>
    <w:rsid w:val="00C13FC3"/>
    <w:rsid w:val="00C15565"/>
    <w:rsid w:val="00CD0B5B"/>
    <w:rsid w:val="00D31D50"/>
    <w:rsid w:val="00D54595"/>
    <w:rsid w:val="00D7233D"/>
    <w:rsid w:val="00E31716"/>
    <w:rsid w:val="00EA5474"/>
    <w:rsid w:val="00F85E54"/>
    <w:rsid w:val="00F96FB5"/>
    <w:rsid w:val="00FE4BED"/>
    <w:rsid w:val="16611223"/>
    <w:rsid w:val="569D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8"/>
    <w:qFormat/>
    <w:uiPriority w:val="99"/>
    <w:pPr>
      <w:widowControl w:val="0"/>
      <w:tabs>
        <w:tab w:val="center" w:pos="4153"/>
        <w:tab w:val="right" w:pos="8306"/>
      </w:tabs>
      <w:adjustRightInd/>
      <w:spacing w:after="0" w:line="360" w:lineRule="auto"/>
      <w:ind w:firstLine="200" w:firstLineChars="200"/>
    </w:pPr>
    <w:rPr>
      <w:rFonts w:ascii="Times New Roman" w:hAnsi="Times New Roman" w:eastAsia="仿宋_GB2312" w:cs="Times New Roman"/>
      <w:kern w:val="2"/>
      <w:sz w:val="18"/>
      <w:szCs w:val="18"/>
    </w:rPr>
  </w:style>
  <w:style w:type="paragraph" w:styleId="4">
    <w:name w:val="header"/>
    <w:basedOn w:val="1"/>
    <w:link w:val="9"/>
    <w:qFormat/>
    <w:uiPriority w:val="0"/>
    <w:pPr>
      <w:widowControl w:val="0"/>
      <w:pBdr>
        <w:bottom w:val="single" w:color="auto" w:sz="6" w:space="1"/>
      </w:pBdr>
      <w:tabs>
        <w:tab w:val="center" w:pos="4153"/>
        <w:tab w:val="right" w:pos="8306"/>
      </w:tabs>
      <w:adjustRightInd/>
      <w:spacing w:after="0" w:line="360" w:lineRule="auto"/>
      <w:ind w:firstLine="200" w:firstLineChars="200"/>
      <w:jc w:val="center"/>
    </w:pPr>
    <w:rPr>
      <w:rFonts w:ascii="Times New Roman" w:hAnsi="Times New Roman" w:eastAsia="仿宋_GB2312" w:cs="Times New Roman"/>
      <w:kern w:val="2"/>
      <w:sz w:val="18"/>
      <w:szCs w:val="18"/>
    </w:rPr>
  </w:style>
  <w:style w:type="character" w:styleId="7">
    <w:name w:val="page number"/>
    <w:basedOn w:val="6"/>
    <w:qFormat/>
    <w:uiPriority w:val="0"/>
  </w:style>
  <w:style w:type="character" w:customStyle="1" w:styleId="8">
    <w:name w:val="页脚 Char"/>
    <w:basedOn w:val="6"/>
    <w:link w:val="3"/>
    <w:qFormat/>
    <w:uiPriority w:val="99"/>
    <w:rPr>
      <w:rFonts w:ascii="Times New Roman" w:hAnsi="Times New Roman" w:eastAsia="仿宋_GB2312" w:cs="Times New Roman"/>
      <w:kern w:val="2"/>
      <w:sz w:val="18"/>
      <w:szCs w:val="18"/>
    </w:rPr>
  </w:style>
  <w:style w:type="character" w:customStyle="1" w:styleId="9">
    <w:name w:val="页眉 Char"/>
    <w:basedOn w:val="6"/>
    <w:link w:val="4"/>
    <w:qFormat/>
    <w:uiPriority w:val="0"/>
    <w:rPr>
      <w:rFonts w:ascii="Times New Roman" w:hAnsi="Times New Roman" w:eastAsia="仿宋_GB2312" w:cs="Times New Roman"/>
      <w:kern w:val="2"/>
      <w:sz w:val="18"/>
      <w:szCs w:val="18"/>
    </w:rPr>
  </w:style>
  <w:style w:type="paragraph" w:customStyle="1" w:styleId="10">
    <w:name w:val="列出段落2"/>
    <w:basedOn w:val="1"/>
    <w:qFormat/>
    <w:uiPriority w:val="34"/>
    <w:pPr>
      <w:widowControl w:val="0"/>
      <w:adjustRightInd/>
      <w:snapToGrid/>
      <w:spacing w:after="0" w:line="360" w:lineRule="auto"/>
      <w:ind w:firstLine="420" w:firstLineChars="200"/>
      <w:jc w:val="both"/>
    </w:pPr>
    <w:rPr>
      <w:rFonts w:ascii="Times New Roman" w:hAnsi="Times New Roman" w:eastAsia="仿宋_GB2312" w:cs="Times New Roman"/>
      <w:kern w:val="2"/>
      <w:sz w:val="24"/>
      <w:szCs w:val="24"/>
    </w:rPr>
  </w:style>
  <w:style w:type="paragraph" w:styleId="11">
    <w:name w:val="List Paragraph"/>
    <w:basedOn w:val="1"/>
    <w:unhideWhenUsed/>
    <w:qFormat/>
    <w:uiPriority w:val="99"/>
    <w:pPr>
      <w:widowControl w:val="0"/>
      <w:adjustRightInd/>
      <w:snapToGrid/>
      <w:spacing w:after="0" w:line="360" w:lineRule="auto"/>
      <w:ind w:firstLine="420" w:firstLineChars="200"/>
      <w:jc w:val="both"/>
    </w:pPr>
    <w:rPr>
      <w:rFonts w:ascii="Times New Roman" w:hAnsi="Times New Roman" w:eastAsia="仿宋_GB2312" w:cs="Times New Roman"/>
      <w:kern w:val="2"/>
      <w:sz w:val="24"/>
      <w:szCs w:val="24"/>
    </w:rPr>
  </w:style>
  <w:style w:type="character" w:customStyle="1" w:styleId="12">
    <w:name w:val="日期 Char"/>
    <w:basedOn w:val="6"/>
    <w:link w:val="2"/>
    <w:semiHidden/>
    <w:uiPriority w:val="99"/>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34542</Words>
  <Characters>37060</Characters>
  <Lines>339</Lines>
  <Paragraphs>95</Paragraphs>
  <TotalTime>153</TotalTime>
  <ScaleCrop>false</ScaleCrop>
  <LinksUpToDate>false</LinksUpToDate>
  <CharactersWithSpaces>39189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123</dc:creator>
  <cp:lastModifiedBy>WPS_1137839329</cp:lastModifiedBy>
  <dcterms:modified xsi:type="dcterms:W3CDTF">2023-11-08T02:00:36Z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03BFDC6A149F41B1BF79F64FC7B2D365_12</vt:lpwstr>
  </property>
</Properties>
</file>