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Times New Roman"/>
          <w:color w:val="auto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  <w:t>年度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  <w:lang w:eastAsia="zh-CN"/>
        </w:rPr>
        <w:t>武昌古城保护发展中心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  <w:t>整体绩效自评表</w:t>
      </w:r>
    </w:p>
    <w:p>
      <w:pPr>
        <w:widowControl/>
        <w:jc w:val="both"/>
        <w:rPr>
          <w:rFonts w:hint="default" w:ascii="楷体_GB2312" w:hAnsi="黑体" w:eastAsia="楷体_GB2312" w:cs="Times New Roman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1"/>
          <w:szCs w:val="21"/>
          <w:highlight w:val="none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highlight w:val="none"/>
          <w:lang w:eastAsia="zh-CN"/>
        </w:rPr>
        <w:t>武汉市武昌区武昌古城保护发展中心</w:t>
      </w:r>
      <w:r>
        <w:rPr>
          <w:rFonts w:ascii="楷体_GB2312" w:hAnsi="仿宋" w:eastAsia="楷体_GB2312" w:cs="楷体_GB2312"/>
          <w:kern w:val="0"/>
          <w:sz w:val="21"/>
          <w:szCs w:val="21"/>
          <w:highlight w:val="none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highlight w:val="none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highlight w:val="none"/>
          <w:lang w:val="en-US" w:eastAsia="zh-CN"/>
        </w:rPr>
        <w:t>2022.11.08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81"/>
        <w:gridCol w:w="1122"/>
        <w:gridCol w:w="1319"/>
        <w:gridCol w:w="923"/>
        <w:gridCol w:w="565"/>
        <w:gridCol w:w="1410"/>
        <w:gridCol w:w="545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1"/>
                <w:szCs w:val="21"/>
                <w:highlight w:val="none"/>
                <w:lang w:eastAsia="zh-CN"/>
              </w:rPr>
              <w:t>武汉市武昌区武昌古城保护发展中心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289.28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221.22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预算执行情况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预算数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执行数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执行率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B/A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执行率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397.78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510.5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128.33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加快武昌古城亮点区片建设、推进古城老旧小区改造、综合环境整治提升、加快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征收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和土地储备，推动改革项目落地实施，提升工作水平和运转效能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年初目标值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实际完成值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重要批示落实率（%）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重大决策、重要工作督办完成率（%）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应急处置及时率（%）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任务完成达标率（%）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任务完成达标率（%）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预算支出控制率（%）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社会效益指标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为武昌古城及基层服务效果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有效果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有效果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新政策出台的持续影响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有影响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有影响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满意度指标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服务对象满意率（%）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聚焦建党百年，着力加强思想建设，深入开展党史学习教育活动，营造风清气正工作环境，全面实现党组织拓面提质。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年度绩效指标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年初目标值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实际完成值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hAnsi="宋体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重要批示落实率（%）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专题研究完成率（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创新基层社会治理完成率（%）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重大决策、重要工作督办完成率（%）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信息综合工作完成率（%）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信息化建设完成率（%）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保密工作完成率（%）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办文办会任务完成（%）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任务完成达标率（%）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任务完成达标率（%）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预算支出控制率（%）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经济效益指标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助推经济成效（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提升武昌古城发展能力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有提升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社会效益指标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为武昌古城及基层服务效果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有效果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有效果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新政策出台的持续影响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有影响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有影响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满意度指标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服务对象满意率（%）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88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偏差大或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目标未完成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从整体</w:t>
            </w: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  <w:t>评价情况来看，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本年度单位依据制定的年度整体绩效目标积极开展相关工作，基本完成年度绩效目标。在一定程度上加快了武昌古城亮点区片建设、推进古城老旧小区改造、综合环境整治提升、加快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征收，提升了工作水平和运转效能</w:t>
            </w: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，深入开展党史教育活动，营造了风清气正的办公环境和氛围。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改进措施及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highlight w:val="none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通过对2021年度整体支出进行绩效评价，增强了单位人员的预算意识，对未来年度预算编制以及项目实施进度的考核都有一定程度的帮助，下一步单位会加强绩效管理，尽量保证工作开展进度与绩效目标安排相一致。</w:t>
            </w:r>
          </w:p>
        </w:tc>
      </w:tr>
    </w:tbl>
    <w:p>
      <w:pPr>
        <w:widowControl/>
        <w:jc w:val="both"/>
        <w:rPr>
          <w:rFonts w:ascii="仿宋_GB2312" w:hAnsi="宋体" w:eastAsia="仿宋_GB2312" w:cs="Times New Roman"/>
          <w:kern w:val="0"/>
          <w:sz w:val="21"/>
          <w:szCs w:val="21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备注：</w:t>
      </w:r>
    </w:p>
    <w:p>
      <w:pPr>
        <w:widowControl/>
        <w:ind w:firstLine="420" w:firstLineChars="200"/>
        <w:jc w:val="both"/>
        <w:rPr>
          <w:rFonts w:ascii="仿宋_GB2312" w:hAnsi="宋体" w:eastAsia="仿宋_GB2312" w:cs="Times New Roman"/>
          <w:kern w:val="0"/>
          <w:sz w:val="21"/>
          <w:szCs w:val="21"/>
          <w:highlight w:val="none"/>
        </w:rPr>
      </w:pP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1.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预算执行情况口径：预算数为调整后财政资金总额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包括上年结余结转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，执行数为资金使用单位财政资金实际支出数。</w:t>
      </w:r>
    </w:p>
    <w:p>
      <w:pPr>
        <w:widowControl/>
        <w:ind w:firstLine="420" w:firstLineChars="200"/>
        <w:jc w:val="both"/>
        <w:rPr>
          <w:rFonts w:ascii="仿宋_GB2312" w:hAnsi="宋体" w:eastAsia="仿宋_GB2312" w:cs="Times New Roman"/>
          <w:kern w:val="0"/>
          <w:sz w:val="21"/>
          <w:szCs w:val="21"/>
          <w:highlight w:val="none"/>
        </w:rPr>
      </w:pP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2.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定量指标完成数汇总原则：绝对值直接累加计算，相对值按照资金额度加权平均计算。定量指标计分原则：正向指标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即目标值为≥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X,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得分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*B/A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，反向指标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即目标值为≤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X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，得分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*A/B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，得分不得突破权重总额。定量指标先汇总完成数，再计算得分。</w:t>
      </w:r>
    </w:p>
    <w:p>
      <w:pPr>
        <w:widowControl/>
        <w:ind w:firstLine="420" w:firstLineChars="200"/>
        <w:jc w:val="both"/>
        <w:rPr>
          <w:rFonts w:ascii="仿宋_GB2312" w:hAnsi="宋体" w:eastAsia="仿宋_GB2312" w:cs="Times New Roman"/>
          <w:kern w:val="0"/>
          <w:sz w:val="21"/>
          <w:szCs w:val="21"/>
          <w:highlight w:val="none"/>
        </w:rPr>
      </w:pP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3.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定性指标计分原则：达成预期指标、部分达成预期指标、未达成预期指标三档，分别按照该指标对应分值区间100%-80%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≥80%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、80%-50%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≥50%，＜80%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、50%-0%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＜50%</w:t>
      </w:r>
      <w:r>
        <w:rPr>
          <w:rFonts w:hint="eastAsia" w:hAnsi="宋体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jc w:val="both"/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</w:pPr>
      <w:r>
        <w:rPr>
          <w:rFonts w:ascii="仿宋_GB2312" w:hAnsi="宋体" w:eastAsia="仿宋_GB2312" w:cs="仿宋_GB2312"/>
          <w:kern w:val="0"/>
          <w:sz w:val="21"/>
          <w:szCs w:val="21"/>
          <w:highlight w:val="none"/>
        </w:rPr>
        <w:t>4.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highlight w:val="none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djYTRhZTc4OGE2ZTE4MTQ5YmMyNTU5Y2Q4YjgifQ=="/>
  </w:docVars>
  <w:rsids>
    <w:rsidRoot w:val="796C7A34"/>
    <w:rsid w:val="05664BE6"/>
    <w:rsid w:val="40D3253C"/>
    <w:rsid w:val="54C617BB"/>
    <w:rsid w:val="69513A22"/>
    <w:rsid w:val="796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1440</Words>
  <Characters>1618</Characters>
  <Lines>0</Lines>
  <Paragraphs>0</Paragraphs>
  <TotalTime>0</TotalTime>
  <ScaleCrop>false</ScaleCrop>
  <LinksUpToDate>false</LinksUpToDate>
  <CharactersWithSpaces>1631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2022-10-11T06:48:00Z</dcterms:created>
  <dc:creator>Skyfall</dc:creator>
  <cp:lastModifiedBy>-HEFENG-YY</cp:lastModifiedBy>
  <dcterms:modified xsi:type="dcterms:W3CDTF">2022-11-07T01:12:15Z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EA6659DCAE244F62B8B0F807835C24ED</vt:lpwstr>
  </property>
</Properties>
</file>