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  <w:t>年度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  <w:lang w:eastAsia="zh-CN"/>
        </w:rPr>
        <w:t>古城综合工作经费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  <w:t>项目自评表</w:t>
      </w:r>
    </w:p>
    <w:p>
      <w:pPr>
        <w:widowControl/>
        <w:jc w:val="both"/>
        <w:rPr>
          <w:rFonts w:hint="default" w:ascii="楷体_GB2312" w:hAnsi="黑体" w:eastAsia="楷体_GB2312" w:cs="Times New Roman"/>
          <w:kern w:val="0"/>
          <w:sz w:val="48"/>
          <w:szCs w:val="48"/>
          <w:highlight w:val="none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4"/>
          <w:szCs w:val="24"/>
          <w:highlight w:val="none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highlight w:val="none"/>
          <w:lang w:eastAsia="zh-CN"/>
        </w:rPr>
        <w:t>武汉市武昌区武昌古城保护发展中心</w:t>
      </w:r>
      <w:r>
        <w:rPr>
          <w:rFonts w:ascii="楷体_GB2312" w:hAnsi="仿宋" w:eastAsia="楷体_GB2312" w:cs="楷体_GB2312"/>
          <w:kern w:val="0"/>
          <w:sz w:val="24"/>
          <w:szCs w:val="24"/>
          <w:highlight w:val="none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highlight w:val="none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4"/>
          <w:szCs w:val="24"/>
          <w:highlight w:val="none"/>
          <w:lang w:val="en-US" w:eastAsia="zh-CN"/>
        </w:rPr>
        <w:t>2022.11.08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490"/>
        <w:gridCol w:w="827"/>
        <w:gridCol w:w="1123"/>
        <w:gridCol w:w="343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古城综合工作经费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武汉市武昌区古城保护发展中心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项目实施单位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武汉市武昌区古城保护发展中心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1、部门预算项目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   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直专项   □  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1、持续性项目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   2、新增性项目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1、常年性项目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 xml:space="preserve">   2、延续性项目 □      3、一次性项目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预算执行情况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预算数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执行数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执行率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B/A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0分*执行率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136.5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213.24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156.22%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年度绩效目标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年初目标值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实际完成值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cs="仿宋_GB2312"/>
                <w:kern w:val="0"/>
                <w:sz w:val="21"/>
                <w:szCs w:val="21"/>
                <w:highlight w:val="none"/>
                <w:lang w:eastAsia="zh-CN"/>
              </w:rPr>
              <w:t>)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聘用人员数量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7人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微信公众号关注数（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不少于20个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7万人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微信公众号推送文章篇数（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不少于10篇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57篇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质量指标（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微信公众号使用率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微信公众号单位内部覆盖率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100%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tabs>
                <w:tab w:val="left" w:pos="420"/>
                <w:tab w:val="center" w:pos="551"/>
                <w:tab w:val="left" w:pos="1260"/>
                <w:tab w:val="left" w:pos="2100"/>
                <w:tab w:val="left" w:pos="2940"/>
                <w:tab w:val="left" w:pos="3780"/>
                <w:tab w:val="left" w:pos="4620"/>
                <w:tab w:val="left" w:pos="5460"/>
              </w:tabs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微信公众号外部覆盖率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30%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25%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装修覆盖率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30%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pStyle w:val="5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职工对装修成果满意度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90%</w:t>
            </w:r>
          </w:p>
        </w:tc>
        <w:tc>
          <w:tcPr>
            <w:tcW w:w="1319" w:type="dxa"/>
            <w:vAlign w:val="top"/>
          </w:tcPr>
          <w:p>
            <w:pPr>
              <w:pStyle w:val="5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成本指标（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聘用人员劳务费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4.5万/人/年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4.79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万/人/年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法律顾问费（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4万/年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4万/年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房屋租金成本（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90元/平方米/月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90元/平方米/月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装修成本及租赁成本压缩率最大化（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最大化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最大化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社会效益指标（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古城中心各项工作顺利开展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古城中心各项工作顺利开展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古城中心各项工作顺利开展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服务对象对本单位办公区域环境满意度（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向公众宣传武昌古城景点或文化典故（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逐年递增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数量增加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92分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偏差大或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目标未完成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古城综合工作经费总体较好完成了绩效目标，成本控制合理，为推广武昌古城的建设发展，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2021年度举办相关的造物节、定向赛等活动，追加了部分预算。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改进措施及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通过对2021年度项目支出进行绩效评价，增强了单位人员的预算意识，对未来年度预算项目支出的编制以及项目实施进度的考核都有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一定程度的帮助，下一步单位会加强项目实施的管理，尽量保证项目实施进度与预算安排相一致。</w:t>
            </w: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备注：</w:t>
      </w:r>
    </w:p>
    <w:p>
      <w:pPr>
        <w:widowControl/>
        <w:ind w:firstLine="420" w:firstLineChars="2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1.预算执行情况口径：预算数为调整后财政资金总额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包括上年结余结转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，执行数为资金使用单位财政资金实际支出数。</w:t>
      </w:r>
    </w:p>
    <w:p>
      <w:pPr>
        <w:widowControl/>
        <w:ind w:firstLine="420" w:firstLineChars="2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2.定量指标完成数汇总原则：绝对值直接累加计算，相对值按照资金额度加权平均计算。定量指标计分原则：正向指标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即目标值为≥X,得分=权重*B/A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，反向指标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即目标值为≤X，得分=权重*A/B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，得分不得突破权重总额。定量指标先汇总完成数，再计算得分。</w:t>
      </w:r>
    </w:p>
    <w:p>
      <w:pPr>
        <w:widowControl/>
        <w:ind w:firstLine="420" w:firstLineChars="200"/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3.定性指标计分原则：达成预期指标、部分达成预期指标、未达成预期指标三档，分别按照该指标对应分值区间100%-80%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≥80%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、80%-50%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≥50%，＜80%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、50%-0%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(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＜50%</w:t>
      </w:r>
      <w:r>
        <w:rPr>
          <w:rFonts w:hint="eastAsia" w:cs="仿宋_GB2312"/>
          <w:kern w:val="0"/>
          <w:sz w:val="21"/>
          <w:szCs w:val="21"/>
          <w:highlight w:val="none"/>
          <w:lang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合理确定分值。汇总时，以资金额度为权重，对分值进行加权平均计算。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  <w:highlight w:val="none"/>
        </w:rPr>
        <w:t>4.基于经济性和必要性等因素考虑，满意度指标暂可不作为必评指标。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DdjYTRhZTc4OGE2ZTE4MTQ5YmMyNTU5Y2Q4YjgifQ=="/>
  </w:docVars>
  <w:rsids>
    <w:rsidRoot w:val="51597354"/>
    <w:rsid w:val="0AA03A6A"/>
    <w:rsid w:val="35035C73"/>
    <w:rsid w:val="49ED3B96"/>
    <w:rsid w:val="51597354"/>
    <w:rsid w:val="59122153"/>
    <w:rsid w:val="5D3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1"/>
    <w:basedOn w:val="6"/>
    <w:qFormat/>
    <w:uiPriority w:val="0"/>
    <w:pPr>
      <w:jc w:val="both"/>
    </w:pPr>
    <w:rPr>
      <w:rFonts w:ascii="Times New Roman" w:hAnsi="Times New Roman" w:eastAsia="Times New Roman"/>
      <w:sz w:val="21"/>
    </w:rPr>
  </w:style>
  <w:style w:type="paragraph" w:customStyle="1" w:styleId="6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1259</Characters>
  <Lines>0</Lines>
  <Paragraphs>0</Paragraphs>
  <TotalTime>13</TotalTime>
  <ScaleCrop>false</ScaleCrop>
  <LinksUpToDate>false</LinksUpToDate>
  <CharactersWithSpaces>1302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2022-10-11T07:14:00Z</dcterms:created>
  <dc:creator>Skyfall</dc:creator>
  <cp:lastModifiedBy>-HEFENG-YY</cp:lastModifiedBy>
  <cp:lastPrinted>2022-10-13T06:41:00Z</cp:lastPrinted>
  <dcterms:modified xsi:type="dcterms:W3CDTF">2022-11-07T01:14:38Z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CB025E6F8BCF4050B25C40D55013F562</vt:lpwstr>
  </property>
</Properties>
</file>