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新宋体" w:hAnsi="新宋体" w:eastAsia="新宋体" w:cs="新宋体"/>
          <w:b/>
          <w:color w:val="auto"/>
          <w:spacing w:val="20"/>
          <w:sz w:val="44"/>
          <w:szCs w:val="44"/>
          <w:highlight w:val="none"/>
          <w:lang w:val="en-US" w:eastAsia="zh-CN"/>
        </w:rPr>
      </w:pPr>
      <w:bookmarkStart w:id="0" w:name="_Toc22777"/>
      <w:bookmarkStart w:id="1" w:name="_Toc421134121"/>
      <w:bookmarkStart w:id="2" w:name="_Toc27270"/>
    </w:p>
    <w:p>
      <w:pPr>
        <w:spacing w:line="700" w:lineRule="exact"/>
        <w:jc w:val="center"/>
        <w:rPr>
          <w:rFonts w:hint="eastAsia" w:ascii="新宋体" w:hAnsi="新宋体" w:eastAsia="新宋体" w:cs="新宋体"/>
          <w:b/>
          <w:color w:val="auto"/>
          <w:spacing w:val="20"/>
          <w:sz w:val="44"/>
          <w:szCs w:val="44"/>
          <w:highlight w:val="none"/>
          <w:lang w:val="en-US" w:eastAsia="zh-CN"/>
        </w:rPr>
      </w:pPr>
    </w:p>
    <w:p>
      <w:pPr>
        <w:spacing w:line="700" w:lineRule="exact"/>
        <w:jc w:val="center"/>
        <w:rPr>
          <w:rFonts w:hint="eastAsia" w:ascii="新宋体" w:hAnsi="新宋体" w:eastAsia="新宋体" w:cs="新宋体"/>
          <w:b/>
          <w:color w:val="auto"/>
          <w:spacing w:val="20"/>
          <w:sz w:val="44"/>
          <w:szCs w:val="44"/>
          <w:highlight w:val="none"/>
          <w:lang w:val="en-US" w:eastAsia="zh-CN"/>
        </w:rPr>
      </w:pPr>
    </w:p>
    <w:p>
      <w:pPr>
        <w:spacing w:line="700" w:lineRule="exact"/>
        <w:jc w:val="center"/>
        <w:rPr>
          <w:rFonts w:hint="eastAsia" w:ascii="新宋体" w:hAnsi="新宋体" w:eastAsia="新宋体" w:cs="新宋体"/>
          <w:b/>
          <w:color w:val="auto"/>
          <w:spacing w:val="20"/>
          <w:sz w:val="44"/>
          <w:szCs w:val="44"/>
          <w:highlight w:val="none"/>
          <w:lang w:val="en-US" w:eastAsia="zh-CN"/>
        </w:rPr>
      </w:pPr>
      <w:r>
        <w:rPr>
          <w:rFonts w:hint="eastAsia" w:ascii="新宋体" w:hAnsi="新宋体" w:eastAsia="新宋体" w:cs="新宋体"/>
          <w:b/>
          <w:color w:val="auto"/>
          <w:spacing w:val="20"/>
          <w:sz w:val="44"/>
          <w:szCs w:val="44"/>
          <w:highlight w:val="none"/>
          <w:lang w:val="en-US" w:eastAsia="zh-CN"/>
        </w:rPr>
        <w:t>武昌区政协委员视察、界别组、</w:t>
      </w:r>
    </w:p>
    <w:p>
      <w:pPr>
        <w:spacing w:line="700" w:lineRule="exact"/>
        <w:jc w:val="center"/>
        <w:rPr>
          <w:rFonts w:hint="eastAsia" w:ascii="新宋体" w:hAnsi="新宋体" w:eastAsia="新宋体" w:cs="新宋体"/>
          <w:b/>
          <w:color w:val="auto"/>
          <w:spacing w:val="20"/>
          <w:sz w:val="44"/>
          <w:szCs w:val="44"/>
          <w:highlight w:val="none"/>
          <w:lang w:val="en-US" w:eastAsia="zh-CN"/>
        </w:rPr>
      </w:pPr>
      <w:r>
        <w:rPr>
          <w:rFonts w:hint="eastAsia" w:ascii="新宋体" w:hAnsi="新宋体" w:eastAsia="新宋体" w:cs="新宋体"/>
          <w:b/>
          <w:color w:val="auto"/>
          <w:spacing w:val="20"/>
          <w:sz w:val="44"/>
          <w:szCs w:val="44"/>
          <w:highlight w:val="none"/>
          <w:lang w:val="en-US" w:eastAsia="zh-CN"/>
        </w:rPr>
        <w:t>街道联络委工作经费项目</w:t>
      </w:r>
    </w:p>
    <w:p>
      <w:pPr>
        <w:spacing w:line="700" w:lineRule="exact"/>
        <w:jc w:val="center"/>
        <w:rPr>
          <w:rFonts w:hint="eastAsia" w:ascii="新宋体" w:hAnsi="新宋体" w:eastAsia="新宋体" w:cs="新宋体"/>
          <w:b/>
          <w:color w:val="auto"/>
          <w:spacing w:val="20"/>
          <w:sz w:val="44"/>
          <w:szCs w:val="44"/>
          <w:highlight w:val="none"/>
        </w:rPr>
      </w:pPr>
      <w:r>
        <w:rPr>
          <w:rFonts w:hint="eastAsia" w:ascii="新宋体" w:hAnsi="新宋体" w:eastAsia="新宋体" w:cs="新宋体"/>
          <w:b/>
          <w:color w:val="auto"/>
          <w:spacing w:val="20"/>
          <w:sz w:val="44"/>
          <w:szCs w:val="44"/>
          <w:highlight w:val="none"/>
          <w:lang w:val="en-US" w:eastAsia="zh-CN"/>
        </w:rPr>
        <w:t>绩效自评报告</w:t>
      </w:r>
    </w:p>
    <w:p>
      <w:pPr>
        <w:ind w:firstLine="0" w:firstLineChars="0"/>
        <w:jc w:val="center"/>
        <w:rPr>
          <w:rFonts w:ascii="Arial Narrow" w:hAnsi="Arial Narrow" w:cs="Arial Narrow"/>
          <w:b/>
          <w:color w:val="000000"/>
          <w:sz w:val="44"/>
          <w:szCs w:val="44"/>
        </w:rPr>
      </w:pPr>
      <w:r>
        <w:rPr>
          <w:rFonts w:ascii="Arial Narrow" w:hAnsi="Arial Narrow" w:cs="Arial Narrow"/>
          <w:b/>
          <w:color w:val="000000"/>
          <w:sz w:val="44"/>
          <w:szCs w:val="44"/>
        </w:rPr>
        <w:t xml:space="preserve"> </w:t>
      </w:r>
    </w:p>
    <w:p>
      <w:pPr>
        <w:spacing w:before="240"/>
        <w:ind w:firstLine="0" w:firstLineChars="0"/>
        <w:jc w:val="center"/>
        <w:rPr>
          <w:rFonts w:ascii="Arial Narrow" w:hAnsi="Arial Narrow" w:cs="Arial Narrow"/>
          <w:b/>
          <w:bCs/>
          <w:color w:val="000000"/>
          <w:sz w:val="44"/>
          <w:szCs w:val="44"/>
        </w:rPr>
      </w:pPr>
      <w:r>
        <w:rPr>
          <w:rFonts w:ascii="Arial Narrow" w:hAnsi="Arial Narrow" w:cs="Arial Narrow"/>
          <w:b/>
          <w:bCs/>
          <w:color w:val="000000"/>
          <w:sz w:val="44"/>
          <w:szCs w:val="44"/>
        </w:rPr>
        <w:t>（20</w:t>
      </w:r>
      <w:r>
        <w:rPr>
          <w:rFonts w:hint="eastAsia" w:ascii="Arial Narrow" w:hAnsi="Arial Narrow" w:cs="Arial Narrow"/>
          <w:b/>
          <w:bCs/>
          <w:color w:val="000000"/>
          <w:sz w:val="44"/>
          <w:szCs w:val="44"/>
          <w:lang w:val="en-US" w:eastAsia="zh-CN"/>
        </w:rPr>
        <w:t>20</w:t>
      </w:r>
      <w:r>
        <w:rPr>
          <w:rFonts w:ascii="Arial Narrow" w:hAnsi="Arial Narrow" w:cs="Arial Narrow"/>
          <w:b/>
          <w:bCs/>
          <w:color w:val="000000"/>
          <w:sz w:val="44"/>
          <w:szCs w:val="44"/>
        </w:rPr>
        <w:t>年度）</w:t>
      </w:r>
    </w:p>
    <w:p>
      <w:pPr>
        <w:ind w:firstLine="480"/>
        <w:rPr>
          <w:rFonts w:ascii="Arial Narrow" w:hAnsi="Arial Narrow" w:cs="Arial Narrow"/>
        </w:rPr>
      </w:pPr>
    </w:p>
    <w:p>
      <w:pPr>
        <w:ind w:firstLine="480"/>
        <w:rPr>
          <w:rFonts w:ascii="Arial Narrow" w:hAnsi="Arial Narrow" w:cs="Arial Narrow"/>
        </w:rPr>
      </w:pPr>
    </w:p>
    <w:p>
      <w:pPr>
        <w:ind w:firstLine="480"/>
        <w:rPr>
          <w:rFonts w:ascii="Arial Narrow" w:hAnsi="Arial Narrow" w:cs="Arial Narrow"/>
        </w:rPr>
      </w:pPr>
    </w:p>
    <w:p>
      <w:pPr>
        <w:ind w:firstLine="480"/>
        <w:rPr>
          <w:rFonts w:ascii="Arial Narrow" w:hAnsi="Arial Narrow" w:cs="Arial Narrow"/>
        </w:rPr>
      </w:pPr>
    </w:p>
    <w:p>
      <w:pPr>
        <w:widowControl/>
        <w:spacing w:line="800" w:lineRule="exact"/>
        <w:ind w:firstLine="790" w:firstLineChars="246"/>
        <w:jc w:val="left"/>
        <w:rPr>
          <w:rFonts w:ascii="Arial Narrow" w:hAnsi="Arial Narrow" w:cs="Arial Narrow"/>
          <w:b/>
          <w:bCs/>
          <w:kern w:val="32"/>
          <w:sz w:val="32"/>
          <w:lang w:bidi="he-IL"/>
        </w:rPr>
      </w:pPr>
    </w:p>
    <w:p>
      <w:pPr>
        <w:widowControl/>
        <w:spacing w:line="800" w:lineRule="exact"/>
        <w:ind w:firstLine="790" w:firstLineChars="246"/>
        <w:jc w:val="left"/>
        <w:rPr>
          <w:rFonts w:ascii="Arial Narrow" w:hAnsi="Arial Narrow" w:cs="Arial Narrow"/>
          <w:b/>
          <w:bCs/>
          <w:kern w:val="32"/>
          <w:sz w:val="32"/>
          <w:lang w:bidi="he-IL"/>
        </w:rPr>
      </w:pPr>
    </w:p>
    <w:p>
      <w:pPr>
        <w:widowControl/>
        <w:spacing w:line="800" w:lineRule="exact"/>
        <w:ind w:right="-168" w:rightChars="-80" w:firstLine="321" w:firstLineChars="100"/>
        <w:jc w:val="left"/>
        <w:rPr>
          <w:rFonts w:hint="eastAsia" w:ascii="Arial Narrow" w:hAnsi="Arial Narrow" w:cs="Arial Narrow"/>
          <w:b/>
          <w:bCs/>
          <w:kern w:val="32"/>
          <w:sz w:val="32"/>
          <w:lang w:val="en-US" w:eastAsia="zh-CN" w:bidi="he-IL"/>
        </w:rPr>
      </w:pPr>
      <w:r>
        <w:rPr>
          <w:rFonts w:ascii="Arial Narrow" w:hAnsi="Arial Narrow" w:cs="Arial Narrow"/>
          <w:b/>
          <w:bCs/>
          <w:kern w:val="32"/>
          <w:sz w:val="32"/>
          <w:lang w:bidi="he-IL"/>
        </w:rPr>
        <w:t>项目名称</w:t>
      </w:r>
      <w:r>
        <w:rPr>
          <w:rFonts w:hint="eastAsia" w:ascii="Arial Narrow" w:hAnsi="Arial Narrow" w:cs="Arial Narrow"/>
          <w:b/>
          <w:bCs/>
          <w:kern w:val="32"/>
          <w:sz w:val="32"/>
          <w:lang w:bidi="he-IL"/>
        </w:rPr>
        <w:t>：</w:t>
      </w:r>
      <w:r>
        <w:rPr>
          <w:rFonts w:hint="eastAsia" w:ascii="Arial Narrow" w:hAnsi="Arial Narrow" w:cs="Arial Narrow"/>
          <w:b/>
          <w:bCs/>
          <w:kern w:val="32"/>
          <w:sz w:val="32"/>
          <w:lang w:val="en-US" w:eastAsia="zh-CN" w:bidi="he-IL"/>
        </w:rPr>
        <w:t>2020年度武昌区政协委员视察、界别组、</w:t>
      </w:r>
    </w:p>
    <w:p>
      <w:pPr>
        <w:widowControl/>
        <w:spacing w:line="800" w:lineRule="exact"/>
        <w:ind w:right="-168" w:rightChars="-80" w:firstLine="1928" w:firstLineChars="600"/>
        <w:jc w:val="left"/>
        <w:rPr>
          <w:rFonts w:ascii="Arial Narrow" w:hAnsi="Arial Narrow" w:cs="Arial Narrow"/>
          <w:b/>
          <w:bCs/>
          <w:kern w:val="32"/>
          <w:sz w:val="32"/>
          <w:szCs w:val="32"/>
          <w:lang w:bidi="he-IL"/>
        </w:rPr>
      </w:pPr>
      <w:r>
        <w:rPr>
          <w:rFonts w:hint="eastAsia" w:ascii="Arial Narrow" w:hAnsi="Arial Narrow" w:cs="Arial Narrow"/>
          <w:b/>
          <w:bCs/>
          <w:kern w:val="32"/>
          <w:sz w:val="32"/>
          <w:lang w:val="en-US" w:eastAsia="zh-CN" w:bidi="he-IL"/>
        </w:rPr>
        <w:t>街道联络工作经费项目</w:t>
      </w:r>
    </w:p>
    <w:p>
      <w:pPr>
        <w:widowControl/>
        <w:spacing w:line="800" w:lineRule="exact"/>
        <w:ind w:right="-168" w:rightChars="-80" w:firstLine="424" w:firstLineChars="132"/>
        <w:jc w:val="left"/>
        <w:rPr>
          <w:rFonts w:hint="eastAsia" w:ascii="黑体" w:hAnsi="宋体" w:eastAsia="黑体" w:cs="黑体"/>
          <w:kern w:val="0"/>
          <w:sz w:val="32"/>
          <w:szCs w:val="32"/>
        </w:rPr>
      </w:pPr>
      <w:r>
        <w:rPr>
          <w:rFonts w:ascii="Arial Narrow" w:hAnsi="Arial Narrow" w:cs="Arial Narrow"/>
          <w:b/>
          <w:bCs/>
          <w:kern w:val="32"/>
          <w:sz w:val="32"/>
          <w:lang w:bidi="he-IL"/>
        </w:rPr>
        <w:t>项目单位：</w:t>
      </w:r>
      <w:r>
        <w:rPr>
          <w:rFonts w:hint="eastAsia" w:ascii="黑体" w:hAnsi="宋体" w:eastAsia="黑体" w:cs="黑体"/>
          <w:kern w:val="0"/>
          <w:sz w:val="32"/>
          <w:szCs w:val="32"/>
        </w:rPr>
        <w:t>中国人民政治协商会议武汉市武昌区委员会办公室</w:t>
      </w:r>
    </w:p>
    <w:p>
      <w:pPr>
        <w:widowControl/>
        <w:spacing w:line="800" w:lineRule="exact"/>
        <w:ind w:right="-168" w:rightChars="-80" w:firstLine="424" w:firstLineChars="132"/>
        <w:jc w:val="left"/>
        <w:rPr>
          <w:rFonts w:hint="eastAsia" w:ascii="黑体" w:hAnsi="宋体" w:eastAsia="黑体" w:cs="黑体"/>
          <w:kern w:val="0"/>
          <w:sz w:val="32"/>
          <w:szCs w:val="32"/>
        </w:rPr>
      </w:pPr>
      <w:r>
        <w:rPr>
          <w:rFonts w:ascii="Arial Narrow" w:hAnsi="Arial Narrow" w:cs="Arial Narrow"/>
          <w:b/>
          <w:bCs/>
          <w:kern w:val="32"/>
          <w:sz w:val="32"/>
          <w:lang w:bidi="he-IL"/>
        </w:rPr>
        <w:t>主管部门：</w:t>
      </w:r>
      <w:r>
        <w:rPr>
          <w:rFonts w:hint="eastAsia" w:ascii="黑体" w:hAnsi="宋体" w:eastAsia="黑体" w:cs="黑体"/>
          <w:kern w:val="0"/>
          <w:sz w:val="32"/>
          <w:szCs w:val="32"/>
        </w:rPr>
        <w:t>中国人民政治协商会议武汉市武昌区委员会办公室</w:t>
      </w:r>
    </w:p>
    <w:p>
      <w:pPr>
        <w:widowControl/>
        <w:spacing w:line="800" w:lineRule="exact"/>
        <w:ind w:right="-168" w:rightChars="-80" w:firstLine="424" w:firstLineChars="132"/>
        <w:jc w:val="left"/>
        <w:rPr>
          <w:rFonts w:ascii="Arial Narrow" w:hAnsi="Arial Narrow" w:cs="Arial Narrow"/>
          <w:b/>
          <w:bCs/>
          <w:kern w:val="32"/>
          <w:sz w:val="32"/>
          <w:lang w:bidi="he-IL"/>
        </w:rPr>
      </w:pPr>
    </w:p>
    <w:p>
      <w:pPr>
        <w:widowControl/>
        <w:spacing w:line="800" w:lineRule="exact"/>
        <w:ind w:right="-168" w:rightChars="-80" w:firstLine="424" w:firstLineChars="132"/>
        <w:jc w:val="left"/>
        <w:rPr>
          <w:rFonts w:ascii="Arial Narrow" w:hAnsi="Arial Narrow" w:cs="Arial Narrow"/>
          <w:b/>
          <w:bCs/>
          <w:kern w:val="32"/>
          <w:sz w:val="32"/>
          <w:lang w:bidi="he-IL"/>
        </w:rPr>
      </w:pPr>
      <w:bookmarkStart w:id="49" w:name="_GoBack"/>
      <w:bookmarkEnd w:id="49"/>
    </w:p>
    <w:p>
      <w:pPr>
        <w:widowControl/>
        <w:spacing w:line="800" w:lineRule="exact"/>
        <w:ind w:right="-168" w:rightChars="-80" w:firstLine="424" w:firstLineChars="132"/>
        <w:jc w:val="left"/>
        <w:rPr>
          <w:rFonts w:ascii="Arial Narrow" w:hAnsi="Arial Narrow" w:cs="Arial Narrow"/>
          <w:b/>
          <w:bCs/>
          <w:kern w:val="32"/>
          <w:sz w:val="32"/>
          <w:lang w:bidi="he-IL"/>
        </w:rPr>
      </w:pPr>
    </w:p>
    <w:p>
      <w:pPr>
        <w:widowControl/>
        <w:spacing w:line="800" w:lineRule="exact"/>
        <w:ind w:right="-168" w:rightChars="-80" w:firstLine="424" w:firstLineChars="132"/>
        <w:jc w:val="left"/>
        <w:rPr>
          <w:rFonts w:ascii="Arial Narrow" w:hAnsi="Arial Narrow" w:cs="Arial Narrow"/>
          <w:b/>
          <w:bCs/>
          <w:kern w:val="32"/>
          <w:sz w:val="32"/>
          <w:lang w:bidi="he-IL"/>
        </w:rPr>
      </w:pPr>
    </w:p>
    <w:p>
      <w:pPr>
        <w:spacing w:line="240" w:lineRule="auto"/>
        <w:jc w:val="both"/>
        <w:rPr>
          <w:rFonts w:hint="eastAsia" w:ascii="Arial Narrow" w:hAnsi="Arial Narrow"/>
          <w:b/>
        </w:rPr>
      </w:pPr>
    </w:p>
    <w:p>
      <w:pPr>
        <w:spacing w:line="240" w:lineRule="auto"/>
        <w:jc w:val="both"/>
        <w:rPr>
          <w:rFonts w:hint="eastAsia" w:ascii="Arial Narrow" w:hAnsi="Arial Narrow"/>
          <w:b/>
        </w:rPr>
      </w:pPr>
    </w:p>
    <w:p>
      <w:pPr>
        <w:pStyle w:val="2"/>
        <w:jc w:val="center"/>
        <w:outlineLvl w:val="0"/>
        <w:rPr>
          <w:rFonts w:hint="eastAsia"/>
          <w:sz w:val="36"/>
          <w:szCs w:val="36"/>
        </w:rPr>
      </w:pPr>
      <w:bookmarkStart w:id="3" w:name="_Toc26201"/>
      <w:r>
        <w:rPr>
          <w:rFonts w:hint="eastAsia"/>
          <w:sz w:val="36"/>
          <w:szCs w:val="36"/>
        </w:rPr>
        <w:t>摘   要</w:t>
      </w:r>
      <w:bookmarkEnd w:id="3"/>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b/>
          <w:bCs/>
          <w:sz w:val="24"/>
          <w:szCs w:val="24"/>
          <w:lang w:val="en-US" w:eastAsia="zh-CN"/>
        </w:rPr>
      </w:pPr>
      <w:r>
        <w:rPr>
          <w:rFonts w:hint="eastAsia"/>
          <w:b/>
          <w:bCs/>
          <w:sz w:val="24"/>
          <w:szCs w:val="24"/>
          <w:lang w:val="en-US" w:eastAsia="zh-CN"/>
        </w:rPr>
        <w:t>一、</w:t>
      </w:r>
      <w:r>
        <w:rPr>
          <w:rFonts w:hint="eastAsia"/>
          <w:b/>
          <w:bCs/>
          <w:sz w:val="24"/>
          <w:szCs w:val="24"/>
        </w:rPr>
        <w:t>项目名称：</w:t>
      </w:r>
      <w:r>
        <w:rPr>
          <w:rFonts w:hint="eastAsia"/>
          <w:b/>
          <w:bCs/>
          <w:sz w:val="24"/>
          <w:szCs w:val="24"/>
          <w:lang w:val="en-US" w:eastAsia="zh-CN"/>
        </w:rPr>
        <w:t>2020年度武昌区政协委员视察、界别组、街道联络委工作经费项目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b/>
          <w:bCs/>
          <w:sz w:val="24"/>
          <w:szCs w:val="24"/>
        </w:rPr>
      </w:pPr>
      <w:r>
        <w:rPr>
          <w:rFonts w:hint="eastAsia"/>
          <w:b/>
          <w:bCs/>
          <w:sz w:val="24"/>
          <w:szCs w:val="24"/>
          <w:lang w:eastAsia="zh-CN"/>
        </w:rPr>
        <w:t>二、</w:t>
      </w:r>
      <w:r>
        <w:rPr>
          <w:rFonts w:hint="eastAsia"/>
          <w:b/>
          <w:bCs/>
          <w:sz w:val="24"/>
          <w:szCs w:val="24"/>
        </w:rPr>
        <w:t>项目金额：</w:t>
      </w:r>
      <w:r>
        <w:rPr>
          <w:rFonts w:hint="eastAsia"/>
          <w:b/>
          <w:bCs/>
          <w:sz w:val="24"/>
          <w:szCs w:val="24"/>
          <w:lang w:val="en-US" w:eastAsia="zh-CN"/>
        </w:rPr>
        <w:t>134.6万元</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b/>
          <w:bCs/>
          <w:sz w:val="24"/>
          <w:szCs w:val="24"/>
        </w:rPr>
      </w:pPr>
      <w:r>
        <w:rPr>
          <w:rFonts w:hint="eastAsia"/>
          <w:b/>
          <w:bCs/>
          <w:sz w:val="24"/>
          <w:szCs w:val="24"/>
        </w:rPr>
        <w:t>三、绩效评价结果</w:t>
      </w:r>
    </w:p>
    <w:tbl>
      <w:tblPr>
        <w:tblStyle w:val="13"/>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2235" w:type="dxa"/>
            <w:tcBorders>
              <w:bottom w:val="single" w:color="008000" w:sz="6" w:space="0"/>
            </w:tcBorders>
            <w:vAlign w:val="center"/>
          </w:tcPr>
          <w:p>
            <w:pPr>
              <w:keepNext w:val="0"/>
              <w:keepLines w:val="0"/>
              <w:pageBreakBefore w:val="0"/>
              <w:kinsoku/>
              <w:wordWrap/>
              <w:overflowPunct/>
              <w:topLinePunct w:val="0"/>
              <w:autoSpaceDE/>
              <w:autoSpaceDN/>
              <w:bidi w:val="0"/>
              <w:adjustRightInd/>
              <w:snapToGrid/>
              <w:spacing w:line="360" w:lineRule="auto"/>
              <w:ind w:right="0" w:rightChars="0" w:firstLine="480"/>
              <w:outlineLvl w:val="9"/>
              <w:rPr>
                <w:rFonts w:hint="eastAsia" w:ascii="楷体" w:hAnsi="楷体" w:eastAsia="楷体" w:cs="楷体"/>
                <w:sz w:val="24"/>
                <w:szCs w:val="24"/>
              </w:rPr>
            </w:pPr>
            <w:r>
              <w:rPr>
                <w:rFonts w:hint="eastAsia" w:ascii="楷体" w:hAnsi="楷体" w:eastAsia="楷体" w:cs="楷体"/>
                <w:sz w:val="24"/>
                <w:szCs w:val="24"/>
              </w:rPr>
              <w:t>评价准则</w:t>
            </w:r>
          </w:p>
        </w:tc>
        <w:tc>
          <w:tcPr>
            <w:tcW w:w="2126" w:type="dxa"/>
            <w:tcBorders>
              <w:bottom w:val="single" w:color="008000" w:sz="6" w:space="0"/>
            </w:tcBorders>
            <w:vAlign w:val="center"/>
          </w:tcPr>
          <w:p>
            <w:pPr>
              <w:keepNext w:val="0"/>
              <w:keepLines w:val="0"/>
              <w:pageBreakBefore w:val="0"/>
              <w:kinsoku/>
              <w:wordWrap/>
              <w:overflowPunct/>
              <w:topLinePunct w:val="0"/>
              <w:autoSpaceDE/>
              <w:autoSpaceDN/>
              <w:bidi w:val="0"/>
              <w:adjustRightInd/>
              <w:snapToGrid/>
              <w:spacing w:line="360" w:lineRule="auto"/>
              <w:ind w:right="0" w:rightChars="0" w:firstLine="480"/>
              <w:outlineLvl w:val="9"/>
              <w:rPr>
                <w:rFonts w:hint="eastAsia" w:ascii="楷体" w:hAnsi="楷体" w:eastAsia="楷体" w:cs="楷体"/>
                <w:sz w:val="24"/>
                <w:szCs w:val="24"/>
              </w:rPr>
            </w:pPr>
            <w:r>
              <w:rPr>
                <w:rFonts w:hint="eastAsia" w:ascii="楷体" w:hAnsi="楷体" w:eastAsia="楷体" w:cs="楷体"/>
                <w:sz w:val="24"/>
                <w:szCs w:val="24"/>
              </w:rPr>
              <w:t>准则分值</w:t>
            </w:r>
          </w:p>
        </w:tc>
        <w:tc>
          <w:tcPr>
            <w:tcW w:w="2268" w:type="dxa"/>
            <w:tcBorders>
              <w:bottom w:val="single" w:color="008000" w:sz="6" w:space="0"/>
            </w:tcBorders>
            <w:vAlign w:val="center"/>
          </w:tcPr>
          <w:p>
            <w:pPr>
              <w:keepNext w:val="0"/>
              <w:keepLines w:val="0"/>
              <w:pageBreakBefore w:val="0"/>
              <w:kinsoku/>
              <w:wordWrap/>
              <w:overflowPunct/>
              <w:topLinePunct w:val="0"/>
              <w:autoSpaceDE/>
              <w:autoSpaceDN/>
              <w:bidi w:val="0"/>
              <w:adjustRightInd/>
              <w:snapToGrid/>
              <w:spacing w:line="360" w:lineRule="auto"/>
              <w:ind w:left="183" w:right="0" w:rightChars="0" w:firstLine="480"/>
              <w:outlineLvl w:val="9"/>
              <w:rPr>
                <w:rFonts w:hint="eastAsia" w:ascii="楷体" w:hAnsi="楷体" w:eastAsia="楷体" w:cs="楷体"/>
                <w:sz w:val="24"/>
                <w:szCs w:val="24"/>
              </w:rPr>
            </w:pPr>
            <w:r>
              <w:rPr>
                <w:rFonts w:hint="eastAsia" w:ascii="楷体" w:hAnsi="楷体" w:eastAsia="楷体" w:cs="楷体"/>
                <w:sz w:val="24"/>
                <w:szCs w:val="24"/>
              </w:rPr>
              <w:t>评价得分</w:t>
            </w:r>
          </w:p>
        </w:tc>
        <w:tc>
          <w:tcPr>
            <w:tcW w:w="2126" w:type="dxa"/>
            <w:tcBorders>
              <w:bottom w:val="single" w:color="008000" w:sz="6" w:space="0"/>
            </w:tcBorders>
            <w:vAlign w:val="center"/>
          </w:tcPr>
          <w:p>
            <w:pPr>
              <w:keepNext w:val="0"/>
              <w:keepLines w:val="0"/>
              <w:pageBreakBefore w:val="0"/>
              <w:kinsoku/>
              <w:wordWrap/>
              <w:overflowPunct/>
              <w:topLinePunct w:val="0"/>
              <w:autoSpaceDE/>
              <w:autoSpaceDN/>
              <w:bidi w:val="0"/>
              <w:adjustRightInd/>
              <w:snapToGrid/>
              <w:spacing w:line="360" w:lineRule="auto"/>
              <w:ind w:right="0" w:rightChars="0" w:firstLine="480"/>
              <w:outlineLvl w:val="9"/>
              <w:rPr>
                <w:rFonts w:hint="eastAsia" w:ascii="楷体" w:hAnsi="楷体" w:eastAsia="楷体" w:cs="楷体"/>
                <w:sz w:val="24"/>
                <w:szCs w:val="24"/>
              </w:rPr>
            </w:pPr>
            <w:r>
              <w:rPr>
                <w:rFonts w:hint="eastAsia" w:ascii="楷体" w:hAnsi="楷体" w:eastAsia="楷体" w:cs="楷体"/>
                <w:sz w:val="24"/>
                <w:szCs w:val="24"/>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2235" w:type="dxa"/>
            <w:vAlign w:val="center"/>
          </w:tcPr>
          <w:p>
            <w:pPr>
              <w:keepNext w:val="0"/>
              <w:keepLines w:val="0"/>
              <w:pageBreakBefore w:val="0"/>
              <w:kinsoku/>
              <w:wordWrap/>
              <w:overflowPunct/>
              <w:topLinePunct w:val="0"/>
              <w:autoSpaceDE/>
              <w:autoSpaceDN/>
              <w:bidi w:val="0"/>
              <w:adjustRightInd/>
              <w:snapToGrid/>
              <w:spacing w:line="360" w:lineRule="auto"/>
              <w:ind w:right="0" w:rightChars="0" w:firstLine="480"/>
              <w:jc w:val="both"/>
              <w:outlineLvl w:val="9"/>
              <w:rPr>
                <w:rFonts w:hint="eastAsia" w:ascii="楷体" w:hAnsi="楷体" w:eastAsia="楷体" w:cs="楷体"/>
                <w:sz w:val="24"/>
                <w:szCs w:val="24"/>
              </w:rPr>
            </w:pPr>
            <w:r>
              <w:rPr>
                <w:rFonts w:hint="eastAsia" w:ascii="楷体" w:hAnsi="楷体" w:eastAsia="楷体" w:cs="楷体"/>
                <w:sz w:val="24"/>
                <w:szCs w:val="24"/>
              </w:rPr>
              <w:t>项目投入</w:t>
            </w:r>
          </w:p>
        </w:tc>
        <w:tc>
          <w:tcPr>
            <w:tcW w:w="2126" w:type="dxa"/>
            <w:vAlign w:val="center"/>
          </w:tcPr>
          <w:p>
            <w:pPr>
              <w:keepNext w:val="0"/>
              <w:keepLines w:val="0"/>
              <w:pageBreakBefore w:val="0"/>
              <w:kinsoku/>
              <w:wordWrap/>
              <w:overflowPunct/>
              <w:topLinePunct w:val="0"/>
              <w:autoSpaceDE/>
              <w:autoSpaceDN/>
              <w:bidi w:val="0"/>
              <w:adjustRightInd/>
              <w:snapToGrid/>
              <w:spacing w:line="360" w:lineRule="auto"/>
              <w:ind w:right="0" w:rightChars="0" w:firstLine="720" w:firstLineChars="300"/>
              <w:jc w:val="both"/>
              <w:outlineLvl w:val="9"/>
              <w:rPr>
                <w:rFonts w:hint="eastAsia" w:ascii="楷体" w:hAnsi="楷体" w:eastAsia="楷体" w:cs="楷体"/>
                <w:sz w:val="24"/>
                <w:szCs w:val="24"/>
              </w:rPr>
            </w:pPr>
            <w:r>
              <w:rPr>
                <w:rFonts w:hint="eastAsia" w:ascii="楷体" w:hAnsi="楷体" w:eastAsia="楷体" w:cs="楷体"/>
                <w:sz w:val="24"/>
                <w:szCs w:val="24"/>
              </w:rPr>
              <w:t>15分</w:t>
            </w:r>
          </w:p>
        </w:tc>
        <w:tc>
          <w:tcPr>
            <w:tcW w:w="2268" w:type="dxa"/>
            <w:vAlign w:val="center"/>
          </w:tcPr>
          <w:p>
            <w:pPr>
              <w:keepNext w:val="0"/>
              <w:keepLines w:val="0"/>
              <w:pageBreakBefore w:val="0"/>
              <w:kinsoku/>
              <w:wordWrap/>
              <w:overflowPunct/>
              <w:topLinePunct w:val="0"/>
              <w:autoSpaceDE/>
              <w:autoSpaceDN/>
              <w:bidi w:val="0"/>
              <w:adjustRightInd/>
              <w:snapToGrid/>
              <w:spacing w:line="360" w:lineRule="auto"/>
              <w:ind w:left="160" w:leftChars="76" w:right="0" w:rightChars="0" w:firstLine="840" w:firstLineChars="350"/>
              <w:jc w:val="left"/>
              <w:outlineLvl w:val="9"/>
              <w:rPr>
                <w:rFonts w:hint="eastAsia" w:ascii="楷体" w:hAnsi="楷体" w:eastAsia="楷体" w:cs="楷体"/>
                <w:sz w:val="24"/>
                <w:szCs w:val="24"/>
              </w:rPr>
            </w:pPr>
            <w:r>
              <w:rPr>
                <w:rFonts w:hint="eastAsia" w:ascii="楷体" w:hAnsi="楷体" w:eastAsia="楷体" w:cs="楷体"/>
                <w:sz w:val="24"/>
                <w:szCs w:val="24"/>
                <w:lang w:val="en-US" w:eastAsia="zh-CN"/>
              </w:rPr>
              <w:t>14</w:t>
            </w:r>
            <w:r>
              <w:rPr>
                <w:rFonts w:hint="eastAsia" w:ascii="楷体" w:hAnsi="楷体" w:eastAsia="楷体" w:cs="楷体"/>
                <w:sz w:val="24"/>
                <w:szCs w:val="24"/>
              </w:rPr>
              <w:t>分</w:t>
            </w:r>
          </w:p>
        </w:tc>
        <w:tc>
          <w:tcPr>
            <w:tcW w:w="2126" w:type="dxa"/>
            <w:vAlign w:val="center"/>
          </w:tcPr>
          <w:p>
            <w:pPr>
              <w:keepNext w:val="0"/>
              <w:keepLines w:val="0"/>
              <w:pageBreakBefore w:val="0"/>
              <w:kinsoku/>
              <w:wordWrap/>
              <w:overflowPunct/>
              <w:topLinePunct w:val="0"/>
              <w:autoSpaceDE/>
              <w:autoSpaceDN/>
              <w:bidi w:val="0"/>
              <w:adjustRightInd/>
              <w:snapToGrid/>
              <w:spacing w:line="360" w:lineRule="auto"/>
              <w:ind w:right="0" w:rightChars="0" w:firstLine="796" w:firstLineChars="332"/>
              <w:jc w:val="both"/>
              <w:outlineLvl w:val="9"/>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2235" w:type="dxa"/>
            <w:vAlign w:val="center"/>
          </w:tcPr>
          <w:p>
            <w:pPr>
              <w:keepNext w:val="0"/>
              <w:keepLines w:val="0"/>
              <w:pageBreakBefore w:val="0"/>
              <w:kinsoku/>
              <w:wordWrap/>
              <w:overflowPunct/>
              <w:topLinePunct w:val="0"/>
              <w:autoSpaceDE/>
              <w:autoSpaceDN/>
              <w:bidi w:val="0"/>
              <w:adjustRightInd/>
              <w:snapToGrid/>
              <w:spacing w:line="360" w:lineRule="auto"/>
              <w:ind w:right="0" w:rightChars="0" w:firstLine="480"/>
              <w:jc w:val="both"/>
              <w:outlineLvl w:val="9"/>
              <w:rPr>
                <w:rFonts w:hint="eastAsia" w:ascii="楷体" w:hAnsi="楷体" w:eastAsia="楷体" w:cs="楷体"/>
                <w:sz w:val="24"/>
                <w:szCs w:val="24"/>
              </w:rPr>
            </w:pPr>
            <w:r>
              <w:rPr>
                <w:rFonts w:hint="eastAsia" w:ascii="楷体" w:hAnsi="楷体" w:eastAsia="楷体" w:cs="楷体"/>
                <w:sz w:val="24"/>
                <w:szCs w:val="24"/>
              </w:rPr>
              <w:t>项目过程</w:t>
            </w:r>
          </w:p>
        </w:tc>
        <w:tc>
          <w:tcPr>
            <w:tcW w:w="2126" w:type="dxa"/>
            <w:vAlign w:val="center"/>
          </w:tcPr>
          <w:p>
            <w:pPr>
              <w:keepNext w:val="0"/>
              <w:keepLines w:val="0"/>
              <w:pageBreakBefore w:val="0"/>
              <w:kinsoku/>
              <w:wordWrap/>
              <w:overflowPunct/>
              <w:topLinePunct w:val="0"/>
              <w:autoSpaceDE/>
              <w:autoSpaceDN/>
              <w:bidi w:val="0"/>
              <w:adjustRightInd/>
              <w:snapToGrid/>
              <w:spacing w:line="360" w:lineRule="auto"/>
              <w:ind w:right="0" w:rightChars="0" w:firstLine="720" w:firstLineChars="300"/>
              <w:jc w:val="both"/>
              <w:outlineLvl w:val="9"/>
              <w:rPr>
                <w:rFonts w:hint="eastAsia" w:ascii="楷体" w:hAnsi="楷体" w:eastAsia="楷体" w:cs="楷体"/>
                <w:sz w:val="24"/>
                <w:szCs w:val="24"/>
              </w:rPr>
            </w:pPr>
            <w:r>
              <w:rPr>
                <w:rFonts w:hint="eastAsia" w:ascii="楷体" w:hAnsi="楷体" w:eastAsia="楷体" w:cs="楷体"/>
                <w:sz w:val="24"/>
                <w:szCs w:val="24"/>
              </w:rPr>
              <w:t>25分</w:t>
            </w:r>
          </w:p>
        </w:tc>
        <w:tc>
          <w:tcPr>
            <w:tcW w:w="2268" w:type="dxa"/>
            <w:vAlign w:val="center"/>
          </w:tcPr>
          <w:p>
            <w:pPr>
              <w:keepNext w:val="0"/>
              <w:keepLines w:val="0"/>
              <w:pageBreakBefore w:val="0"/>
              <w:kinsoku/>
              <w:wordWrap/>
              <w:overflowPunct/>
              <w:topLinePunct w:val="0"/>
              <w:autoSpaceDE/>
              <w:autoSpaceDN/>
              <w:bidi w:val="0"/>
              <w:adjustRightInd/>
              <w:snapToGrid/>
              <w:spacing w:line="360" w:lineRule="auto"/>
              <w:ind w:left="160" w:leftChars="76" w:right="0" w:rightChars="0" w:firstLine="840" w:firstLineChars="350"/>
              <w:jc w:val="left"/>
              <w:outlineLvl w:val="9"/>
              <w:rPr>
                <w:rFonts w:hint="eastAsia" w:ascii="楷体" w:hAnsi="楷体" w:eastAsia="楷体" w:cs="楷体"/>
                <w:sz w:val="24"/>
                <w:szCs w:val="24"/>
              </w:rPr>
            </w:pPr>
            <w:r>
              <w:rPr>
                <w:rFonts w:hint="eastAsia" w:ascii="楷体" w:hAnsi="楷体" w:eastAsia="楷体" w:cs="楷体"/>
                <w:sz w:val="24"/>
                <w:szCs w:val="24"/>
                <w:lang w:val="en-US" w:eastAsia="zh-CN"/>
              </w:rPr>
              <w:t>20</w:t>
            </w:r>
            <w:r>
              <w:rPr>
                <w:rFonts w:hint="eastAsia" w:ascii="楷体" w:hAnsi="楷体" w:eastAsia="楷体" w:cs="楷体"/>
                <w:sz w:val="24"/>
                <w:szCs w:val="24"/>
              </w:rPr>
              <w:t>分</w:t>
            </w:r>
          </w:p>
        </w:tc>
        <w:tc>
          <w:tcPr>
            <w:tcW w:w="2126" w:type="dxa"/>
            <w:vAlign w:val="center"/>
          </w:tcPr>
          <w:p>
            <w:pPr>
              <w:keepNext w:val="0"/>
              <w:keepLines w:val="0"/>
              <w:pageBreakBefore w:val="0"/>
              <w:kinsoku/>
              <w:wordWrap/>
              <w:overflowPunct/>
              <w:topLinePunct w:val="0"/>
              <w:autoSpaceDE/>
              <w:autoSpaceDN/>
              <w:bidi w:val="0"/>
              <w:adjustRightInd/>
              <w:snapToGrid/>
              <w:spacing w:line="360" w:lineRule="auto"/>
              <w:ind w:right="0" w:rightChars="0" w:firstLine="796" w:firstLineChars="332"/>
              <w:jc w:val="both"/>
              <w:outlineLvl w:val="9"/>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2235" w:type="dxa"/>
            <w:vAlign w:val="center"/>
          </w:tcPr>
          <w:p>
            <w:pPr>
              <w:keepNext w:val="0"/>
              <w:keepLines w:val="0"/>
              <w:pageBreakBefore w:val="0"/>
              <w:kinsoku/>
              <w:wordWrap/>
              <w:overflowPunct/>
              <w:topLinePunct w:val="0"/>
              <w:autoSpaceDE/>
              <w:autoSpaceDN/>
              <w:bidi w:val="0"/>
              <w:adjustRightInd/>
              <w:snapToGrid/>
              <w:spacing w:line="360" w:lineRule="auto"/>
              <w:ind w:right="0" w:rightChars="0" w:firstLine="480"/>
              <w:jc w:val="both"/>
              <w:outlineLvl w:val="9"/>
              <w:rPr>
                <w:rFonts w:hint="eastAsia" w:ascii="楷体" w:hAnsi="楷体" w:eastAsia="楷体" w:cs="楷体"/>
                <w:sz w:val="24"/>
                <w:szCs w:val="24"/>
              </w:rPr>
            </w:pPr>
            <w:r>
              <w:rPr>
                <w:rFonts w:hint="eastAsia" w:ascii="楷体" w:hAnsi="楷体" w:eastAsia="楷体" w:cs="楷体"/>
                <w:sz w:val="24"/>
                <w:szCs w:val="24"/>
              </w:rPr>
              <w:t>项目产出</w:t>
            </w:r>
          </w:p>
        </w:tc>
        <w:tc>
          <w:tcPr>
            <w:tcW w:w="2126" w:type="dxa"/>
            <w:vAlign w:val="center"/>
          </w:tcPr>
          <w:p>
            <w:pPr>
              <w:keepNext w:val="0"/>
              <w:keepLines w:val="0"/>
              <w:pageBreakBefore w:val="0"/>
              <w:kinsoku/>
              <w:wordWrap/>
              <w:overflowPunct/>
              <w:topLinePunct w:val="0"/>
              <w:autoSpaceDE/>
              <w:autoSpaceDN/>
              <w:bidi w:val="0"/>
              <w:adjustRightInd/>
              <w:snapToGrid/>
              <w:spacing w:line="360" w:lineRule="auto"/>
              <w:ind w:right="0" w:rightChars="0" w:firstLine="720" w:firstLineChars="300"/>
              <w:jc w:val="both"/>
              <w:textAlignment w:val="top"/>
              <w:outlineLvl w:val="9"/>
              <w:rPr>
                <w:rFonts w:hint="eastAsia" w:ascii="楷体" w:hAnsi="楷体" w:eastAsia="楷体" w:cs="楷体"/>
                <w:sz w:val="24"/>
                <w:szCs w:val="24"/>
              </w:rPr>
            </w:pPr>
            <w:r>
              <w:rPr>
                <w:rFonts w:hint="eastAsia" w:ascii="楷体" w:hAnsi="楷体" w:eastAsia="楷体" w:cs="楷体"/>
                <w:sz w:val="24"/>
                <w:szCs w:val="24"/>
              </w:rPr>
              <w:t>2</w:t>
            </w:r>
            <w:r>
              <w:rPr>
                <w:rFonts w:hint="eastAsia" w:ascii="楷体" w:hAnsi="楷体" w:eastAsia="楷体" w:cs="楷体"/>
                <w:sz w:val="24"/>
                <w:szCs w:val="24"/>
                <w:lang w:val="en-US" w:eastAsia="zh-CN"/>
              </w:rPr>
              <w:t>5</w:t>
            </w:r>
            <w:r>
              <w:rPr>
                <w:rFonts w:hint="eastAsia" w:ascii="楷体" w:hAnsi="楷体" w:eastAsia="楷体" w:cs="楷体"/>
                <w:sz w:val="24"/>
                <w:szCs w:val="24"/>
              </w:rPr>
              <w:t>分</w:t>
            </w:r>
          </w:p>
        </w:tc>
        <w:tc>
          <w:tcPr>
            <w:tcW w:w="2268" w:type="dxa"/>
            <w:vAlign w:val="center"/>
          </w:tcPr>
          <w:p>
            <w:pPr>
              <w:keepNext w:val="0"/>
              <w:keepLines w:val="0"/>
              <w:pageBreakBefore w:val="0"/>
              <w:kinsoku/>
              <w:wordWrap/>
              <w:overflowPunct/>
              <w:topLinePunct w:val="0"/>
              <w:autoSpaceDE/>
              <w:autoSpaceDN/>
              <w:bidi w:val="0"/>
              <w:adjustRightInd/>
              <w:snapToGrid/>
              <w:spacing w:line="360" w:lineRule="auto"/>
              <w:ind w:left="160" w:leftChars="76" w:right="0" w:rightChars="0" w:firstLine="840" w:firstLineChars="350"/>
              <w:jc w:val="left"/>
              <w:textAlignment w:val="top"/>
              <w:outlineLvl w:val="9"/>
              <w:rPr>
                <w:rFonts w:hint="eastAsia" w:ascii="楷体" w:hAnsi="楷体" w:eastAsia="楷体" w:cs="楷体"/>
                <w:sz w:val="24"/>
                <w:szCs w:val="24"/>
              </w:rPr>
            </w:pPr>
            <w:r>
              <w:rPr>
                <w:rFonts w:hint="eastAsia" w:ascii="楷体" w:hAnsi="楷体" w:eastAsia="楷体" w:cs="楷体"/>
                <w:sz w:val="24"/>
                <w:szCs w:val="24"/>
                <w:lang w:val="en-US" w:eastAsia="zh-CN"/>
              </w:rPr>
              <w:t>20</w:t>
            </w:r>
            <w:r>
              <w:rPr>
                <w:rFonts w:hint="eastAsia" w:ascii="楷体" w:hAnsi="楷体" w:eastAsia="楷体" w:cs="楷体"/>
                <w:sz w:val="24"/>
                <w:szCs w:val="24"/>
              </w:rPr>
              <w:t>分</w:t>
            </w:r>
          </w:p>
        </w:tc>
        <w:tc>
          <w:tcPr>
            <w:tcW w:w="2126" w:type="dxa"/>
            <w:vAlign w:val="center"/>
          </w:tcPr>
          <w:p>
            <w:pPr>
              <w:keepNext w:val="0"/>
              <w:keepLines w:val="0"/>
              <w:pageBreakBefore w:val="0"/>
              <w:kinsoku/>
              <w:wordWrap/>
              <w:overflowPunct/>
              <w:topLinePunct w:val="0"/>
              <w:autoSpaceDE/>
              <w:autoSpaceDN/>
              <w:bidi w:val="0"/>
              <w:adjustRightInd/>
              <w:snapToGrid/>
              <w:spacing w:line="360" w:lineRule="auto"/>
              <w:ind w:right="0" w:rightChars="0" w:firstLine="796" w:firstLineChars="332"/>
              <w:jc w:val="both"/>
              <w:textAlignment w:val="top"/>
              <w:outlineLvl w:val="9"/>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2235" w:type="dxa"/>
            <w:tcBorders>
              <w:top w:val="single" w:color="008000" w:sz="6" w:space="0"/>
              <w:bottom w:val="single" w:color="008000" w:sz="6" w:space="0"/>
            </w:tcBorders>
            <w:vAlign w:val="center"/>
          </w:tcPr>
          <w:p>
            <w:pPr>
              <w:keepNext w:val="0"/>
              <w:keepLines w:val="0"/>
              <w:pageBreakBefore w:val="0"/>
              <w:kinsoku/>
              <w:wordWrap/>
              <w:overflowPunct/>
              <w:topLinePunct w:val="0"/>
              <w:autoSpaceDE/>
              <w:autoSpaceDN/>
              <w:bidi w:val="0"/>
              <w:adjustRightInd/>
              <w:snapToGrid/>
              <w:spacing w:line="360" w:lineRule="auto"/>
              <w:ind w:right="0" w:rightChars="0" w:firstLine="480"/>
              <w:jc w:val="both"/>
              <w:outlineLvl w:val="9"/>
              <w:rPr>
                <w:rFonts w:hint="eastAsia" w:ascii="楷体" w:hAnsi="楷体" w:eastAsia="楷体" w:cs="楷体"/>
                <w:sz w:val="24"/>
                <w:szCs w:val="24"/>
              </w:rPr>
            </w:pPr>
            <w:r>
              <w:rPr>
                <w:rFonts w:hint="eastAsia" w:ascii="楷体" w:hAnsi="楷体" w:eastAsia="楷体" w:cs="楷体"/>
                <w:sz w:val="24"/>
                <w:szCs w:val="24"/>
              </w:rPr>
              <w:t>项目效果</w:t>
            </w:r>
          </w:p>
        </w:tc>
        <w:tc>
          <w:tcPr>
            <w:tcW w:w="2126" w:type="dxa"/>
            <w:tcBorders>
              <w:top w:val="single" w:color="008000" w:sz="6" w:space="0"/>
              <w:bottom w:val="single" w:color="008000" w:sz="6" w:space="0"/>
            </w:tcBorders>
            <w:vAlign w:val="center"/>
          </w:tcPr>
          <w:p>
            <w:pPr>
              <w:keepNext w:val="0"/>
              <w:keepLines w:val="0"/>
              <w:pageBreakBefore w:val="0"/>
              <w:kinsoku/>
              <w:wordWrap/>
              <w:overflowPunct/>
              <w:topLinePunct w:val="0"/>
              <w:autoSpaceDE/>
              <w:autoSpaceDN/>
              <w:bidi w:val="0"/>
              <w:adjustRightInd/>
              <w:snapToGrid/>
              <w:spacing w:line="360" w:lineRule="auto"/>
              <w:ind w:right="0" w:rightChars="0" w:firstLine="720" w:firstLineChars="300"/>
              <w:jc w:val="both"/>
              <w:outlineLvl w:val="9"/>
              <w:rPr>
                <w:rFonts w:hint="eastAsia" w:ascii="楷体" w:hAnsi="楷体" w:eastAsia="楷体" w:cs="楷体"/>
                <w:sz w:val="24"/>
                <w:szCs w:val="24"/>
              </w:rPr>
            </w:pPr>
            <w:r>
              <w:rPr>
                <w:rFonts w:hint="eastAsia" w:ascii="楷体" w:hAnsi="楷体" w:eastAsia="楷体" w:cs="楷体"/>
                <w:sz w:val="24"/>
                <w:szCs w:val="24"/>
                <w:lang w:val="en-US" w:eastAsia="zh-CN"/>
              </w:rPr>
              <w:t>35</w:t>
            </w:r>
            <w:r>
              <w:rPr>
                <w:rFonts w:hint="eastAsia" w:ascii="楷体" w:hAnsi="楷体" w:eastAsia="楷体" w:cs="楷体"/>
                <w:sz w:val="24"/>
                <w:szCs w:val="24"/>
              </w:rPr>
              <w:t>分</w:t>
            </w:r>
          </w:p>
        </w:tc>
        <w:tc>
          <w:tcPr>
            <w:tcW w:w="2268" w:type="dxa"/>
            <w:tcBorders>
              <w:top w:val="single" w:color="008000" w:sz="6" w:space="0"/>
              <w:bottom w:val="single" w:color="008000" w:sz="6" w:space="0"/>
            </w:tcBorders>
            <w:vAlign w:val="center"/>
          </w:tcPr>
          <w:p>
            <w:pPr>
              <w:keepNext w:val="0"/>
              <w:keepLines w:val="0"/>
              <w:pageBreakBefore w:val="0"/>
              <w:kinsoku/>
              <w:wordWrap/>
              <w:overflowPunct/>
              <w:topLinePunct w:val="0"/>
              <w:autoSpaceDE/>
              <w:autoSpaceDN/>
              <w:bidi w:val="0"/>
              <w:adjustRightInd/>
              <w:snapToGrid/>
              <w:spacing w:line="360" w:lineRule="auto"/>
              <w:ind w:left="160" w:leftChars="76" w:right="0" w:rightChars="0" w:firstLine="840" w:firstLineChars="350"/>
              <w:jc w:val="left"/>
              <w:outlineLvl w:val="9"/>
              <w:rPr>
                <w:rFonts w:hint="eastAsia" w:ascii="楷体" w:hAnsi="楷体" w:eastAsia="楷体" w:cs="楷体"/>
                <w:sz w:val="24"/>
                <w:szCs w:val="24"/>
              </w:rPr>
            </w:pPr>
            <w:r>
              <w:rPr>
                <w:rFonts w:hint="eastAsia" w:ascii="楷体" w:hAnsi="楷体" w:eastAsia="楷体" w:cs="楷体"/>
                <w:sz w:val="24"/>
                <w:szCs w:val="24"/>
                <w:lang w:val="en-US" w:eastAsia="zh-CN"/>
              </w:rPr>
              <w:t>30</w:t>
            </w:r>
            <w:r>
              <w:rPr>
                <w:rFonts w:hint="eastAsia" w:ascii="楷体" w:hAnsi="楷体" w:eastAsia="楷体" w:cs="楷体"/>
                <w:sz w:val="24"/>
                <w:szCs w:val="24"/>
              </w:rPr>
              <w:t>分</w:t>
            </w:r>
          </w:p>
        </w:tc>
        <w:tc>
          <w:tcPr>
            <w:tcW w:w="2126" w:type="dxa"/>
            <w:tcBorders>
              <w:top w:val="single" w:color="008000" w:sz="6" w:space="0"/>
              <w:bottom w:val="single" w:color="008000" w:sz="6" w:space="0"/>
            </w:tcBorders>
            <w:vAlign w:val="center"/>
          </w:tcPr>
          <w:p>
            <w:pPr>
              <w:keepNext w:val="0"/>
              <w:keepLines w:val="0"/>
              <w:pageBreakBefore w:val="0"/>
              <w:kinsoku/>
              <w:wordWrap/>
              <w:overflowPunct/>
              <w:topLinePunct w:val="0"/>
              <w:autoSpaceDE/>
              <w:autoSpaceDN/>
              <w:bidi w:val="0"/>
              <w:adjustRightInd/>
              <w:snapToGrid/>
              <w:spacing w:line="360" w:lineRule="auto"/>
              <w:ind w:right="0" w:rightChars="0" w:firstLine="796" w:firstLineChars="332"/>
              <w:jc w:val="both"/>
              <w:outlineLvl w:val="9"/>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2235" w:type="dxa"/>
            <w:tcBorders>
              <w:top w:val="single" w:color="008000" w:sz="6" w:space="0"/>
            </w:tcBorders>
            <w:shd w:val="clear" w:color="auto" w:fill="FFFF0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both"/>
              <w:textAlignment w:val="center"/>
              <w:outlineLvl w:val="9"/>
              <w:rPr>
                <w:rFonts w:hint="eastAsia" w:ascii="楷体" w:hAnsi="楷体" w:eastAsia="楷体" w:cs="楷体"/>
                <w:b/>
                <w:bCs/>
                <w:sz w:val="24"/>
                <w:szCs w:val="24"/>
              </w:rPr>
            </w:pPr>
            <w:r>
              <w:rPr>
                <w:rFonts w:hint="eastAsia" w:ascii="楷体" w:hAnsi="楷体" w:eastAsia="楷体" w:cs="楷体"/>
                <w:b/>
                <w:bCs/>
                <w:i w:val="0"/>
                <w:color w:val="000000"/>
                <w:kern w:val="0"/>
                <w:sz w:val="24"/>
                <w:szCs w:val="24"/>
                <w:u w:val="none"/>
                <w:lang w:val="en-US" w:eastAsia="zh-CN" w:bidi="ar"/>
              </w:rPr>
              <w:t xml:space="preserve">    综合绩效</w:t>
            </w:r>
          </w:p>
        </w:tc>
        <w:tc>
          <w:tcPr>
            <w:tcW w:w="2126" w:type="dxa"/>
            <w:tcBorders>
              <w:top w:val="single" w:color="008000" w:sz="6" w:space="0"/>
            </w:tcBorders>
            <w:shd w:val="clear" w:color="auto" w:fill="FFFF0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both"/>
              <w:textAlignment w:val="center"/>
              <w:outlineLvl w:val="9"/>
              <w:rPr>
                <w:rFonts w:hint="eastAsia" w:ascii="楷体" w:hAnsi="楷体" w:eastAsia="楷体" w:cs="楷体"/>
                <w:b/>
                <w:bCs/>
                <w:sz w:val="24"/>
                <w:szCs w:val="24"/>
              </w:rPr>
            </w:pPr>
            <w:r>
              <w:rPr>
                <w:rFonts w:hint="eastAsia" w:ascii="楷体" w:hAnsi="楷体" w:eastAsia="楷体" w:cs="楷体"/>
                <w:b/>
                <w:bCs/>
                <w:i w:val="0"/>
                <w:color w:val="000000"/>
                <w:kern w:val="0"/>
                <w:sz w:val="24"/>
                <w:szCs w:val="24"/>
                <w:u w:val="none"/>
                <w:lang w:val="en-US" w:eastAsia="zh-CN" w:bidi="ar"/>
              </w:rPr>
              <w:t xml:space="preserve">      100分</w:t>
            </w:r>
          </w:p>
        </w:tc>
        <w:tc>
          <w:tcPr>
            <w:tcW w:w="2268" w:type="dxa"/>
            <w:tcBorders>
              <w:top w:val="single" w:color="008000" w:sz="6" w:space="0"/>
            </w:tcBorders>
            <w:shd w:val="clear" w:color="auto" w:fill="FFFF0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firstLine="964" w:firstLineChars="400"/>
              <w:jc w:val="left"/>
              <w:textAlignment w:val="center"/>
              <w:outlineLvl w:val="9"/>
              <w:rPr>
                <w:rFonts w:hint="eastAsia" w:ascii="楷体" w:hAnsi="楷体" w:eastAsia="楷体" w:cs="楷体"/>
                <w:b/>
                <w:bCs/>
                <w:sz w:val="24"/>
                <w:szCs w:val="24"/>
              </w:rPr>
            </w:pPr>
            <w:r>
              <w:rPr>
                <w:rFonts w:hint="eastAsia" w:ascii="楷体" w:hAnsi="楷体" w:eastAsia="楷体" w:cs="楷体"/>
                <w:b/>
                <w:bCs/>
                <w:i w:val="0"/>
                <w:color w:val="000000"/>
                <w:kern w:val="0"/>
                <w:sz w:val="24"/>
                <w:szCs w:val="24"/>
                <w:u w:val="none"/>
                <w:lang w:val="en-US" w:eastAsia="zh-CN" w:bidi="ar"/>
              </w:rPr>
              <w:t>84分</w:t>
            </w:r>
          </w:p>
        </w:tc>
        <w:tc>
          <w:tcPr>
            <w:tcW w:w="2126" w:type="dxa"/>
            <w:tcBorders>
              <w:top w:val="single" w:color="008000" w:sz="6" w:space="0"/>
            </w:tcBorders>
            <w:shd w:val="clear" w:color="auto" w:fill="FFFF0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outlineLvl w:val="9"/>
              <w:rPr>
                <w:rFonts w:hint="eastAsia" w:ascii="楷体" w:hAnsi="楷体" w:eastAsia="楷体" w:cs="楷体"/>
                <w:b/>
                <w:bCs/>
                <w:sz w:val="24"/>
                <w:szCs w:val="24"/>
                <w:lang w:val="en-US" w:eastAsia="zh-CN"/>
              </w:rPr>
            </w:pPr>
            <w:r>
              <w:rPr>
                <w:rFonts w:hint="eastAsia" w:ascii="楷体" w:hAnsi="楷体" w:eastAsia="楷体" w:cs="楷体"/>
                <w:b/>
                <w:bCs/>
                <w:i w:val="0"/>
                <w:color w:val="000000"/>
                <w:kern w:val="0"/>
                <w:sz w:val="24"/>
                <w:szCs w:val="24"/>
                <w:u w:val="none"/>
                <w:lang w:val="en-US" w:eastAsia="zh-CN" w:bidi="ar"/>
              </w:rPr>
              <w:t>良</w:t>
            </w:r>
          </w:p>
        </w:tc>
      </w:tr>
    </w:tbl>
    <w:p>
      <w:pPr>
        <w:pStyle w:val="16"/>
        <w:keepNext w:val="0"/>
        <w:keepLines w:val="0"/>
        <w:pageBreakBefore w:val="0"/>
        <w:widowControl w:val="0"/>
        <w:shd w:val="clear" w:color="auto" w:fill="auto"/>
        <w:tabs>
          <w:tab w:val="center" w:pos="4762"/>
        </w:tabs>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sz w:val="24"/>
          <w:szCs w:val="24"/>
          <w:lang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四</w:t>
      </w:r>
      <w:r>
        <w:rPr>
          <w:rFonts w:hint="eastAsia" w:ascii="宋体" w:hAnsi="宋体" w:eastAsia="宋体" w:cs="宋体"/>
          <w:b/>
          <w:sz w:val="24"/>
          <w:szCs w:val="24"/>
          <w:lang w:eastAsia="zh-CN"/>
        </w:rPr>
        <w:t>、主要评价方法概述</w:t>
      </w:r>
    </w:p>
    <w:p>
      <w:pPr>
        <w:pStyle w:val="1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200" w:right="0" w:righ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本次绩效评价方法采用</w:t>
      </w:r>
      <w:r>
        <w:rPr>
          <w:rFonts w:hint="eastAsia" w:ascii="宋体" w:hAnsi="宋体" w:eastAsia="宋体" w:cs="宋体"/>
          <w:color w:val="auto"/>
          <w:sz w:val="24"/>
          <w:szCs w:val="24"/>
          <w:highlight w:val="none"/>
        </w:rPr>
        <w:t>绩效综合评分</w:t>
      </w:r>
      <w:r>
        <w:rPr>
          <w:rFonts w:hint="eastAsia" w:ascii="宋体" w:hAnsi="宋体" w:eastAsia="宋体" w:cs="宋体"/>
          <w:color w:val="auto"/>
          <w:sz w:val="24"/>
          <w:szCs w:val="24"/>
          <w:highlight w:val="none"/>
          <w:lang w:eastAsia="zh-CN"/>
        </w:rPr>
        <w:t>法；</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kern w:val="0"/>
          <w:sz w:val="24"/>
          <w:szCs w:val="24"/>
        </w:rPr>
        <w:t>（1）</w:t>
      </w:r>
      <w:r>
        <w:rPr>
          <w:rFonts w:hint="eastAsia" w:ascii="宋体" w:hAnsi="宋体" w:eastAsia="宋体" w:cs="宋体"/>
          <w:color w:val="auto"/>
          <w:sz w:val="24"/>
          <w:szCs w:val="24"/>
          <w:highlight w:val="none"/>
        </w:rPr>
        <w:t>综合评价结果计算方法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综合评价得分=∑（单位指标评分值×指标权重）</w:t>
      </w:r>
    </w:p>
    <w:p>
      <w:pPr>
        <w:pStyle w:val="16"/>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（2）单项指标</w:t>
      </w:r>
      <w:r>
        <w:rPr>
          <w:rFonts w:hint="eastAsia" w:ascii="宋体" w:hAnsi="宋体" w:cs="宋体"/>
          <w:color w:val="auto"/>
          <w:sz w:val="24"/>
          <w:szCs w:val="24"/>
          <w:highlight w:val="none"/>
          <w:lang w:eastAsia="zh-CN"/>
        </w:rPr>
        <w:t>评</w:t>
      </w:r>
      <w:r>
        <w:rPr>
          <w:rFonts w:hint="eastAsia" w:ascii="宋体" w:hAnsi="宋体" w:eastAsia="宋体" w:cs="宋体"/>
          <w:color w:val="auto"/>
          <w:sz w:val="24"/>
          <w:szCs w:val="24"/>
          <w:highlight w:val="none"/>
        </w:rPr>
        <w:t>分方法</w:t>
      </w:r>
    </w:p>
    <w:p>
      <w:pPr>
        <w:pStyle w:val="16"/>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本次评价指标中，既有定性指标又有定量指标，各类指标因考核的内容不同和标准值的存在与否，情况差异较大。因此单项指标计算中分别采用了不同方法。</w:t>
      </w:r>
    </w:p>
    <w:p>
      <w:pPr>
        <w:pStyle w:val="16"/>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①简单评分法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对能够取得标准值的指标，采用简单评分法，即：</w:t>
      </w:r>
    </w:p>
    <w:p>
      <w:pPr>
        <w:pStyle w:val="16"/>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8480" behindDoc="0" locked="0" layoutInCell="1" allowOverlap="1">
                <wp:simplePos x="0" y="0"/>
                <wp:positionH relativeFrom="column">
                  <wp:posOffset>3336290</wp:posOffset>
                </wp:positionH>
                <wp:positionV relativeFrom="paragraph">
                  <wp:posOffset>46990</wp:posOffset>
                </wp:positionV>
                <wp:extent cx="2738120" cy="274320"/>
                <wp:effectExtent l="0" t="0" r="5080" b="11430"/>
                <wp:wrapNone/>
                <wp:docPr id="10" name="文本框 10"/>
                <wp:cNvGraphicFramePr/>
                <a:graphic xmlns:a="http://schemas.openxmlformats.org/drawingml/2006/main">
                  <a:graphicData uri="http://schemas.microsoft.com/office/word/2010/wordprocessingShape">
                    <wps:wsp>
                      <wps:cNvSpPr txBox="1"/>
                      <wps:spPr>
                        <a:xfrm>
                          <a:off x="0" y="0"/>
                          <a:ext cx="2738120" cy="274320"/>
                        </a:xfrm>
                        <a:prstGeom prst="rect">
                          <a:avLst/>
                        </a:prstGeom>
                        <a:solidFill>
                          <a:srgbClr val="FFFFFF"/>
                        </a:solidFill>
                        <a:ln w="9525">
                          <a:noFill/>
                        </a:ln>
                      </wps:spPr>
                      <wps:txbx>
                        <w:txbxContent>
                          <w:p>
                            <w:pPr>
                              <w:rPr>
                                <w:rFonts w:hAnsi="宋体"/>
                                <w:sz w:val="24"/>
                                <w:szCs w:val="24"/>
                              </w:rPr>
                            </w:pPr>
                            <w:r>
                              <w:rPr>
                                <w:rFonts w:hint="eastAsia" w:hAnsi="宋体"/>
                                <w:sz w:val="24"/>
                                <w:szCs w:val="24"/>
                              </w:rPr>
                              <w:t>指标实际</w:t>
                            </w:r>
                            <w:r>
                              <w:rPr>
                                <w:rFonts w:hAnsi="宋体"/>
                                <w:sz w:val="24"/>
                                <w:szCs w:val="24"/>
                              </w:rPr>
                              <w:t>值</w:t>
                            </w:r>
                            <w:r>
                              <w:rPr>
                                <w:rFonts w:hint="eastAsia" w:ascii="宋体" w:hAnsi="宋体"/>
                                <w:sz w:val="24"/>
                                <w:szCs w:val="24"/>
                              </w:rPr>
                              <w:t>≥指标</w:t>
                            </w:r>
                            <w:r>
                              <w:rPr>
                                <w:rFonts w:hint="eastAsia" w:hAnsi="宋体"/>
                                <w:sz w:val="24"/>
                                <w:szCs w:val="24"/>
                              </w:rPr>
                              <w:t>标准</w:t>
                            </w:r>
                            <w:r>
                              <w:rPr>
                                <w:rFonts w:hAnsi="宋体"/>
                                <w:sz w:val="24"/>
                                <w:szCs w:val="24"/>
                              </w:rPr>
                              <w:t>值×</w:t>
                            </w:r>
                            <w:r>
                              <w:rPr>
                                <w:rFonts w:hint="eastAsia" w:hAnsi="宋体"/>
                                <w:sz w:val="24"/>
                                <w:szCs w:val="24"/>
                                <w:lang w:val="en-US" w:eastAsia="zh-CN"/>
                              </w:rPr>
                              <w:t>100</w:t>
                            </w:r>
                          </w:p>
                        </w:txbxContent>
                      </wps:txbx>
                      <wps:bodyPr upright="1"/>
                    </wps:wsp>
                  </a:graphicData>
                </a:graphic>
              </wp:anchor>
            </w:drawing>
          </mc:Choice>
          <mc:Fallback>
            <w:pict>
              <v:shape id="_x0000_s1026" o:spid="_x0000_s1026" o:spt="202" type="#_x0000_t202" style="position:absolute;left:0pt;margin-left:262.7pt;margin-top:3.7pt;height:21.6pt;width:215.6pt;z-index:251668480;mso-width-relative:page;mso-height-relative:page;" fillcolor="#FFFFFF" filled="t" stroked="f" coordsize="21600,21600" o:gfxdata="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3e9gtYAAAAIAQAADwAAAAAAAAABACAAAAAiAAAAZHJzL2Rvd25y&#10;ZXYueG1sUEsBAhQAFAAAAAgAh07iQM0T2pDHAQAAggMAAA4AAAAAAAAAAQAgAAAAJQEAAGRycy9l&#10;Mm9Eb2MueG1sUEsFBgAAAAAGAAYAWQEAAF4FAAAAAA==&#10;">
                <v:fill on="t" focussize="0,0"/>
                <v:stroke on="f"/>
                <v:imagedata o:title=""/>
                <o:lock v:ext="edit" aspectratio="f"/>
                <v:textbox>
                  <w:txbxContent>
                    <w:p>
                      <w:pPr>
                        <w:rPr>
                          <w:rFonts w:hAnsi="宋体"/>
                          <w:sz w:val="24"/>
                          <w:szCs w:val="24"/>
                        </w:rPr>
                      </w:pPr>
                      <w:r>
                        <w:rPr>
                          <w:rFonts w:hint="eastAsia" w:hAnsi="宋体"/>
                          <w:sz w:val="24"/>
                          <w:szCs w:val="24"/>
                        </w:rPr>
                        <w:t>指标实际</w:t>
                      </w:r>
                      <w:r>
                        <w:rPr>
                          <w:rFonts w:hAnsi="宋体"/>
                          <w:sz w:val="24"/>
                          <w:szCs w:val="24"/>
                        </w:rPr>
                        <w:t>值</w:t>
                      </w:r>
                      <w:r>
                        <w:rPr>
                          <w:rFonts w:hint="eastAsia" w:ascii="宋体" w:hAnsi="宋体"/>
                          <w:sz w:val="24"/>
                          <w:szCs w:val="24"/>
                        </w:rPr>
                        <w:t>≥指标</w:t>
                      </w:r>
                      <w:r>
                        <w:rPr>
                          <w:rFonts w:hint="eastAsia" w:hAnsi="宋体"/>
                          <w:sz w:val="24"/>
                          <w:szCs w:val="24"/>
                        </w:rPr>
                        <w:t>标准</w:t>
                      </w:r>
                      <w:r>
                        <w:rPr>
                          <w:rFonts w:hAnsi="宋体"/>
                          <w:sz w:val="24"/>
                          <w:szCs w:val="24"/>
                        </w:rPr>
                        <w:t>值×</w:t>
                      </w:r>
                      <w:r>
                        <w:rPr>
                          <w:rFonts w:hint="eastAsia" w:hAnsi="宋体"/>
                          <w:sz w:val="24"/>
                          <w:szCs w:val="24"/>
                          <w:lang w:val="en-US" w:eastAsia="zh-CN"/>
                        </w:rPr>
                        <w:t>100</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7456" behindDoc="0" locked="0" layoutInCell="1" allowOverlap="1">
                <wp:simplePos x="0" y="0"/>
                <wp:positionH relativeFrom="column">
                  <wp:posOffset>3355340</wp:posOffset>
                </wp:positionH>
                <wp:positionV relativeFrom="paragraph">
                  <wp:posOffset>305435</wp:posOffset>
                </wp:positionV>
                <wp:extent cx="2694305" cy="302260"/>
                <wp:effectExtent l="0" t="0" r="10795" b="2540"/>
                <wp:wrapNone/>
                <wp:docPr id="7" name="文本框 7"/>
                <wp:cNvGraphicFramePr/>
                <a:graphic xmlns:a="http://schemas.openxmlformats.org/drawingml/2006/main">
                  <a:graphicData uri="http://schemas.microsoft.com/office/word/2010/wordprocessingShape">
                    <wps:wsp>
                      <wps:cNvSpPr txBox="1"/>
                      <wps:spPr>
                        <a:xfrm>
                          <a:off x="0" y="0"/>
                          <a:ext cx="2694305" cy="302260"/>
                        </a:xfrm>
                        <a:prstGeom prst="rect">
                          <a:avLst/>
                        </a:prstGeom>
                        <a:solidFill>
                          <a:srgbClr val="FFFFFF"/>
                        </a:solidFill>
                        <a:ln w="9525">
                          <a:noFill/>
                        </a:ln>
                      </wps:spPr>
                      <wps:txbx>
                        <w:txbxContent>
                          <w:p>
                            <w:pPr>
                              <w:rPr>
                                <w:rFonts w:hint="eastAsia" w:hAnsi="宋体"/>
                                <w:sz w:val="24"/>
                                <w:szCs w:val="24"/>
                                <w:lang w:val="en-US"/>
                              </w:rPr>
                            </w:pPr>
                            <w:r>
                              <w:rPr>
                                <w:rFonts w:hint="eastAsia" w:hAnsi="宋体"/>
                                <w:sz w:val="24"/>
                                <w:szCs w:val="24"/>
                              </w:rPr>
                              <w:t>指标实际值</w:t>
                            </w:r>
                            <w:r>
                              <w:rPr>
                                <w:rFonts w:hint="eastAsia" w:ascii="宋体" w:hAnsi="宋体" w:eastAsia="宋体" w:cs="宋体"/>
                                <w:sz w:val="24"/>
                                <w:szCs w:val="24"/>
                              </w:rPr>
                              <w:t>≤</w:t>
                            </w:r>
                            <w:r>
                              <w:rPr>
                                <w:rFonts w:hint="eastAsia" w:hAnsi="宋体"/>
                                <w:sz w:val="24"/>
                                <w:szCs w:val="24"/>
                              </w:rPr>
                              <w:t>指标标准值×</w:t>
                            </w:r>
                            <w:r>
                              <w:rPr>
                                <w:rFonts w:hint="eastAsia" w:hAnsi="宋体"/>
                                <w:sz w:val="24"/>
                                <w:szCs w:val="24"/>
                                <w:lang w:val="en-US" w:eastAsia="zh-CN"/>
                              </w:rPr>
                              <w:t>100</w:t>
                            </w:r>
                          </w:p>
                        </w:txbxContent>
                      </wps:txbx>
                      <wps:bodyPr upright="1"/>
                    </wps:wsp>
                  </a:graphicData>
                </a:graphic>
              </wp:anchor>
            </w:drawing>
          </mc:Choice>
          <mc:Fallback>
            <w:pict>
              <v:shape id="_x0000_s1026" o:spid="_x0000_s1026" o:spt="202" type="#_x0000_t202" style="position:absolute;left:0pt;margin-left:264.2pt;margin-top:24.05pt;height:23.8pt;width:212.15pt;z-index:251667456;mso-width-relative:page;mso-height-relative:page;" fillcolor="#FFFFFF" filled="t" stroked="f" coordsize="21600,21600" o:gfxdata="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Wm7zF1wAAAAkBAAAPAAAAAAAAAAEAIAAAACIAAABkcnMv&#10;ZG93bnJldi54bWxQSwECFAAUAAAACACHTuJABiP04ssBAACAAwAADgAAAAAAAAABACAAAAAmAQAA&#10;ZHJzL2Uyb0RvYy54bWxQSwUGAAAAAAYABgBZAQAAYwUAAAAA&#10;">
                <v:fill on="t" focussize="0,0"/>
                <v:stroke on="f"/>
                <v:imagedata o:title=""/>
                <o:lock v:ext="edit" aspectratio="f"/>
                <v:textbox>
                  <w:txbxContent>
                    <w:p>
                      <w:pPr>
                        <w:rPr>
                          <w:rFonts w:hint="eastAsia" w:hAnsi="宋体"/>
                          <w:sz w:val="24"/>
                          <w:szCs w:val="24"/>
                          <w:lang w:val="en-US"/>
                        </w:rPr>
                      </w:pPr>
                      <w:r>
                        <w:rPr>
                          <w:rFonts w:hint="eastAsia" w:hAnsi="宋体"/>
                          <w:sz w:val="24"/>
                          <w:szCs w:val="24"/>
                        </w:rPr>
                        <w:t>指标实际值</w:t>
                      </w:r>
                      <w:r>
                        <w:rPr>
                          <w:rFonts w:hint="eastAsia" w:ascii="宋体" w:hAnsi="宋体" w:eastAsia="宋体" w:cs="宋体"/>
                          <w:sz w:val="24"/>
                          <w:szCs w:val="24"/>
                        </w:rPr>
                        <w:t>≤</w:t>
                      </w:r>
                      <w:r>
                        <w:rPr>
                          <w:rFonts w:hint="eastAsia" w:hAnsi="宋体"/>
                          <w:sz w:val="24"/>
                          <w:szCs w:val="24"/>
                        </w:rPr>
                        <w:t>指标标准值×</w:t>
                      </w:r>
                      <w:r>
                        <w:rPr>
                          <w:rFonts w:hint="eastAsia" w:hAnsi="宋体"/>
                          <w:sz w:val="24"/>
                          <w:szCs w:val="24"/>
                          <w:lang w:val="en-US" w:eastAsia="zh-CN"/>
                        </w:rPr>
                        <w:t>100</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6432" behindDoc="0" locked="0" layoutInCell="1" allowOverlap="1">
                <wp:simplePos x="0" y="0"/>
                <wp:positionH relativeFrom="column">
                  <wp:posOffset>1689100</wp:posOffset>
                </wp:positionH>
                <wp:positionV relativeFrom="paragraph">
                  <wp:posOffset>308610</wp:posOffset>
                </wp:positionV>
                <wp:extent cx="1542415" cy="266065"/>
                <wp:effectExtent l="0" t="0" r="635" b="635"/>
                <wp:wrapNone/>
                <wp:docPr id="8" name="文本框 8"/>
                <wp:cNvGraphicFramePr/>
                <a:graphic xmlns:a="http://schemas.openxmlformats.org/drawingml/2006/main">
                  <a:graphicData uri="http://schemas.microsoft.com/office/word/2010/wordprocessingShape">
                    <wps:wsp>
                      <wps:cNvSpPr txBox="1"/>
                      <wps:spPr>
                        <a:xfrm>
                          <a:off x="0" y="0"/>
                          <a:ext cx="1542415" cy="266065"/>
                        </a:xfrm>
                        <a:prstGeom prst="rect">
                          <a:avLst/>
                        </a:prstGeom>
                        <a:solidFill>
                          <a:srgbClr val="FFFFFF"/>
                        </a:solidFill>
                        <a:ln w="9525">
                          <a:noFill/>
                        </a:ln>
                      </wps:spPr>
                      <wps:txbx>
                        <w:txbxContent>
                          <w:p>
                            <w:pPr>
                              <w:rPr>
                                <w:rFonts w:hAnsi="宋体"/>
                                <w:sz w:val="24"/>
                                <w:szCs w:val="24"/>
                              </w:rPr>
                            </w:pPr>
                            <w:r>
                              <w:rPr>
                                <w:rFonts w:hint="eastAsia" w:hAnsi="宋体"/>
                                <w:sz w:val="24"/>
                                <w:szCs w:val="24"/>
                              </w:rPr>
                              <w:t>实际</w:t>
                            </w:r>
                            <w:r>
                              <w:rPr>
                                <w:rFonts w:hAnsi="宋体"/>
                                <w:sz w:val="24"/>
                                <w:szCs w:val="24"/>
                              </w:rPr>
                              <w:t>值</w:t>
                            </w:r>
                            <w:r>
                              <w:rPr>
                                <w:rFonts w:hint="eastAsia" w:hAnsi="宋体"/>
                                <w:sz w:val="24"/>
                                <w:szCs w:val="24"/>
                              </w:rPr>
                              <w:t>/标准</w:t>
                            </w:r>
                            <w:r>
                              <w:rPr>
                                <w:rFonts w:hAnsi="宋体"/>
                                <w:sz w:val="24"/>
                                <w:szCs w:val="24"/>
                              </w:rPr>
                              <w:t>值×</w:t>
                            </w:r>
                            <w:r>
                              <w:rPr>
                                <w:rFonts w:hint="eastAsia" w:hAnsi="宋体"/>
                                <w:sz w:val="24"/>
                                <w:szCs w:val="24"/>
                                <w:lang w:val="en-US" w:eastAsia="zh-CN"/>
                              </w:rPr>
                              <w:t>100</w:t>
                            </w:r>
                          </w:p>
                        </w:txbxContent>
                      </wps:txbx>
                      <wps:bodyPr upright="1"/>
                    </wps:wsp>
                  </a:graphicData>
                </a:graphic>
              </wp:anchor>
            </w:drawing>
          </mc:Choice>
          <mc:Fallback>
            <w:pict>
              <v:shape id="_x0000_s1026" o:spid="_x0000_s1026" o:spt="202" type="#_x0000_t202" style="position:absolute;left:0pt;margin-left:133pt;margin-top:24.3pt;height:20.95pt;width:121.45pt;z-index:251666432;mso-width-relative:page;mso-height-relative:page;" fillcolor="#FFFFFF" filled="t" stroked="f" coordsize="21600,21600" o:gfxdata="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KM0oYdgAAAAJAQAADwAAAAAAAAABACAAAAAiAAAAZHJzL2Rv&#10;d25yZXYueG1sUEsBAhQAFAAAAAgAh07iQPdr01vIAQAAgAMAAA4AAAAAAAAAAQAgAAAAJwEAAGRy&#10;cy9lMm9Eb2MueG1sUEsFBgAAAAAGAAYAWQEAAGEFAAAAAA==&#10;">
                <v:fill on="t" focussize="0,0"/>
                <v:stroke on="f"/>
                <v:imagedata o:title=""/>
                <o:lock v:ext="edit" aspectratio="f"/>
                <v:textbox>
                  <w:txbxContent>
                    <w:p>
                      <w:pPr>
                        <w:rPr>
                          <w:rFonts w:hAnsi="宋体"/>
                          <w:sz w:val="24"/>
                          <w:szCs w:val="24"/>
                        </w:rPr>
                      </w:pPr>
                      <w:r>
                        <w:rPr>
                          <w:rFonts w:hint="eastAsia" w:hAnsi="宋体"/>
                          <w:sz w:val="24"/>
                          <w:szCs w:val="24"/>
                        </w:rPr>
                        <w:t>实际</w:t>
                      </w:r>
                      <w:r>
                        <w:rPr>
                          <w:rFonts w:hAnsi="宋体"/>
                          <w:sz w:val="24"/>
                          <w:szCs w:val="24"/>
                        </w:rPr>
                        <w:t>值</w:t>
                      </w:r>
                      <w:r>
                        <w:rPr>
                          <w:rFonts w:hint="eastAsia" w:hAnsi="宋体"/>
                          <w:sz w:val="24"/>
                          <w:szCs w:val="24"/>
                        </w:rPr>
                        <w:t>/标准</w:t>
                      </w:r>
                      <w:r>
                        <w:rPr>
                          <w:rFonts w:hAnsi="宋体"/>
                          <w:sz w:val="24"/>
                          <w:szCs w:val="24"/>
                        </w:rPr>
                        <w:t>值×</w:t>
                      </w:r>
                      <w:r>
                        <w:rPr>
                          <w:rFonts w:hint="eastAsia" w:hAnsi="宋体"/>
                          <w:sz w:val="24"/>
                          <w:szCs w:val="24"/>
                          <w:lang w:val="en-US" w:eastAsia="zh-CN"/>
                        </w:rPr>
                        <w:t>100</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46990</wp:posOffset>
                </wp:positionH>
                <wp:positionV relativeFrom="paragraph">
                  <wp:posOffset>-5715</wp:posOffset>
                </wp:positionV>
                <wp:extent cx="1450975" cy="544195"/>
                <wp:effectExtent l="0" t="0" r="15875" b="8255"/>
                <wp:wrapNone/>
                <wp:docPr id="16" name="文本框 16"/>
                <wp:cNvGraphicFramePr/>
                <a:graphic xmlns:a="http://schemas.openxmlformats.org/drawingml/2006/main">
                  <a:graphicData uri="http://schemas.microsoft.com/office/word/2010/wordprocessingShape">
                    <wps:wsp>
                      <wps:cNvSpPr txBox="1"/>
                      <wps:spPr>
                        <a:xfrm>
                          <a:off x="0" y="0"/>
                          <a:ext cx="1450975" cy="544195"/>
                        </a:xfrm>
                        <a:prstGeom prst="rect">
                          <a:avLst/>
                        </a:prstGeom>
                        <a:solidFill>
                          <a:srgbClr val="FFFFFF"/>
                        </a:solidFill>
                        <a:ln w="9525">
                          <a:noFill/>
                        </a:ln>
                      </wps:spPr>
                      <wps:txbx>
                        <w:txbxContent>
                          <w:p>
                            <w:pPr>
                              <w:jc w:val="center"/>
                              <w:rPr>
                                <w:rFonts w:hint="eastAsia" w:hAnsi="宋体"/>
                                <w:sz w:val="24"/>
                                <w:szCs w:val="24"/>
                              </w:rPr>
                            </w:pPr>
                          </w:p>
                          <w:p>
                            <w:pPr>
                              <w:jc w:val="center"/>
                              <w:rPr>
                                <w:rFonts w:hint="eastAsia" w:hAnsi="宋体"/>
                                <w:sz w:val="24"/>
                                <w:szCs w:val="24"/>
                              </w:rPr>
                            </w:pPr>
                            <w:r>
                              <w:rPr>
                                <w:rFonts w:hint="eastAsia" w:hAnsi="宋体"/>
                                <w:sz w:val="24"/>
                                <w:szCs w:val="24"/>
                                <w:lang w:val="en-US" w:eastAsia="zh-CN"/>
                              </w:rPr>
                              <w:t xml:space="preserve">    </w:t>
                            </w:r>
                            <w:r>
                              <w:rPr>
                                <w:rFonts w:hint="eastAsia" w:hAnsi="宋体"/>
                                <w:sz w:val="24"/>
                                <w:szCs w:val="24"/>
                              </w:rPr>
                              <w:t>指标</w:t>
                            </w:r>
                            <w:r>
                              <w:rPr>
                                <w:rFonts w:hAnsi="宋体"/>
                                <w:sz w:val="24"/>
                                <w:szCs w:val="24"/>
                              </w:rPr>
                              <w:t>评分值</w:t>
                            </w:r>
                            <w:r>
                              <w:rPr>
                                <w:rFonts w:hint="eastAsia" w:hAnsi="宋体"/>
                                <w:sz w:val="24"/>
                                <w:szCs w:val="24"/>
                              </w:rPr>
                              <w:t xml:space="preserve"> </w:t>
                            </w:r>
                            <w:r>
                              <w:rPr>
                                <w:rFonts w:hAnsi="宋体"/>
                                <w:sz w:val="24"/>
                                <w:szCs w:val="24"/>
                              </w:rPr>
                              <w:t>=</w:t>
                            </w:r>
                          </w:p>
                        </w:txbxContent>
                      </wps:txbx>
                      <wps:bodyPr upright="1"/>
                    </wps:wsp>
                  </a:graphicData>
                </a:graphic>
              </wp:anchor>
            </w:drawing>
          </mc:Choice>
          <mc:Fallback>
            <w:pict>
              <v:shape id="_x0000_s1026" o:spid="_x0000_s1026" o:spt="202" type="#_x0000_t202" style="position:absolute;left:0pt;margin-left:3.7pt;margin-top:-0.45pt;height:42.85pt;width:114.25pt;z-index:251663360;mso-width-relative:page;mso-height-relative:page;" fillcolor="#FFFFFF" filled="t" stroked="f" coordsize="21600,21600" o:gfxdata="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9oSTLVAAAABgEAAA8AAAAAAAAAAQAgAAAAIgAAAGRycy9kb3du&#10;cmV2LnhtbFBLAQIUABQAAAAIAIdO4kAeH+XRyQEAAIIDAAAOAAAAAAAAAAEAIAAAACQBAABkcnMv&#10;ZTJvRG9jLnhtbFBLBQYAAAAABgAGAFkBAABfBQAAAAA=&#10;">
                <v:fill on="t" focussize="0,0"/>
                <v:stroke on="f"/>
                <v:imagedata o:title=""/>
                <o:lock v:ext="edit" aspectratio="f"/>
                <v:textbox>
                  <w:txbxContent>
                    <w:p>
                      <w:pPr>
                        <w:jc w:val="center"/>
                        <w:rPr>
                          <w:rFonts w:hint="eastAsia" w:hAnsi="宋体"/>
                          <w:sz w:val="24"/>
                          <w:szCs w:val="24"/>
                        </w:rPr>
                      </w:pPr>
                    </w:p>
                    <w:p>
                      <w:pPr>
                        <w:jc w:val="center"/>
                        <w:rPr>
                          <w:rFonts w:hint="eastAsia" w:hAnsi="宋体"/>
                          <w:sz w:val="24"/>
                          <w:szCs w:val="24"/>
                        </w:rPr>
                      </w:pPr>
                      <w:r>
                        <w:rPr>
                          <w:rFonts w:hint="eastAsia" w:hAnsi="宋体"/>
                          <w:sz w:val="24"/>
                          <w:szCs w:val="24"/>
                          <w:lang w:val="en-US" w:eastAsia="zh-CN"/>
                        </w:rPr>
                        <w:t xml:space="preserve">    </w:t>
                      </w:r>
                      <w:r>
                        <w:rPr>
                          <w:rFonts w:hint="eastAsia" w:hAnsi="宋体"/>
                          <w:sz w:val="24"/>
                          <w:szCs w:val="24"/>
                        </w:rPr>
                        <w:t>指标</w:t>
                      </w:r>
                      <w:r>
                        <w:rPr>
                          <w:rFonts w:hAnsi="宋体"/>
                          <w:sz w:val="24"/>
                          <w:szCs w:val="24"/>
                        </w:rPr>
                        <w:t>评分值</w:t>
                      </w:r>
                      <w:r>
                        <w:rPr>
                          <w:rFonts w:hint="eastAsia" w:hAnsi="宋体"/>
                          <w:sz w:val="24"/>
                          <w:szCs w:val="24"/>
                        </w:rPr>
                        <w:t xml:space="preserve"> </w:t>
                      </w:r>
                      <w:r>
                        <w:rPr>
                          <w:rFonts w:hAnsi="宋体"/>
                          <w:sz w:val="24"/>
                          <w:szCs w:val="24"/>
                        </w:rPr>
                        <w:t>=</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5408" behindDoc="0" locked="0" layoutInCell="1" allowOverlap="1">
                <wp:simplePos x="0" y="0"/>
                <wp:positionH relativeFrom="column">
                  <wp:posOffset>1699260</wp:posOffset>
                </wp:positionH>
                <wp:positionV relativeFrom="paragraph">
                  <wp:posOffset>41275</wp:posOffset>
                </wp:positionV>
                <wp:extent cx="2074545" cy="560070"/>
                <wp:effectExtent l="0" t="0" r="1905" b="11430"/>
                <wp:wrapNone/>
                <wp:docPr id="11" name="文本框 11"/>
                <wp:cNvGraphicFramePr/>
                <a:graphic xmlns:a="http://schemas.openxmlformats.org/drawingml/2006/main">
                  <a:graphicData uri="http://schemas.microsoft.com/office/word/2010/wordprocessingShape">
                    <wps:wsp>
                      <wps:cNvSpPr txBox="1"/>
                      <wps:spPr>
                        <a:xfrm>
                          <a:off x="0" y="0"/>
                          <a:ext cx="2074545" cy="560070"/>
                        </a:xfrm>
                        <a:prstGeom prst="rect">
                          <a:avLst/>
                        </a:prstGeom>
                        <a:solidFill>
                          <a:srgbClr val="FFFFFF"/>
                        </a:solidFill>
                        <a:ln w="9525">
                          <a:noFill/>
                        </a:ln>
                      </wps:spPr>
                      <wps:txbx>
                        <w:txbxContent>
                          <w:p>
                            <w:pPr>
                              <w:rPr>
                                <w:rFonts w:hAnsi="宋体"/>
                                <w:sz w:val="24"/>
                                <w:szCs w:val="24"/>
                              </w:rPr>
                            </w:pPr>
                            <w:r>
                              <w:rPr>
                                <w:rFonts w:hint="eastAsia" w:hAnsi="宋体"/>
                                <w:sz w:val="24"/>
                                <w:szCs w:val="24"/>
                              </w:rPr>
                              <w:t>实际</w:t>
                            </w:r>
                            <w:r>
                              <w:rPr>
                                <w:rFonts w:hAnsi="宋体"/>
                                <w:sz w:val="24"/>
                                <w:szCs w:val="24"/>
                              </w:rPr>
                              <w:t>值</w:t>
                            </w:r>
                            <w:r>
                              <w:rPr>
                                <w:rFonts w:hint="eastAsia" w:hAnsi="宋体"/>
                                <w:sz w:val="24"/>
                                <w:szCs w:val="24"/>
                              </w:rPr>
                              <w:t>/标准</w:t>
                            </w:r>
                            <w:r>
                              <w:rPr>
                                <w:rFonts w:hAnsi="宋体"/>
                                <w:sz w:val="24"/>
                                <w:szCs w:val="24"/>
                              </w:rPr>
                              <w:t>值×</w:t>
                            </w:r>
                            <w:r>
                              <w:rPr>
                                <w:rFonts w:hint="eastAsia" w:hAnsi="宋体"/>
                                <w:sz w:val="24"/>
                                <w:szCs w:val="24"/>
                                <w:lang w:val="en-US" w:eastAsia="zh-CN"/>
                              </w:rPr>
                              <w:t>100</w:t>
                            </w:r>
                          </w:p>
                        </w:txbxContent>
                      </wps:txbx>
                      <wps:bodyPr upright="1"/>
                    </wps:wsp>
                  </a:graphicData>
                </a:graphic>
              </wp:anchor>
            </w:drawing>
          </mc:Choice>
          <mc:Fallback>
            <w:pict>
              <v:shape id="_x0000_s1026" o:spid="_x0000_s1026" o:spt="202" type="#_x0000_t202" style="position:absolute;left:0pt;margin-left:133.8pt;margin-top:3.25pt;height:44.1pt;width:163.35pt;z-index:251665408;mso-width-relative:page;mso-height-relative:page;" fillcolor="#FFFFFF" filled="t" stroked="f" coordsize="21600,21600" o:gfxdata="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Qn2mY1wAAAAgBAAAPAAAAAAAAAAEAIAAAACIAAABkcnMv&#10;ZG93bnJldi54bWxQSwECFAAUAAAACACHTuJAd3cH+ssBAACCAwAADgAAAAAAAAABACAAAAAmAQAA&#10;ZHJzL2Uyb0RvYy54bWxQSwUGAAAAAAYABgBZAQAAYwUAAAAA&#10;">
                <v:fill on="t" focussize="0,0"/>
                <v:stroke on="f"/>
                <v:imagedata o:title=""/>
                <o:lock v:ext="edit" aspectratio="f"/>
                <v:textbox>
                  <w:txbxContent>
                    <w:p>
                      <w:pPr>
                        <w:rPr>
                          <w:rFonts w:hAnsi="宋体"/>
                          <w:sz w:val="24"/>
                          <w:szCs w:val="24"/>
                        </w:rPr>
                      </w:pPr>
                      <w:r>
                        <w:rPr>
                          <w:rFonts w:hint="eastAsia" w:hAnsi="宋体"/>
                          <w:sz w:val="24"/>
                          <w:szCs w:val="24"/>
                        </w:rPr>
                        <w:t>实际</w:t>
                      </w:r>
                      <w:r>
                        <w:rPr>
                          <w:rFonts w:hAnsi="宋体"/>
                          <w:sz w:val="24"/>
                          <w:szCs w:val="24"/>
                        </w:rPr>
                        <w:t>值</w:t>
                      </w:r>
                      <w:r>
                        <w:rPr>
                          <w:rFonts w:hint="eastAsia" w:hAnsi="宋体"/>
                          <w:sz w:val="24"/>
                          <w:szCs w:val="24"/>
                        </w:rPr>
                        <w:t>/标准</w:t>
                      </w:r>
                      <w:r>
                        <w:rPr>
                          <w:rFonts w:hAnsi="宋体"/>
                          <w:sz w:val="24"/>
                          <w:szCs w:val="24"/>
                        </w:rPr>
                        <w:t>值×</w:t>
                      </w:r>
                      <w:r>
                        <w:rPr>
                          <w:rFonts w:hint="eastAsia" w:hAnsi="宋体"/>
                          <w:sz w:val="24"/>
                          <w:szCs w:val="24"/>
                          <w:lang w:val="en-US" w:eastAsia="zh-CN"/>
                        </w:rPr>
                        <w:t>100</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1516380</wp:posOffset>
                </wp:positionH>
                <wp:positionV relativeFrom="paragraph">
                  <wp:posOffset>142240</wp:posOffset>
                </wp:positionV>
                <wp:extent cx="95250" cy="401320"/>
                <wp:effectExtent l="0" t="4445" r="19050" b="13335"/>
                <wp:wrapNone/>
                <wp:docPr id="20" name="左大括号 20"/>
                <wp:cNvGraphicFramePr/>
                <a:graphic xmlns:a="http://schemas.openxmlformats.org/drawingml/2006/main">
                  <a:graphicData uri="http://schemas.microsoft.com/office/word/2010/wordprocessingShape">
                    <wps:wsp>
                      <wps:cNvSpPr/>
                      <wps:spPr>
                        <a:xfrm>
                          <a:off x="0" y="0"/>
                          <a:ext cx="95250" cy="401320"/>
                        </a:xfrm>
                        <a:prstGeom prst="leftBrace">
                          <a:avLst>
                            <a:gd name="adj1" fmla="val 35091"/>
                            <a:gd name="adj2" fmla="val 50000"/>
                          </a:avLst>
                        </a:prstGeom>
                        <a:noFill/>
                        <a:ln w="9525" cap="flat" cmpd="sng">
                          <a:solidFill>
                            <a:srgbClr val="000000"/>
                          </a:solidFill>
                          <a:prstDash val="solid"/>
                          <a:bevel/>
                          <a:headEnd type="none" w="med" len="med"/>
                          <a:tailEnd type="none" w="med" len="med"/>
                        </a:ln>
                      </wps:spPr>
                      <wps:txbx>
                        <w:txbxContent>
                          <w:p>
                            <w:pPr>
                              <w:jc w:val="center"/>
                            </w:pPr>
                          </w:p>
                        </w:txbxContent>
                      </wps:txbx>
                      <wps:bodyPr upright="1"/>
                    </wps:wsp>
                  </a:graphicData>
                </a:graphic>
              </wp:anchor>
            </w:drawing>
          </mc:Choice>
          <mc:Fallback>
            <w:pict>
              <v:shape id="_x0000_s1026" o:spid="_x0000_s1026" o:spt="87" type="#_x0000_t87" style="position:absolute;left:0pt;margin-left:119.4pt;margin-top:11.2pt;height:31.6pt;width:7.5pt;z-index:251664384;mso-width-relative:page;mso-height-relative:page;" filled="f" stroked="t" coordsize="21600,21600" o:gfxdata="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oIDsrZAAAACQEAAA8AAAAAAAAAAQAgAAAAIgAAAGRycy9kb3ducmV2LnhtbFBLAQIUABQAAAAI&#10;AIdO4kAC0jOYJQIAAFwEAAAOAAAAAAAAAAEAIAAAACgBAABkcnMvZTJvRG9jLnhtbFBLBQYAAAAA&#10;BgAGAFkBAAC/BQAAAAA=&#10;" adj="1798,10800">
                <v:fill on="f" focussize="0,0"/>
                <v:stroke color="#000000" joinstyle="bevel"/>
                <v:imagedata o:title=""/>
                <o:lock v:ext="edit" aspectratio="f"/>
                <v:textbox>
                  <w:txbxContent>
                    <w:p>
                      <w:pPr>
                        <w:jc w:val="center"/>
                      </w:pPr>
                    </w:p>
                  </w:txbxContent>
                </v:textbox>
              </v:shape>
            </w:pict>
          </mc:Fallback>
        </mc:AlternateContent>
      </w:r>
      <w:r>
        <w:rPr>
          <w:rFonts w:hint="eastAsia" w:ascii="宋体" w:hAnsi="宋体" w:eastAsia="宋体" w:cs="宋体"/>
          <w:color w:val="auto"/>
          <w:sz w:val="24"/>
          <w:szCs w:val="24"/>
          <w:highlight w:val="none"/>
        </w:rPr>
        <mc:AlternateContent>
          <mc:Choice Requires="wps">
            <w:drawing>
              <wp:inline distT="0" distB="0" distL="114300" distR="114300">
                <wp:extent cx="610235" cy="626110"/>
                <wp:effectExtent l="0" t="0" r="0" b="0"/>
                <wp:docPr id="21" name="文本框 21"/>
                <wp:cNvGraphicFramePr/>
                <a:graphic xmlns:a="http://schemas.openxmlformats.org/drawingml/2006/main">
                  <a:graphicData uri="http://schemas.microsoft.com/office/word/2010/wordprocessingShape">
                    <wps:wsp>
                      <wps:cNvSpPr txBox="1">
                        <a:spLocks noRot="1"/>
                      </wps:cNvSpPr>
                      <wps:spPr>
                        <a:xfrm>
                          <a:off x="0" y="0"/>
                          <a:ext cx="610235" cy="626110"/>
                        </a:xfrm>
                        <a:prstGeom prst="rect">
                          <a:avLst/>
                        </a:prstGeom>
                        <a:noFill/>
                        <a:ln w="9525">
                          <a:noFill/>
                        </a:ln>
                      </wps:spPr>
                      <wps:txbx>
                        <w:txbxContent>
                          <w:p>
                            <w:pPr>
                              <w:rPr>
                                <w:rFonts w:hint="eastAsia" w:hAnsi="宋体"/>
                                <w:sz w:val="24"/>
                                <w:szCs w:val="24"/>
                              </w:rPr>
                            </w:pPr>
                          </w:p>
                        </w:txbxContent>
                      </wps:txbx>
                      <wps:bodyPr upright="1"/>
                    </wps:wsp>
                  </a:graphicData>
                </a:graphic>
              </wp:inline>
            </w:drawing>
          </mc:Choice>
          <mc:Fallback>
            <w:pict>
              <v:shape id="_x0000_s1026" o:spid="_x0000_s1026" o:spt="202" type="#_x0000_t202" style="height:49.3pt;width:48.05pt;" filled="f" stroked="f" coordsize="21600,21600" o:gfxdata="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fPJBM0QAAAAMBAAAPAAAAAAAAAAEAIAAAACIAAABkcnMvZG93bnJldi54bWxQ&#10;SwECFAAUAAAACACHTuJAEBj9w8UBAAB7AwAADgAAAAAAAAABACAAAAAgAQAAZHJzL2Uyb0RvYy54&#10;bWxQSwUGAAAAAAYABgBZAQAAVwUAAAAA&#10;">
                <v:fill on="f" focussize="0,0"/>
                <v:stroke on="f"/>
                <v:imagedata o:title=""/>
                <o:lock v:ext="edit" rotation="t" aspectratio="f"/>
                <v:textbox>
                  <w:txbxContent>
                    <w:p>
                      <w:pPr>
                        <w:rPr>
                          <w:rFonts w:hint="eastAsia" w:hAnsi="宋体"/>
                          <w:sz w:val="24"/>
                          <w:szCs w:val="24"/>
                        </w:rPr>
                      </w:pPr>
                    </w:p>
                  </w:txbxContent>
                </v:textbox>
                <w10:wrap type="none"/>
                <w10:anchorlock/>
              </v:shape>
            </w:pict>
          </mc:Fallback>
        </mc:AlternateContent>
      </w:r>
    </w:p>
    <w:p>
      <w:pPr>
        <w:pStyle w:val="16"/>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720" w:firstLineChars="300"/>
        <w:jc w:val="left"/>
        <w:textAlignment w:val="auto"/>
        <w:outlineLvl w:val="9"/>
        <w:rPr>
          <w:rFonts w:hint="eastAsia"/>
          <w:sz w:val="24"/>
          <w:szCs w:val="24"/>
        </w:rPr>
      </w:pPr>
      <w:r>
        <w:rPr>
          <w:rFonts w:hint="eastAsia" w:ascii="宋体" w:hAnsi="宋体" w:eastAsia="宋体" w:cs="宋体"/>
          <w:color w:val="auto"/>
          <w:sz w:val="24"/>
          <w:szCs w:val="24"/>
          <w:highlight w:val="none"/>
        </w:rPr>
        <w:t>②因素分析法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对定性指标和不存在标准值的指标，采用因素分析法，即指标标准定为</w:t>
      </w:r>
      <w:r>
        <w:rPr>
          <w:rFonts w:hint="eastAsia" w:ascii="宋体" w:hAnsi="宋体" w:eastAsia="宋体" w:cs="宋体"/>
          <w:color w:val="auto"/>
          <w:sz w:val="24"/>
          <w:szCs w:val="24"/>
          <w:highlight w:val="none"/>
          <w:lang w:val="en-US" w:eastAsia="zh-CN"/>
        </w:rPr>
        <w:t>100</w:t>
      </w:r>
      <w:r>
        <w:rPr>
          <w:rFonts w:hint="eastAsia" w:ascii="宋体" w:hAnsi="宋体" w:eastAsia="宋体" w:cs="宋体"/>
          <w:color w:val="auto"/>
          <w:sz w:val="24"/>
          <w:szCs w:val="24"/>
          <w:highlight w:val="none"/>
        </w:rPr>
        <w:t>，并对影响指标结果的因素进行分析，设计出主要影响因素及因素权重分。采用多人评分方法得出综合评分值。</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right="0" w:rightChars="0"/>
        <w:jc w:val="left"/>
        <w:textAlignment w:val="auto"/>
        <w:outlineLvl w:val="9"/>
        <w:rPr>
          <w:rFonts w:hint="eastAsia" w:ascii="宋体" w:hAnsi="宋体" w:eastAsia="宋体" w:cs="宋体"/>
          <w:b/>
          <w:sz w:val="24"/>
          <w:szCs w:val="24"/>
          <w:lang w:val="en-US" w:eastAsia="zh-CN"/>
        </w:rPr>
      </w:pPr>
      <w:r>
        <w:rPr>
          <w:rFonts w:hint="eastAsia" w:ascii="宋体" w:hAnsi="宋体" w:cs="宋体"/>
          <w:b/>
          <w:sz w:val="24"/>
          <w:szCs w:val="24"/>
          <w:lang w:val="en-US" w:eastAsia="zh-CN"/>
        </w:rPr>
        <w:t>五、</w:t>
      </w:r>
      <w:r>
        <w:rPr>
          <w:rFonts w:hint="eastAsia" w:ascii="宋体" w:hAnsi="宋体" w:eastAsia="宋体" w:cs="宋体"/>
          <w:b/>
          <w:sz w:val="24"/>
          <w:szCs w:val="24"/>
          <w:lang w:val="en-US" w:eastAsia="zh-CN"/>
        </w:rPr>
        <w:t>存在的主要问题概述</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b/>
          <w:bCs/>
          <w:sz w:val="24"/>
          <w:szCs w:val="24"/>
          <w:lang w:val="en-US" w:eastAsia="zh-CN"/>
        </w:rPr>
      </w:pPr>
      <w:r>
        <w:rPr>
          <w:rFonts w:hint="eastAsia"/>
          <w:b/>
          <w:bCs/>
          <w:sz w:val="24"/>
          <w:szCs w:val="24"/>
          <w:lang w:val="en-US" w:eastAsia="zh-CN"/>
        </w:rPr>
        <w:t>（一）存在的问题</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资金使用率较低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经费</w:t>
      </w:r>
      <w:r>
        <w:rPr>
          <w:rFonts w:hint="eastAsia" w:ascii="宋体" w:hAnsi="宋体" w:cs="宋体"/>
          <w:color w:val="auto"/>
          <w:sz w:val="24"/>
          <w:szCs w:val="24"/>
          <w:highlight w:val="none"/>
          <w:lang w:val="en-US" w:eastAsia="zh-CN"/>
        </w:rPr>
        <w:t>项目</w:t>
      </w:r>
      <w:r>
        <w:rPr>
          <w:rFonts w:hint="eastAsia" w:asciiTheme="majorEastAsia" w:hAnsiTheme="majorEastAsia" w:eastAsiaTheme="majorEastAsia" w:cstheme="majorEastAsia"/>
          <w:color w:val="auto"/>
          <w:sz w:val="24"/>
          <w:szCs w:val="24"/>
          <w:highlight w:val="none"/>
          <w:shd w:val="clear" w:color="auto" w:fill="auto"/>
          <w:lang w:val="en-US" w:eastAsia="zh-CN"/>
        </w:rPr>
        <w:t>资金预算134.6万元，实际使用79.64万元，资金使用率为59.17%。2020年政协未直接拨款给各界别，各界别根据工作开展情况报销，资金使用率低</w:t>
      </w:r>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r>
        <w:rPr>
          <w:rFonts w:hint="eastAsia" w:ascii="宋体" w:hAnsi="宋体" w:cs="宋体"/>
          <w:b/>
          <w:bCs/>
          <w:color w:val="auto"/>
          <w:sz w:val="24"/>
          <w:szCs w:val="24"/>
          <w:highlight w:val="none"/>
          <w:lang w:val="en-US" w:eastAsia="zh-CN"/>
        </w:rPr>
        <w:t>政协委员成果需及时转化：</w:t>
      </w:r>
      <w:r>
        <w:rPr>
          <w:rFonts w:hint="eastAsia" w:ascii="宋体" w:hAnsi="宋体" w:eastAsia="宋体" w:cs="宋体"/>
          <w:color w:val="auto"/>
          <w:sz w:val="24"/>
          <w:szCs w:val="24"/>
          <w:highlight w:val="none"/>
          <w:lang w:val="en-US" w:eastAsia="zh-CN"/>
        </w:rPr>
        <w:t>调查研究协商质量</w:t>
      </w:r>
      <w:r>
        <w:rPr>
          <w:rFonts w:hint="eastAsia" w:ascii="宋体" w:hAnsi="宋体" w:cs="宋体"/>
          <w:color w:val="auto"/>
          <w:sz w:val="24"/>
          <w:szCs w:val="24"/>
          <w:highlight w:val="none"/>
          <w:lang w:val="en-US" w:eastAsia="zh-CN"/>
        </w:rPr>
        <w:t>较高</w:t>
      </w:r>
      <w:r>
        <w:rPr>
          <w:rFonts w:hint="eastAsia" w:ascii="宋体" w:hAnsi="宋体" w:eastAsia="宋体" w:cs="宋体"/>
          <w:color w:val="auto"/>
          <w:sz w:val="24"/>
          <w:szCs w:val="24"/>
          <w:highlight w:val="none"/>
          <w:lang w:val="en-US" w:eastAsia="zh-CN"/>
        </w:rPr>
        <w:t>；民主监督工作有待深化；成果转化落实</w:t>
      </w:r>
      <w:r>
        <w:rPr>
          <w:rFonts w:hint="eastAsia" w:ascii="宋体" w:hAnsi="宋体" w:cs="宋体"/>
          <w:color w:val="auto"/>
          <w:sz w:val="24"/>
          <w:szCs w:val="24"/>
          <w:highlight w:val="none"/>
          <w:lang w:val="en-US" w:eastAsia="zh-CN"/>
        </w:rPr>
        <w:t>时</w:t>
      </w:r>
      <w:r>
        <w:rPr>
          <w:rFonts w:hint="eastAsia" w:ascii="宋体" w:hAnsi="宋体" w:eastAsia="宋体" w:cs="宋体"/>
          <w:color w:val="auto"/>
          <w:sz w:val="24"/>
          <w:szCs w:val="24"/>
          <w:highlight w:val="none"/>
          <w:lang w:val="en-US" w:eastAsia="zh-CN"/>
        </w:rPr>
        <w:t>效性有待加强。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b/>
          <w:bCs/>
          <w:sz w:val="24"/>
          <w:szCs w:val="24"/>
          <w:lang w:val="en-US" w:eastAsia="zh-CN"/>
        </w:rPr>
      </w:pPr>
      <w:r>
        <w:rPr>
          <w:rFonts w:hint="eastAsia"/>
          <w:b/>
          <w:bCs/>
          <w:sz w:val="24"/>
          <w:szCs w:val="24"/>
          <w:lang w:eastAsia="zh-CN"/>
        </w:rPr>
        <w:t>（二）</w:t>
      </w:r>
      <w:r>
        <w:rPr>
          <w:rFonts w:hint="eastAsia"/>
          <w:b/>
          <w:bCs/>
          <w:sz w:val="24"/>
          <w:szCs w:val="24"/>
          <w:lang w:val="en-US" w:eastAsia="zh-CN"/>
        </w:rPr>
        <w:t>问题分析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eastAsia="zh-CN"/>
        </w:rPr>
        <w:t>各界别对经费的使用流程不清晰，报销流程不清楚，开支较往年减少。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2、政协委员的调查研</w:t>
      </w:r>
      <w:r>
        <w:rPr>
          <w:rFonts w:hint="eastAsia" w:ascii="宋体" w:hAnsi="宋体" w:eastAsia="宋体" w:cs="宋体"/>
          <w:color w:val="auto"/>
          <w:sz w:val="24"/>
          <w:szCs w:val="24"/>
          <w:highlight w:val="none"/>
          <w:lang w:val="en-US" w:eastAsia="zh-CN"/>
        </w:rPr>
        <w:t>究</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成果转化</w:t>
      </w:r>
      <w:r>
        <w:rPr>
          <w:rFonts w:hint="eastAsia" w:ascii="宋体" w:hAnsi="宋体" w:cs="宋体"/>
          <w:color w:val="auto"/>
          <w:sz w:val="24"/>
          <w:szCs w:val="24"/>
          <w:highlight w:val="none"/>
          <w:lang w:val="en-US" w:eastAsia="zh-CN"/>
        </w:rPr>
        <w:t>效果考核无硬指标。</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right="0" w:rightChars="0"/>
        <w:jc w:val="left"/>
        <w:textAlignment w:val="auto"/>
        <w:outlineLvl w:val="9"/>
        <w:rPr>
          <w:rFonts w:hint="eastAsia" w:ascii="宋体" w:hAnsi="宋体" w:eastAsia="宋体" w:cs="宋体"/>
          <w:b/>
          <w:sz w:val="24"/>
          <w:szCs w:val="24"/>
          <w:lang w:val="en-US" w:eastAsia="zh-CN"/>
        </w:rPr>
      </w:pPr>
      <w:r>
        <w:rPr>
          <w:rFonts w:hint="eastAsia" w:ascii="宋体" w:hAnsi="宋体" w:cs="宋体"/>
          <w:b/>
          <w:sz w:val="24"/>
          <w:szCs w:val="24"/>
          <w:lang w:val="en-US" w:eastAsia="zh-CN"/>
        </w:rPr>
        <w:t>六</w:t>
      </w:r>
      <w:r>
        <w:rPr>
          <w:rFonts w:hint="eastAsia" w:ascii="宋体" w:hAnsi="宋体" w:eastAsia="宋体" w:cs="宋体"/>
          <w:b/>
          <w:sz w:val="24"/>
          <w:szCs w:val="24"/>
          <w:lang w:val="en-US" w:eastAsia="zh-CN"/>
        </w:rPr>
        <w:t>、管理建议概述</w:t>
      </w:r>
    </w:p>
    <w:p>
      <w:pPr>
        <w:keepNext w:val="0"/>
        <w:keepLines w:val="0"/>
        <w:pageBreakBefore w:val="0"/>
        <w:kinsoku/>
        <w:wordWrap/>
        <w:overflowPunct/>
        <w:topLinePunct w:val="0"/>
        <w:autoSpaceDE/>
        <w:autoSpaceDN/>
        <w:bidi w:val="0"/>
        <w:adjustRightInd/>
        <w:snapToGrid/>
        <w:spacing w:line="360" w:lineRule="auto"/>
        <w:ind w:right="0" w:rightChars="0" w:firstLine="482" w:firstLineChars="200"/>
        <w:jc w:val="left"/>
        <w:textAlignment w:val="auto"/>
        <w:outlineLvl w:val="1"/>
        <w:rPr>
          <w:rFonts w:hint="eastAsia" w:ascii="宋体" w:hAnsi="宋体" w:eastAsia="宋体" w:cs="宋体"/>
          <w:b/>
          <w:color w:val="auto"/>
          <w:sz w:val="24"/>
          <w:szCs w:val="24"/>
          <w:highlight w:val="none"/>
          <w:lang w:eastAsia="zh-CN"/>
        </w:rPr>
      </w:pPr>
      <w:bookmarkStart w:id="4" w:name="_Toc30791"/>
      <w:r>
        <w:rPr>
          <w:rFonts w:hint="eastAsia" w:ascii="宋体" w:hAnsi="宋体" w:eastAsia="宋体" w:cs="宋体"/>
          <w:b/>
          <w:color w:val="auto"/>
          <w:sz w:val="24"/>
          <w:szCs w:val="24"/>
          <w:highlight w:val="none"/>
          <w:lang w:eastAsia="zh-CN"/>
        </w:rPr>
        <w:t>（一）</w:t>
      </w:r>
      <w:r>
        <w:rPr>
          <w:rFonts w:hint="eastAsia" w:ascii="宋体" w:hAnsi="宋体" w:eastAsia="宋体" w:cs="宋体"/>
          <w:b/>
          <w:color w:val="auto"/>
          <w:sz w:val="24"/>
          <w:szCs w:val="24"/>
          <w:highlight w:val="none"/>
          <w:lang w:val="en-US" w:eastAsia="zh-CN"/>
        </w:rPr>
        <w:t>对</w:t>
      </w:r>
      <w:r>
        <w:rPr>
          <w:rFonts w:hint="eastAsia" w:ascii="宋体" w:hAnsi="宋体" w:eastAsia="宋体" w:cs="宋体"/>
          <w:b/>
          <w:color w:val="auto"/>
          <w:sz w:val="24"/>
          <w:szCs w:val="24"/>
          <w:highlight w:val="none"/>
          <w:lang w:eastAsia="zh-CN"/>
        </w:rPr>
        <w:t>预算绩效管理</w:t>
      </w:r>
      <w:r>
        <w:rPr>
          <w:rFonts w:hint="eastAsia" w:ascii="宋体" w:hAnsi="宋体" w:eastAsia="宋体" w:cs="宋体"/>
          <w:b/>
          <w:color w:val="auto"/>
          <w:sz w:val="24"/>
          <w:szCs w:val="24"/>
          <w:highlight w:val="none"/>
          <w:lang w:val="en-US" w:eastAsia="zh-CN"/>
        </w:rPr>
        <w:t>加以重视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lang w:val="en-US" w:eastAsia="zh-CN"/>
        </w:rPr>
      </w:pPr>
      <w:r>
        <w:rPr>
          <w:rFonts w:hint="eastAsia"/>
          <w:color w:val="auto"/>
          <w:sz w:val="24"/>
          <w:szCs w:val="24"/>
          <w:lang w:val="en-US" w:eastAsia="zh-CN"/>
        </w:rPr>
        <w:t>年初做好项目申报工作，</w:t>
      </w:r>
      <w:r>
        <w:rPr>
          <w:rFonts w:hint="eastAsia" w:ascii="宋体" w:hAnsi="宋体" w:cs="宋体"/>
          <w:color w:val="auto"/>
          <w:sz w:val="24"/>
          <w:szCs w:val="24"/>
          <w:highlight w:val="none"/>
          <w:lang w:val="en-US" w:eastAsia="zh-CN"/>
        </w:rPr>
        <w:t>制订年度目标，</w:t>
      </w:r>
      <w:r>
        <w:rPr>
          <w:rFonts w:hint="eastAsia"/>
          <w:color w:val="auto"/>
          <w:sz w:val="24"/>
          <w:szCs w:val="24"/>
          <w:lang w:val="en-US" w:eastAsia="zh-CN"/>
        </w:rPr>
        <w:t>细化指标。健全报销机制，加强各界别财务培训工作，梳理经费报销流程。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建立健全项目指标库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lang w:val="en-US" w:eastAsia="zh-CN"/>
        </w:rPr>
      </w:pPr>
      <w:r>
        <w:rPr>
          <w:rFonts w:hint="eastAsia"/>
          <w:color w:val="auto"/>
          <w:sz w:val="24"/>
          <w:szCs w:val="24"/>
          <w:lang w:val="en-US" w:eastAsia="zh-CN"/>
        </w:rPr>
        <w:t>指导各专委会编制绩效目标，细化指标体系，或通过购买第三方服务方式，逐年完善指标库。</w:t>
      </w:r>
    </w:p>
    <w:p>
      <w:pPr>
        <w:keepNext w:val="0"/>
        <w:keepLines w:val="0"/>
        <w:pageBreakBefore w:val="0"/>
        <w:kinsoku/>
        <w:wordWrap/>
        <w:overflowPunct/>
        <w:topLinePunct w:val="0"/>
        <w:autoSpaceDE/>
        <w:autoSpaceDN/>
        <w:bidi w:val="0"/>
        <w:adjustRightInd/>
        <w:snapToGrid/>
        <w:spacing w:line="360" w:lineRule="auto"/>
        <w:ind w:right="0" w:rightChars="0" w:firstLine="482" w:firstLineChars="200"/>
        <w:jc w:val="left"/>
        <w:textAlignment w:val="auto"/>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eastAsia="zh-CN"/>
        </w:rPr>
        <w:t>（</w:t>
      </w:r>
      <w:r>
        <w:rPr>
          <w:rFonts w:hint="eastAsia" w:ascii="宋体" w:hAnsi="宋体" w:cs="宋体"/>
          <w:b/>
          <w:color w:val="auto"/>
          <w:sz w:val="24"/>
          <w:szCs w:val="24"/>
          <w:highlight w:val="none"/>
          <w:lang w:eastAsia="zh-CN"/>
        </w:rPr>
        <w:t>三</w:t>
      </w:r>
      <w:r>
        <w:rPr>
          <w:rFonts w:hint="eastAsia" w:ascii="宋体" w:hAnsi="宋体" w:eastAsia="宋体" w:cs="宋体"/>
          <w:b/>
          <w:color w:val="auto"/>
          <w:sz w:val="24"/>
          <w:szCs w:val="24"/>
          <w:highlight w:val="none"/>
          <w:lang w:eastAsia="zh-CN"/>
        </w:rPr>
        <w:t>）</w:t>
      </w:r>
      <w:r>
        <w:rPr>
          <w:rFonts w:hint="eastAsia" w:ascii="宋体" w:hAnsi="宋体" w:cs="宋体"/>
          <w:b/>
          <w:color w:val="auto"/>
          <w:sz w:val="24"/>
          <w:szCs w:val="24"/>
          <w:highlight w:val="none"/>
          <w:lang w:eastAsia="zh-CN"/>
        </w:rPr>
        <w:t>改进</w:t>
      </w:r>
      <w:r>
        <w:rPr>
          <w:rFonts w:hint="eastAsia" w:ascii="宋体" w:hAnsi="宋体" w:eastAsia="宋体" w:cs="宋体"/>
          <w:b/>
          <w:color w:val="auto"/>
          <w:sz w:val="24"/>
          <w:szCs w:val="24"/>
          <w:highlight w:val="none"/>
          <w:lang w:val="en-US" w:eastAsia="zh-CN"/>
        </w:rPr>
        <w:t>绩效目标</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outlineLvl w:val="9"/>
        <w:rPr>
          <w:rFonts w:hint="eastAsia"/>
          <w:color w:val="auto"/>
          <w:sz w:val="24"/>
          <w:szCs w:val="24"/>
          <w:lang w:val="en-US" w:eastAsia="zh-CN"/>
        </w:rPr>
      </w:pPr>
      <w:r>
        <w:rPr>
          <w:rFonts w:hint="eastAsia"/>
          <w:color w:val="auto"/>
          <w:sz w:val="24"/>
          <w:szCs w:val="24"/>
          <w:lang w:val="en-US" w:eastAsia="zh-CN"/>
        </w:rPr>
        <w:t>以服务委员为己任，充分运用信息化手段，提高工作效率、提升工作水平，为委员履职提供有力保障；可持续影响是促进档案信息化成果运用，推进工作转型升级、提质增效。</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ajorEastAsia" w:hAnsiTheme="majorEastAsia" w:eastAsiaTheme="majorEastAsia" w:cstheme="majorEastAsia"/>
          <w:b w:val="0"/>
          <w:bCs w:val="0"/>
          <w:color w:val="FF0000"/>
          <w:sz w:val="24"/>
          <w:szCs w:val="24"/>
          <w:highlight w:val="none"/>
          <w:lang w:val="en-US" w:eastAsia="zh-CN"/>
        </w:rPr>
      </w:pPr>
    </w:p>
    <w:p>
      <w:pPr>
        <w:pStyle w:val="2"/>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jc w:val="center"/>
        <w:textAlignment w:val="auto"/>
        <w:outlineLvl w:val="0"/>
        <w:rPr>
          <w:rFonts w:hint="eastAsia" w:asciiTheme="majorEastAsia" w:hAnsiTheme="majorEastAsia" w:eastAsiaTheme="majorEastAsia" w:cstheme="majorEastAsia"/>
          <w:color w:val="auto"/>
          <w:sz w:val="32"/>
          <w:szCs w:val="32"/>
          <w:highlight w:val="none"/>
          <w:lang w:val="en-US" w:eastAsia="zh-CN"/>
        </w:rPr>
      </w:pPr>
      <w:r>
        <w:rPr>
          <w:rFonts w:hint="eastAsia" w:asciiTheme="majorEastAsia" w:hAnsiTheme="majorEastAsia" w:eastAsiaTheme="majorEastAsia" w:cstheme="majorEastAsia"/>
          <w:color w:val="auto"/>
          <w:sz w:val="32"/>
          <w:szCs w:val="32"/>
          <w:highlight w:val="none"/>
          <w:lang w:val="en-US" w:eastAsia="zh-CN"/>
        </w:rPr>
        <w:t>一、项目基本情况</w:t>
      </w:r>
      <w:bookmarkEnd w:id="4"/>
    </w:p>
    <w:p>
      <w:pPr>
        <w:pStyle w:val="3"/>
        <w:keepNext/>
        <w:keepLines/>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1"/>
        <w:rPr>
          <w:rFonts w:hint="eastAsia" w:asciiTheme="majorEastAsia" w:hAnsiTheme="majorEastAsia" w:eastAsiaTheme="majorEastAsia" w:cstheme="majorEastAsia"/>
          <w:color w:val="auto"/>
          <w:sz w:val="24"/>
          <w:szCs w:val="24"/>
          <w:lang w:val="en-US" w:eastAsia="zh-CN"/>
        </w:rPr>
      </w:pPr>
      <w:bookmarkStart w:id="5" w:name="_Toc10625"/>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lang w:val="en-US" w:eastAsia="zh-CN"/>
        </w:rPr>
        <w:t>一</w:t>
      </w:r>
      <w:r>
        <w:rPr>
          <w:rFonts w:hint="eastAsia" w:asciiTheme="majorEastAsia" w:hAnsiTheme="majorEastAsia" w:eastAsiaTheme="majorEastAsia" w:cstheme="majorEastAsia"/>
          <w:color w:val="auto"/>
          <w:sz w:val="24"/>
          <w:szCs w:val="24"/>
          <w:lang w:eastAsia="zh-CN"/>
        </w:rPr>
        <w:t>）项目立项背景和依据</w:t>
      </w:r>
      <w:bookmarkEnd w:id="5"/>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cs="宋体"/>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为深入贯彻落实党的十九大“全面实施绩效管理”的决策部署，进一步提高中央对地方专项转移支付资金使用效益，切实增强地方主管部门以及资金使用单位的支出责任</w:t>
      </w:r>
      <w:r>
        <w:rPr>
          <w:rFonts w:hint="eastAsia" w:asciiTheme="majorEastAsia" w:hAnsiTheme="majorEastAsia" w:eastAsiaTheme="majorEastAsia" w:cstheme="majorEastAsia"/>
          <w:strike w:val="0"/>
          <w:dstrike w:val="0"/>
          <w:color w:val="auto"/>
          <w:sz w:val="24"/>
          <w:szCs w:val="24"/>
          <w:highlight w:val="none"/>
          <w:lang w:val="en-US" w:eastAsia="zh-CN"/>
        </w:rPr>
        <w:t>、</w:t>
      </w:r>
      <w:r>
        <w:rPr>
          <w:rFonts w:hint="eastAsia" w:asciiTheme="majorEastAsia" w:hAnsiTheme="majorEastAsia" w:eastAsiaTheme="majorEastAsia" w:cstheme="majorEastAsia"/>
          <w:color w:val="auto"/>
          <w:sz w:val="24"/>
          <w:szCs w:val="24"/>
          <w:highlight w:val="none"/>
          <w:lang w:val="en-US" w:eastAsia="zh-CN"/>
        </w:rPr>
        <w:t>提高资金使用效率的意识，根据</w:t>
      </w:r>
      <w:r>
        <w:rPr>
          <w:rFonts w:hint="eastAsia" w:ascii="宋体" w:hAnsi="宋体" w:eastAsia="宋体" w:cs="宋体"/>
          <w:color w:val="auto"/>
          <w:sz w:val="24"/>
          <w:szCs w:val="24"/>
          <w:highlight w:val="none"/>
        </w:rPr>
        <w:t>《中国人民政治协商会议全国委员会委员视察工作条例》、</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武昌区财政局关于政协武昌区办公室2020年部门预算的</w:t>
      </w:r>
      <w:r>
        <w:rPr>
          <w:rFonts w:hint="eastAsia" w:ascii="宋体" w:hAnsi="宋体" w:eastAsia="宋体" w:cs="宋体"/>
          <w:color w:val="auto"/>
          <w:sz w:val="24"/>
          <w:szCs w:val="24"/>
          <w:highlight w:val="none"/>
          <w:lang w:val="en-US" w:eastAsia="zh-CN"/>
        </w:rPr>
        <w:t>批复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lang w:val="zh-CN" w:eastAsia="zh-CN"/>
        </w:rPr>
        <w:t>区政协依据“</w:t>
      </w:r>
      <w:r>
        <w:rPr>
          <w:rFonts w:hint="eastAsia" w:ascii="宋体" w:hAnsi="宋体" w:eastAsia="宋体" w:cs="宋体"/>
          <w:color w:val="auto"/>
          <w:sz w:val="24"/>
          <w:szCs w:val="24"/>
          <w:highlight w:val="none"/>
          <w:lang w:val="en-US" w:eastAsia="zh-CN"/>
        </w:rPr>
        <w:t>政协委员视察、界别组、街道联络委工作经费</w:t>
      </w:r>
      <w:r>
        <w:rPr>
          <w:rFonts w:hint="eastAsia" w:ascii="宋体" w:hAnsi="宋体" w:eastAsia="宋体" w:cs="宋体"/>
          <w:color w:val="auto"/>
          <w:sz w:val="24"/>
          <w:szCs w:val="24"/>
          <w:highlight w:val="none"/>
          <w:lang w:val="zh-CN" w:eastAsia="zh-CN"/>
        </w:rPr>
        <w:t>”项目预算批复文件、资金使用情况、项目执行资料和其他相关资料，本着客观、公正、公平的原则，</w:t>
      </w:r>
      <w:r>
        <w:rPr>
          <w:rFonts w:hint="eastAsia" w:ascii="宋体" w:hAnsi="宋体" w:eastAsia="宋体" w:cs="宋体"/>
          <w:color w:val="auto"/>
          <w:sz w:val="24"/>
          <w:szCs w:val="24"/>
          <w:highlight w:val="none"/>
          <w:lang w:val="en-US" w:eastAsia="zh-CN"/>
        </w:rPr>
        <w:t>武汉市武昌区</w:t>
      </w:r>
      <w:r>
        <w:rPr>
          <w:rFonts w:hint="eastAsia" w:ascii="宋体" w:hAnsi="宋体" w:cs="宋体"/>
          <w:color w:val="auto"/>
          <w:sz w:val="24"/>
          <w:szCs w:val="24"/>
          <w:highlight w:val="none"/>
          <w:lang w:val="en-US" w:eastAsia="zh-CN"/>
        </w:rPr>
        <w:t>政协</w:t>
      </w:r>
      <w:r>
        <w:rPr>
          <w:rFonts w:hint="eastAsia" w:ascii="宋体" w:hAnsi="宋体" w:eastAsia="宋体" w:cs="宋体"/>
          <w:color w:val="auto"/>
          <w:sz w:val="24"/>
          <w:szCs w:val="24"/>
          <w:highlight w:val="none"/>
        </w:rPr>
        <w:t>组织开</w:t>
      </w:r>
      <w:r>
        <w:rPr>
          <w:rFonts w:hint="eastAsia" w:ascii="宋体" w:hAnsi="宋体" w:cs="宋体"/>
          <w:color w:val="auto"/>
          <w:sz w:val="24"/>
          <w:szCs w:val="24"/>
          <w:highlight w:val="none"/>
          <w:lang w:val="en-US" w:eastAsia="zh-CN"/>
        </w:rPr>
        <w:t>展了“政协委员视察、界别组、街道联络委工作经费”的绩效评价工作。</w:t>
      </w:r>
    </w:p>
    <w:p>
      <w:pPr>
        <w:pStyle w:val="3"/>
        <w:keepNext/>
        <w:keepLines/>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1"/>
        <w:rPr>
          <w:rFonts w:hint="eastAsia" w:asciiTheme="majorEastAsia" w:hAnsiTheme="majorEastAsia" w:eastAsiaTheme="majorEastAsia" w:cstheme="majorEastAsia"/>
          <w:color w:val="auto"/>
          <w:sz w:val="24"/>
          <w:szCs w:val="24"/>
          <w:lang w:val="en-US" w:eastAsia="zh-CN"/>
        </w:rPr>
      </w:pPr>
      <w:bookmarkStart w:id="6" w:name="_Toc9183"/>
      <w:r>
        <w:rPr>
          <w:rFonts w:hint="eastAsia" w:asciiTheme="majorEastAsia" w:hAnsiTheme="majorEastAsia" w:eastAsiaTheme="majorEastAsia" w:cstheme="majorEastAsia"/>
          <w:color w:val="auto"/>
          <w:sz w:val="24"/>
          <w:szCs w:val="24"/>
          <w:lang w:val="en-US" w:eastAsia="zh-CN"/>
        </w:rPr>
        <w:t>（二）绩效目标</w:t>
      </w:r>
      <w:bookmarkEnd w:id="6"/>
    </w:p>
    <w:p>
      <w:pPr>
        <w:pageBreakBefore w:val="0"/>
        <w:numPr>
          <w:ilvl w:val="0"/>
          <w:numId w:val="0"/>
        </w:numPr>
        <w:kinsoku/>
        <w:wordWrap/>
        <w:overflowPunct/>
        <w:topLinePunct w:val="0"/>
        <w:autoSpaceDE/>
        <w:autoSpaceDN/>
        <w:bidi w:val="0"/>
        <w:adjustRightInd/>
        <w:snapToGrid/>
        <w:spacing w:line="360" w:lineRule="auto"/>
        <w:ind w:leftChars="200"/>
        <w:textAlignment w:val="auto"/>
        <w:outlineLvl w:val="2"/>
        <w:rPr>
          <w:rFonts w:hint="eastAsia" w:asciiTheme="majorEastAsia" w:hAnsiTheme="majorEastAsia" w:eastAsiaTheme="majorEastAsia" w:cstheme="majorEastAsia"/>
          <w:color w:val="auto"/>
          <w:sz w:val="24"/>
          <w:szCs w:val="24"/>
          <w:lang w:val="en-US" w:eastAsia="zh-CN"/>
        </w:rPr>
      </w:pPr>
      <w:bookmarkStart w:id="7" w:name="_Toc4948"/>
      <w:r>
        <w:rPr>
          <w:rFonts w:hint="eastAsia" w:asciiTheme="majorEastAsia" w:hAnsiTheme="majorEastAsia" w:eastAsiaTheme="majorEastAsia" w:cstheme="majorEastAsia"/>
          <w:color w:val="auto"/>
          <w:sz w:val="24"/>
          <w:szCs w:val="24"/>
          <w:lang w:val="en-US" w:eastAsia="zh-CN"/>
        </w:rPr>
        <w:t>1、产出指标</w:t>
      </w:r>
      <w:bookmarkEnd w:id="7"/>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ajorEastAsia" w:hAnsiTheme="majorEastAsia" w:eastAsiaTheme="majorEastAsia" w:cstheme="majorEastAsia"/>
          <w:color w:val="FF0000"/>
          <w:sz w:val="24"/>
          <w:szCs w:val="24"/>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产出指标分为数量指标、质量指标、时效指标和成本指标，开展专业课题研究及讲座不少于3个，举办1期专题培训班，参训会员的好评率98%，数量质量均达标。计划成本134.6万，项目按时完成，在计划成本内</w:t>
      </w:r>
      <w:r>
        <w:rPr>
          <w:rFonts w:hint="eastAsia" w:ascii="宋体" w:hAnsi="宋体" w:cs="宋体"/>
          <w:color w:val="auto"/>
          <w:sz w:val="24"/>
          <w:szCs w:val="24"/>
          <w:highlight w:val="none"/>
          <w:lang w:val="en-US" w:eastAsia="zh-CN"/>
        </w:rPr>
        <w:t>。</w:t>
      </w:r>
    </w:p>
    <w:p>
      <w:pPr>
        <w:pageBreakBefore w:val="0"/>
        <w:numPr>
          <w:ilvl w:val="0"/>
          <w:numId w:val="0"/>
        </w:numPr>
        <w:kinsoku/>
        <w:wordWrap/>
        <w:overflowPunct/>
        <w:topLinePunct w:val="0"/>
        <w:autoSpaceDE/>
        <w:autoSpaceDN/>
        <w:bidi w:val="0"/>
        <w:adjustRightInd/>
        <w:snapToGrid/>
        <w:spacing w:line="360" w:lineRule="auto"/>
        <w:ind w:leftChars="200"/>
        <w:textAlignment w:val="auto"/>
        <w:outlineLvl w:val="2"/>
        <w:rPr>
          <w:rFonts w:hint="eastAsia" w:asciiTheme="majorEastAsia" w:hAnsiTheme="majorEastAsia" w:eastAsiaTheme="majorEastAsia" w:cstheme="majorEastAsia"/>
          <w:color w:val="auto"/>
          <w:sz w:val="24"/>
          <w:szCs w:val="24"/>
          <w:lang w:val="en-US" w:eastAsia="zh-CN"/>
        </w:rPr>
      </w:pPr>
      <w:bookmarkStart w:id="8" w:name="_Toc20275"/>
      <w:r>
        <w:rPr>
          <w:rFonts w:hint="eastAsia" w:asciiTheme="majorEastAsia" w:hAnsiTheme="majorEastAsia" w:eastAsiaTheme="majorEastAsia" w:cstheme="majorEastAsia"/>
          <w:color w:val="auto"/>
          <w:sz w:val="24"/>
          <w:szCs w:val="24"/>
          <w:lang w:val="en-US" w:eastAsia="zh-CN"/>
        </w:rPr>
        <w:t>2、效益指标</w:t>
      </w:r>
      <w:bookmarkEnd w:id="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ajorEastAsia" w:hAnsiTheme="majorEastAsia" w:eastAsiaTheme="majorEastAsia" w:cstheme="majorEastAsia"/>
          <w:color w:val="auto"/>
          <w:sz w:val="24"/>
          <w:szCs w:val="24"/>
          <w:highlight w:val="none"/>
          <w:lang w:val="en-US" w:eastAsia="zh-CN"/>
        </w:rPr>
      </w:pPr>
      <w:r>
        <w:rPr>
          <w:rFonts w:hint="eastAsia"/>
          <w:sz w:val="24"/>
          <w:szCs w:val="24"/>
          <w:lang w:val="en-US" w:eastAsia="zh-CN"/>
        </w:rPr>
        <w:t>效</w:t>
      </w:r>
      <w:r>
        <w:rPr>
          <w:rFonts w:hint="eastAsia" w:asciiTheme="majorEastAsia" w:hAnsiTheme="majorEastAsia" w:eastAsiaTheme="majorEastAsia" w:cstheme="majorEastAsia"/>
          <w:b w:val="0"/>
          <w:bCs w:val="0"/>
          <w:color w:val="auto"/>
          <w:sz w:val="24"/>
          <w:szCs w:val="24"/>
          <w:highlight w:val="none"/>
          <w:lang w:val="en-US" w:eastAsia="zh-CN"/>
        </w:rPr>
        <w:t>益指标主要是指项目实施后所能带来的经济效益、社会效益和可持续影响。</w:t>
      </w:r>
      <w:r>
        <w:rPr>
          <w:rFonts w:hint="eastAsia" w:ascii="宋体" w:hAnsi="宋体" w:cs="宋体"/>
          <w:color w:val="auto"/>
          <w:sz w:val="24"/>
          <w:szCs w:val="24"/>
          <w:highlight w:val="none"/>
          <w:lang w:val="en-US" w:eastAsia="zh-CN"/>
        </w:rPr>
        <w:t>2020年</w:t>
      </w:r>
      <w:r>
        <w:rPr>
          <w:rFonts w:hint="eastAsia" w:ascii="宋体" w:hAnsi="宋体" w:eastAsia="宋体" w:cs="宋体"/>
          <w:color w:val="auto"/>
          <w:sz w:val="24"/>
          <w:szCs w:val="24"/>
          <w:highlight w:val="none"/>
          <w:lang w:val="en-US" w:eastAsia="zh-CN"/>
        </w:rPr>
        <w:t>武昌区政协委员视察、界别组、街道联络委工作经费项目</w:t>
      </w:r>
      <w:r>
        <w:rPr>
          <w:rFonts w:hint="eastAsia" w:asciiTheme="majorEastAsia" w:hAnsiTheme="majorEastAsia" w:eastAsiaTheme="majorEastAsia" w:cstheme="majorEastAsia"/>
          <w:b w:val="0"/>
          <w:bCs w:val="0"/>
          <w:color w:val="auto"/>
          <w:sz w:val="24"/>
          <w:szCs w:val="24"/>
          <w:highlight w:val="none"/>
          <w:lang w:val="en-US" w:eastAsia="zh-CN"/>
        </w:rPr>
        <w:t>施行后，武汉市武昌区政协</w:t>
      </w:r>
      <w:r>
        <w:rPr>
          <w:rFonts w:hint="eastAsia" w:asciiTheme="majorEastAsia" w:hAnsiTheme="majorEastAsia" w:eastAsiaTheme="majorEastAsia" w:cstheme="majorEastAsia"/>
          <w:b w:val="0"/>
          <w:bCs w:val="0"/>
          <w:color w:val="auto"/>
          <w:sz w:val="24"/>
          <w:szCs w:val="24"/>
          <w:highlight w:val="none"/>
        </w:rPr>
        <w:t>成立领导小组</w:t>
      </w:r>
      <w:r>
        <w:rPr>
          <w:rFonts w:hint="eastAsia" w:asciiTheme="majorEastAsia" w:hAnsiTheme="majorEastAsia" w:eastAsiaTheme="majorEastAsia" w:cstheme="majorEastAsia"/>
          <w:b w:val="0"/>
          <w:bCs w:val="0"/>
          <w:color w:val="auto"/>
          <w:sz w:val="24"/>
          <w:szCs w:val="24"/>
          <w:highlight w:val="none"/>
          <w:lang w:val="en-US" w:eastAsia="zh-CN"/>
        </w:rPr>
        <w:t>加紧对经费使用的发放，</w:t>
      </w:r>
      <w:bookmarkStart w:id="9" w:name="_Toc2731"/>
      <w:r>
        <w:rPr>
          <w:rFonts w:hint="eastAsia" w:asciiTheme="majorEastAsia" w:hAnsiTheme="majorEastAsia" w:eastAsiaTheme="majorEastAsia" w:cstheme="majorEastAsia"/>
          <w:color w:val="auto"/>
          <w:sz w:val="24"/>
          <w:szCs w:val="24"/>
          <w:highlight w:val="none"/>
          <w:shd w:val="clear" w:color="auto" w:fill="auto"/>
          <w:lang w:val="en-US" w:eastAsia="zh-CN"/>
        </w:rPr>
        <w:t>完善委员学习培训体系，健全走访联系委员及所在单位常态化机制，激发委员双岗建功的热情和潜力，提升政协组织的凝聚力和影响力。产生了较好的社会和经济效益，且有益于政协的可持续发展。</w:t>
      </w:r>
    </w:p>
    <w:p>
      <w:pPr>
        <w:pageBreakBefore w:val="0"/>
        <w:numPr>
          <w:ilvl w:val="0"/>
          <w:numId w:val="0"/>
        </w:numPr>
        <w:kinsoku/>
        <w:wordWrap/>
        <w:overflowPunct/>
        <w:topLinePunct w:val="0"/>
        <w:autoSpaceDE/>
        <w:autoSpaceDN/>
        <w:bidi w:val="0"/>
        <w:adjustRightInd/>
        <w:snapToGrid/>
        <w:spacing w:line="360" w:lineRule="auto"/>
        <w:ind w:leftChars="200"/>
        <w:textAlignment w:val="auto"/>
        <w:outlineLvl w:val="2"/>
        <w:rPr>
          <w:rFonts w:hint="eastAsia" w:asciiTheme="majorEastAsia" w:hAnsiTheme="majorEastAsia" w:eastAsiaTheme="majorEastAsia" w:cstheme="majorEastAsia"/>
          <w:color w:val="auto"/>
          <w:sz w:val="24"/>
          <w:szCs w:val="24"/>
          <w:lang w:val="en-US" w:eastAsia="zh-CN"/>
        </w:rPr>
      </w:pPr>
      <w:bookmarkStart w:id="10" w:name="_Toc19213"/>
      <w:r>
        <w:rPr>
          <w:rFonts w:hint="eastAsia" w:asciiTheme="majorEastAsia" w:hAnsiTheme="majorEastAsia" w:eastAsiaTheme="majorEastAsia" w:cstheme="majorEastAsia"/>
          <w:color w:val="auto"/>
          <w:sz w:val="24"/>
          <w:szCs w:val="24"/>
          <w:lang w:val="en-US" w:eastAsia="zh-CN"/>
        </w:rPr>
        <w:t>3、满意度指标</w:t>
      </w:r>
      <w:bookmarkEnd w:id="9"/>
      <w:bookmarkEnd w:id="10"/>
    </w:p>
    <w:p>
      <w:pPr>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ajorEastAsia" w:hAnsiTheme="majorEastAsia" w:eastAsiaTheme="majorEastAsia" w:cstheme="majorEastAsia"/>
          <w:color w:val="FF0000"/>
          <w:sz w:val="24"/>
          <w:szCs w:val="24"/>
          <w:lang w:val="en-US" w:eastAsia="zh-CN"/>
        </w:rPr>
      </w:pPr>
      <w:r>
        <w:rPr>
          <w:rFonts w:hint="eastAsia" w:asciiTheme="majorEastAsia" w:hAnsiTheme="majorEastAsia" w:eastAsiaTheme="majorEastAsia" w:cstheme="majorEastAsia"/>
          <w:color w:val="auto"/>
          <w:sz w:val="24"/>
          <w:szCs w:val="24"/>
          <w:highlight w:val="none"/>
          <w:lang w:val="en-US" w:eastAsia="zh-CN"/>
        </w:rPr>
        <w:t>政协委员满意度达到96%；</w:t>
      </w:r>
    </w:p>
    <w:p>
      <w:pPr>
        <w:pStyle w:val="3"/>
        <w:keepNext/>
        <w:keepLines/>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1"/>
        <w:rPr>
          <w:rFonts w:hint="eastAsia" w:asciiTheme="majorEastAsia" w:hAnsiTheme="majorEastAsia" w:eastAsiaTheme="majorEastAsia" w:cstheme="majorEastAsia"/>
          <w:color w:val="auto"/>
          <w:sz w:val="24"/>
          <w:szCs w:val="24"/>
          <w:lang w:val="en-US" w:eastAsia="zh-CN"/>
        </w:rPr>
      </w:pPr>
      <w:bookmarkStart w:id="11" w:name="_Toc7819"/>
      <w:r>
        <w:rPr>
          <w:rFonts w:hint="eastAsia" w:asciiTheme="majorEastAsia" w:hAnsiTheme="majorEastAsia" w:eastAsiaTheme="majorEastAsia" w:cstheme="majorEastAsia"/>
          <w:color w:val="auto"/>
          <w:sz w:val="24"/>
          <w:szCs w:val="24"/>
          <w:lang w:val="en-US" w:eastAsia="zh-CN"/>
        </w:rPr>
        <w:t>（三）经费来源和使用情况</w:t>
      </w:r>
      <w:bookmarkEnd w:id="11"/>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firstLine="480" w:firstLineChars="200"/>
        <w:jc w:val="both"/>
        <w:textAlignment w:val="auto"/>
        <w:rPr>
          <w:rFonts w:hint="eastAsia" w:asciiTheme="majorEastAsia" w:hAnsiTheme="majorEastAsia" w:eastAsiaTheme="majorEastAsia" w:cstheme="majorEastAsia"/>
          <w:color w:val="auto"/>
          <w:kern w:val="2"/>
          <w:sz w:val="24"/>
          <w:szCs w:val="24"/>
          <w:highlight w:val="none"/>
          <w:u w:val="none"/>
          <w:lang w:val="zh-CN" w:eastAsia="zh-CN" w:bidi="ar-SA"/>
        </w:rPr>
      </w:pPr>
      <w:r>
        <w:rPr>
          <w:rFonts w:hint="eastAsia" w:asciiTheme="majorEastAsia" w:hAnsiTheme="majorEastAsia" w:eastAsiaTheme="majorEastAsia" w:cstheme="majorEastAsia"/>
          <w:color w:val="auto"/>
          <w:kern w:val="2"/>
          <w:sz w:val="24"/>
          <w:szCs w:val="24"/>
          <w:highlight w:val="none"/>
          <w:u w:val="none"/>
          <w:lang w:val="zh-CN" w:eastAsia="zh-CN" w:bidi="ar-SA"/>
        </w:rPr>
        <w:t>根据《武昌区财政局关于政协武昌区委员会办公室20</w:t>
      </w:r>
      <w:r>
        <w:rPr>
          <w:rFonts w:hint="eastAsia" w:asciiTheme="majorEastAsia" w:hAnsiTheme="majorEastAsia" w:eastAsiaTheme="majorEastAsia" w:cstheme="majorEastAsia"/>
          <w:color w:val="auto"/>
          <w:kern w:val="2"/>
          <w:sz w:val="24"/>
          <w:szCs w:val="24"/>
          <w:highlight w:val="none"/>
          <w:u w:val="none"/>
          <w:lang w:val="en-US" w:eastAsia="zh-CN" w:bidi="ar-SA"/>
        </w:rPr>
        <w:t>20</w:t>
      </w:r>
      <w:r>
        <w:rPr>
          <w:rFonts w:hint="eastAsia" w:asciiTheme="majorEastAsia" w:hAnsiTheme="majorEastAsia" w:eastAsiaTheme="majorEastAsia" w:cstheme="majorEastAsia"/>
          <w:color w:val="auto"/>
          <w:kern w:val="2"/>
          <w:sz w:val="24"/>
          <w:szCs w:val="24"/>
          <w:highlight w:val="none"/>
          <w:u w:val="none"/>
          <w:lang w:val="zh-CN" w:eastAsia="zh-CN" w:bidi="ar-SA"/>
        </w:rPr>
        <w:t>年部门预算的批复》及武昌区行政</w:t>
      </w:r>
      <w:r>
        <w:rPr>
          <w:rFonts w:hint="eastAsia" w:asciiTheme="majorEastAsia" w:hAnsiTheme="majorEastAsia" w:eastAsiaTheme="majorEastAsia" w:cstheme="majorEastAsia"/>
          <w:color w:val="auto"/>
          <w:kern w:val="2"/>
          <w:sz w:val="24"/>
          <w:szCs w:val="24"/>
          <w:highlight w:val="none"/>
          <w:u w:val="none"/>
          <w:lang w:val="en-US" w:eastAsia="zh-CN" w:bidi="ar-SA"/>
        </w:rPr>
        <w:t>事</w:t>
      </w:r>
      <w:r>
        <w:rPr>
          <w:rFonts w:hint="eastAsia" w:asciiTheme="majorEastAsia" w:hAnsiTheme="majorEastAsia" w:eastAsiaTheme="majorEastAsia" w:cstheme="majorEastAsia"/>
          <w:color w:val="auto"/>
          <w:kern w:val="2"/>
          <w:sz w:val="24"/>
          <w:szCs w:val="24"/>
          <w:highlight w:val="none"/>
          <w:u w:val="none"/>
          <w:lang w:val="zh-CN" w:eastAsia="zh-CN" w:bidi="ar-SA"/>
        </w:rPr>
        <w:t>业单位20</w:t>
      </w:r>
      <w:r>
        <w:rPr>
          <w:rFonts w:hint="eastAsia" w:asciiTheme="majorEastAsia" w:hAnsiTheme="majorEastAsia" w:eastAsiaTheme="majorEastAsia" w:cstheme="majorEastAsia"/>
          <w:color w:val="auto"/>
          <w:kern w:val="2"/>
          <w:sz w:val="24"/>
          <w:szCs w:val="24"/>
          <w:highlight w:val="none"/>
          <w:u w:val="none"/>
          <w:lang w:val="en-US" w:eastAsia="zh-CN" w:bidi="ar-SA"/>
        </w:rPr>
        <w:t>20</w:t>
      </w:r>
      <w:r>
        <w:rPr>
          <w:rFonts w:hint="eastAsia" w:asciiTheme="majorEastAsia" w:hAnsiTheme="majorEastAsia" w:eastAsiaTheme="majorEastAsia" w:cstheme="majorEastAsia"/>
          <w:color w:val="auto"/>
          <w:kern w:val="2"/>
          <w:sz w:val="24"/>
          <w:szCs w:val="24"/>
          <w:highlight w:val="none"/>
          <w:u w:val="none"/>
          <w:lang w:val="zh-CN" w:eastAsia="zh-CN" w:bidi="ar-SA"/>
        </w:rPr>
        <w:t>年综合财政预算收支分配表，</w:t>
      </w:r>
      <w:r>
        <w:rPr>
          <w:rFonts w:hint="eastAsia" w:asciiTheme="majorEastAsia" w:hAnsiTheme="majorEastAsia" w:eastAsiaTheme="majorEastAsia" w:cstheme="majorEastAsia"/>
          <w:color w:val="auto"/>
          <w:kern w:val="2"/>
          <w:sz w:val="24"/>
          <w:szCs w:val="24"/>
          <w:highlight w:val="none"/>
          <w:u w:val="none"/>
          <w:lang w:val="en-US" w:eastAsia="zh-CN" w:bidi="ar-SA"/>
        </w:rPr>
        <w:t>武昌</w:t>
      </w:r>
      <w:r>
        <w:rPr>
          <w:rFonts w:hint="eastAsia" w:asciiTheme="majorEastAsia" w:hAnsiTheme="majorEastAsia" w:eastAsiaTheme="majorEastAsia" w:cstheme="majorEastAsia"/>
          <w:color w:val="auto"/>
          <w:kern w:val="2"/>
          <w:sz w:val="24"/>
          <w:szCs w:val="24"/>
          <w:highlight w:val="none"/>
          <w:u w:val="none"/>
          <w:lang w:val="zh-CN" w:eastAsia="zh-CN" w:bidi="ar-SA"/>
        </w:rPr>
        <w:t>区政协“</w:t>
      </w:r>
      <w:r>
        <w:rPr>
          <w:rFonts w:hint="eastAsia" w:ascii="宋体" w:hAnsi="宋体" w:eastAsia="宋体" w:cs="宋体"/>
          <w:color w:val="auto"/>
          <w:sz w:val="24"/>
          <w:szCs w:val="24"/>
          <w:highlight w:val="none"/>
          <w:lang w:val="en-US" w:eastAsia="zh-CN"/>
        </w:rPr>
        <w:t>委员视察活动经费</w:t>
      </w:r>
      <w:r>
        <w:rPr>
          <w:rFonts w:hint="eastAsia" w:asciiTheme="majorEastAsia" w:hAnsiTheme="majorEastAsia" w:eastAsiaTheme="majorEastAsia" w:cstheme="majorEastAsia"/>
          <w:color w:val="auto"/>
          <w:kern w:val="2"/>
          <w:sz w:val="24"/>
          <w:szCs w:val="24"/>
          <w:highlight w:val="none"/>
          <w:u w:val="none"/>
          <w:lang w:val="zh-CN" w:eastAsia="zh-CN" w:bidi="ar-SA"/>
        </w:rPr>
        <w:t>”项目预算批复的年初预算收支</w:t>
      </w:r>
      <w:r>
        <w:rPr>
          <w:rFonts w:hint="eastAsia" w:asciiTheme="majorEastAsia" w:hAnsiTheme="majorEastAsia" w:eastAsiaTheme="majorEastAsia" w:cstheme="majorEastAsia"/>
          <w:color w:val="auto"/>
          <w:kern w:val="2"/>
          <w:sz w:val="24"/>
          <w:szCs w:val="24"/>
          <w:highlight w:val="none"/>
          <w:u w:val="none"/>
          <w:lang w:val="en-US" w:eastAsia="zh-CN" w:bidi="ar-SA"/>
        </w:rPr>
        <w:t>134.6万</w:t>
      </w:r>
      <w:r>
        <w:rPr>
          <w:rFonts w:hint="eastAsia" w:asciiTheme="majorEastAsia" w:hAnsiTheme="majorEastAsia" w:eastAsiaTheme="majorEastAsia" w:cstheme="majorEastAsia"/>
          <w:color w:val="auto"/>
          <w:kern w:val="2"/>
          <w:sz w:val="24"/>
          <w:szCs w:val="24"/>
          <w:highlight w:val="none"/>
          <w:u w:val="none"/>
          <w:lang w:val="zh-CN" w:eastAsia="zh-CN" w:bidi="ar-SA"/>
        </w:rPr>
        <w:t>元，</w:t>
      </w:r>
      <w:r>
        <w:rPr>
          <w:rFonts w:hint="eastAsia" w:asciiTheme="majorEastAsia" w:hAnsiTheme="majorEastAsia" w:eastAsiaTheme="majorEastAsia" w:cstheme="majorEastAsia"/>
          <w:color w:val="auto"/>
          <w:kern w:val="2"/>
          <w:sz w:val="24"/>
          <w:szCs w:val="24"/>
          <w:highlight w:val="none"/>
          <w:u w:val="none"/>
          <w:lang w:val="en-US" w:eastAsia="zh-CN" w:bidi="ar-SA"/>
        </w:rPr>
        <w:t>预算全部来源于区级</w:t>
      </w:r>
      <w:r>
        <w:rPr>
          <w:rFonts w:hint="eastAsia" w:asciiTheme="majorEastAsia" w:hAnsiTheme="majorEastAsia" w:eastAsiaTheme="majorEastAsia" w:cstheme="majorEastAsia"/>
          <w:color w:val="auto"/>
          <w:kern w:val="2"/>
          <w:sz w:val="24"/>
          <w:szCs w:val="24"/>
          <w:highlight w:val="none"/>
          <w:u w:val="none"/>
          <w:lang w:val="zh-CN" w:eastAsia="zh-CN" w:bidi="ar-SA"/>
        </w:rPr>
        <w:t>财政拨款。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ajorEastAsia" w:hAnsiTheme="majorEastAsia" w:eastAsiaTheme="majorEastAsia" w:cstheme="majorEastAsia"/>
          <w:color w:val="auto"/>
          <w:kern w:val="2"/>
          <w:sz w:val="24"/>
          <w:szCs w:val="24"/>
          <w:highlight w:val="none"/>
          <w:u w:val="none"/>
          <w:lang w:val="en-US" w:eastAsia="zh-CN" w:bidi="ar-SA"/>
        </w:rPr>
      </w:pPr>
      <w:r>
        <w:rPr>
          <w:rFonts w:hint="eastAsia" w:asciiTheme="majorEastAsia" w:hAnsiTheme="majorEastAsia" w:eastAsiaTheme="majorEastAsia" w:cstheme="majorEastAsia"/>
          <w:color w:val="auto"/>
          <w:kern w:val="2"/>
          <w:sz w:val="24"/>
          <w:szCs w:val="24"/>
          <w:highlight w:val="none"/>
          <w:u w:val="none"/>
          <w:lang w:val="en-US" w:eastAsia="zh-CN" w:bidi="ar-SA"/>
        </w:rPr>
        <w:t>资金主要用于课题研究经费、开展界别活动、发放聘用人员工资、购买办公用品、看望政协委员及供在职人员外出培训等。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1"/>
        <w:rPr>
          <w:rFonts w:hint="eastAsia" w:asciiTheme="majorEastAsia" w:hAnsiTheme="majorEastAsia" w:eastAsiaTheme="majorEastAsia" w:cstheme="majorEastAsia"/>
          <w:b/>
          <w:bCs/>
          <w:color w:val="auto"/>
          <w:kern w:val="2"/>
          <w:sz w:val="24"/>
          <w:szCs w:val="24"/>
          <w:lang w:val="en-US" w:eastAsia="zh-CN" w:bidi="ar-SA"/>
        </w:rPr>
      </w:pPr>
      <w:bookmarkStart w:id="12" w:name="_Toc3741"/>
      <w:r>
        <w:rPr>
          <w:rFonts w:hint="eastAsia" w:asciiTheme="majorEastAsia" w:hAnsiTheme="majorEastAsia" w:eastAsiaTheme="majorEastAsia" w:cstheme="majorEastAsia"/>
          <w:b/>
          <w:bCs/>
          <w:color w:val="auto"/>
          <w:kern w:val="2"/>
          <w:sz w:val="24"/>
          <w:szCs w:val="24"/>
          <w:lang w:val="en-US" w:eastAsia="zh-CN" w:bidi="ar-SA"/>
        </w:rPr>
        <w:t>（四）项目实施情况</w:t>
      </w:r>
      <w:bookmarkEnd w:id="1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ajorEastAsia" w:hAnsiTheme="majorEastAsia" w:eastAsiaTheme="majorEastAsia" w:cstheme="majorEastAsia"/>
          <w:color w:val="auto"/>
          <w:sz w:val="24"/>
          <w:szCs w:val="24"/>
          <w:highlight w:val="none"/>
          <w:shd w:val="clear" w:color="auto" w:fill="auto"/>
          <w:lang w:val="en-US" w:eastAsia="zh-CN"/>
        </w:rPr>
      </w:pPr>
      <w:r>
        <w:rPr>
          <w:rFonts w:hint="eastAsia" w:asciiTheme="majorEastAsia" w:hAnsiTheme="majorEastAsia" w:eastAsiaTheme="majorEastAsia" w:cstheme="majorEastAsia"/>
          <w:color w:val="auto"/>
          <w:sz w:val="24"/>
          <w:szCs w:val="24"/>
          <w:highlight w:val="none"/>
          <w:lang w:val="en-US" w:eastAsia="zh-CN"/>
        </w:rPr>
        <w:t>武汉市</w:t>
      </w:r>
      <w:r>
        <w:rPr>
          <w:rFonts w:hint="eastAsia" w:asciiTheme="majorEastAsia" w:hAnsiTheme="majorEastAsia" w:eastAsiaTheme="majorEastAsia" w:cstheme="majorEastAsia"/>
          <w:color w:val="auto"/>
          <w:sz w:val="24"/>
          <w:szCs w:val="24"/>
          <w:highlight w:val="none"/>
          <w:shd w:val="clear" w:color="auto" w:fill="auto"/>
          <w:lang w:val="en-US" w:eastAsia="zh-CN"/>
        </w:rPr>
        <w:t>武昌区政协</w:t>
      </w:r>
      <w:r>
        <w:rPr>
          <w:rFonts w:hint="eastAsia" w:asciiTheme="majorEastAsia" w:hAnsiTheme="majorEastAsia" w:eastAsiaTheme="majorEastAsia" w:cstheme="majorEastAsia"/>
          <w:color w:val="auto"/>
          <w:sz w:val="24"/>
          <w:szCs w:val="24"/>
          <w:highlight w:val="none"/>
        </w:rPr>
        <w:t>根据省市部门相关文件精神，认真组织实施</w:t>
      </w:r>
      <w:r>
        <w:rPr>
          <w:rFonts w:hint="eastAsia" w:asciiTheme="majorEastAsia" w:hAnsiTheme="majorEastAsia" w:eastAsiaTheme="majorEastAsia" w:cstheme="majorEastAsia"/>
          <w:color w:val="auto"/>
          <w:sz w:val="24"/>
          <w:szCs w:val="24"/>
          <w:highlight w:val="none"/>
          <w:lang w:val="en-US" w:eastAsia="zh-CN"/>
        </w:rPr>
        <w:t>武昌区政协人员视察活动经费</w:t>
      </w:r>
      <w:r>
        <w:rPr>
          <w:rFonts w:hint="eastAsia" w:asciiTheme="majorEastAsia" w:hAnsiTheme="majorEastAsia" w:eastAsiaTheme="majorEastAsia" w:cstheme="majorEastAsia"/>
          <w:color w:val="auto"/>
          <w:sz w:val="24"/>
          <w:szCs w:val="24"/>
          <w:highlight w:val="none"/>
        </w:rPr>
        <w:t>项目，</w:t>
      </w:r>
      <w:r>
        <w:rPr>
          <w:rFonts w:hint="eastAsia" w:asciiTheme="majorEastAsia" w:hAnsiTheme="majorEastAsia" w:eastAsiaTheme="majorEastAsia" w:cstheme="majorEastAsia"/>
          <w:color w:val="auto"/>
          <w:sz w:val="24"/>
          <w:szCs w:val="24"/>
          <w:highlight w:val="none"/>
          <w:lang w:val="en-US" w:eastAsia="zh-CN"/>
        </w:rPr>
        <w:t>经费</w:t>
      </w:r>
      <w:r>
        <w:rPr>
          <w:rFonts w:hint="eastAsia" w:asciiTheme="majorEastAsia" w:hAnsiTheme="majorEastAsia" w:eastAsiaTheme="majorEastAsia" w:cstheme="majorEastAsia"/>
          <w:color w:val="auto"/>
          <w:kern w:val="2"/>
          <w:sz w:val="24"/>
          <w:szCs w:val="24"/>
          <w:highlight w:val="none"/>
          <w:u w:val="none"/>
          <w:lang w:val="en-US" w:eastAsia="zh-CN" w:bidi="ar-SA"/>
        </w:rPr>
        <w:t>主要用于课题研究经费、开展界别活动、发放聘用人员工资、购买办公用品、看望政协委员及供在职人员外出培训等。</w:t>
      </w:r>
      <w:r>
        <w:rPr>
          <w:rFonts w:hint="eastAsia" w:asciiTheme="majorEastAsia" w:hAnsiTheme="majorEastAsia" w:eastAsiaTheme="majorEastAsia" w:cstheme="majorEastAsia"/>
          <w:color w:val="auto"/>
          <w:sz w:val="24"/>
          <w:szCs w:val="24"/>
          <w:highlight w:val="none"/>
          <w:shd w:val="clear" w:color="auto" w:fill="auto"/>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ajorEastAsia" w:hAnsiTheme="majorEastAsia" w:eastAsiaTheme="majorEastAsia" w:cstheme="majorEastAsia"/>
          <w:color w:val="auto"/>
          <w:sz w:val="24"/>
          <w:szCs w:val="24"/>
          <w:highlight w:val="none"/>
          <w:shd w:val="clear" w:color="auto" w:fill="auto"/>
          <w:lang w:val="en-US" w:eastAsia="zh-CN"/>
        </w:rPr>
      </w:pPr>
      <w:r>
        <w:rPr>
          <w:rFonts w:hint="eastAsia" w:asciiTheme="majorEastAsia" w:hAnsiTheme="majorEastAsia" w:eastAsiaTheme="majorEastAsia" w:cstheme="majorEastAsia"/>
          <w:color w:val="auto"/>
          <w:sz w:val="24"/>
          <w:szCs w:val="24"/>
          <w:highlight w:val="none"/>
          <w:shd w:val="clear" w:color="auto" w:fill="auto"/>
          <w:lang w:val="en-US" w:eastAsia="zh-CN"/>
        </w:rPr>
        <w:t>武昌区政协完善委员学习培训体系，健全走访联系委员及所在单位常态化机制，激发委员双岗建功的热情和潜力，提升政协组织的凝聚力和影响力。</w:t>
      </w:r>
    </w:p>
    <w:p>
      <w:pPr>
        <w:pStyle w:val="2"/>
        <w:keepNext/>
        <w:keepLines/>
        <w:pageBreakBefore w:val="0"/>
        <w:widowControl w:val="0"/>
        <w:numPr>
          <w:ilvl w:val="0"/>
          <w:numId w:val="2"/>
        </w:numPr>
        <w:kinsoku/>
        <w:wordWrap/>
        <w:overflowPunct/>
        <w:topLinePunct w:val="0"/>
        <w:autoSpaceDE/>
        <w:autoSpaceDN/>
        <w:bidi w:val="0"/>
        <w:adjustRightInd/>
        <w:snapToGrid/>
        <w:spacing w:before="313" w:beforeLines="100" w:after="313" w:afterLines="100" w:line="360" w:lineRule="auto"/>
        <w:ind w:left="0" w:leftChars="0" w:firstLine="420" w:firstLineChars="0"/>
        <w:jc w:val="center"/>
        <w:textAlignment w:val="auto"/>
        <w:outlineLvl w:val="0"/>
        <w:rPr>
          <w:rFonts w:hint="eastAsia" w:asciiTheme="majorEastAsia" w:hAnsiTheme="majorEastAsia" w:eastAsiaTheme="majorEastAsia" w:cstheme="majorEastAsia"/>
          <w:color w:val="auto"/>
          <w:sz w:val="32"/>
          <w:szCs w:val="32"/>
          <w:highlight w:val="none"/>
          <w:lang w:val="en-US" w:eastAsia="zh-CN"/>
        </w:rPr>
      </w:pPr>
      <w:bookmarkStart w:id="13" w:name="_Toc32693"/>
      <w:r>
        <w:rPr>
          <w:rFonts w:hint="eastAsia" w:asciiTheme="majorEastAsia" w:hAnsiTheme="majorEastAsia" w:eastAsiaTheme="majorEastAsia" w:cstheme="majorEastAsia"/>
          <w:color w:val="auto"/>
          <w:sz w:val="32"/>
          <w:szCs w:val="32"/>
          <w:highlight w:val="none"/>
          <w:lang w:val="en-US" w:eastAsia="zh-CN"/>
        </w:rPr>
        <w:t>绩效评价工作情况</w:t>
      </w:r>
      <w:bookmarkEnd w:id="1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1"/>
        <w:rPr>
          <w:rFonts w:hint="eastAsia" w:asciiTheme="majorEastAsia" w:hAnsiTheme="majorEastAsia" w:eastAsiaTheme="majorEastAsia" w:cstheme="majorEastAsia"/>
          <w:b/>
          <w:bCs/>
          <w:color w:val="auto"/>
          <w:kern w:val="2"/>
          <w:sz w:val="24"/>
          <w:szCs w:val="24"/>
          <w:lang w:val="en-US" w:eastAsia="zh-CN" w:bidi="ar-SA"/>
        </w:rPr>
      </w:pPr>
      <w:bookmarkStart w:id="14" w:name="_Toc9653"/>
      <w:r>
        <w:rPr>
          <w:rFonts w:hint="eastAsia" w:asciiTheme="majorEastAsia" w:hAnsiTheme="majorEastAsia" w:eastAsiaTheme="majorEastAsia" w:cstheme="majorEastAsia"/>
          <w:b/>
          <w:bCs/>
          <w:color w:val="auto"/>
          <w:kern w:val="2"/>
          <w:sz w:val="24"/>
          <w:szCs w:val="24"/>
          <w:lang w:val="en-US" w:eastAsia="zh-CN" w:bidi="ar-SA"/>
        </w:rPr>
        <w:t>（一）绩效评价目的</w:t>
      </w:r>
      <w:bookmarkEnd w:id="14"/>
    </w:p>
    <w:p>
      <w:pPr>
        <w:pageBreakBefore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b/>
          <w:bCs/>
          <w:color w:val="auto"/>
          <w:sz w:val="30"/>
          <w:szCs w:val="30"/>
          <w:lang w:val="en-US" w:eastAsia="zh-CN"/>
        </w:rPr>
      </w:pPr>
      <w:r>
        <w:rPr>
          <w:rFonts w:hint="eastAsia" w:ascii="宋体" w:hAnsi="宋体" w:eastAsia="宋体" w:cs="宋体"/>
          <w:color w:val="auto"/>
          <w:sz w:val="24"/>
          <w:szCs w:val="24"/>
          <w:highlight w:val="none"/>
        </w:rPr>
        <w:t>为了进一步规范和加强对</w:t>
      </w:r>
      <w:r>
        <w:rPr>
          <w:rFonts w:hint="eastAsia" w:asciiTheme="majorEastAsia" w:hAnsiTheme="majorEastAsia" w:eastAsiaTheme="majorEastAsia" w:cstheme="majorEastAsia"/>
          <w:color w:val="auto"/>
          <w:sz w:val="24"/>
          <w:szCs w:val="24"/>
          <w:highlight w:val="none"/>
          <w:shd w:val="clear" w:color="auto" w:fill="auto"/>
          <w:lang w:val="en-US" w:eastAsia="zh-CN"/>
        </w:rPr>
        <w:t>2020年</w:t>
      </w:r>
      <w:r>
        <w:rPr>
          <w:rFonts w:hint="eastAsia" w:ascii="宋体" w:hAnsi="宋体" w:eastAsia="宋体" w:cs="宋体"/>
          <w:color w:val="auto"/>
          <w:sz w:val="24"/>
          <w:szCs w:val="24"/>
          <w:highlight w:val="none"/>
          <w:lang w:val="en-US" w:eastAsia="zh-CN"/>
        </w:rPr>
        <w:t>武昌区政协委员视察、界别组、街道联络委工作经费</w:t>
      </w:r>
      <w:r>
        <w:rPr>
          <w:rFonts w:hint="eastAsia" w:ascii="宋体" w:hAnsi="宋体" w:cs="宋体"/>
          <w:color w:val="auto"/>
          <w:sz w:val="24"/>
          <w:szCs w:val="24"/>
          <w:highlight w:val="none"/>
          <w:lang w:val="en-US" w:eastAsia="zh-CN"/>
        </w:rPr>
        <w:t>项目</w:t>
      </w:r>
      <w:r>
        <w:rPr>
          <w:rFonts w:hint="eastAsia" w:ascii="宋体" w:hAnsi="宋体" w:cs="宋体"/>
          <w:b w:val="0"/>
          <w:bCs w:val="0"/>
          <w:color w:val="auto"/>
          <w:kern w:val="2"/>
          <w:sz w:val="24"/>
          <w:szCs w:val="24"/>
          <w:highlight w:val="none"/>
          <w:lang w:val="en-US" w:eastAsia="zh-CN" w:bidi="ar-SA"/>
        </w:rPr>
        <w:t>资金</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分配和使用</w:t>
      </w:r>
      <w:r>
        <w:rPr>
          <w:rFonts w:hint="eastAsia" w:ascii="宋体" w:hAnsi="宋体" w:eastAsia="宋体" w:cs="宋体"/>
          <w:color w:val="auto"/>
          <w:sz w:val="24"/>
          <w:szCs w:val="24"/>
          <w:highlight w:val="none"/>
        </w:rPr>
        <w:t>管理，提高财政资金的使用效率，及时发现预算执行、资金使用管理中存在的问题</w:t>
      </w:r>
      <w:r>
        <w:rPr>
          <w:rFonts w:hint="eastAsia" w:ascii="宋体" w:hAnsi="宋体" w:eastAsia="宋体" w:cs="宋体"/>
          <w:color w:val="auto"/>
          <w:sz w:val="24"/>
          <w:szCs w:val="24"/>
          <w:highlight w:val="none"/>
          <w:lang w:eastAsia="zh-CN"/>
        </w:rPr>
        <w:t>。加强财政资金管理，提高财政资金的使用效益，为合理分配资金、优化支出提供</w:t>
      </w:r>
      <w:r>
        <w:rPr>
          <w:rFonts w:hint="eastAsia" w:ascii="宋体" w:hAnsi="宋体" w:cs="宋体"/>
          <w:color w:val="auto"/>
          <w:sz w:val="24"/>
          <w:szCs w:val="24"/>
          <w:highlight w:val="none"/>
          <w:lang w:val="en-US" w:eastAsia="zh-CN"/>
        </w:rPr>
        <w:t>参考</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1"/>
        <w:rPr>
          <w:rFonts w:hint="eastAsia" w:asciiTheme="majorEastAsia" w:hAnsiTheme="majorEastAsia" w:eastAsiaTheme="majorEastAsia" w:cstheme="majorEastAsia"/>
          <w:color w:val="auto"/>
          <w:sz w:val="24"/>
          <w:szCs w:val="24"/>
          <w:highlight w:val="none"/>
        </w:rPr>
      </w:pPr>
      <w:bookmarkStart w:id="15" w:name="_Toc20557"/>
      <w:r>
        <w:rPr>
          <w:rFonts w:hint="eastAsia" w:asciiTheme="majorEastAsia" w:hAnsiTheme="majorEastAsia" w:eastAsiaTheme="majorEastAsia" w:cstheme="majorEastAsia"/>
          <w:b/>
          <w:bCs/>
          <w:color w:val="auto"/>
          <w:kern w:val="2"/>
          <w:sz w:val="24"/>
          <w:szCs w:val="24"/>
          <w:lang w:val="en-US" w:eastAsia="zh-CN" w:bidi="ar-SA"/>
        </w:rPr>
        <w:t>（二）绩效评价框架</w:t>
      </w:r>
      <w:bookmarkEnd w:id="15"/>
    </w:p>
    <w:p>
      <w:pPr>
        <w:pStyle w:val="4"/>
        <w:keepNext/>
        <w:keepLines/>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482" w:firstLineChars="200"/>
        <w:jc w:val="left"/>
        <w:textAlignment w:val="auto"/>
        <w:outlineLvl w:val="2"/>
        <w:rPr>
          <w:rFonts w:hint="eastAsia" w:ascii="宋体" w:hAnsi="宋体" w:eastAsia="宋体" w:cs="宋体"/>
          <w:color w:val="FF0000"/>
          <w:sz w:val="24"/>
          <w:szCs w:val="24"/>
          <w:highlight w:val="none"/>
        </w:rPr>
      </w:pPr>
      <w:bookmarkStart w:id="16" w:name="_Toc1890"/>
      <w:r>
        <w:rPr>
          <w:rFonts w:hint="eastAsia" w:asciiTheme="majorEastAsia" w:hAnsiTheme="majorEastAsia" w:eastAsiaTheme="majorEastAsia" w:cstheme="majorEastAsia"/>
          <w:color w:val="auto"/>
          <w:sz w:val="24"/>
          <w:szCs w:val="24"/>
          <w:highlight w:val="none"/>
          <w:lang w:val="en-US" w:eastAsia="zh-CN"/>
        </w:rPr>
        <w:t>1、</w:t>
      </w:r>
      <w:r>
        <w:rPr>
          <w:rFonts w:hint="eastAsia" w:asciiTheme="majorEastAsia" w:hAnsiTheme="majorEastAsia" w:eastAsiaTheme="majorEastAsia" w:cstheme="majorEastAsia"/>
          <w:color w:val="auto"/>
          <w:sz w:val="24"/>
          <w:szCs w:val="24"/>
          <w:highlight w:val="none"/>
        </w:rPr>
        <w:t>绩效评价</w:t>
      </w:r>
      <w:bookmarkEnd w:id="16"/>
      <w:r>
        <w:rPr>
          <w:rFonts w:hint="eastAsia" w:asciiTheme="majorEastAsia" w:hAnsiTheme="majorEastAsia" w:eastAsiaTheme="majorEastAsia" w:cstheme="majorEastAsia"/>
          <w:color w:val="auto"/>
          <w:sz w:val="24"/>
          <w:szCs w:val="24"/>
          <w:highlight w:val="none"/>
          <w:lang w:eastAsia="zh-CN"/>
        </w:rPr>
        <w:t>依据</w:t>
      </w:r>
      <w:r>
        <w:rPr>
          <w:rFonts w:hint="eastAsia" w:asciiTheme="majorEastAsia" w:hAnsiTheme="majorEastAsia" w:eastAsiaTheme="majorEastAsia" w:cstheme="majorEastAsia"/>
          <w:color w:val="auto"/>
          <w:sz w:val="24"/>
          <w:szCs w:val="24"/>
          <w:highlight w:val="none"/>
          <w:lang w:val="en-US" w:eastAsia="zh-CN"/>
        </w:rPr>
        <w:t xml:space="preserve">  </w:t>
      </w:r>
    </w:p>
    <w:p>
      <w:pPr>
        <w:pStyle w:val="19"/>
        <w:keepNext w:val="0"/>
        <w:keepLines w:val="0"/>
        <w:pageBreakBefore w:val="0"/>
        <w:kinsoku/>
        <w:wordWrap/>
        <w:overflowPunct/>
        <w:topLinePunct w:val="0"/>
        <w:autoSpaceDE/>
        <w:autoSpaceDN/>
        <w:bidi w:val="0"/>
        <w:adjustRightInd/>
        <w:snapToGrid/>
        <w:spacing w:line="360" w:lineRule="auto"/>
        <w:ind w:left="0" w:leftChars="0" w:right="-115" w:rightChars="-55"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①</w:t>
      </w:r>
      <w:r>
        <w:rPr>
          <w:rFonts w:hint="eastAsia" w:asciiTheme="majorEastAsia" w:hAnsiTheme="majorEastAsia" w:eastAsiaTheme="majorEastAsia" w:cstheme="majorEastAsia"/>
          <w:color w:val="auto"/>
          <w:sz w:val="24"/>
          <w:szCs w:val="24"/>
          <w:highlight w:val="none"/>
        </w:rPr>
        <w:t>《预算绩效评价共性指标体系框架》（财预[2013]53号）；</w:t>
      </w:r>
    </w:p>
    <w:p>
      <w:pPr>
        <w:pStyle w:val="19"/>
        <w:keepNext w:val="0"/>
        <w:keepLines w:val="0"/>
        <w:pageBreakBefore w:val="0"/>
        <w:kinsoku/>
        <w:wordWrap/>
        <w:overflowPunct/>
        <w:topLinePunct w:val="0"/>
        <w:autoSpaceDE/>
        <w:autoSpaceDN/>
        <w:bidi w:val="0"/>
        <w:adjustRightInd/>
        <w:snapToGrid/>
        <w:spacing w:line="360" w:lineRule="auto"/>
        <w:ind w:left="0" w:leftChars="0" w:right="-115" w:rightChars="-55"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 xml:space="preserve">② </w:t>
      </w:r>
      <w:r>
        <w:rPr>
          <w:rFonts w:hint="eastAsia" w:asciiTheme="majorEastAsia" w:hAnsiTheme="majorEastAsia" w:eastAsiaTheme="majorEastAsia" w:cstheme="majorEastAsia"/>
          <w:color w:val="auto"/>
          <w:sz w:val="24"/>
          <w:szCs w:val="24"/>
          <w:highlight w:val="none"/>
        </w:rPr>
        <w:t>财政部《财政支出绩效评价管理暂行办法》（财预〔2011〕285号）；</w:t>
      </w:r>
    </w:p>
    <w:p>
      <w:pPr>
        <w:pStyle w:val="19"/>
        <w:keepNext w:val="0"/>
        <w:keepLines w:val="0"/>
        <w:pageBreakBefore w:val="0"/>
        <w:kinsoku/>
        <w:wordWrap/>
        <w:overflowPunct/>
        <w:topLinePunct w:val="0"/>
        <w:autoSpaceDE/>
        <w:autoSpaceDN/>
        <w:bidi w:val="0"/>
        <w:adjustRightInd/>
        <w:snapToGrid/>
        <w:spacing w:line="360" w:lineRule="auto"/>
        <w:ind w:left="0" w:leftChars="0" w:right="-115" w:rightChars="-55"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③</w:t>
      </w:r>
      <w:r>
        <w:rPr>
          <w:rFonts w:hint="eastAsia" w:asciiTheme="majorEastAsia" w:hAnsiTheme="majorEastAsia" w:eastAsiaTheme="majorEastAsia" w:cstheme="majorEastAsia"/>
          <w:color w:val="auto"/>
          <w:sz w:val="24"/>
          <w:szCs w:val="24"/>
          <w:highlight w:val="none"/>
        </w:rPr>
        <w:t>《财政支出（项目支出）绩效评价操作指引(试行)》（中评协[2014]70号）；</w:t>
      </w:r>
    </w:p>
    <w:p>
      <w:pPr>
        <w:pStyle w:val="19"/>
        <w:keepNext w:val="0"/>
        <w:keepLines w:val="0"/>
        <w:pageBreakBefore w:val="0"/>
        <w:kinsoku/>
        <w:wordWrap/>
        <w:overflowPunct/>
        <w:topLinePunct w:val="0"/>
        <w:autoSpaceDE/>
        <w:autoSpaceDN/>
        <w:bidi w:val="0"/>
        <w:adjustRightInd/>
        <w:snapToGrid/>
        <w:spacing w:line="360" w:lineRule="auto"/>
        <w:ind w:left="0" w:leftChars="0" w:right="-115" w:rightChars="-55"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④</w:t>
      </w:r>
      <w:r>
        <w:rPr>
          <w:rFonts w:hint="eastAsia" w:asciiTheme="majorEastAsia" w:hAnsiTheme="majorEastAsia" w:eastAsiaTheme="majorEastAsia" w:cstheme="majorEastAsia"/>
          <w:color w:val="auto"/>
          <w:sz w:val="24"/>
          <w:szCs w:val="24"/>
          <w:highlight w:val="none"/>
        </w:rPr>
        <w:t>《湖北省财政项目资金绩效评价操作指南》（鄂财函[2014]376号）；</w:t>
      </w:r>
    </w:p>
    <w:p>
      <w:pPr>
        <w:pStyle w:val="16"/>
        <w:keepNext w:val="0"/>
        <w:keepLines w:val="0"/>
        <w:pageBreakBefore w:val="0"/>
        <w:kinsoku/>
        <w:wordWrap/>
        <w:overflowPunct/>
        <w:topLinePunct w:val="0"/>
        <w:autoSpaceDE/>
        <w:autoSpaceDN/>
        <w:bidi w:val="0"/>
        <w:adjustRightInd/>
        <w:snapToGrid/>
        <w:spacing w:line="360" w:lineRule="auto"/>
        <w:ind w:left="0" w:lef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⑤</w:t>
      </w:r>
      <w:r>
        <w:rPr>
          <w:rFonts w:hint="eastAsia" w:asciiTheme="majorEastAsia" w:hAnsiTheme="majorEastAsia" w:eastAsiaTheme="majorEastAsia" w:cstheme="majorEastAsia"/>
          <w:color w:val="auto"/>
          <w:sz w:val="24"/>
          <w:szCs w:val="24"/>
          <w:highlight w:val="none"/>
        </w:rPr>
        <w:t>《湖北省省级财政项目资金绩效评价实施暂行办法》（鄂财绩发[2012]5号）；</w:t>
      </w:r>
    </w:p>
    <w:p>
      <w:pPr>
        <w:pStyle w:val="19"/>
        <w:keepNext w:val="0"/>
        <w:keepLines w:val="0"/>
        <w:pageBreakBefore w:val="0"/>
        <w:kinsoku/>
        <w:wordWrap/>
        <w:overflowPunct/>
        <w:topLinePunct w:val="0"/>
        <w:autoSpaceDE/>
        <w:autoSpaceDN/>
        <w:bidi w:val="0"/>
        <w:adjustRightInd/>
        <w:snapToGrid/>
        <w:spacing w:line="360" w:lineRule="auto"/>
        <w:ind w:left="0" w:leftChars="0" w:right="-115" w:rightChars="-55" w:firstLine="480" w:firstLineChars="200"/>
        <w:jc w:val="left"/>
        <w:textAlignment w:val="auto"/>
        <w:outlineLvl w:val="9"/>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val="en-US" w:eastAsia="zh-CN"/>
        </w:rPr>
        <w:t xml:space="preserve">⑥ </w:t>
      </w:r>
      <w:r>
        <w:rPr>
          <w:rFonts w:hint="eastAsia" w:asciiTheme="majorEastAsia" w:hAnsiTheme="majorEastAsia" w:eastAsiaTheme="majorEastAsia" w:cstheme="majorEastAsia"/>
          <w:color w:val="auto"/>
          <w:sz w:val="24"/>
          <w:szCs w:val="24"/>
          <w:highlight w:val="none"/>
        </w:rPr>
        <w:t>财政部《行政单位会计制度》、《事业单位会计制度》及补充规定</w:t>
      </w:r>
      <w:r>
        <w:rPr>
          <w:rFonts w:hint="eastAsia" w:asciiTheme="majorEastAsia" w:hAnsiTheme="majorEastAsia" w:eastAsiaTheme="majorEastAsia" w:cstheme="majorEastAsia"/>
          <w:color w:val="auto"/>
          <w:sz w:val="24"/>
          <w:szCs w:val="24"/>
          <w:highlight w:val="none"/>
          <w:lang w:eastAsia="zh-CN"/>
        </w:rPr>
        <w:t>。</w:t>
      </w:r>
    </w:p>
    <w:p>
      <w:pPr>
        <w:pStyle w:val="4"/>
        <w:keepNext/>
        <w:keepLines/>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482" w:firstLineChars="200"/>
        <w:jc w:val="left"/>
        <w:textAlignment w:val="auto"/>
        <w:outlineLvl w:val="2"/>
        <w:rPr>
          <w:rFonts w:hint="eastAsia" w:asciiTheme="majorEastAsia" w:hAnsiTheme="majorEastAsia" w:eastAsiaTheme="majorEastAsia" w:cstheme="majorEastAsia"/>
          <w:color w:val="auto"/>
          <w:sz w:val="24"/>
          <w:szCs w:val="24"/>
          <w:highlight w:val="none"/>
          <w:lang w:val="en-US" w:eastAsia="zh-CN"/>
        </w:rPr>
      </w:pPr>
      <w:bookmarkStart w:id="17" w:name="_Toc9671"/>
      <w:r>
        <w:rPr>
          <w:rFonts w:hint="eastAsia" w:asciiTheme="majorEastAsia" w:hAnsiTheme="majorEastAsia" w:eastAsiaTheme="majorEastAsia" w:cstheme="majorEastAsia"/>
          <w:color w:val="auto"/>
          <w:sz w:val="24"/>
          <w:szCs w:val="24"/>
          <w:highlight w:val="none"/>
          <w:lang w:val="en-US" w:eastAsia="zh-CN"/>
        </w:rPr>
        <w:t>2.绩效评价等级标准</w:t>
      </w:r>
      <w:bookmarkEnd w:id="17"/>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依据</w:t>
      </w:r>
      <w:r>
        <w:rPr>
          <w:rFonts w:hint="eastAsia" w:ascii="宋体" w:hAnsi="宋体" w:eastAsia="宋体" w:cs="宋体"/>
          <w:color w:val="auto"/>
          <w:kern w:val="2"/>
          <w:sz w:val="24"/>
          <w:szCs w:val="24"/>
          <w:highlight w:val="none"/>
          <w:lang w:val="en-US" w:eastAsia="zh-CN" w:bidi="ar-SA"/>
        </w:rPr>
        <w:t>《武昌区财政局关于开展201</w:t>
      </w:r>
      <w:r>
        <w:rPr>
          <w:rFonts w:hint="eastAsia" w:ascii="宋体" w:hAnsi="宋体" w:cs="宋体"/>
          <w:color w:val="auto"/>
          <w:kern w:val="2"/>
          <w:sz w:val="24"/>
          <w:szCs w:val="24"/>
          <w:highlight w:val="none"/>
          <w:lang w:val="en-US" w:eastAsia="zh-CN" w:bidi="ar-SA"/>
        </w:rPr>
        <w:t>9</w:t>
      </w:r>
      <w:r>
        <w:rPr>
          <w:rFonts w:hint="eastAsia" w:ascii="宋体" w:hAnsi="宋体" w:eastAsia="宋体" w:cs="宋体"/>
          <w:color w:val="auto"/>
          <w:kern w:val="2"/>
          <w:sz w:val="24"/>
          <w:szCs w:val="24"/>
          <w:highlight w:val="none"/>
          <w:lang w:val="en-US" w:eastAsia="zh-CN" w:bidi="ar-SA"/>
        </w:rPr>
        <w:t>年区级财政支出绩效评价工作的通知</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，将评分结果级别类型分为如下档次：</w:t>
      </w:r>
    </w:p>
    <w:p>
      <w:pPr>
        <w:pStyle w:val="16"/>
        <w:keepNext w:val="0"/>
        <w:keepLines w:val="0"/>
        <w:pageBreakBefore w:val="0"/>
        <w:kinsoku/>
        <w:wordWrap/>
        <w:overflowPunct/>
        <w:topLinePunct w:val="0"/>
        <w:autoSpaceDE/>
        <w:autoSpaceDN/>
        <w:bidi w:val="0"/>
        <w:adjustRightInd/>
        <w:snapToGrid/>
        <w:spacing w:line="360" w:lineRule="auto"/>
        <w:ind w:firstLine="2650" w:firstLineChars="1100"/>
        <w:jc w:val="both"/>
        <w:textAlignment w:val="auto"/>
        <w:outlineLvl w:val="9"/>
        <w:rPr>
          <w:rFonts w:hint="eastAsia" w:ascii="宋体" w:hAnsi="宋体" w:cs="宋体"/>
          <w:color w:val="auto"/>
          <w:sz w:val="24"/>
          <w:szCs w:val="24"/>
          <w:highlight w:val="none"/>
        </w:rPr>
      </w:pPr>
      <w:bookmarkStart w:id="18" w:name="_Toc29723_WPSOffice_Level3"/>
      <w:r>
        <w:rPr>
          <w:rFonts w:hint="eastAsia" w:ascii="楷体" w:hAnsi="楷体" w:eastAsia="楷体" w:cs="楷体"/>
          <w:b/>
          <w:color w:val="auto"/>
          <w:sz w:val="24"/>
          <w:szCs w:val="24"/>
          <w:highlight w:val="none"/>
          <w:lang w:eastAsia="zh-CN"/>
        </w:rPr>
        <w:t>表</w:t>
      </w:r>
      <w:r>
        <w:rPr>
          <w:rFonts w:hint="eastAsia" w:ascii="楷体" w:hAnsi="楷体" w:eastAsia="楷体" w:cs="楷体"/>
          <w:b/>
          <w:color w:val="auto"/>
          <w:sz w:val="24"/>
          <w:szCs w:val="24"/>
          <w:highlight w:val="none"/>
          <w:lang w:val="en-US" w:eastAsia="zh-CN"/>
        </w:rPr>
        <w:t xml:space="preserve">2   </w:t>
      </w:r>
      <w:r>
        <w:rPr>
          <w:rFonts w:hint="eastAsia" w:ascii="楷体" w:hAnsi="楷体" w:eastAsia="楷体" w:cs="楷体"/>
          <w:b/>
          <w:color w:val="auto"/>
          <w:sz w:val="24"/>
          <w:szCs w:val="24"/>
          <w:highlight w:val="none"/>
        </w:rPr>
        <w:t>评分结果级别评定对照表</w:t>
      </w:r>
      <w:bookmarkEnd w:id="18"/>
    </w:p>
    <w:tbl>
      <w:tblPr>
        <w:tblStyle w:val="13"/>
        <w:tblW w:w="4281" w:type="dxa"/>
        <w:jc w:val="center"/>
        <w:tblLayout w:type="fixed"/>
        <w:tblCellMar>
          <w:top w:w="0" w:type="dxa"/>
          <w:left w:w="108" w:type="dxa"/>
          <w:bottom w:w="0" w:type="dxa"/>
          <w:right w:w="108" w:type="dxa"/>
        </w:tblCellMar>
      </w:tblPr>
      <w:tblGrid>
        <w:gridCol w:w="2534"/>
        <w:gridCol w:w="1747"/>
      </w:tblGrid>
      <w:tr>
        <w:tblPrEx>
          <w:tblCellMar>
            <w:top w:w="0" w:type="dxa"/>
            <w:left w:w="108" w:type="dxa"/>
            <w:bottom w:w="0" w:type="dxa"/>
            <w:right w:w="108" w:type="dxa"/>
          </w:tblCellMar>
        </w:tblPrEx>
        <w:trPr>
          <w:trHeight w:val="498" w:hRule="exact"/>
          <w:jc w:val="center"/>
        </w:trPr>
        <w:tc>
          <w:tcPr>
            <w:tcW w:w="2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auto"/>
                <w:kern w:val="0"/>
                <w:sz w:val="21"/>
                <w:szCs w:val="21"/>
                <w:u w:val="none"/>
                <w:lang w:val="en-US" w:eastAsia="zh-CN" w:bidi="ar"/>
              </w:rPr>
            </w:pPr>
            <w:r>
              <w:rPr>
                <w:rFonts w:hint="eastAsia" w:ascii="楷体_GB2312" w:hAnsi="宋体" w:eastAsia="楷体_GB2312" w:cs="楷体_GB2312"/>
                <w:b w:val="0"/>
                <w:bCs/>
                <w:i w:val="0"/>
                <w:color w:val="auto"/>
                <w:kern w:val="0"/>
                <w:sz w:val="21"/>
                <w:szCs w:val="21"/>
                <w:u w:val="none"/>
                <w:lang w:val="en-US" w:eastAsia="zh-CN" w:bidi="ar"/>
              </w:rPr>
              <w:t>评分计分结果</w:t>
            </w:r>
          </w:p>
        </w:tc>
        <w:tc>
          <w:tcPr>
            <w:tcW w:w="17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auto"/>
                <w:kern w:val="0"/>
                <w:sz w:val="21"/>
                <w:szCs w:val="21"/>
                <w:u w:val="none"/>
                <w:lang w:val="en-US" w:eastAsia="zh-CN" w:bidi="ar"/>
              </w:rPr>
            </w:pPr>
            <w:r>
              <w:rPr>
                <w:rFonts w:hint="eastAsia" w:ascii="楷体_GB2312" w:hAnsi="宋体" w:eastAsia="楷体_GB2312" w:cs="楷体_GB2312"/>
                <w:b w:val="0"/>
                <w:bCs/>
                <w:i w:val="0"/>
                <w:color w:val="auto"/>
                <w:kern w:val="0"/>
                <w:sz w:val="21"/>
                <w:szCs w:val="21"/>
                <w:u w:val="none"/>
                <w:lang w:val="en-US" w:eastAsia="zh-CN" w:bidi="ar"/>
              </w:rPr>
              <w:t>评价结果级别</w:t>
            </w:r>
          </w:p>
        </w:tc>
      </w:tr>
      <w:tr>
        <w:tblPrEx>
          <w:tblCellMar>
            <w:top w:w="0" w:type="dxa"/>
            <w:left w:w="108" w:type="dxa"/>
            <w:bottom w:w="0" w:type="dxa"/>
            <w:right w:w="108" w:type="dxa"/>
          </w:tblCellMar>
        </w:tblPrEx>
        <w:trPr>
          <w:trHeight w:val="448" w:hRule="exact"/>
          <w:jc w:val="center"/>
        </w:trPr>
        <w:tc>
          <w:tcPr>
            <w:tcW w:w="2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auto"/>
                <w:kern w:val="0"/>
                <w:sz w:val="21"/>
                <w:szCs w:val="21"/>
                <w:u w:val="none"/>
                <w:lang w:val="en-US" w:eastAsia="zh-CN" w:bidi="ar"/>
              </w:rPr>
            </w:pPr>
            <w:r>
              <w:rPr>
                <w:rFonts w:hint="eastAsia" w:ascii="楷体_GB2312" w:hAnsi="宋体" w:eastAsia="楷体_GB2312" w:cs="楷体_GB2312"/>
                <w:b w:val="0"/>
                <w:bCs/>
                <w:i w:val="0"/>
                <w:color w:val="auto"/>
                <w:kern w:val="0"/>
                <w:sz w:val="21"/>
                <w:szCs w:val="21"/>
                <w:u w:val="none"/>
                <w:lang w:val="en-US" w:eastAsia="zh-CN" w:bidi="ar"/>
              </w:rPr>
              <w:t>90-100分（含90分）</w:t>
            </w:r>
          </w:p>
        </w:tc>
        <w:tc>
          <w:tcPr>
            <w:tcW w:w="17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auto"/>
                <w:kern w:val="0"/>
                <w:sz w:val="21"/>
                <w:szCs w:val="21"/>
                <w:u w:val="none"/>
                <w:lang w:val="en-US" w:eastAsia="zh-CN" w:bidi="ar"/>
              </w:rPr>
            </w:pPr>
            <w:r>
              <w:rPr>
                <w:rFonts w:hint="eastAsia" w:ascii="楷体_GB2312" w:hAnsi="宋体" w:eastAsia="楷体_GB2312" w:cs="楷体_GB2312"/>
                <w:b w:val="0"/>
                <w:bCs/>
                <w:i w:val="0"/>
                <w:color w:val="auto"/>
                <w:kern w:val="0"/>
                <w:sz w:val="21"/>
                <w:szCs w:val="21"/>
                <w:u w:val="none"/>
                <w:lang w:val="en-US" w:eastAsia="zh-CN" w:bidi="ar"/>
              </w:rPr>
              <w:t>优</w:t>
            </w:r>
          </w:p>
        </w:tc>
      </w:tr>
      <w:tr>
        <w:tblPrEx>
          <w:tblCellMar>
            <w:top w:w="0" w:type="dxa"/>
            <w:left w:w="108" w:type="dxa"/>
            <w:bottom w:w="0" w:type="dxa"/>
            <w:right w:w="108" w:type="dxa"/>
          </w:tblCellMar>
        </w:tblPrEx>
        <w:trPr>
          <w:trHeight w:val="448" w:hRule="exact"/>
          <w:jc w:val="center"/>
        </w:trPr>
        <w:tc>
          <w:tcPr>
            <w:tcW w:w="2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000000"/>
                <w:kern w:val="0"/>
                <w:sz w:val="21"/>
                <w:szCs w:val="21"/>
                <w:u w:val="none"/>
                <w:lang w:val="en-US" w:eastAsia="zh-CN" w:bidi="ar"/>
              </w:rPr>
            </w:pPr>
            <w:r>
              <w:rPr>
                <w:rFonts w:hint="eastAsia" w:ascii="楷体_GB2312" w:hAnsi="宋体" w:eastAsia="楷体_GB2312" w:cs="楷体_GB2312"/>
                <w:b w:val="0"/>
                <w:bCs/>
                <w:i w:val="0"/>
                <w:color w:val="000000"/>
                <w:kern w:val="0"/>
                <w:sz w:val="21"/>
                <w:szCs w:val="21"/>
                <w:u w:val="none"/>
                <w:lang w:val="en-US" w:eastAsia="zh-CN" w:bidi="ar"/>
              </w:rPr>
              <w:t>80-90分（含80分）</w:t>
            </w:r>
          </w:p>
        </w:tc>
        <w:tc>
          <w:tcPr>
            <w:tcW w:w="17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000000"/>
                <w:kern w:val="0"/>
                <w:sz w:val="21"/>
                <w:szCs w:val="21"/>
                <w:u w:val="none"/>
                <w:lang w:val="en-US" w:eastAsia="zh-CN" w:bidi="ar"/>
              </w:rPr>
            </w:pPr>
            <w:r>
              <w:rPr>
                <w:rFonts w:hint="eastAsia" w:ascii="楷体_GB2312" w:hAnsi="宋体" w:eastAsia="楷体_GB2312" w:cs="楷体_GB2312"/>
                <w:b w:val="0"/>
                <w:bCs/>
                <w:i w:val="0"/>
                <w:color w:val="000000"/>
                <w:kern w:val="0"/>
                <w:sz w:val="21"/>
                <w:szCs w:val="21"/>
                <w:u w:val="none"/>
                <w:lang w:val="en-US" w:eastAsia="zh-CN" w:bidi="ar"/>
              </w:rPr>
              <w:t>良</w:t>
            </w:r>
          </w:p>
        </w:tc>
      </w:tr>
      <w:tr>
        <w:tblPrEx>
          <w:tblCellMar>
            <w:top w:w="0" w:type="dxa"/>
            <w:left w:w="108" w:type="dxa"/>
            <w:bottom w:w="0" w:type="dxa"/>
            <w:right w:w="108" w:type="dxa"/>
          </w:tblCellMar>
        </w:tblPrEx>
        <w:trPr>
          <w:trHeight w:val="448" w:hRule="exact"/>
          <w:jc w:val="center"/>
        </w:trPr>
        <w:tc>
          <w:tcPr>
            <w:tcW w:w="2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000000"/>
                <w:kern w:val="0"/>
                <w:sz w:val="21"/>
                <w:szCs w:val="21"/>
                <w:u w:val="none"/>
                <w:lang w:val="en-US" w:eastAsia="zh-CN" w:bidi="ar"/>
              </w:rPr>
            </w:pPr>
            <w:r>
              <w:rPr>
                <w:rFonts w:hint="eastAsia" w:ascii="楷体_GB2312" w:hAnsi="宋体" w:eastAsia="楷体_GB2312" w:cs="楷体_GB2312"/>
                <w:b w:val="0"/>
                <w:bCs/>
                <w:i w:val="0"/>
                <w:color w:val="000000"/>
                <w:kern w:val="0"/>
                <w:sz w:val="21"/>
                <w:szCs w:val="21"/>
                <w:u w:val="none"/>
                <w:lang w:val="en-US" w:eastAsia="zh-CN" w:bidi="ar"/>
              </w:rPr>
              <w:t>60-80分（含60分）</w:t>
            </w:r>
          </w:p>
        </w:tc>
        <w:tc>
          <w:tcPr>
            <w:tcW w:w="17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000000"/>
                <w:kern w:val="0"/>
                <w:sz w:val="21"/>
                <w:szCs w:val="21"/>
                <w:u w:val="none"/>
                <w:lang w:val="en-US" w:eastAsia="zh-CN" w:bidi="ar"/>
              </w:rPr>
            </w:pPr>
            <w:r>
              <w:rPr>
                <w:rFonts w:hint="eastAsia" w:ascii="楷体_GB2312" w:hAnsi="宋体" w:eastAsia="楷体_GB2312" w:cs="楷体_GB2312"/>
                <w:b w:val="0"/>
                <w:bCs/>
                <w:i w:val="0"/>
                <w:color w:val="000000"/>
                <w:kern w:val="0"/>
                <w:sz w:val="21"/>
                <w:szCs w:val="21"/>
                <w:u w:val="none"/>
                <w:lang w:val="en-US" w:eastAsia="zh-CN" w:bidi="ar"/>
              </w:rPr>
              <w:t>中</w:t>
            </w:r>
          </w:p>
        </w:tc>
      </w:tr>
      <w:tr>
        <w:tblPrEx>
          <w:tblCellMar>
            <w:top w:w="0" w:type="dxa"/>
            <w:left w:w="108" w:type="dxa"/>
            <w:bottom w:w="0" w:type="dxa"/>
            <w:right w:w="108" w:type="dxa"/>
          </w:tblCellMar>
        </w:tblPrEx>
        <w:trPr>
          <w:trHeight w:val="448" w:hRule="exact"/>
          <w:jc w:val="center"/>
        </w:trPr>
        <w:tc>
          <w:tcPr>
            <w:tcW w:w="2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000000"/>
                <w:kern w:val="0"/>
                <w:sz w:val="21"/>
                <w:szCs w:val="21"/>
                <w:u w:val="none"/>
                <w:lang w:val="en-US" w:eastAsia="zh-CN" w:bidi="ar"/>
              </w:rPr>
            </w:pPr>
            <w:r>
              <w:rPr>
                <w:rFonts w:hint="eastAsia" w:ascii="楷体_GB2312" w:hAnsi="宋体" w:eastAsia="楷体_GB2312" w:cs="楷体_GB2312"/>
                <w:b w:val="0"/>
                <w:bCs/>
                <w:i w:val="0"/>
                <w:color w:val="000000"/>
                <w:kern w:val="0"/>
                <w:sz w:val="21"/>
                <w:szCs w:val="21"/>
                <w:u w:val="none"/>
                <w:lang w:val="en-US" w:eastAsia="zh-CN" w:bidi="ar"/>
              </w:rPr>
              <w:t>60分以下</w:t>
            </w:r>
          </w:p>
        </w:tc>
        <w:tc>
          <w:tcPr>
            <w:tcW w:w="17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000000"/>
                <w:kern w:val="0"/>
                <w:sz w:val="21"/>
                <w:szCs w:val="21"/>
                <w:u w:val="none"/>
                <w:lang w:val="en-US" w:eastAsia="zh-CN" w:bidi="ar"/>
              </w:rPr>
            </w:pPr>
            <w:r>
              <w:rPr>
                <w:rFonts w:hint="eastAsia" w:ascii="楷体_GB2312" w:hAnsi="宋体" w:eastAsia="楷体_GB2312" w:cs="楷体_GB2312"/>
                <w:b w:val="0"/>
                <w:bCs/>
                <w:i w:val="0"/>
                <w:color w:val="000000"/>
                <w:kern w:val="0"/>
                <w:sz w:val="21"/>
                <w:szCs w:val="21"/>
                <w:u w:val="none"/>
                <w:lang w:val="en-US" w:eastAsia="zh-CN" w:bidi="ar"/>
              </w:rPr>
              <w:t>差</w:t>
            </w:r>
          </w:p>
        </w:tc>
      </w:tr>
    </w:tbl>
    <w:p>
      <w:pPr>
        <w:outlineLvl w:val="9"/>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482" w:firstLineChars="200"/>
        <w:jc w:val="left"/>
        <w:textAlignment w:val="auto"/>
        <w:outlineLvl w:val="2"/>
        <w:rPr>
          <w:rFonts w:hint="eastAsia" w:asciiTheme="majorEastAsia" w:hAnsiTheme="majorEastAsia" w:eastAsiaTheme="majorEastAsia" w:cstheme="majorEastAsia"/>
          <w:color w:val="auto"/>
          <w:sz w:val="24"/>
          <w:szCs w:val="24"/>
          <w:highlight w:val="none"/>
          <w:lang w:val="en-US" w:eastAsia="zh-CN"/>
        </w:rPr>
      </w:pPr>
      <w:bookmarkStart w:id="19" w:name="_Toc1292"/>
      <w:r>
        <w:rPr>
          <w:rFonts w:hint="eastAsia" w:asciiTheme="majorEastAsia" w:hAnsiTheme="majorEastAsia" w:eastAsiaTheme="majorEastAsia" w:cstheme="majorEastAsia"/>
          <w:color w:val="auto"/>
          <w:sz w:val="24"/>
          <w:szCs w:val="24"/>
          <w:highlight w:val="none"/>
          <w:lang w:val="en-US" w:eastAsia="zh-CN"/>
        </w:rPr>
        <w:t>3．评价指标</w:t>
      </w:r>
      <w:bookmarkEnd w:id="19"/>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根据</w:t>
      </w:r>
      <w:r>
        <w:rPr>
          <w:rFonts w:hint="eastAsia" w:ascii="宋体" w:hAnsi="宋体" w:eastAsia="宋体" w:cs="宋体"/>
          <w:b w:val="0"/>
          <w:bCs/>
          <w:color w:val="auto"/>
          <w:sz w:val="24"/>
          <w:szCs w:val="24"/>
          <w:lang w:eastAsia="zh-CN"/>
        </w:rPr>
        <w:t>《武昌区人民政府关于加强预算绩效管理开展财政支出绩效评价的通知》（2014[052]号）、《武昌区财政支出绩效评价管理暂行办法》（武昌财预[2015]85号）</w:t>
      </w:r>
      <w:r>
        <w:rPr>
          <w:rFonts w:hint="eastAsia" w:ascii="宋体" w:hAnsi="宋体" w:eastAsia="宋体" w:cs="宋体"/>
          <w:b w:val="0"/>
          <w:bCs/>
          <w:color w:val="auto"/>
          <w:sz w:val="24"/>
          <w:szCs w:val="24"/>
          <w:lang w:val="en-US" w:eastAsia="zh-CN"/>
        </w:rPr>
        <w:t>，</w:t>
      </w:r>
      <w:r>
        <w:rPr>
          <w:rFonts w:hint="eastAsia" w:ascii="宋体" w:hAnsi="宋体" w:eastAsia="宋体" w:cs="宋体"/>
          <w:color w:val="auto"/>
          <w:kern w:val="2"/>
          <w:sz w:val="24"/>
          <w:szCs w:val="24"/>
          <w:highlight w:val="none"/>
          <w:lang w:val="en-US" w:eastAsia="zh-CN" w:bidi="ar-SA"/>
        </w:rPr>
        <w:t>《武昌区财政局关于开展201</w:t>
      </w:r>
      <w:r>
        <w:rPr>
          <w:rFonts w:hint="eastAsia" w:ascii="宋体" w:hAnsi="宋体" w:cs="宋体"/>
          <w:color w:val="auto"/>
          <w:kern w:val="2"/>
          <w:sz w:val="24"/>
          <w:szCs w:val="24"/>
          <w:highlight w:val="none"/>
          <w:lang w:val="en-US" w:eastAsia="zh-CN" w:bidi="ar-SA"/>
        </w:rPr>
        <w:t>9</w:t>
      </w:r>
      <w:r>
        <w:rPr>
          <w:rFonts w:hint="eastAsia" w:ascii="宋体" w:hAnsi="宋体" w:eastAsia="宋体" w:cs="宋体"/>
          <w:color w:val="auto"/>
          <w:kern w:val="2"/>
          <w:sz w:val="24"/>
          <w:szCs w:val="24"/>
          <w:highlight w:val="none"/>
          <w:lang w:val="en-US" w:eastAsia="zh-CN" w:bidi="ar-SA"/>
        </w:rPr>
        <w:t>年区级财政支出绩效评价工作的通知</w:t>
      </w:r>
      <w:r>
        <w:rPr>
          <w:rFonts w:hint="eastAsia" w:ascii="宋体" w:hAnsi="宋体" w:cs="宋体"/>
          <w:color w:val="auto"/>
          <w:sz w:val="24"/>
          <w:szCs w:val="24"/>
          <w:highlight w:val="none"/>
          <w:lang w:eastAsia="zh-CN"/>
        </w:rPr>
        <w:t>》</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结合本项目的具体情况，设计</w:t>
      </w:r>
      <w:r>
        <w:rPr>
          <w:rFonts w:hint="eastAsia" w:asciiTheme="minorEastAsia" w:hAnsiTheme="minorEastAsia" w:cstheme="minorEastAsia"/>
          <w:sz w:val="24"/>
          <w:szCs w:val="24"/>
          <w:lang w:val="en-US" w:eastAsia="zh-CN"/>
        </w:rPr>
        <w:t>了</w:t>
      </w:r>
      <w:r>
        <w:rPr>
          <w:rFonts w:hint="eastAsia" w:ascii="宋体" w:hAnsi="宋体" w:eastAsia="宋体" w:cs="宋体"/>
          <w:b w:val="0"/>
          <w:bCs/>
          <w:color w:val="auto"/>
          <w:sz w:val="24"/>
          <w:szCs w:val="24"/>
          <w:lang w:eastAsia="zh-CN"/>
        </w:rPr>
        <w:t>项目</w:t>
      </w:r>
      <w:r>
        <w:rPr>
          <w:rFonts w:hint="eastAsia" w:asciiTheme="minorEastAsia" w:hAnsiTheme="minorEastAsia" w:eastAsiaTheme="minorEastAsia" w:cstheme="minorEastAsia"/>
          <w:sz w:val="24"/>
          <w:szCs w:val="24"/>
        </w:rPr>
        <w:t>评价指标体系，从项目</w:t>
      </w:r>
      <w:r>
        <w:rPr>
          <w:rFonts w:hint="eastAsia" w:asciiTheme="minorEastAsia" w:hAnsiTheme="minorEastAsia" w:cstheme="minorEastAsia"/>
          <w:sz w:val="24"/>
          <w:szCs w:val="24"/>
          <w:lang w:val="en-US" w:eastAsia="zh-CN"/>
        </w:rPr>
        <w:t>投入（15%）</w:t>
      </w: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sz w:val="24"/>
          <w:szCs w:val="24"/>
          <w:lang w:val="en-US" w:eastAsia="zh-CN"/>
        </w:rPr>
        <w:t>过程</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highlight w:val="none"/>
          <w:lang w:eastAsia="zh-CN"/>
        </w:rPr>
        <w:t>项目</w:t>
      </w:r>
      <w:r>
        <w:rPr>
          <w:rFonts w:hint="eastAsia" w:asciiTheme="minorEastAsia" w:hAnsiTheme="minorEastAsia" w:eastAsiaTheme="minorEastAsia" w:cstheme="minorEastAsia"/>
          <w:sz w:val="24"/>
          <w:szCs w:val="24"/>
          <w:highlight w:val="none"/>
          <w:lang w:val="en-US" w:eastAsia="zh-CN"/>
        </w:rPr>
        <w:t>产出</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25%</w:t>
      </w:r>
      <w:r>
        <w:rPr>
          <w:rFonts w:hint="eastAsia" w:asciiTheme="minorEastAsia" w:hAnsiTheme="minorEastAsia" w:eastAsiaTheme="minorEastAsia" w:cstheme="minorEastAsia"/>
          <w:sz w:val="24"/>
          <w:szCs w:val="24"/>
          <w:highlight w:val="none"/>
          <w:lang w:eastAsia="zh-CN"/>
        </w:rPr>
        <w:t>）、项目</w:t>
      </w:r>
      <w:r>
        <w:rPr>
          <w:rFonts w:hint="eastAsia" w:asciiTheme="minorEastAsia" w:hAnsiTheme="minorEastAsia" w:eastAsiaTheme="minorEastAsia" w:cstheme="minorEastAsia"/>
          <w:sz w:val="24"/>
          <w:szCs w:val="24"/>
          <w:highlight w:val="none"/>
          <w:lang w:val="en-US" w:eastAsia="zh-CN"/>
        </w:rPr>
        <w:t>效益</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35%</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cstheme="minorEastAsia"/>
          <w:sz w:val="24"/>
          <w:szCs w:val="24"/>
          <w:highlight w:val="none"/>
          <w:lang w:val="en-US" w:eastAsia="zh-CN"/>
        </w:rPr>
        <w:t>四</w:t>
      </w:r>
      <w:r>
        <w:rPr>
          <w:rFonts w:hint="eastAsia" w:asciiTheme="minorEastAsia" w:hAnsiTheme="minorEastAsia" w:eastAsiaTheme="minorEastAsia" w:cstheme="minorEastAsia"/>
          <w:sz w:val="24"/>
          <w:szCs w:val="24"/>
          <w:highlight w:val="none"/>
        </w:rPr>
        <w:t>个维度，</w:t>
      </w:r>
      <w:r>
        <w:rPr>
          <w:rFonts w:hint="eastAsia" w:asciiTheme="minorEastAsia" w:hAnsiTheme="minorEastAsia" w:eastAsiaTheme="minorEastAsia" w:cstheme="minorEastAsia"/>
          <w:sz w:val="24"/>
          <w:szCs w:val="24"/>
          <w:lang w:val="en-US" w:eastAsia="zh-CN"/>
        </w:rPr>
        <w:t>对</w:t>
      </w:r>
      <w:r>
        <w:rPr>
          <w:rFonts w:hint="eastAsia" w:asciiTheme="minorEastAsia" w:hAnsiTheme="minorEastAsia" w:eastAsiaTheme="minorEastAsia" w:cstheme="minorEastAsia"/>
          <w:sz w:val="24"/>
          <w:szCs w:val="24"/>
        </w:rPr>
        <w:t>项目资金进行综合评价。</w:t>
      </w:r>
    </w:p>
    <w:p>
      <w:pPr>
        <w:spacing w:line="360" w:lineRule="auto"/>
        <w:ind w:firstLine="482" w:firstLineChars="200"/>
        <w:jc w:val="left"/>
        <w:rPr>
          <w:rFonts w:hint="eastAsia" w:ascii="楷体" w:hAnsi="楷体" w:eastAsia="楷体" w:cs="楷体"/>
          <w:b/>
          <w:bCs/>
          <w:sz w:val="24"/>
          <w:szCs w:val="24"/>
          <w:lang w:val="en-US" w:eastAsia="zh-CN"/>
        </w:rPr>
      </w:pPr>
    </w:p>
    <w:p>
      <w:pPr>
        <w:pStyle w:val="2"/>
        <w:keepNext/>
        <w:keepLines/>
        <w:pageBreakBefore w:val="0"/>
        <w:widowControl w:val="0"/>
        <w:numPr>
          <w:ilvl w:val="0"/>
          <w:numId w:val="2"/>
        </w:numPr>
        <w:kinsoku/>
        <w:wordWrap/>
        <w:overflowPunct/>
        <w:topLinePunct w:val="0"/>
        <w:autoSpaceDE/>
        <w:autoSpaceDN/>
        <w:bidi w:val="0"/>
        <w:adjustRightInd/>
        <w:snapToGrid/>
        <w:spacing w:before="313" w:beforeLines="100" w:after="313" w:afterLines="100" w:line="360" w:lineRule="auto"/>
        <w:ind w:left="0" w:leftChars="0" w:firstLine="420" w:firstLineChars="0"/>
        <w:jc w:val="center"/>
        <w:textAlignment w:val="auto"/>
        <w:outlineLvl w:val="0"/>
        <w:rPr>
          <w:rFonts w:hint="eastAsia" w:asciiTheme="majorEastAsia" w:hAnsiTheme="majorEastAsia" w:eastAsiaTheme="majorEastAsia" w:cstheme="majorEastAsia"/>
          <w:color w:val="auto"/>
          <w:sz w:val="32"/>
          <w:szCs w:val="32"/>
          <w:highlight w:val="none"/>
          <w:lang w:val="en-US" w:eastAsia="zh-CN"/>
        </w:rPr>
      </w:pPr>
      <w:bookmarkStart w:id="20" w:name="_Toc30097"/>
      <w:r>
        <w:rPr>
          <w:rFonts w:hint="eastAsia" w:asciiTheme="majorEastAsia" w:hAnsiTheme="majorEastAsia" w:eastAsiaTheme="majorEastAsia" w:cstheme="majorEastAsia"/>
          <w:color w:val="auto"/>
          <w:sz w:val="32"/>
          <w:szCs w:val="32"/>
          <w:highlight w:val="none"/>
          <w:lang w:val="en-US" w:eastAsia="zh-CN"/>
        </w:rPr>
        <w:t>绩效分析及评价结论</w:t>
      </w:r>
      <w:bookmarkEnd w:id="20"/>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1"/>
        <w:rPr>
          <w:rFonts w:hint="eastAsia" w:asciiTheme="majorEastAsia" w:hAnsiTheme="majorEastAsia" w:eastAsiaTheme="majorEastAsia" w:cstheme="majorEastAsia"/>
          <w:color w:val="auto"/>
          <w:sz w:val="30"/>
          <w:szCs w:val="30"/>
          <w:lang w:eastAsia="zh-CN"/>
        </w:rPr>
      </w:pPr>
      <w:bookmarkStart w:id="21" w:name="_Toc32754"/>
      <w:r>
        <w:rPr>
          <w:rFonts w:hint="eastAsia" w:asciiTheme="majorEastAsia" w:hAnsiTheme="majorEastAsia" w:eastAsiaTheme="majorEastAsia" w:cstheme="majorEastAsia"/>
          <w:color w:val="auto"/>
          <w:sz w:val="30"/>
          <w:szCs w:val="30"/>
          <w:lang w:eastAsia="zh-CN"/>
        </w:rPr>
        <w:t>（一）绩效分析</w:t>
      </w:r>
      <w:bookmarkEnd w:id="21"/>
    </w:p>
    <w:p>
      <w:pPr>
        <w:keepNext/>
        <w:keepLines/>
        <w:pageBreakBefore w:val="0"/>
        <w:widowControl w:val="0"/>
        <w:kinsoku/>
        <w:wordWrap/>
        <w:overflowPunct/>
        <w:topLinePunct w:val="0"/>
        <w:autoSpaceDE/>
        <w:autoSpaceDN/>
        <w:bidi w:val="0"/>
        <w:adjustRightInd/>
        <w:snapToGrid/>
        <w:spacing w:before="0" w:after="0" w:line="360" w:lineRule="auto"/>
        <w:ind w:left="0" w:leftChars="0" w:firstLine="482" w:firstLineChars="200"/>
        <w:jc w:val="left"/>
        <w:textAlignment w:val="auto"/>
        <w:outlineLvl w:val="9"/>
        <w:rPr>
          <w:rFonts w:hint="eastAsia" w:asciiTheme="majorEastAsia" w:hAnsiTheme="majorEastAsia" w:eastAsiaTheme="majorEastAsia" w:cstheme="majorEastAsia"/>
          <w:b/>
          <w:bCs/>
          <w:color w:val="auto"/>
          <w:sz w:val="24"/>
          <w:szCs w:val="24"/>
          <w:lang w:val="en-US" w:eastAsia="zh-CN"/>
        </w:rPr>
      </w:pPr>
      <w:r>
        <w:rPr>
          <w:rFonts w:hint="eastAsia" w:asciiTheme="majorEastAsia" w:hAnsiTheme="majorEastAsia" w:eastAsiaTheme="majorEastAsia" w:cstheme="majorEastAsia"/>
          <w:b/>
          <w:bCs/>
          <w:color w:val="auto"/>
          <w:sz w:val="24"/>
          <w:szCs w:val="24"/>
          <w:lang w:val="en-US" w:eastAsia="zh-CN"/>
        </w:rPr>
        <w:t>1、项目资金到位情况分析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ajorEastAsia" w:hAnsiTheme="majorEastAsia" w:eastAsiaTheme="majorEastAsia" w:cstheme="majorEastAsia"/>
          <w:b w:val="0"/>
          <w:bCs/>
          <w:color w:val="auto"/>
          <w:sz w:val="24"/>
          <w:szCs w:val="24"/>
          <w:lang w:val="en-US" w:eastAsia="zh-CN"/>
        </w:rPr>
      </w:pPr>
      <w:r>
        <w:rPr>
          <w:rFonts w:hint="eastAsia" w:asciiTheme="majorEastAsia" w:hAnsiTheme="majorEastAsia" w:eastAsiaTheme="majorEastAsia" w:cstheme="majorEastAsia"/>
          <w:color w:val="auto"/>
          <w:kern w:val="2"/>
          <w:sz w:val="24"/>
          <w:szCs w:val="24"/>
          <w:highlight w:val="none"/>
          <w:u w:val="none"/>
          <w:lang w:val="zh-CN" w:eastAsia="zh-CN" w:bidi="ar-SA"/>
        </w:rPr>
        <w:t>根据《武昌区财政局关于政协武昌区委员会办公室201</w:t>
      </w:r>
      <w:r>
        <w:rPr>
          <w:rFonts w:hint="eastAsia" w:asciiTheme="majorEastAsia" w:hAnsiTheme="majorEastAsia" w:eastAsiaTheme="majorEastAsia" w:cstheme="majorEastAsia"/>
          <w:color w:val="auto"/>
          <w:kern w:val="2"/>
          <w:sz w:val="24"/>
          <w:szCs w:val="24"/>
          <w:highlight w:val="none"/>
          <w:u w:val="none"/>
          <w:lang w:val="en-US" w:eastAsia="zh-CN" w:bidi="ar-SA"/>
        </w:rPr>
        <w:t>9</w:t>
      </w:r>
      <w:r>
        <w:rPr>
          <w:rFonts w:hint="eastAsia" w:asciiTheme="majorEastAsia" w:hAnsiTheme="majorEastAsia" w:eastAsiaTheme="majorEastAsia" w:cstheme="majorEastAsia"/>
          <w:color w:val="auto"/>
          <w:kern w:val="2"/>
          <w:sz w:val="24"/>
          <w:szCs w:val="24"/>
          <w:highlight w:val="none"/>
          <w:u w:val="none"/>
          <w:lang w:val="zh-CN" w:eastAsia="zh-CN" w:bidi="ar-SA"/>
        </w:rPr>
        <w:t>年部门预算的批复》，</w:t>
      </w:r>
      <w:r>
        <w:rPr>
          <w:rFonts w:hint="eastAsia" w:asciiTheme="majorEastAsia" w:hAnsiTheme="majorEastAsia" w:eastAsiaTheme="majorEastAsia" w:cstheme="majorEastAsia"/>
          <w:color w:val="auto"/>
          <w:kern w:val="2"/>
          <w:sz w:val="24"/>
          <w:szCs w:val="24"/>
          <w:highlight w:val="none"/>
          <w:u w:val="none"/>
          <w:lang w:val="en-US" w:eastAsia="zh-CN" w:bidi="ar-SA"/>
        </w:rPr>
        <w:t>武昌</w:t>
      </w:r>
      <w:r>
        <w:rPr>
          <w:rFonts w:hint="eastAsia" w:asciiTheme="majorEastAsia" w:hAnsiTheme="majorEastAsia" w:eastAsiaTheme="majorEastAsia" w:cstheme="majorEastAsia"/>
          <w:color w:val="auto"/>
          <w:kern w:val="2"/>
          <w:sz w:val="24"/>
          <w:szCs w:val="24"/>
          <w:highlight w:val="none"/>
          <w:u w:val="none"/>
          <w:lang w:val="zh-CN" w:eastAsia="zh-CN" w:bidi="ar-SA"/>
        </w:rPr>
        <w:t>区政协“</w:t>
      </w:r>
      <w:r>
        <w:rPr>
          <w:rFonts w:hint="eastAsia" w:ascii="宋体" w:hAnsi="宋体" w:eastAsia="宋体" w:cs="宋体"/>
          <w:color w:val="auto"/>
          <w:sz w:val="24"/>
          <w:szCs w:val="24"/>
          <w:highlight w:val="none"/>
          <w:lang w:val="en-US" w:eastAsia="zh-CN"/>
        </w:rPr>
        <w:t>政协委员视察、界别组、街道联络委工作经费</w:t>
      </w:r>
      <w:r>
        <w:rPr>
          <w:rFonts w:hint="eastAsia" w:asciiTheme="majorEastAsia" w:hAnsiTheme="majorEastAsia" w:eastAsiaTheme="majorEastAsia" w:cstheme="majorEastAsia"/>
          <w:color w:val="auto"/>
          <w:kern w:val="2"/>
          <w:sz w:val="24"/>
          <w:szCs w:val="24"/>
          <w:highlight w:val="none"/>
          <w:u w:val="none"/>
          <w:lang w:val="zh-CN" w:eastAsia="zh-CN" w:bidi="ar-SA"/>
        </w:rPr>
        <w:t>”项目预算批复的年初预算收支</w:t>
      </w:r>
      <w:r>
        <w:rPr>
          <w:rFonts w:hint="eastAsia" w:asciiTheme="majorEastAsia" w:hAnsiTheme="majorEastAsia" w:eastAsiaTheme="majorEastAsia" w:cstheme="majorEastAsia"/>
          <w:color w:val="auto"/>
          <w:kern w:val="2"/>
          <w:sz w:val="24"/>
          <w:szCs w:val="24"/>
          <w:highlight w:val="none"/>
          <w:u w:val="none"/>
          <w:lang w:val="en-US" w:eastAsia="zh-CN" w:bidi="ar-SA"/>
        </w:rPr>
        <w:t>134.6万</w:t>
      </w:r>
      <w:r>
        <w:rPr>
          <w:rFonts w:hint="eastAsia" w:asciiTheme="majorEastAsia" w:hAnsiTheme="majorEastAsia" w:eastAsiaTheme="majorEastAsia" w:cstheme="majorEastAsia"/>
          <w:color w:val="auto"/>
          <w:kern w:val="2"/>
          <w:sz w:val="24"/>
          <w:szCs w:val="24"/>
          <w:highlight w:val="none"/>
          <w:u w:val="none"/>
          <w:lang w:val="zh-CN" w:eastAsia="zh-CN" w:bidi="ar-SA"/>
        </w:rPr>
        <w:t>元，</w:t>
      </w:r>
      <w:r>
        <w:rPr>
          <w:rFonts w:hint="eastAsia" w:asciiTheme="majorEastAsia" w:hAnsiTheme="majorEastAsia" w:eastAsiaTheme="majorEastAsia" w:cstheme="majorEastAsia"/>
          <w:b w:val="0"/>
          <w:bCs/>
          <w:color w:val="auto"/>
          <w:sz w:val="24"/>
          <w:szCs w:val="24"/>
          <w:lang w:val="en-US" w:eastAsia="zh-CN"/>
        </w:rPr>
        <w:t>到位134.6万元，资金到位率100%。</w:t>
      </w:r>
    </w:p>
    <w:tbl>
      <w:tblPr>
        <w:tblStyle w:val="13"/>
        <w:tblW w:w="9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04"/>
        <w:gridCol w:w="1752"/>
        <w:gridCol w:w="1683"/>
        <w:gridCol w:w="1535"/>
        <w:gridCol w:w="1694"/>
        <w:gridCol w:w="20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9219" w:type="dxa"/>
            <w:gridSpan w:val="6"/>
            <w:vAlign w:val="center"/>
          </w:tcPr>
          <w:p>
            <w:pPr>
              <w:keepNext w:val="0"/>
              <w:keepLines w:val="0"/>
              <w:widowControl/>
              <w:suppressLineNumbers w:val="0"/>
              <w:jc w:val="both"/>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cs="宋体"/>
                <w:b/>
                <w:i w:val="0"/>
                <w:color w:val="auto"/>
                <w:kern w:val="0"/>
                <w:sz w:val="22"/>
                <w:szCs w:val="22"/>
                <w:highlight w:val="none"/>
                <w:u w:val="none"/>
                <w:lang w:val="en-US" w:eastAsia="zh-CN" w:bidi="ar"/>
              </w:rPr>
              <w:t xml:space="preserve">         武昌区</w:t>
            </w:r>
            <w:r>
              <w:rPr>
                <w:rFonts w:hint="eastAsia" w:ascii="宋体" w:hAnsi="宋体" w:eastAsia="宋体" w:cs="宋体"/>
                <w:b/>
                <w:i w:val="0"/>
                <w:color w:val="auto"/>
                <w:kern w:val="0"/>
                <w:sz w:val="24"/>
                <w:szCs w:val="24"/>
                <w:highlight w:val="none"/>
                <w:u w:val="none"/>
                <w:lang w:val="en-US" w:eastAsia="zh-CN" w:bidi="ar"/>
              </w:rPr>
              <w:t>201</w:t>
            </w:r>
            <w:r>
              <w:rPr>
                <w:rFonts w:hint="eastAsia" w:ascii="宋体" w:hAnsi="宋体" w:cs="宋体"/>
                <w:b/>
                <w:i w:val="0"/>
                <w:color w:val="auto"/>
                <w:kern w:val="0"/>
                <w:sz w:val="24"/>
                <w:szCs w:val="24"/>
                <w:highlight w:val="none"/>
                <w:u w:val="none"/>
                <w:lang w:val="en-US" w:eastAsia="zh-CN" w:bidi="ar"/>
              </w:rPr>
              <w:t>9</w:t>
            </w:r>
            <w:r>
              <w:rPr>
                <w:rFonts w:hint="eastAsia" w:ascii="宋体" w:hAnsi="宋体" w:eastAsia="宋体" w:cs="宋体"/>
                <w:b/>
                <w:i w:val="0"/>
                <w:color w:val="auto"/>
                <w:kern w:val="0"/>
                <w:sz w:val="24"/>
                <w:szCs w:val="24"/>
                <w:highlight w:val="none"/>
                <w:u w:val="none"/>
                <w:lang w:val="en-US" w:eastAsia="zh-CN" w:bidi="ar"/>
              </w:rPr>
              <w:t xml:space="preserve">年度政协委员视察、界别组、街道联络委工作经费来源明细表         </w:t>
            </w:r>
          </w:p>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cs="宋体"/>
                <w:b/>
                <w:i w:val="0"/>
                <w:color w:val="auto"/>
                <w:kern w:val="0"/>
                <w:sz w:val="22"/>
                <w:szCs w:val="22"/>
                <w:highlight w:val="none"/>
                <w:u w:val="none"/>
                <w:lang w:val="en-US" w:eastAsia="zh-CN" w:bidi="ar"/>
              </w:rPr>
              <w:t xml:space="preserve">                                                                      </w:t>
            </w:r>
            <w:r>
              <w:rPr>
                <w:rFonts w:hint="eastAsia" w:ascii="宋体" w:hAnsi="宋体" w:eastAsia="宋体" w:cs="宋体"/>
                <w:b w:val="0"/>
                <w:bCs/>
                <w:i w:val="0"/>
                <w:color w:val="auto"/>
                <w:kern w:val="0"/>
                <w:sz w:val="21"/>
                <w:szCs w:val="21"/>
                <w:highlight w:val="none"/>
                <w:u w:val="none"/>
                <w:lang w:val="en-US" w:eastAsia="zh-CN" w:bidi="ar"/>
              </w:rPr>
              <w:t>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504" w:type="dxa"/>
            <w:tcBorders>
              <w:top w:val="single" w:color="000000" w:sz="12" w:space="0"/>
              <w:left w:val="single" w:color="000000" w:sz="12"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序号</w:t>
            </w:r>
          </w:p>
        </w:tc>
        <w:tc>
          <w:tcPr>
            <w:tcW w:w="1752" w:type="dxa"/>
            <w:tcBorders>
              <w:top w:val="single" w:color="000000" w:sz="12"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来源渠道</w:t>
            </w:r>
          </w:p>
        </w:tc>
        <w:tc>
          <w:tcPr>
            <w:tcW w:w="1683" w:type="dxa"/>
            <w:tcBorders>
              <w:top w:val="single" w:color="000000" w:sz="12"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预算金额（万元）</w:t>
            </w:r>
          </w:p>
        </w:tc>
        <w:tc>
          <w:tcPr>
            <w:tcW w:w="1535" w:type="dxa"/>
            <w:tcBorders>
              <w:top w:val="single" w:color="000000" w:sz="12"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18"/>
                <w:szCs w:val="18"/>
                <w:u w:val="none"/>
                <w:lang w:val="en-US" w:eastAsia="zh-CN" w:bidi="ar"/>
              </w:rPr>
              <w:t>到位金额（万元）</w:t>
            </w:r>
          </w:p>
        </w:tc>
        <w:tc>
          <w:tcPr>
            <w:tcW w:w="1694" w:type="dxa"/>
            <w:tcBorders>
              <w:top w:val="single" w:color="000000" w:sz="12"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到位率</w:t>
            </w:r>
          </w:p>
        </w:tc>
        <w:tc>
          <w:tcPr>
            <w:tcW w:w="2051" w:type="dxa"/>
            <w:tcBorders>
              <w:top w:val="single" w:color="000000" w:sz="12"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预算比例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504"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1</w:t>
            </w:r>
          </w:p>
        </w:tc>
        <w:tc>
          <w:tcPr>
            <w:tcW w:w="17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中央财政资金</w:t>
            </w:r>
          </w:p>
        </w:tc>
        <w:tc>
          <w:tcPr>
            <w:tcW w:w="16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val="en-US" w:eastAsia="zh-CN"/>
              </w:rPr>
            </w:pPr>
            <w:r>
              <w:rPr>
                <w:rFonts w:hint="eastAsia" w:ascii="宋体" w:hAnsi="宋体" w:cs="宋体"/>
                <w:i w:val="0"/>
                <w:color w:val="auto"/>
                <w:sz w:val="20"/>
                <w:szCs w:val="20"/>
                <w:highlight w:val="none"/>
                <w:u w:val="none"/>
                <w:lang w:val="en-US" w:eastAsia="zh-CN"/>
              </w:rPr>
              <w:t>0</w:t>
            </w:r>
          </w:p>
        </w:tc>
        <w:tc>
          <w:tcPr>
            <w:tcW w:w="15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cs="宋体"/>
                <w:i w:val="0"/>
                <w:color w:val="auto"/>
                <w:kern w:val="0"/>
                <w:sz w:val="20"/>
                <w:szCs w:val="20"/>
                <w:highlight w:val="none"/>
                <w:u w:val="none"/>
                <w:lang w:val="en-US" w:eastAsia="zh-CN" w:bidi="ar"/>
              </w:rPr>
              <w:t>0</w:t>
            </w:r>
          </w:p>
        </w:tc>
        <w:tc>
          <w:tcPr>
            <w:tcW w:w="16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18"/>
                <w:szCs w:val="18"/>
                <w:highlight w:val="none"/>
                <w:u w:val="none"/>
                <w:lang w:val="en-US" w:eastAsia="zh-CN" w:bidi="ar"/>
              </w:rPr>
              <w:t>0</w:t>
            </w:r>
            <w:r>
              <w:rPr>
                <w:rFonts w:hint="eastAsia" w:ascii="宋体" w:hAnsi="宋体" w:eastAsia="宋体" w:cs="宋体"/>
                <w:i w:val="0"/>
                <w:color w:val="auto"/>
                <w:kern w:val="0"/>
                <w:sz w:val="18"/>
                <w:szCs w:val="18"/>
                <w:highlight w:val="none"/>
                <w:u w:val="none"/>
                <w:lang w:val="en-US" w:eastAsia="zh-CN" w:bidi="ar"/>
              </w:rPr>
              <w:t>.00%</w:t>
            </w:r>
          </w:p>
        </w:tc>
        <w:tc>
          <w:tcPr>
            <w:tcW w:w="2051"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18"/>
                <w:szCs w:val="18"/>
                <w:u w:val="none"/>
                <w:lang w:val="en-US" w:eastAsia="zh-CN" w:bidi="ar"/>
              </w:rPr>
              <w:t>0</w:t>
            </w:r>
            <w:r>
              <w:rPr>
                <w:rFonts w:hint="eastAsia" w:ascii="宋体" w:hAnsi="宋体" w:eastAsia="宋体" w:cs="宋体"/>
                <w:i w:val="0"/>
                <w:color w:val="auto"/>
                <w:kern w:val="0"/>
                <w:sz w:val="18"/>
                <w:szCs w:val="18"/>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504"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2</w:t>
            </w:r>
          </w:p>
        </w:tc>
        <w:tc>
          <w:tcPr>
            <w:tcW w:w="17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18"/>
                <w:szCs w:val="18"/>
                <w:u w:val="none"/>
                <w:lang w:val="en-US" w:eastAsia="zh-CN" w:bidi="ar"/>
              </w:rPr>
              <w:t>省</w:t>
            </w:r>
            <w:r>
              <w:rPr>
                <w:rFonts w:hint="eastAsia" w:ascii="宋体" w:hAnsi="宋体" w:eastAsia="宋体" w:cs="宋体"/>
                <w:i w:val="0"/>
                <w:color w:val="auto"/>
                <w:kern w:val="0"/>
                <w:sz w:val="18"/>
                <w:szCs w:val="18"/>
                <w:u w:val="none"/>
                <w:lang w:val="en-US" w:eastAsia="zh-CN" w:bidi="ar"/>
              </w:rPr>
              <w:t>级财政资金</w:t>
            </w:r>
          </w:p>
        </w:tc>
        <w:tc>
          <w:tcPr>
            <w:tcW w:w="16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18"/>
                <w:szCs w:val="18"/>
                <w:u w:val="none"/>
                <w:lang w:val="en-US" w:eastAsia="zh-CN" w:bidi="ar"/>
              </w:rPr>
              <w:t>0</w:t>
            </w:r>
          </w:p>
        </w:tc>
        <w:tc>
          <w:tcPr>
            <w:tcW w:w="15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cs="宋体"/>
                <w:i w:val="0"/>
                <w:color w:val="auto"/>
                <w:kern w:val="0"/>
                <w:sz w:val="18"/>
                <w:szCs w:val="18"/>
                <w:u w:val="none"/>
                <w:lang w:val="en-US" w:eastAsia="zh-CN" w:bidi="ar"/>
              </w:rPr>
              <w:t>0</w:t>
            </w:r>
          </w:p>
        </w:tc>
        <w:tc>
          <w:tcPr>
            <w:tcW w:w="16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18"/>
                <w:szCs w:val="18"/>
                <w:highlight w:val="none"/>
                <w:u w:val="none"/>
                <w:lang w:val="en-US" w:eastAsia="zh-CN" w:bidi="ar"/>
              </w:rPr>
              <w:t>0</w:t>
            </w:r>
            <w:r>
              <w:rPr>
                <w:rFonts w:hint="eastAsia" w:ascii="宋体" w:hAnsi="宋体" w:eastAsia="宋体" w:cs="宋体"/>
                <w:i w:val="0"/>
                <w:color w:val="auto"/>
                <w:kern w:val="0"/>
                <w:sz w:val="18"/>
                <w:szCs w:val="18"/>
                <w:highlight w:val="none"/>
                <w:u w:val="none"/>
                <w:lang w:val="en-US" w:eastAsia="zh-CN" w:bidi="ar"/>
              </w:rPr>
              <w:t>.00%</w:t>
            </w:r>
          </w:p>
        </w:tc>
        <w:tc>
          <w:tcPr>
            <w:tcW w:w="2051"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504"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18"/>
                <w:szCs w:val="18"/>
                <w:u w:val="none"/>
                <w:lang w:val="en-US" w:eastAsia="zh-CN" w:bidi="ar"/>
              </w:rPr>
              <w:t>3</w:t>
            </w:r>
          </w:p>
        </w:tc>
        <w:tc>
          <w:tcPr>
            <w:tcW w:w="17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18"/>
                <w:szCs w:val="18"/>
                <w:u w:val="none"/>
                <w:lang w:val="en-US" w:eastAsia="zh-CN" w:bidi="ar"/>
              </w:rPr>
              <w:t>区级财政资金</w:t>
            </w:r>
          </w:p>
        </w:tc>
        <w:tc>
          <w:tcPr>
            <w:tcW w:w="16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134.6</w:t>
            </w:r>
          </w:p>
        </w:tc>
        <w:tc>
          <w:tcPr>
            <w:tcW w:w="15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134.6</w:t>
            </w:r>
          </w:p>
        </w:tc>
        <w:tc>
          <w:tcPr>
            <w:tcW w:w="16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100.00%</w:t>
            </w:r>
          </w:p>
        </w:tc>
        <w:tc>
          <w:tcPr>
            <w:tcW w:w="2051"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18"/>
                <w:szCs w:val="18"/>
                <w:u w:val="none"/>
                <w:lang w:val="en-US" w:eastAsia="zh-CN" w:bidi="ar"/>
              </w:rPr>
              <w:t>10</w:t>
            </w:r>
            <w:r>
              <w:rPr>
                <w:rFonts w:hint="eastAsia" w:ascii="宋体" w:hAnsi="宋体" w:eastAsia="宋体" w:cs="宋体"/>
                <w:i w:val="0"/>
                <w:color w:val="auto"/>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504" w:type="dxa"/>
            <w:tcBorders>
              <w:top w:val="single" w:color="000000" w:sz="4" w:space="0"/>
              <w:left w:val="single" w:color="000000" w:sz="12" w:space="0"/>
              <w:bottom w:val="single" w:color="000000" w:sz="12" w:space="0"/>
              <w:right w:val="single" w:color="000000" w:sz="4" w:space="0"/>
            </w:tcBorders>
            <w:vAlign w:val="center"/>
          </w:tcPr>
          <w:p>
            <w:pPr>
              <w:jc w:val="center"/>
              <w:rPr>
                <w:rFonts w:hint="eastAsia" w:ascii="宋体" w:hAnsi="宋体" w:eastAsia="宋体" w:cs="宋体"/>
                <w:i w:val="0"/>
                <w:color w:val="auto"/>
                <w:sz w:val="20"/>
                <w:szCs w:val="20"/>
                <w:highlight w:val="none"/>
                <w:u w:val="none"/>
              </w:rPr>
            </w:pPr>
          </w:p>
        </w:tc>
        <w:tc>
          <w:tcPr>
            <w:tcW w:w="1752" w:type="dxa"/>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小计</w:t>
            </w:r>
          </w:p>
        </w:tc>
        <w:tc>
          <w:tcPr>
            <w:tcW w:w="1683" w:type="dxa"/>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b/>
                <w:i w:val="0"/>
                <w:color w:val="auto"/>
                <w:sz w:val="20"/>
                <w:szCs w:val="20"/>
                <w:highlight w:val="none"/>
                <w:u w:val="none"/>
                <w:lang w:val="en-US" w:eastAsia="zh-CN"/>
              </w:rPr>
            </w:pPr>
            <w:r>
              <w:rPr>
                <w:rFonts w:hint="eastAsia" w:ascii="宋体" w:hAnsi="宋体" w:cs="宋体"/>
                <w:b/>
                <w:i w:val="0"/>
                <w:color w:val="auto"/>
                <w:sz w:val="20"/>
                <w:szCs w:val="20"/>
                <w:highlight w:val="none"/>
                <w:u w:val="none"/>
                <w:lang w:val="en-US" w:eastAsia="zh-CN"/>
              </w:rPr>
              <w:t>134.6</w:t>
            </w:r>
          </w:p>
        </w:tc>
        <w:tc>
          <w:tcPr>
            <w:tcW w:w="1535" w:type="dxa"/>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b/>
                <w:i w:val="0"/>
                <w:color w:val="auto"/>
                <w:kern w:val="0"/>
                <w:sz w:val="20"/>
                <w:szCs w:val="20"/>
                <w:highlight w:val="none"/>
                <w:u w:val="none"/>
                <w:lang w:val="en-US" w:eastAsia="zh-CN" w:bidi="ar"/>
              </w:rPr>
            </w:pPr>
            <w:r>
              <w:rPr>
                <w:rFonts w:hint="eastAsia" w:ascii="宋体" w:hAnsi="宋体" w:cs="宋体"/>
                <w:b/>
                <w:i w:val="0"/>
                <w:color w:val="auto"/>
                <w:kern w:val="0"/>
                <w:sz w:val="20"/>
                <w:szCs w:val="20"/>
                <w:highlight w:val="none"/>
                <w:u w:val="none"/>
                <w:lang w:val="en-US" w:eastAsia="zh-CN" w:bidi="ar"/>
              </w:rPr>
              <w:t>134.6</w:t>
            </w:r>
          </w:p>
        </w:tc>
        <w:tc>
          <w:tcPr>
            <w:tcW w:w="1694" w:type="dxa"/>
            <w:tcBorders>
              <w:top w:val="single" w:color="000000" w:sz="4" w:space="0"/>
              <w:left w:val="single" w:color="000000" w:sz="4" w:space="0"/>
              <w:bottom w:val="single" w:color="000000" w:sz="12" w:space="0"/>
              <w:right w:val="single" w:color="000000" w:sz="4" w:space="0"/>
            </w:tcBorders>
            <w:vAlign w:val="center"/>
          </w:tcPr>
          <w:p>
            <w:pPr>
              <w:jc w:val="center"/>
              <w:rPr>
                <w:rFonts w:hint="eastAsia" w:ascii="宋体" w:hAnsi="宋体" w:eastAsia="宋体" w:cs="宋体"/>
                <w:i w:val="0"/>
                <w:color w:val="auto"/>
                <w:sz w:val="20"/>
                <w:szCs w:val="20"/>
                <w:highlight w:val="none"/>
                <w:u w:val="none"/>
              </w:rPr>
            </w:pPr>
          </w:p>
        </w:tc>
        <w:tc>
          <w:tcPr>
            <w:tcW w:w="2051" w:type="dxa"/>
            <w:tcBorders>
              <w:top w:val="single" w:color="000000" w:sz="4" w:space="0"/>
              <w:left w:val="single" w:color="000000" w:sz="4"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highlight w:val="none"/>
                <w:u w:val="none"/>
              </w:rPr>
            </w:pPr>
          </w:p>
        </w:tc>
      </w:tr>
    </w:tbl>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Theme="majorEastAsia" w:hAnsiTheme="majorEastAsia" w:eastAsiaTheme="majorEastAsia" w:cstheme="majorEastAsia"/>
          <w:b w:val="0"/>
          <w:bCs/>
          <w:color w:val="auto"/>
          <w:sz w:val="24"/>
          <w:szCs w:val="24"/>
          <w:lang w:val="en-US" w:eastAsia="zh-CN"/>
        </w:rPr>
      </w:pPr>
    </w:p>
    <w:p>
      <w:pPr>
        <w:keepNext/>
        <w:keepLines/>
        <w:pageBreakBefore w:val="0"/>
        <w:widowControl w:val="0"/>
        <w:kinsoku/>
        <w:wordWrap/>
        <w:overflowPunct/>
        <w:topLinePunct w:val="0"/>
        <w:autoSpaceDE/>
        <w:autoSpaceDN/>
        <w:bidi w:val="0"/>
        <w:adjustRightInd/>
        <w:snapToGrid/>
        <w:spacing w:before="0" w:after="0" w:line="360" w:lineRule="auto"/>
        <w:ind w:left="0" w:leftChars="0" w:firstLine="482" w:firstLineChars="200"/>
        <w:jc w:val="left"/>
        <w:textAlignment w:val="auto"/>
        <w:outlineLvl w:val="9"/>
        <w:rPr>
          <w:rFonts w:hint="eastAsia" w:asciiTheme="majorEastAsia" w:hAnsiTheme="majorEastAsia" w:eastAsiaTheme="majorEastAsia" w:cstheme="majorEastAsia"/>
          <w:b/>
          <w:bCs/>
          <w:color w:val="auto"/>
          <w:sz w:val="24"/>
          <w:szCs w:val="24"/>
          <w:lang w:val="en-US" w:eastAsia="zh-CN"/>
        </w:rPr>
      </w:pPr>
      <w:bookmarkStart w:id="22" w:name="_Toc14535"/>
      <w:r>
        <w:rPr>
          <w:rFonts w:hint="eastAsia" w:asciiTheme="majorEastAsia" w:hAnsiTheme="majorEastAsia" w:eastAsiaTheme="majorEastAsia" w:cstheme="majorEastAsia"/>
          <w:b/>
          <w:bCs/>
          <w:color w:val="auto"/>
          <w:sz w:val="24"/>
          <w:szCs w:val="24"/>
          <w:lang w:val="en-US" w:eastAsia="zh-CN"/>
        </w:rPr>
        <w:t>2、项目资金使用情况分析</w:t>
      </w:r>
      <w:bookmarkEnd w:id="2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ajorEastAsia" w:hAnsiTheme="majorEastAsia" w:eastAsiaTheme="majorEastAsia" w:cstheme="majorEastAsia"/>
          <w:b/>
          <w:bCs/>
          <w:color w:val="auto"/>
          <w:sz w:val="24"/>
          <w:szCs w:val="24"/>
          <w:highlight w:val="none"/>
          <w:shd w:val="clear" w:color="auto" w:fill="auto"/>
          <w:lang w:val="en-US" w:eastAsia="zh-CN"/>
        </w:rPr>
      </w:pPr>
      <w:r>
        <w:rPr>
          <w:rFonts w:hint="eastAsia" w:ascii="宋体" w:hAnsi="宋体" w:eastAsia="宋体" w:cs="宋体"/>
          <w:color w:val="auto"/>
          <w:sz w:val="24"/>
          <w:szCs w:val="24"/>
          <w:highlight w:val="none"/>
          <w:lang w:val="en-US" w:eastAsia="zh-CN"/>
        </w:rPr>
        <w:t>经费</w:t>
      </w:r>
      <w:r>
        <w:rPr>
          <w:rFonts w:hint="eastAsia" w:ascii="宋体" w:hAnsi="宋体" w:cs="宋体"/>
          <w:color w:val="auto"/>
          <w:sz w:val="24"/>
          <w:szCs w:val="24"/>
          <w:highlight w:val="none"/>
          <w:lang w:val="en-US" w:eastAsia="zh-CN"/>
        </w:rPr>
        <w:t>项目</w:t>
      </w:r>
      <w:r>
        <w:rPr>
          <w:rFonts w:hint="eastAsia" w:asciiTheme="majorEastAsia" w:hAnsiTheme="majorEastAsia" w:eastAsiaTheme="majorEastAsia" w:cstheme="majorEastAsia"/>
          <w:color w:val="auto"/>
          <w:sz w:val="24"/>
          <w:szCs w:val="24"/>
          <w:highlight w:val="none"/>
          <w:shd w:val="clear" w:color="auto" w:fill="auto"/>
          <w:lang w:val="en-US" w:eastAsia="zh-CN"/>
        </w:rPr>
        <w:t>资金134.6万元，实际使用79.64万元。</w:t>
      </w:r>
      <w:r>
        <w:rPr>
          <w:rFonts w:hint="eastAsia" w:asciiTheme="majorEastAsia" w:hAnsiTheme="majorEastAsia" w:eastAsiaTheme="majorEastAsia" w:cstheme="majorEastAsia"/>
          <w:color w:val="auto"/>
          <w:kern w:val="2"/>
          <w:sz w:val="24"/>
          <w:szCs w:val="24"/>
          <w:highlight w:val="none"/>
          <w:u w:val="none"/>
          <w:lang w:val="en-US" w:eastAsia="zh-CN" w:bidi="ar-SA"/>
        </w:rPr>
        <w:t>资金主要用于课题研究经费、开展界别活动、发放聘用人员工资、购买办公用品、看望政协委员及供在职人员外出培训等。资金支出均围绕项目主题进行，资金使用情况较为合理，</w:t>
      </w:r>
      <w:r>
        <w:rPr>
          <w:rFonts w:hint="eastAsia" w:asciiTheme="majorEastAsia" w:hAnsiTheme="majorEastAsia" w:eastAsiaTheme="majorEastAsia" w:cstheme="majorEastAsia"/>
          <w:color w:val="auto"/>
          <w:sz w:val="24"/>
          <w:szCs w:val="24"/>
          <w:highlight w:val="none"/>
          <w:shd w:val="clear" w:color="auto" w:fill="auto"/>
          <w:lang w:val="en-US" w:eastAsia="zh-CN"/>
        </w:rPr>
        <w:t>完善了委员学习培训体系，健全走访联系委员及所在单位常态化机制，激发委员双岗建功的热情和潜力，提升政协组织的凝聚力和影响力。</w:t>
      </w:r>
    </w:p>
    <w:p>
      <w:pPr>
        <w:keepNext/>
        <w:keepLines/>
        <w:pageBreakBefore w:val="0"/>
        <w:widowControl w:val="0"/>
        <w:kinsoku/>
        <w:wordWrap/>
        <w:overflowPunct/>
        <w:topLinePunct w:val="0"/>
        <w:autoSpaceDE/>
        <w:autoSpaceDN/>
        <w:bidi w:val="0"/>
        <w:adjustRightInd/>
        <w:snapToGrid/>
        <w:spacing w:before="0" w:after="0" w:line="360" w:lineRule="auto"/>
        <w:ind w:left="0" w:leftChars="0" w:firstLine="482" w:firstLineChars="200"/>
        <w:jc w:val="left"/>
        <w:textAlignment w:val="auto"/>
        <w:outlineLvl w:val="9"/>
        <w:rPr>
          <w:rFonts w:hint="eastAsia" w:asciiTheme="majorEastAsia" w:hAnsiTheme="majorEastAsia" w:eastAsiaTheme="majorEastAsia" w:cstheme="majorEastAsia"/>
          <w:b/>
          <w:bCs/>
          <w:color w:val="auto"/>
          <w:sz w:val="24"/>
          <w:szCs w:val="24"/>
          <w:lang w:val="en-US" w:eastAsia="zh-CN"/>
        </w:rPr>
      </w:pPr>
      <w:r>
        <w:rPr>
          <w:rFonts w:hint="eastAsia" w:asciiTheme="majorEastAsia" w:hAnsiTheme="majorEastAsia" w:eastAsiaTheme="majorEastAsia" w:cstheme="majorEastAsia"/>
          <w:b/>
          <w:bCs/>
          <w:color w:val="auto"/>
          <w:sz w:val="24"/>
          <w:szCs w:val="24"/>
          <w:lang w:val="en-US" w:eastAsia="zh-CN"/>
        </w:rPr>
        <w:t>3、项目资金管理情况分析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ajorEastAsia" w:hAnsiTheme="majorEastAsia" w:eastAsiaTheme="majorEastAsia" w:cstheme="majorEastAsia"/>
          <w:color w:val="FF0000"/>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项目资金执行《武昌区政协机关财务管理制度》。符合国家财经法规和财务管理制度以及有关专项资金管理办法的规定，资金的拨付有完整的审批程序和手续，项目的重大开支有经过评估认证，符合项目预算批复用途，未存在截留、挤占、挪用和虚列支出等情况项目，资金管理情况良好，但存在项目资金用途太泛，与批复用途有一定差别的情况。</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1"/>
        <w:rPr>
          <w:rFonts w:hint="eastAsia" w:asciiTheme="majorEastAsia" w:hAnsiTheme="majorEastAsia" w:eastAsiaTheme="majorEastAsia" w:cstheme="majorEastAsia"/>
          <w:color w:val="auto"/>
          <w:sz w:val="30"/>
          <w:szCs w:val="30"/>
          <w:lang w:val="en-US" w:eastAsia="zh-CN"/>
        </w:rPr>
      </w:pPr>
      <w:bookmarkStart w:id="23" w:name="_Toc30764"/>
      <w:r>
        <w:rPr>
          <w:rFonts w:hint="eastAsia" w:asciiTheme="majorEastAsia" w:hAnsiTheme="majorEastAsia" w:eastAsiaTheme="majorEastAsia" w:cstheme="majorEastAsia"/>
          <w:color w:val="auto"/>
          <w:sz w:val="30"/>
          <w:szCs w:val="30"/>
          <w:lang w:val="en-US" w:eastAsia="zh-CN"/>
        </w:rPr>
        <w:t>（二）项目绩效指标完成情况分析</w:t>
      </w:r>
      <w:bookmarkEnd w:id="23"/>
    </w:p>
    <w:p>
      <w:pPr>
        <w:pStyle w:val="4"/>
        <w:pageBreakBefore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lang w:val="en-US" w:eastAsia="zh-CN"/>
        </w:rPr>
      </w:pPr>
      <w:bookmarkStart w:id="24" w:name="_Toc16032"/>
      <w:bookmarkStart w:id="25" w:name="_Toc2009"/>
      <w:r>
        <w:rPr>
          <w:rFonts w:hint="eastAsia" w:asciiTheme="majorEastAsia" w:hAnsiTheme="majorEastAsia" w:eastAsiaTheme="majorEastAsia" w:cstheme="majorEastAsia"/>
          <w:color w:val="auto"/>
          <w:sz w:val="24"/>
          <w:szCs w:val="24"/>
          <w:lang w:val="en-US" w:eastAsia="zh-CN"/>
        </w:rPr>
        <w:t>1、投入指标完成情况分析</w:t>
      </w:r>
      <w:bookmarkEnd w:id="24"/>
      <w:r>
        <w:rPr>
          <w:rFonts w:hint="eastAsia" w:asciiTheme="majorEastAsia" w:hAnsiTheme="majorEastAsia" w:eastAsiaTheme="majorEastAsia" w:cstheme="majorEastAsia"/>
          <w:color w:val="auto"/>
          <w:sz w:val="24"/>
          <w:szCs w:val="24"/>
          <w:lang w:val="en-US" w:eastAsia="zh-CN"/>
        </w:rPr>
        <w:t>（15分）</w:t>
      </w:r>
      <w:bookmarkEnd w:id="25"/>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 xml:space="preserve"> 根据评价原则，项目投入评价得分14分，评价结果为优。</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（1）项目立项（6分） </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1.1.项目立项规范性:项目严格按照规定的程序申请设立；所提交的文件、材料符合相关要求。满分2分，得分2分。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FF0000"/>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 xml:space="preserve"> 1.2.绩效目标合理性：符合国家相关法律法规、国民经济发展规划和党委政府决策；与项目实施单位职责密切相关；是促进事业发展所必需；项目预期产出效益和效果符合正常的业绩水平。满分2分，得分1分。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FF0000"/>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 xml:space="preserve"> 1.3.绩效指标明确性：无项目申报表，绩效指标不明确，不能清晰、可衡量的指标值反映。满分2分，得分2分。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FF0000"/>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 xml:space="preserve"> （2）资金落实（9分）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2.1.资金到位率：预算资金134.6万，资金全部到位；满分4分，得分4分。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FF0000"/>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2.2.到位及时率：预算资金134.6万，全部到位，到位及时率100%。满分5分，得分5分。</w:t>
      </w:r>
    </w:p>
    <w:p>
      <w:pPr>
        <w:pStyle w:val="4"/>
        <w:pageBreakBefore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lang w:val="en-US" w:eastAsia="zh-CN"/>
        </w:rPr>
      </w:pPr>
      <w:bookmarkStart w:id="26" w:name="_Toc10824"/>
      <w:bookmarkStart w:id="27" w:name="_Toc29814"/>
      <w:r>
        <w:rPr>
          <w:rFonts w:hint="eastAsia" w:asciiTheme="majorEastAsia" w:hAnsiTheme="majorEastAsia" w:eastAsiaTheme="majorEastAsia" w:cstheme="majorEastAsia"/>
          <w:color w:val="auto"/>
          <w:sz w:val="24"/>
          <w:szCs w:val="24"/>
          <w:lang w:val="en-US" w:eastAsia="zh-CN"/>
        </w:rPr>
        <w:t>2、过程指标完成情况分析</w:t>
      </w:r>
      <w:bookmarkEnd w:id="26"/>
      <w:r>
        <w:rPr>
          <w:rFonts w:hint="eastAsia" w:asciiTheme="majorEastAsia" w:hAnsiTheme="majorEastAsia" w:eastAsiaTheme="majorEastAsia" w:cstheme="majorEastAsia"/>
          <w:color w:val="auto"/>
          <w:sz w:val="24"/>
          <w:szCs w:val="24"/>
          <w:lang w:val="en-US" w:eastAsia="zh-CN"/>
        </w:rPr>
        <w:t>（25分）</w:t>
      </w:r>
      <w:bookmarkEnd w:id="27"/>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color w:val="auto"/>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根据评价原则，项目过程评价得分为20分，评价结果为良。</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（1）业务管理（15分）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1.1.制度执行有效性：项目实施按无可行的具体制度，缺乏合理的安全程序依据，但项目执行合乎相关政策法规。满分5分，得分4分。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FF0000"/>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1.2.项目质量可控性:没有制定相应的项目质量要求或标准；因此缺乏相应的项目质量检查、验收等必需的控制措施或手段。满分6分，得分4分。</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1.3.管理制度健全性：制定了相应的项目资金管理办法，项目资金管理办法符合相关财务会计制度的规定，但执行过程中未严格按照制度执行；满分4分，得分3分。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FF0000"/>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 xml:space="preserve"> （2）财务管理(10分)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color w:val="auto"/>
          <w:sz w:val="24"/>
          <w:szCs w:val="24"/>
          <w:highlight w:val="none"/>
          <w:lang w:val="en-US" w:eastAsia="zh-CN"/>
        </w:rPr>
        <w:t xml:space="preserve">    2.1.管理制度健全性：项目资金管理办法是否符合相关财务会计制度的规定。满分3分，得分</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2.5分。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FF0000"/>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 xml:space="preserve"> 2.2.资金使用合规性：符合国家财经法规和财务管理制度以及有关专项资金管理办法的规定，资金的拨付有完整的审批程序和手续，项目的重大开支有经过评估认证，符合项目预算批复用途，未存在截留、挤占、挪用和虚列支出等情况。满分4分，得分4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FF0000"/>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 xml:space="preserve">   2.3.财务监控有效性:项目执行过程中，严格按照管理办法执行，资金的使用均经办公会研究同意。满分3分，得分2.5分。</w:t>
      </w:r>
    </w:p>
    <w:p>
      <w:pPr>
        <w:pStyle w:val="4"/>
        <w:pageBreakBefore w:val="0"/>
        <w:kinsoku/>
        <w:wordWrap/>
        <w:overflowPunct/>
        <w:topLinePunct w:val="0"/>
        <w:autoSpaceDE/>
        <w:autoSpaceDN/>
        <w:bidi w:val="0"/>
        <w:adjustRightInd/>
        <w:snapToGrid/>
        <w:spacing w:line="360" w:lineRule="auto"/>
        <w:ind w:left="0" w:leftChars="0" w:firstLine="482" w:firstLineChars="200"/>
        <w:textAlignment w:val="auto"/>
        <w:rPr>
          <w:rFonts w:hint="eastAsia" w:asciiTheme="majorEastAsia" w:hAnsiTheme="majorEastAsia" w:eastAsiaTheme="majorEastAsia" w:cstheme="majorEastAsia"/>
          <w:color w:val="auto"/>
          <w:sz w:val="24"/>
          <w:szCs w:val="24"/>
          <w:lang w:val="en-US" w:eastAsia="zh-CN"/>
        </w:rPr>
      </w:pPr>
      <w:bookmarkStart w:id="28" w:name="_Toc3491"/>
      <w:r>
        <w:rPr>
          <w:rFonts w:hint="eastAsia" w:asciiTheme="majorEastAsia" w:hAnsiTheme="majorEastAsia" w:eastAsiaTheme="majorEastAsia" w:cstheme="majorEastAsia"/>
          <w:color w:val="auto"/>
          <w:sz w:val="24"/>
          <w:szCs w:val="24"/>
          <w:lang w:val="en-US" w:eastAsia="zh-CN"/>
        </w:rPr>
        <w:t>3、产出指标完成情况分析（25分）</w:t>
      </w:r>
      <w:bookmarkEnd w:id="28"/>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FF0000"/>
          <w:sz w:val="24"/>
          <w:szCs w:val="24"/>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 xml:space="preserve"> 根据评价原则，项目产出评价得分为20分，评价结果为优。</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FF0000"/>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（1）实际完成率：根据《中国人民政治协商会议全国委员会委员视察工作条例》中考核内容确定完成情况；满分6分，得分6分。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（2）完成及时率：计划完成时间2019年底，实际完成时间在2019年底前完成，及时完成目标。满分6分，得分6分。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FF0000"/>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 xml:space="preserve"> （3）质量达标率：根据《中国人民政治协商会议全国委员会委员视察工作条例》中考核内容确定完成情况，少数不达标。满分8分，得分6分。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（4）资金使用率：预算资金134.6万元，实际使用79.64万元，资金使用率为59.17%。满分5分，得分2分。</w:t>
      </w:r>
    </w:p>
    <w:p>
      <w:pPr>
        <w:pStyle w:val="4"/>
        <w:pageBreakBefore w:val="0"/>
        <w:kinsoku/>
        <w:wordWrap/>
        <w:overflowPunct/>
        <w:topLinePunct w:val="0"/>
        <w:autoSpaceDE/>
        <w:autoSpaceDN/>
        <w:bidi w:val="0"/>
        <w:adjustRightInd/>
        <w:snapToGrid/>
        <w:spacing w:line="360" w:lineRule="auto"/>
        <w:ind w:left="0" w:leftChars="0" w:firstLine="482" w:firstLineChars="200"/>
        <w:textAlignment w:val="auto"/>
        <w:rPr>
          <w:rFonts w:hint="eastAsia" w:asciiTheme="majorEastAsia" w:hAnsiTheme="majorEastAsia" w:eastAsiaTheme="majorEastAsia" w:cstheme="majorEastAsia"/>
          <w:color w:val="auto"/>
          <w:sz w:val="24"/>
          <w:szCs w:val="24"/>
          <w:lang w:val="en-US" w:eastAsia="zh-CN"/>
        </w:rPr>
      </w:pPr>
      <w:bookmarkStart w:id="29" w:name="_Toc13794"/>
      <w:bookmarkStart w:id="30" w:name="_Toc20287"/>
      <w:r>
        <w:rPr>
          <w:rFonts w:hint="eastAsia" w:asciiTheme="majorEastAsia" w:hAnsiTheme="majorEastAsia" w:eastAsiaTheme="majorEastAsia" w:cstheme="majorEastAsia"/>
          <w:color w:val="auto"/>
          <w:sz w:val="24"/>
          <w:szCs w:val="24"/>
          <w:lang w:val="en-US" w:eastAsia="zh-CN"/>
        </w:rPr>
        <w:t>4、效果指标完成情况分析</w:t>
      </w:r>
      <w:bookmarkEnd w:id="29"/>
      <w:r>
        <w:rPr>
          <w:rFonts w:hint="eastAsia" w:asciiTheme="majorEastAsia" w:hAnsiTheme="majorEastAsia" w:eastAsiaTheme="majorEastAsia" w:cstheme="majorEastAsia"/>
          <w:color w:val="auto"/>
          <w:sz w:val="24"/>
          <w:szCs w:val="24"/>
          <w:lang w:val="en-US" w:eastAsia="zh-CN"/>
        </w:rPr>
        <w:t>（35分）</w:t>
      </w:r>
      <w:bookmarkEnd w:id="30"/>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rPr>
      </w:pPr>
      <w:r>
        <w:rPr>
          <w:rFonts w:hint="eastAsia" w:asciiTheme="majorEastAsia" w:hAnsiTheme="majorEastAsia" w:eastAsiaTheme="majorEastAsia" w:cstheme="majorEastAsia"/>
          <w:color w:val="auto"/>
          <w:sz w:val="24"/>
          <w:szCs w:val="24"/>
          <w:highlight w:val="none"/>
        </w:rPr>
        <w:t xml:space="preserve">   </w:t>
      </w:r>
      <w:r>
        <w:rPr>
          <w:rFonts w:hint="eastAsia" w:asciiTheme="majorEastAsia" w:hAnsiTheme="majorEastAsia" w:eastAsiaTheme="majorEastAsia" w:cstheme="majorEastAsia"/>
          <w:color w:val="auto"/>
          <w:sz w:val="24"/>
          <w:szCs w:val="24"/>
          <w:lang w:val="en-US" w:eastAsia="zh-CN"/>
        </w:rPr>
        <w:t>根据评价原则，项目产出评价得分为30分，评价结果为优。</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FF0000"/>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（1）</w:t>
      </w:r>
      <w:bookmarkStart w:id="31" w:name="_Toc346109797"/>
      <w:bookmarkStart w:id="32" w:name="_Toc346110460"/>
      <w:bookmarkStart w:id="33" w:name="_Toc346109888"/>
      <w:r>
        <w:rPr>
          <w:rFonts w:hint="eastAsia" w:asciiTheme="majorEastAsia" w:hAnsiTheme="majorEastAsia" w:eastAsiaTheme="majorEastAsia" w:cstheme="majorEastAsia"/>
          <w:color w:val="auto"/>
          <w:sz w:val="24"/>
          <w:szCs w:val="24"/>
          <w:highlight w:val="none"/>
          <w:lang w:val="en-US" w:eastAsia="zh-CN"/>
        </w:rPr>
        <w:t xml:space="preserve">经济效益（5分）    </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完成考核目标，产生间接经济效益。</w:t>
      </w:r>
      <w:r>
        <w:rPr>
          <w:rFonts w:hint="eastAsia" w:asciiTheme="majorEastAsia" w:hAnsiTheme="majorEastAsia" w:eastAsiaTheme="majorEastAsia" w:cstheme="majorEastAsia"/>
          <w:color w:val="auto"/>
          <w:sz w:val="24"/>
          <w:szCs w:val="24"/>
          <w:lang w:val="en-US" w:eastAsia="zh-CN"/>
        </w:rPr>
        <w:t>满分5分，得分5分。</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FF0000"/>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rPr>
        <w:t>）</w:t>
      </w:r>
      <w:bookmarkEnd w:id="31"/>
      <w:bookmarkEnd w:id="32"/>
      <w:bookmarkEnd w:id="33"/>
      <w:r>
        <w:rPr>
          <w:rFonts w:hint="eastAsia" w:asciiTheme="majorEastAsia" w:hAnsiTheme="majorEastAsia" w:eastAsiaTheme="majorEastAsia" w:cstheme="majorEastAsia"/>
          <w:color w:val="auto"/>
          <w:sz w:val="24"/>
          <w:szCs w:val="24"/>
          <w:lang w:val="en-US" w:eastAsia="zh-CN"/>
        </w:rPr>
        <w:t>社会效益（10分）</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加强人才流通</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增强公司活力，</w:t>
      </w:r>
      <w:r>
        <w:rPr>
          <w:rFonts w:hint="eastAsia" w:asciiTheme="majorEastAsia" w:hAnsiTheme="majorEastAsia" w:eastAsiaTheme="majorEastAsia" w:cstheme="majorEastAsia"/>
          <w:color w:val="auto"/>
          <w:sz w:val="24"/>
          <w:szCs w:val="24"/>
          <w:highlight w:val="none"/>
        </w:rPr>
        <w:t>产生良好的社会综合效益</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lang w:val="en-US" w:eastAsia="zh-CN"/>
        </w:rPr>
        <w:t>满分10分，得分8分。</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lang w:val="en-US" w:eastAsia="zh-CN"/>
        </w:rPr>
        <w:t>可持续影响（10分）</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激发人员工作热情，创造更多的价值回馈企业，回馈社会，有利于企业持续发展，社会长治久安。满分10分，得分9分。</w:t>
      </w:r>
    </w:p>
    <w:p>
      <w:pPr>
        <w:pStyle w:val="16"/>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480"/>
        <w:jc w:val="left"/>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服务对象满意度（10分）</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向社会公众进行问卷调查，调查结果满意度90%。满分10分，得分8分。</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Theme="majorEastAsia" w:hAnsiTheme="majorEastAsia" w:eastAsiaTheme="majorEastAsia" w:cstheme="majorEastAsia"/>
          <w:b/>
          <w:bCs/>
          <w:color w:val="auto"/>
          <w:sz w:val="30"/>
          <w:szCs w:val="30"/>
          <w:highlight w:val="none"/>
          <w:lang w:eastAsia="zh-CN"/>
        </w:rPr>
      </w:pPr>
      <w:bookmarkStart w:id="34" w:name="_Toc9332"/>
      <w:r>
        <w:rPr>
          <w:rFonts w:hint="eastAsia" w:asciiTheme="majorEastAsia" w:hAnsiTheme="majorEastAsia" w:eastAsiaTheme="majorEastAsia" w:cstheme="majorEastAsia"/>
          <w:b/>
          <w:bCs/>
          <w:color w:val="auto"/>
          <w:sz w:val="30"/>
          <w:szCs w:val="30"/>
          <w:highlight w:val="none"/>
          <w:lang w:eastAsia="zh-CN"/>
        </w:rPr>
        <w:t>（</w:t>
      </w:r>
      <w:r>
        <w:rPr>
          <w:rFonts w:hint="eastAsia" w:asciiTheme="majorEastAsia" w:hAnsiTheme="majorEastAsia" w:eastAsiaTheme="majorEastAsia" w:cstheme="majorEastAsia"/>
          <w:b/>
          <w:bCs/>
          <w:color w:val="auto"/>
          <w:sz w:val="30"/>
          <w:szCs w:val="30"/>
          <w:highlight w:val="none"/>
          <w:lang w:val="en-US" w:eastAsia="zh-CN"/>
        </w:rPr>
        <w:t>三</w:t>
      </w:r>
      <w:r>
        <w:rPr>
          <w:rFonts w:hint="eastAsia" w:asciiTheme="majorEastAsia" w:hAnsiTheme="majorEastAsia" w:eastAsiaTheme="majorEastAsia" w:cstheme="majorEastAsia"/>
          <w:b/>
          <w:bCs/>
          <w:color w:val="auto"/>
          <w:sz w:val="30"/>
          <w:szCs w:val="30"/>
          <w:highlight w:val="none"/>
          <w:lang w:eastAsia="zh-CN"/>
        </w:rPr>
        <w:t>）评价结论</w:t>
      </w:r>
      <w:bookmarkEnd w:id="3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lang w:val="en-US" w:eastAsia="zh-CN"/>
        </w:rPr>
        <w:t>截止到2020年12月31日，武昌区2020年度</w:t>
      </w:r>
      <w:r>
        <w:rPr>
          <w:rFonts w:hint="eastAsia" w:ascii="宋体" w:hAnsi="宋体" w:eastAsia="宋体" w:cs="宋体"/>
          <w:color w:val="auto"/>
          <w:sz w:val="24"/>
          <w:szCs w:val="24"/>
          <w:highlight w:val="none"/>
          <w:lang w:val="en-US" w:eastAsia="zh-CN"/>
        </w:rPr>
        <w:t>政协委员视察、界别组、街道联络委工作经费项目</w:t>
      </w:r>
      <w:r>
        <w:rPr>
          <w:rFonts w:hint="eastAsia" w:ascii="宋体" w:hAnsi="宋体" w:cs="宋体"/>
          <w:color w:val="auto"/>
          <w:sz w:val="24"/>
          <w:szCs w:val="24"/>
          <w:highlight w:val="none"/>
          <w:lang w:val="en-US" w:eastAsia="zh-CN"/>
        </w:rPr>
        <w:t>年初预算为134.6万，实际使用79.64万，节余56.96万。</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通过对</w:t>
      </w:r>
      <w:r>
        <w:rPr>
          <w:rFonts w:hint="eastAsia" w:ascii="宋体" w:hAnsi="宋体" w:eastAsia="宋体" w:cs="宋体"/>
          <w:color w:val="auto"/>
          <w:sz w:val="24"/>
          <w:szCs w:val="24"/>
          <w:highlight w:val="none"/>
          <w:lang w:val="en-US" w:eastAsia="zh-CN"/>
        </w:rPr>
        <w:t>武昌区政协委员视察、界别组、街道联络委工作经费</w:t>
      </w:r>
      <w:r>
        <w:rPr>
          <w:rFonts w:hint="eastAsia" w:ascii="宋体" w:hAnsi="宋体" w:eastAsia="宋体" w:cs="宋体"/>
          <w:color w:val="auto"/>
          <w:sz w:val="24"/>
          <w:szCs w:val="24"/>
          <w:highlight w:val="none"/>
        </w:rPr>
        <w:t>项目在项目</w:t>
      </w:r>
      <w:r>
        <w:rPr>
          <w:rFonts w:hint="eastAsia" w:ascii="宋体" w:hAnsi="宋体" w:eastAsia="宋体" w:cs="宋体"/>
          <w:color w:val="auto"/>
          <w:sz w:val="24"/>
          <w:szCs w:val="24"/>
          <w:highlight w:val="none"/>
          <w:lang w:eastAsia="zh-CN"/>
        </w:rPr>
        <w:t>投入</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过程</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项目产出和</w:t>
      </w:r>
      <w:r>
        <w:rPr>
          <w:rFonts w:hint="eastAsia" w:ascii="宋体" w:hAnsi="宋体" w:eastAsia="宋体" w:cs="宋体"/>
          <w:color w:val="auto"/>
          <w:sz w:val="24"/>
          <w:szCs w:val="24"/>
          <w:highlight w:val="none"/>
        </w:rPr>
        <w:t>项目</w:t>
      </w:r>
      <w:r>
        <w:rPr>
          <w:rFonts w:hint="eastAsia" w:ascii="宋体" w:hAnsi="宋体" w:cs="宋体"/>
          <w:color w:val="auto"/>
          <w:sz w:val="24"/>
          <w:szCs w:val="24"/>
          <w:highlight w:val="none"/>
          <w:lang w:val="en-US" w:eastAsia="zh-CN"/>
        </w:rPr>
        <w:t>效益</w:t>
      </w:r>
      <w:r>
        <w:rPr>
          <w:rFonts w:hint="eastAsia" w:ascii="宋体" w:hAnsi="宋体" w:eastAsia="宋体" w:cs="宋体"/>
          <w:color w:val="auto"/>
          <w:sz w:val="24"/>
          <w:szCs w:val="24"/>
          <w:highlight w:val="none"/>
        </w:rPr>
        <w:t>等方面的综合评价，最后得出如下结论：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采用加权平均法得出综合绩效评分为：</w:t>
      </w:r>
      <w:r>
        <w:rPr>
          <w:rFonts w:hint="eastAsia" w:ascii="宋体" w:hAnsi="宋体" w:cs="宋体"/>
          <w:b/>
          <w:bCs/>
          <w:color w:val="auto"/>
          <w:sz w:val="24"/>
          <w:szCs w:val="24"/>
          <w:highlight w:val="none"/>
          <w:lang w:val="en-US" w:eastAsia="zh-CN"/>
        </w:rPr>
        <w:t>84</w:t>
      </w:r>
      <w:r>
        <w:rPr>
          <w:rFonts w:hint="eastAsia" w:ascii="宋体" w:hAnsi="宋体" w:eastAsia="宋体" w:cs="宋体"/>
          <w:b/>
          <w:bCs/>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评分结果级别为：</w:t>
      </w:r>
      <w:r>
        <w:rPr>
          <w:rFonts w:hint="eastAsia" w:ascii="宋体" w:hAnsi="宋体" w:cs="宋体"/>
          <w:b/>
          <w:bCs/>
          <w:color w:val="auto"/>
          <w:sz w:val="24"/>
          <w:szCs w:val="24"/>
          <w:highlight w:val="none"/>
          <w:lang w:val="en-US" w:eastAsia="zh-CN"/>
        </w:rPr>
        <w:t>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本次绩效评价力图科学、合理、真实、有效，强调规范性和可持续性原则，坚持以定量分析为主、定性分析为辅的原则，采用指标打分法对</w:t>
      </w:r>
      <w:r>
        <w:rPr>
          <w:rFonts w:hint="eastAsia" w:ascii="宋体" w:hAnsi="宋体" w:eastAsia="宋体" w:cs="宋体"/>
          <w:color w:val="auto"/>
          <w:sz w:val="24"/>
          <w:szCs w:val="24"/>
          <w:highlight w:val="none"/>
          <w:lang w:val="en-US" w:eastAsia="zh-CN"/>
        </w:rPr>
        <w:t>武昌区政协委员视察、界别组、街道联络委工作经费</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rPr>
        <w:t>进行绩效评价。绩效评价体系中，项目投入权重15%，项目过程权重25%，项目产出权重2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%，项目效果权重</w:t>
      </w:r>
      <w:r>
        <w:rPr>
          <w:rFonts w:hint="eastAsia" w:ascii="宋体" w:hAnsi="宋体" w:cs="宋体"/>
          <w:color w:val="auto"/>
          <w:sz w:val="24"/>
          <w:szCs w:val="24"/>
          <w:highlight w:val="none"/>
          <w:lang w:val="en-US" w:eastAsia="zh-CN"/>
        </w:rPr>
        <w:t>35</w:t>
      </w:r>
      <w:r>
        <w:rPr>
          <w:rFonts w:hint="eastAsia" w:ascii="宋体" w:hAnsi="宋体" w:eastAsia="宋体" w:cs="宋体"/>
          <w:color w:val="auto"/>
          <w:sz w:val="24"/>
          <w:szCs w:val="24"/>
          <w:highlight w:val="none"/>
        </w:rPr>
        <w:t>%。</w:t>
      </w:r>
    </w:p>
    <w:p>
      <w:pPr>
        <w:pStyle w:val="2"/>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420" w:leftChars="0"/>
        <w:jc w:val="center"/>
        <w:textAlignment w:val="auto"/>
        <w:outlineLvl w:val="0"/>
        <w:rPr>
          <w:rFonts w:hint="eastAsia" w:asciiTheme="majorEastAsia" w:hAnsiTheme="majorEastAsia" w:eastAsiaTheme="majorEastAsia" w:cstheme="majorEastAsia"/>
          <w:color w:val="auto"/>
          <w:sz w:val="32"/>
          <w:szCs w:val="32"/>
          <w:highlight w:val="none"/>
          <w:lang w:val="en-US" w:eastAsia="zh-CN"/>
        </w:rPr>
      </w:pPr>
      <w:bookmarkStart w:id="35" w:name="_Toc12541"/>
      <w:bookmarkStart w:id="36" w:name="_Toc21092"/>
      <w:bookmarkStart w:id="37" w:name="_Toc2283"/>
      <w:r>
        <w:rPr>
          <w:rFonts w:hint="eastAsia" w:asciiTheme="majorEastAsia" w:hAnsiTheme="majorEastAsia" w:eastAsiaTheme="majorEastAsia" w:cstheme="majorEastAsia"/>
          <w:color w:val="auto"/>
          <w:sz w:val="32"/>
          <w:szCs w:val="32"/>
          <w:highlight w:val="none"/>
          <w:lang w:val="en-US" w:eastAsia="zh-CN"/>
        </w:rPr>
        <w:t>四、经验总结</w:t>
      </w:r>
      <w:bookmarkEnd w:id="35"/>
      <w:bookmarkEnd w:id="36"/>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b/>
          <w:bCs/>
          <w:sz w:val="24"/>
          <w:szCs w:val="24"/>
          <w:lang w:eastAsia="zh-CN"/>
        </w:rPr>
      </w:pPr>
      <w:r>
        <w:rPr>
          <w:rFonts w:hint="eastAsia"/>
          <w:b/>
          <w:bCs/>
          <w:sz w:val="24"/>
          <w:szCs w:val="24"/>
          <w:lang w:eastAsia="zh-CN"/>
        </w:rPr>
        <w:t>（一）</w:t>
      </w:r>
      <w:r>
        <w:rPr>
          <w:rFonts w:hint="eastAsia"/>
          <w:b/>
          <w:bCs/>
          <w:sz w:val="24"/>
          <w:szCs w:val="24"/>
          <w:lang w:val="en-US" w:eastAsia="zh-CN"/>
        </w:rPr>
        <w:t>加强经费管理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lang w:val="en-US" w:eastAsia="zh-CN"/>
        </w:rPr>
      </w:pPr>
      <w:r>
        <w:rPr>
          <w:rFonts w:hint="eastAsia"/>
          <w:color w:val="auto"/>
          <w:sz w:val="24"/>
          <w:szCs w:val="24"/>
          <w:lang w:val="en-US" w:eastAsia="zh-CN"/>
        </w:rPr>
        <w:t>严格控制经费的开支范围、数额、审批程序等。按照审批流程，举办专题培训班，把课堂教学与实地体验相结合、专题研学与互动交流相融合，感悟创新理念、开阔履职视野，强化了委员服务武昌发展的责任担当，受到近60名参训委员一致好评。</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b/>
          <w:bCs/>
          <w:sz w:val="24"/>
          <w:szCs w:val="24"/>
          <w:lang w:eastAsia="zh-CN"/>
        </w:rPr>
      </w:pPr>
      <w:r>
        <w:rPr>
          <w:rFonts w:hint="eastAsia"/>
          <w:b/>
          <w:bCs/>
          <w:sz w:val="24"/>
          <w:szCs w:val="24"/>
          <w:lang w:eastAsia="zh-CN"/>
        </w:rPr>
        <w:t>（二）</w:t>
      </w:r>
      <w:r>
        <w:rPr>
          <w:rFonts w:hint="eastAsia"/>
          <w:b/>
          <w:bCs/>
          <w:sz w:val="24"/>
          <w:szCs w:val="24"/>
          <w:lang w:val="en-US" w:eastAsia="zh-CN"/>
        </w:rPr>
        <w:t>严格资金使用范围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lang w:val="en-US" w:eastAsia="zh-CN"/>
        </w:rPr>
      </w:pPr>
      <w:r>
        <w:rPr>
          <w:rFonts w:hint="eastAsia"/>
          <w:color w:val="auto"/>
          <w:sz w:val="24"/>
          <w:szCs w:val="24"/>
          <w:lang w:val="en-US" w:eastAsia="zh-CN"/>
        </w:rPr>
        <w:t>合理控制各类工作开支，严格资金使用范围。各街联络委、界别委员组积极畅通联系服务群众的渠道，灵活结对、优势互补，开展民情恳谈日、委员接待日等活动，让政协走进群众、让群众走进政协。各党派、界别及政协委员心系群众、服务群众,结合自身优势和能力特长，开展扶贫助学、结对帮扶、捐书兴教、医疗义诊、送书画进军营、法律服务进社区等活动，为群众做好事、办实事。</w:t>
      </w:r>
    </w:p>
    <w:p>
      <w:pPr>
        <w:rPr>
          <w:rFonts w:hint="eastAsia"/>
          <w:color w:val="auto"/>
          <w:lang w:val="en-US" w:eastAsia="zh-CN"/>
        </w:rPr>
      </w:pPr>
    </w:p>
    <w:p>
      <w:pPr>
        <w:pStyle w:val="2"/>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420" w:leftChars="0"/>
        <w:jc w:val="center"/>
        <w:textAlignment w:val="auto"/>
        <w:outlineLvl w:val="0"/>
        <w:rPr>
          <w:rFonts w:hint="eastAsia" w:asciiTheme="majorEastAsia" w:hAnsiTheme="majorEastAsia" w:eastAsiaTheme="majorEastAsia" w:cstheme="majorEastAsia"/>
          <w:color w:val="auto"/>
          <w:sz w:val="32"/>
          <w:szCs w:val="32"/>
          <w:highlight w:val="none"/>
          <w:lang w:val="en-US" w:eastAsia="zh-CN"/>
        </w:rPr>
      </w:pPr>
      <w:bookmarkStart w:id="38" w:name="_Toc3288"/>
      <w:r>
        <w:rPr>
          <w:rFonts w:hint="eastAsia" w:asciiTheme="majorEastAsia" w:hAnsiTheme="majorEastAsia" w:eastAsiaTheme="majorEastAsia" w:cstheme="majorEastAsia"/>
          <w:color w:val="auto"/>
          <w:sz w:val="32"/>
          <w:szCs w:val="32"/>
          <w:highlight w:val="none"/>
          <w:lang w:val="en-US" w:eastAsia="zh-CN"/>
        </w:rPr>
        <w:t>五、问题</w:t>
      </w:r>
      <w:bookmarkEnd w:id="37"/>
      <w:bookmarkEnd w:id="38"/>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b/>
          <w:bCs/>
          <w:sz w:val="24"/>
          <w:szCs w:val="24"/>
          <w:lang w:eastAsia="zh-CN"/>
        </w:rPr>
      </w:pPr>
      <w:bookmarkStart w:id="39" w:name="_Toc27802"/>
      <w:r>
        <w:rPr>
          <w:rFonts w:hint="eastAsia"/>
          <w:b/>
          <w:bCs/>
          <w:sz w:val="24"/>
          <w:szCs w:val="24"/>
          <w:lang w:eastAsia="zh-CN"/>
        </w:rPr>
        <w:t>（一）存在的问题</w:t>
      </w:r>
      <w:bookmarkEnd w:id="39"/>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资金使用率较低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经费</w:t>
      </w:r>
      <w:r>
        <w:rPr>
          <w:rFonts w:hint="eastAsia" w:ascii="宋体" w:hAnsi="宋体" w:cs="宋体"/>
          <w:color w:val="auto"/>
          <w:sz w:val="24"/>
          <w:szCs w:val="24"/>
          <w:highlight w:val="none"/>
          <w:lang w:val="en-US" w:eastAsia="zh-CN"/>
        </w:rPr>
        <w:t>项目</w:t>
      </w:r>
      <w:r>
        <w:rPr>
          <w:rFonts w:hint="eastAsia" w:asciiTheme="majorEastAsia" w:hAnsiTheme="majorEastAsia" w:eastAsiaTheme="majorEastAsia" w:cstheme="majorEastAsia"/>
          <w:color w:val="auto"/>
          <w:sz w:val="24"/>
          <w:szCs w:val="24"/>
          <w:highlight w:val="none"/>
          <w:shd w:val="clear" w:color="auto" w:fill="auto"/>
          <w:lang w:val="en-US" w:eastAsia="zh-CN"/>
        </w:rPr>
        <w:t>资金预算134.6万元，实际使用79.64万元，资金使用率为59.17%。2020年政协未直接拨款给各界别，各界别根据工作开展情况报销，资金使用率低</w:t>
      </w:r>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r>
        <w:rPr>
          <w:rFonts w:hint="eastAsia" w:ascii="宋体" w:hAnsi="宋体" w:cs="宋体"/>
          <w:b/>
          <w:bCs/>
          <w:color w:val="auto"/>
          <w:sz w:val="24"/>
          <w:szCs w:val="24"/>
          <w:highlight w:val="none"/>
          <w:lang w:val="en-US" w:eastAsia="zh-CN"/>
        </w:rPr>
        <w:t>政协委员成果需及时转化：</w:t>
      </w:r>
      <w:r>
        <w:rPr>
          <w:rFonts w:hint="eastAsia" w:ascii="宋体" w:hAnsi="宋体" w:eastAsia="宋体" w:cs="宋体"/>
          <w:color w:val="auto"/>
          <w:sz w:val="24"/>
          <w:szCs w:val="24"/>
          <w:highlight w:val="none"/>
          <w:lang w:val="en-US" w:eastAsia="zh-CN"/>
        </w:rPr>
        <w:t>调查研究协商质量</w:t>
      </w:r>
      <w:r>
        <w:rPr>
          <w:rFonts w:hint="eastAsia" w:ascii="宋体" w:hAnsi="宋体" w:cs="宋体"/>
          <w:color w:val="auto"/>
          <w:sz w:val="24"/>
          <w:szCs w:val="24"/>
          <w:highlight w:val="none"/>
          <w:lang w:val="en-US" w:eastAsia="zh-CN"/>
        </w:rPr>
        <w:t>较高</w:t>
      </w:r>
      <w:r>
        <w:rPr>
          <w:rFonts w:hint="eastAsia" w:ascii="宋体" w:hAnsi="宋体" w:eastAsia="宋体" w:cs="宋体"/>
          <w:color w:val="auto"/>
          <w:sz w:val="24"/>
          <w:szCs w:val="24"/>
          <w:highlight w:val="none"/>
          <w:lang w:val="en-US" w:eastAsia="zh-CN"/>
        </w:rPr>
        <w:t>；民主监督工作有待深化；成果转化落实实效性有待加强。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b/>
          <w:bCs/>
          <w:sz w:val="24"/>
          <w:szCs w:val="24"/>
          <w:lang w:val="en-US" w:eastAsia="zh-CN"/>
        </w:rPr>
      </w:pPr>
      <w:bookmarkStart w:id="40" w:name="_Toc7470"/>
      <w:bookmarkStart w:id="41" w:name="_Toc28484"/>
      <w:bookmarkStart w:id="42" w:name="_Toc31060"/>
      <w:r>
        <w:rPr>
          <w:rFonts w:hint="eastAsia"/>
          <w:b/>
          <w:bCs/>
          <w:sz w:val="24"/>
          <w:szCs w:val="24"/>
          <w:lang w:eastAsia="zh-CN"/>
        </w:rPr>
        <w:t>（二）</w:t>
      </w:r>
      <w:bookmarkEnd w:id="40"/>
      <w:bookmarkEnd w:id="41"/>
      <w:r>
        <w:rPr>
          <w:rFonts w:hint="eastAsia"/>
          <w:b/>
          <w:bCs/>
          <w:sz w:val="24"/>
          <w:szCs w:val="24"/>
          <w:lang w:val="en-US" w:eastAsia="zh-CN"/>
        </w:rPr>
        <w:t>问题分析</w:t>
      </w:r>
    </w:p>
    <w:bookmarkEnd w:id="42"/>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eastAsia="zh-CN"/>
        </w:rPr>
        <w:t>各界别对经费的使用流程不清晰，报销流程不清楚，开支较往年减少。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2、政协委员的调查研</w:t>
      </w:r>
      <w:r>
        <w:rPr>
          <w:rFonts w:hint="eastAsia" w:ascii="宋体" w:hAnsi="宋体" w:eastAsia="宋体" w:cs="宋体"/>
          <w:color w:val="auto"/>
          <w:sz w:val="24"/>
          <w:szCs w:val="24"/>
          <w:highlight w:val="none"/>
          <w:lang w:val="en-US" w:eastAsia="zh-CN"/>
        </w:rPr>
        <w:t>究</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成果转化</w:t>
      </w:r>
      <w:r>
        <w:rPr>
          <w:rFonts w:hint="eastAsia" w:ascii="宋体" w:hAnsi="宋体" w:cs="宋体"/>
          <w:color w:val="auto"/>
          <w:sz w:val="24"/>
          <w:szCs w:val="24"/>
          <w:highlight w:val="none"/>
          <w:lang w:val="en-US" w:eastAsia="zh-CN"/>
        </w:rPr>
        <w:t>没有制订年度目标；探讨落实机制。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3、因为疫情，部分活动受到客观环境影响。</w:t>
      </w:r>
    </w:p>
    <w:p>
      <w:pPr>
        <w:pStyle w:val="2"/>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420" w:leftChars="0"/>
        <w:jc w:val="center"/>
        <w:textAlignment w:val="auto"/>
        <w:outlineLvl w:val="0"/>
        <w:rPr>
          <w:rFonts w:hint="eastAsia" w:asciiTheme="majorEastAsia" w:hAnsiTheme="majorEastAsia" w:eastAsiaTheme="majorEastAsia" w:cstheme="majorEastAsia"/>
          <w:color w:val="auto"/>
          <w:sz w:val="32"/>
          <w:szCs w:val="32"/>
          <w:highlight w:val="none"/>
          <w:lang w:val="en-US" w:eastAsia="zh-CN"/>
        </w:rPr>
      </w:pPr>
      <w:bookmarkStart w:id="43" w:name="_Toc27104"/>
      <w:bookmarkStart w:id="44" w:name="_Toc32070"/>
      <w:r>
        <w:rPr>
          <w:rFonts w:hint="eastAsia" w:asciiTheme="majorEastAsia" w:hAnsiTheme="majorEastAsia" w:eastAsiaTheme="majorEastAsia" w:cstheme="majorEastAsia"/>
          <w:color w:val="auto"/>
          <w:sz w:val="32"/>
          <w:szCs w:val="32"/>
          <w:highlight w:val="none"/>
          <w:lang w:val="en-US" w:eastAsia="zh-CN"/>
        </w:rPr>
        <w:t>六、建议</w:t>
      </w:r>
      <w:bookmarkEnd w:id="43"/>
      <w:bookmarkEnd w:id="44"/>
    </w:p>
    <w:p>
      <w:pPr>
        <w:keepNext w:val="0"/>
        <w:keepLines w:val="0"/>
        <w:pageBreakBefore w:val="0"/>
        <w:kinsoku/>
        <w:wordWrap/>
        <w:overflowPunct/>
        <w:topLinePunct w:val="0"/>
        <w:autoSpaceDE/>
        <w:autoSpaceDN/>
        <w:bidi w:val="0"/>
        <w:adjustRightInd/>
        <w:snapToGrid/>
        <w:spacing w:line="360" w:lineRule="auto"/>
        <w:ind w:right="0" w:rightChars="0" w:firstLine="482" w:firstLineChars="200"/>
        <w:jc w:val="left"/>
        <w:textAlignment w:val="auto"/>
        <w:outlineLvl w:val="1"/>
        <w:rPr>
          <w:rFonts w:hint="eastAsia" w:ascii="宋体" w:hAnsi="宋体" w:eastAsia="宋体" w:cs="宋体"/>
          <w:b/>
          <w:color w:val="auto"/>
          <w:sz w:val="24"/>
          <w:szCs w:val="24"/>
          <w:highlight w:val="none"/>
          <w:lang w:eastAsia="zh-CN"/>
        </w:rPr>
      </w:pPr>
      <w:bookmarkStart w:id="45" w:name="_Toc25106"/>
      <w:bookmarkStart w:id="46" w:name="_Toc18783"/>
      <w:bookmarkStart w:id="47" w:name="_Toc16067"/>
      <w:r>
        <w:rPr>
          <w:rFonts w:hint="eastAsia" w:ascii="宋体" w:hAnsi="宋体" w:eastAsia="宋体" w:cs="宋体"/>
          <w:b/>
          <w:color w:val="auto"/>
          <w:sz w:val="24"/>
          <w:szCs w:val="24"/>
          <w:highlight w:val="none"/>
          <w:lang w:eastAsia="zh-CN"/>
        </w:rPr>
        <w:t>（一）</w:t>
      </w:r>
      <w:bookmarkEnd w:id="45"/>
      <w:bookmarkEnd w:id="46"/>
      <w:bookmarkEnd w:id="47"/>
      <w:r>
        <w:rPr>
          <w:rFonts w:hint="eastAsia" w:ascii="宋体" w:hAnsi="宋体" w:eastAsia="宋体" w:cs="宋体"/>
          <w:b/>
          <w:color w:val="auto"/>
          <w:sz w:val="24"/>
          <w:szCs w:val="24"/>
          <w:highlight w:val="none"/>
          <w:lang w:val="en-US" w:eastAsia="zh-CN"/>
        </w:rPr>
        <w:t>对</w:t>
      </w:r>
      <w:r>
        <w:rPr>
          <w:rFonts w:hint="eastAsia" w:ascii="宋体" w:hAnsi="宋体" w:eastAsia="宋体" w:cs="宋体"/>
          <w:b/>
          <w:color w:val="auto"/>
          <w:sz w:val="24"/>
          <w:szCs w:val="24"/>
          <w:highlight w:val="none"/>
          <w:lang w:eastAsia="zh-CN"/>
        </w:rPr>
        <w:t>预算绩效管理</w:t>
      </w:r>
      <w:r>
        <w:rPr>
          <w:rFonts w:hint="eastAsia" w:ascii="宋体" w:hAnsi="宋体" w:eastAsia="宋体" w:cs="宋体"/>
          <w:b/>
          <w:color w:val="auto"/>
          <w:sz w:val="24"/>
          <w:szCs w:val="24"/>
          <w:highlight w:val="none"/>
          <w:lang w:val="en-US" w:eastAsia="zh-CN"/>
        </w:rPr>
        <w:t>加以重视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lang w:val="en-US" w:eastAsia="zh-CN"/>
        </w:rPr>
      </w:pPr>
      <w:r>
        <w:rPr>
          <w:rFonts w:hint="eastAsia"/>
          <w:color w:val="auto"/>
          <w:sz w:val="24"/>
          <w:szCs w:val="24"/>
          <w:lang w:val="en-US" w:eastAsia="zh-CN"/>
        </w:rPr>
        <w:t>年初做好项目申报工作，</w:t>
      </w:r>
      <w:r>
        <w:rPr>
          <w:rFonts w:hint="eastAsia" w:ascii="宋体" w:hAnsi="宋体" w:cs="宋体"/>
          <w:color w:val="auto"/>
          <w:sz w:val="24"/>
          <w:szCs w:val="24"/>
          <w:highlight w:val="none"/>
          <w:lang w:val="en-US" w:eastAsia="zh-CN"/>
        </w:rPr>
        <w:t>制订年度目标，</w:t>
      </w:r>
      <w:r>
        <w:rPr>
          <w:rFonts w:hint="eastAsia"/>
          <w:color w:val="auto"/>
          <w:sz w:val="24"/>
          <w:szCs w:val="24"/>
          <w:lang w:val="en-US" w:eastAsia="zh-CN"/>
        </w:rPr>
        <w:t>细化指标。健全报销机制，加强各界别财务培训工作，梳理经费报销流程。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建立健全项目指标库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lang w:val="en-US" w:eastAsia="zh-CN"/>
        </w:rPr>
      </w:pPr>
      <w:r>
        <w:rPr>
          <w:rFonts w:hint="eastAsia"/>
          <w:color w:val="auto"/>
          <w:sz w:val="24"/>
          <w:szCs w:val="24"/>
          <w:lang w:val="en-US" w:eastAsia="zh-CN"/>
        </w:rPr>
        <w:t>指导各专委会编制绩效目标，细化指标体系，或通过购买第三方服务方式，逐年完善指标库。</w:t>
      </w:r>
    </w:p>
    <w:p>
      <w:pPr>
        <w:keepNext w:val="0"/>
        <w:keepLines w:val="0"/>
        <w:pageBreakBefore w:val="0"/>
        <w:kinsoku/>
        <w:wordWrap/>
        <w:overflowPunct/>
        <w:topLinePunct w:val="0"/>
        <w:autoSpaceDE/>
        <w:autoSpaceDN/>
        <w:bidi w:val="0"/>
        <w:adjustRightInd/>
        <w:snapToGrid/>
        <w:spacing w:line="360" w:lineRule="auto"/>
        <w:ind w:right="0" w:rightChars="0" w:firstLine="482" w:firstLineChars="200"/>
        <w:jc w:val="left"/>
        <w:textAlignment w:val="auto"/>
        <w:outlineLvl w:val="1"/>
        <w:rPr>
          <w:rFonts w:hint="eastAsia" w:ascii="宋体" w:hAnsi="宋体" w:eastAsia="宋体" w:cs="宋体"/>
          <w:b/>
          <w:color w:val="auto"/>
          <w:sz w:val="24"/>
          <w:szCs w:val="24"/>
          <w:highlight w:val="none"/>
          <w:lang w:val="en-US" w:eastAsia="zh-CN"/>
        </w:rPr>
      </w:pPr>
      <w:bookmarkStart w:id="48" w:name="_Toc28240"/>
      <w:r>
        <w:rPr>
          <w:rFonts w:hint="eastAsia" w:ascii="宋体" w:hAnsi="宋体" w:eastAsia="宋体" w:cs="宋体"/>
          <w:b/>
          <w:color w:val="auto"/>
          <w:sz w:val="24"/>
          <w:szCs w:val="24"/>
          <w:highlight w:val="none"/>
          <w:lang w:eastAsia="zh-CN"/>
        </w:rPr>
        <w:t>（</w:t>
      </w:r>
      <w:r>
        <w:rPr>
          <w:rFonts w:hint="eastAsia" w:ascii="宋体" w:hAnsi="宋体" w:cs="宋体"/>
          <w:b/>
          <w:color w:val="auto"/>
          <w:sz w:val="24"/>
          <w:szCs w:val="24"/>
          <w:highlight w:val="none"/>
          <w:lang w:eastAsia="zh-CN"/>
        </w:rPr>
        <w:t>三</w:t>
      </w:r>
      <w:r>
        <w:rPr>
          <w:rFonts w:hint="eastAsia" w:ascii="宋体" w:hAnsi="宋体" w:eastAsia="宋体" w:cs="宋体"/>
          <w:b/>
          <w:color w:val="auto"/>
          <w:sz w:val="24"/>
          <w:szCs w:val="24"/>
          <w:highlight w:val="none"/>
          <w:lang w:eastAsia="zh-CN"/>
        </w:rPr>
        <w:t>）</w:t>
      </w:r>
      <w:bookmarkEnd w:id="48"/>
      <w:r>
        <w:rPr>
          <w:rFonts w:hint="eastAsia" w:ascii="宋体" w:hAnsi="宋体" w:cs="宋体"/>
          <w:b/>
          <w:color w:val="auto"/>
          <w:sz w:val="24"/>
          <w:szCs w:val="24"/>
          <w:highlight w:val="none"/>
          <w:lang w:eastAsia="zh-CN"/>
        </w:rPr>
        <w:t>改进</w:t>
      </w:r>
      <w:r>
        <w:rPr>
          <w:rFonts w:hint="eastAsia" w:ascii="宋体" w:hAnsi="宋体" w:eastAsia="宋体" w:cs="宋体"/>
          <w:b/>
          <w:color w:val="auto"/>
          <w:sz w:val="24"/>
          <w:szCs w:val="24"/>
          <w:highlight w:val="none"/>
          <w:lang w:val="en-US" w:eastAsia="zh-CN"/>
        </w:rPr>
        <w:t>绩效目标</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outlineLvl w:val="9"/>
        <w:rPr>
          <w:rFonts w:hint="eastAsia"/>
          <w:color w:val="auto"/>
          <w:sz w:val="24"/>
          <w:szCs w:val="24"/>
          <w:lang w:val="en-US" w:eastAsia="zh-CN"/>
        </w:rPr>
      </w:pPr>
      <w:r>
        <w:rPr>
          <w:rFonts w:hint="eastAsia"/>
          <w:color w:val="auto"/>
          <w:sz w:val="24"/>
          <w:szCs w:val="24"/>
          <w:lang w:val="en-US" w:eastAsia="zh-CN"/>
        </w:rPr>
        <w:t>以服务委员为己任，充分运用信息化手段，提高工作效率、提升工作水平，为委员履职提供有力保障；可持续影响是促进档案信息化成果运用，推进工作转型升级、提质增效。</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ajorEastAsia" w:hAnsiTheme="majorEastAsia" w:eastAsiaTheme="majorEastAsia" w:cstheme="majorEastAsia"/>
          <w:b w:val="0"/>
          <w:bCs w:val="0"/>
          <w:color w:val="FF0000"/>
          <w:sz w:val="24"/>
          <w:szCs w:val="24"/>
          <w:highlight w:val="none"/>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FF0000"/>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lang w:val="en-US" w:eastAsia="zh-CN"/>
        </w:rPr>
      </w:pPr>
    </w:p>
    <w:bookmarkEnd w:id="0"/>
    <w:bookmarkEnd w:id="1"/>
    <w:bookmarkEnd w:id="2"/>
    <w:p>
      <w:pPr>
        <w:pStyle w:val="16"/>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w:t>
      </w:r>
    </w:p>
    <w:p>
      <w:pPr>
        <w:pStyle w:val="16"/>
        <w:pageBreakBefore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rPr>
      </w:pPr>
    </w:p>
    <w:p>
      <w:pPr>
        <w:pageBreakBefore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rPr>
      </w:pPr>
    </w:p>
    <w:sectPr>
      <w:headerReference r:id="rId4" w:type="first"/>
      <w:footerReference r:id="rId6" w:type="first"/>
      <w:headerReference r:id="rId3" w:type="default"/>
      <w:footerReference r:id="rId5" w:type="default"/>
      <w:type w:val="continuous"/>
      <w:pgSz w:w="11906" w:h="16838"/>
      <w:pgMar w:top="1191" w:right="1191" w:bottom="1191" w:left="1191" w:header="851" w:footer="539"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新宋体">
    <w:panose1 w:val="02010609030101010101"/>
    <w:charset w:val="86"/>
    <w:family w:val="modern"/>
    <w:pitch w:val="default"/>
    <w:sig w:usb0="00000003" w:usb1="288F0000" w:usb2="0000000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-635</wp:posOffset>
              </wp:positionV>
              <wp:extent cx="1200150" cy="27305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200150" cy="27305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5</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14</w:t>
                          </w:r>
                          <w:r>
                            <w:rPr>
                              <w:rFonts w:hint="eastAsia"/>
                              <w:sz w:val="18"/>
                              <w:lang w:eastAsia="zh-CN"/>
                            </w:rPr>
                            <w:fldChar w:fldCharType="end"/>
                          </w:r>
                          <w:r>
                            <w:rPr>
                              <w:rFonts w:hint="eastAsia"/>
                              <w:sz w:val="18"/>
                              <w:lang w:eastAsia="zh-CN"/>
                            </w:rPr>
                            <w:t xml:space="preserve"> 页</w:t>
                          </w:r>
                        </w:p>
                      </w:txbxContent>
                    </wps:txbx>
                    <wps:bodyPr lIns="0" tIns="0" rIns="0" bIns="0" upright="0"/>
                  </wps:wsp>
                </a:graphicData>
              </a:graphic>
            </wp:anchor>
          </w:drawing>
        </mc:Choice>
        <mc:Fallback>
          <w:pict>
            <v:shape id="文本框 8" o:spid="_x0000_s1026" o:spt="202" type="#_x0000_t202" style="position:absolute;left:0pt;margin-top:-0.05pt;height:21.5pt;width:94.5pt;mso-position-horizontal:right;mso-position-horizontal-relative:margin;z-index:251660288;mso-width-relative:page;mso-height-relative:page;" filled="f" stroked="f" coordsize="21600,21600" o:gfxdata="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JnAtHUAAAABQEAAA8AAAAAAAAAAQAgAAAAIgAAAGRycy9kb3ducmV2LnhtbFBL&#10;AQIUABQAAAAIAIdO4kCs7K5zwQEAAHsDAAAOAAAAAAAAAAEAIAAAACMBAABkcnMvZTJvRG9jLnht&#10;bFBLBQYAAAAABgAGAFkBAABWBQAAAAA=&#10;">
              <v:fill on="f" focussize="0,0"/>
              <v:stroke on="f"/>
              <v:imagedata o:title=""/>
              <o:lock v:ext="edit" aspectratio="f"/>
              <v:textbox inset="0mm,0mm,0mm,0mm">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5</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14</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thinThickSmallGap" w:color="622423" w:sz="24" w:space="1"/>
      </w:pBd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-5715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14</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45pt;height:144pt;width:144pt;mso-position-horizontal:right;mso-position-horizontal-relative:margin;mso-wrap-style:none;z-index:251662336;mso-width-relative:page;mso-height-relative:page;" filled="f" stroked="f" coordsize="21600,21600" o:gfxdata="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gr1DGdIAAAAGAQAADwAAAAAAAAABACAAAAAiAAAAZHJz&#10;L2Rvd25yZXYueG1sUEsBAhQAFAAAAAgAh07iQPO5ICLRAQAAogMAAA4AAAAAAAAAAQAgAAAAIQEA&#10;AGRycy9lMm9Eb2MueG1sUEsFBgAAAAAGAAYAWQEAAGQ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14</w:t>
                    </w:r>
                    <w:r>
                      <w:rPr>
                        <w:rFonts w:hint="eastAsia"/>
                        <w:sz w:val="18"/>
                        <w:lang w:eastAsia="zh-CN"/>
                      </w:rPr>
                      <w:fldChar w:fldCharType="end"/>
                    </w:r>
                    <w:r>
                      <w:rPr>
                        <w:rFonts w:hint="eastAsia"/>
                        <w:sz w:val="18"/>
                        <w:lang w:eastAsia="zh-CN"/>
                      </w:rPr>
                      <w:t xml:space="preserve"> 页</w:t>
                    </w:r>
                  </w:p>
                </w:txbxContent>
              </v:textbox>
            </v:shape>
          </w:pict>
        </mc:Fallback>
      </mc:AlternateConten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p>
  <w:p>
    <w:pPr>
      <w:pStyle w:val="8"/>
    </w:pPr>
  </w:p>
  <w:p>
    <w:pPr>
      <w:pStyle w:val="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FsI/5jRAQAAogMAAA4AAAAAAAAAAQAgAAAAHgEAAGRy&#10;cy9lMm9Eb2MueG1sUEsFBgAAAAAGAAYAWQEAAGEFA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ckThinSmallGap" w:color="622423" w:sz="24" w:space="1"/>
      </w:pBdr>
      <w:jc w:val="both"/>
      <w:rPr>
        <w:rFonts w:hint="eastAsia" w:ascii="宋体" w:hAnsi="宋体"/>
        <w:bCs/>
        <w:spacing w:val="-6"/>
        <w:sz w:val="21"/>
        <w:szCs w:val="21"/>
      </w:rPr>
    </w:pPr>
  </w:p>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ckThinSmallGap" w:color="622423" w:sz="24" w:space="1"/>
      </w:pBdr>
      <w:jc w:val="both"/>
      <w:rPr>
        <w:rFonts w:hint="eastAsia" w:ascii="宋体" w:hAnsi="宋体"/>
        <w:bCs/>
        <w:spacing w:val="-6"/>
        <w:sz w:val="21"/>
        <w:szCs w:val="21"/>
      </w:rPr>
    </w:pPr>
    <w:r>
      <w:rPr>
        <w:rFonts w:hint="eastAsia" w:ascii="宋体" w:hAnsi="宋体"/>
        <w:bCs/>
        <w:spacing w:val="-6"/>
        <w:sz w:val="21"/>
        <w:szCs w:val="21"/>
        <w:lang w:val="en-US" w:eastAsia="zh-CN"/>
      </w:rPr>
      <w:t>2020年武昌区政协委员视察活动经费项目</w:t>
    </w:r>
    <w:r>
      <w:rPr>
        <w:rFonts w:hint="eastAsia" w:ascii="宋体" w:hAnsi="宋体"/>
        <w:bCs/>
        <w:spacing w:val="-6"/>
        <w:sz w:val="21"/>
        <w:szCs w:val="21"/>
      </w:rPr>
      <w:t>绩效评</w:t>
    </w:r>
    <w:r>
      <w:rPr>
        <w:rFonts w:hint="eastAsia" w:ascii="宋体" w:hAnsi="宋体"/>
        <w:bCs/>
        <w:spacing w:val="-6"/>
        <w:sz w:val="21"/>
        <w:szCs w:val="21"/>
        <w:lang w:eastAsia="zh-CN"/>
      </w:rPr>
      <w:t>价报告</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143CC1"/>
    <w:multiLevelType w:val="singleLevel"/>
    <w:tmpl w:val="4C143CC1"/>
    <w:lvl w:ilvl="0" w:tentative="0">
      <w:start w:val="2"/>
      <w:numFmt w:val="chineseCounting"/>
      <w:suff w:val="nothing"/>
      <w:lvlText w:val="（%1）"/>
      <w:lvlJc w:val="left"/>
      <w:rPr>
        <w:rFonts w:hint="eastAsia"/>
      </w:rPr>
    </w:lvl>
  </w:abstractNum>
  <w:abstractNum w:abstractNumId="1">
    <w:nsid w:val="5B1748A9"/>
    <w:multiLevelType w:val="singleLevel"/>
    <w:tmpl w:val="5B1748A9"/>
    <w:lvl w:ilvl="0" w:tentative="0">
      <w:start w:val="4"/>
      <w:numFmt w:val="decimal"/>
      <w:suff w:val="nothing"/>
      <w:lvlText w:val="（%1）"/>
      <w:lvlJc w:val="left"/>
    </w:lvl>
  </w:abstractNum>
  <w:abstractNum w:abstractNumId="2">
    <w:nsid w:val="5DC8AFEB"/>
    <w:multiLevelType w:val="singleLevel"/>
    <w:tmpl w:val="5DC8AFEB"/>
    <w:lvl w:ilvl="0" w:tentative="0">
      <w:start w:val="2"/>
      <w:numFmt w:val="chineseCounting"/>
      <w:suff w:val="nothing"/>
      <w:lvlText w:val="%1、"/>
      <w:lvlJc w:val="left"/>
      <w:pPr>
        <w:ind w:left="0" w:firstLine="42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767708"/>
    <w:rsid w:val="009D6611"/>
    <w:rsid w:val="00AB0D0C"/>
    <w:rsid w:val="00B32F91"/>
    <w:rsid w:val="00B461C6"/>
    <w:rsid w:val="00C17E53"/>
    <w:rsid w:val="012144C1"/>
    <w:rsid w:val="015D1144"/>
    <w:rsid w:val="02131D4D"/>
    <w:rsid w:val="026D0E06"/>
    <w:rsid w:val="02805BD4"/>
    <w:rsid w:val="02E71E31"/>
    <w:rsid w:val="037526A5"/>
    <w:rsid w:val="037B0D20"/>
    <w:rsid w:val="03DB7AF1"/>
    <w:rsid w:val="04243B0D"/>
    <w:rsid w:val="046C5204"/>
    <w:rsid w:val="05890630"/>
    <w:rsid w:val="059A5A80"/>
    <w:rsid w:val="05A11999"/>
    <w:rsid w:val="05AD2BDF"/>
    <w:rsid w:val="05FB5227"/>
    <w:rsid w:val="06266906"/>
    <w:rsid w:val="06EE1E9B"/>
    <w:rsid w:val="07107C21"/>
    <w:rsid w:val="07305B6F"/>
    <w:rsid w:val="075E75C2"/>
    <w:rsid w:val="079D09CF"/>
    <w:rsid w:val="07A765F3"/>
    <w:rsid w:val="07A82D16"/>
    <w:rsid w:val="07EC2FA6"/>
    <w:rsid w:val="07F049C8"/>
    <w:rsid w:val="08D124A6"/>
    <w:rsid w:val="08DA7138"/>
    <w:rsid w:val="09077C0A"/>
    <w:rsid w:val="091C6651"/>
    <w:rsid w:val="09586F58"/>
    <w:rsid w:val="0A0E5A48"/>
    <w:rsid w:val="0AB21EAC"/>
    <w:rsid w:val="0AD66FA3"/>
    <w:rsid w:val="0AF05A6A"/>
    <w:rsid w:val="0B175EA0"/>
    <w:rsid w:val="0BCB189A"/>
    <w:rsid w:val="0C4B5B28"/>
    <w:rsid w:val="0CDD11AA"/>
    <w:rsid w:val="0D0E13AC"/>
    <w:rsid w:val="0D1F3F4F"/>
    <w:rsid w:val="0D75288F"/>
    <w:rsid w:val="0DAA6E6C"/>
    <w:rsid w:val="0E221E05"/>
    <w:rsid w:val="0E8A6999"/>
    <w:rsid w:val="0EA0612E"/>
    <w:rsid w:val="0EAB76F7"/>
    <w:rsid w:val="0EEC5B91"/>
    <w:rsid w:val="0F051F09"/>
    <w:rsid w:val="0F256098"/>
    <w:rsid w:val="0FA9547D"/>
    <w:rsid w:val="0FC36F19"/>
    <w:rsid w:val="1030519A"/>
    <w:rsid w:val="104B2B6F"/>
    <w:rsid w:val="105977C3"/>
    <w:rsid w:val="10752692"/>
    <w:rsid w:val="110E2A86"/>
    <w:rsid w:val="116B62E4"/>
    <w:rsid w:val="11BB0772"/>
    <w:rsid w:val="12341E31"/>
    <w:rsid w:val="12530AE4"/>
    <w:rsid w:val="126A4713"/>
    <w:rsid w:val="12845128"/>
    <w:rsid w:val="131833E1"/>
    <w:rsid w:val="13243B1F"/>
    <w:rsid w:val="13F019B6"/>
    <w:rsid w:val="14692417"/>
    <w:rsid w:val="146D3A76"/>
    <w:rsid w:val="14872A8D"/>
    <w:rsid w:val="148D3F0D"/>
    <w:rsid w:val="1504731F"/>
    <w:rsid w:val="15C24EC3"/>
    <w:rsid w:val="16472BFF"/>
    <w:rsid w:val="16541946"/>
    <w:rsid w:val="168020AE"/>
    <w:rsid w:val="169E1493"/>
    <w:rsid w:val="16C07AF8"/>
    <w:rsid w:val="1740711E"/>
    <w:rsid w:val="189901CB"/>
    <w:rsid w:val="19364133"/>
    <w:rsid w:val="199911AC"/>
    <w:rsid w:val="19AC0CD3"/>
    <w:rsid w:val="19B65A43"/>
    <w:rsid w:val="1A117D62"/>
    <w:rsid w:val="1A1A792E"/>
    <w:rsid w:val="1A250B93"/>
    <w:rsid w:val="1A5729E2"/>
    <w:rsid w:val="1A762914"/>
    <w:rsid w:val="1ABA38E2"/>
    <w:rsid w:val="1AD21B96"/>
    <w:rsid w:val="1B1C48C8"/>
    <w:rsid w:val="1B5232B2"/>
    <w:rsid w:val="1B855DA0"/>
    <w:rsid w:val="1B9C6B93"/>
    <w:rsid w:val="1BBB5990"/>
    <w:rsid w:val="1C184F8E"/>
    <w:rsid w:val="1C7331F9"/>
    <w:rsid w:val="1CBD5E1F"/>
    <w:rsid w:val="1DFF0308"/>
    <w:rsid w:val="1E297CFB"/>
    <w:rsid w:val="1E537988"/>
    <w:rsid w:val="1E7C3896"/>
    <w:rsid w:val="1E802B4F"/>
    <w:rsid w:val="1E873BDF"/>
    <w:rsid w:val="1F5D0A85"/>
    <w:rsid w:val="1F6D4FC3"/>
    <w:rsid w:val="1F7B767A"/>
    <w:rsid w:val="1F96345D"/>
    <w:rsid w:val="1FBC723F"/>
    <w:rsid w:val="1FE15843"/>
    <w:rsid w:val="1FE675FD"/>
    <w:rsid w:val="203B30BF"/>
    <w:rsid w:val="20CB43A0"/>
    <w:rsid w:val="217E3BC2"/>
    <w:rsid w:val="21F5263B"/>
    <w:rsid w:val="22200C4E"/>
    <w:rsid w:val="223A417F"/>
    <w:rsid w:val="225126C1"/>
    <w:rsid w:val="226679D7"/>
    <w:rsid w:val="229A60BB"/>
    <w:rsid w:val="22BA72DD"/>
    <w:rsid w:val="22CB3FEB"/>
    <w:rsid w:val="231370CD"/>
    <w:rsid w:val="234C1770"/>
    <w:rsid w:val="2352616D"/>
    <w:rsid w:val="237D60A9"/>
    <w:rsid w:val="23F979A1"/>
    <w:rsid w:val="242D417C"/>
    <w:rsid w:val="248018AC"/>
    <w:rsid w:val="24F021FA"/>
    <w:rsid w:val="250F5ED6"/>
    <w:rsid w:val="25576767"/>
    <w:rsid w:val="25B84F26"/>
    <w:rsid w:val="25CF4162"/>
    <w:rsid w:val="25F837F4"/>
    <w:rsid w:val="264C26FC"/>
    <w:rsid w:val="26915DE3"/>
    <w:rsid w:val="26D22705"/>
    <w:rsid w:val="26E52B3C"/>
    <w:rsid w:val="26E8320C"/>
    <w:rsid w:val="271E25E5"/>
    <w:rsid w:val="27724F4E"/>
    <w:rsid w:val="278E6B9E"/>
    <w:rsid w:val="27D15D53"/>
    <w:rsid w:val="27D209A5"/>
    <w:rsid w:val="284542AB"/>
    <w:rsid w:val="299751AC"/>
    <w:rsid w:val="2A0F3100"/>
    <w:rsid w:val="2B186B46"/>
    <w:rsid w:val="2B2F3E29"/>
    <w:rsid w:val="2C052011"/>
    <w:rsid w:val="2C3B65A4"/>
    <w:rsid w:val="2C851909"/>
    <w:rsid w:val="2CB1091B"/>
    <w:rsid w:val="2D132DDD"/>
    <w:rsid w:val="2E0C75B0"/>
    <w:rsid w:val="2E22736E"/>
    <w:rsid w:val="2E23748C"/>
    <w:rsid w:val="2E754678"/>
    <w:rsid w:val="2E802760"/>
    <w:rsid w:val="2ECE7C17"/>
    <w:rsid w:val="2EEF41F2"/>
    <w:rsid w:val="2FAC1C7E"/>
    <w:rsid w:val="2FB55195"/>
    <w:rsid w:val="2FE0716D"/>
    <w:rsid w:val="30203F57"/>
    <w:rsid w:val="302A3B02"/>
    <w:rsid w:val="309C07AA"/>
    <w:rsid w:val="30D07C8E"/>
    <w:rsid w:val="30F86E6B"/>
    <w:rsid w:val="31232D7F"/>
    <w:rsid w:val="318E6A2C"/>
    <w:rsid w:val="32160991"/>
    <w:rsid w:val="33601F84"/>
    <w:rsid w:val="34360F86"/>
    <w:rsid w:val="34600D34"/>
    <w:rsid w:val="353D0832"/>
    <w:rsid w:val="354F4CAF"/>
    <w:rsid w:val="35B0215C"/>
    <w:rsid w:val="35CD7916"/>
    <w:rsid w:val="365B1FB2"/>
    <w:rsid w:val="36932A7E"/>
    <w:rsid w:val="369704A2"/>
    <w:rsid w:val="369F100E"/>
    <w:rsid w:val="36AA6013"/>
    <w:rsid w:val="36AB3592"/>
    <w:rsid w:val="36FF14E0"/>
    <w:rsid w:val="370D27B7"/>
    <w:rsid w:val="372931D3"/>
    <w:rsid w:val="37AB685D"/>
    <w:rsid w:val="37DC3064"/>
    <w:rsid w:val="38733DF4"/>
    <w:rsid w:val="38D23867"/>
    <w:rsid w:val="39403262"/>
    <w:rsid w:val="39845E32"/>
    <w:rsid w:val="39EC5392"/>
    <w:rsid w:val="3A550093"/>
    <w:rsid w:val="3AE46F43"/>
    <w:rsid w:val="3B256F1B"/>
    <w:rsid w:val="3BC45602"/>
    <w:rsid w:val="3BCA4ED2"/>
    <w:rsid w:val="3C080B94"/>
    <w:rsid w:val="3C10774D"/>
    <w:rsid w:val="3C4F08FD"/>
    <w:rsid w:val="3CA37757"/>
    <w:rsid w:val="3D6758F3"/>
    <w:rsid w:val="3D972A7B"/>
    <w:rsid w:val="3DBF1909"/>
    <w:rsid w:val="3DE5050B"/>
    <w:rsid w:val="3E680D67"/>
    <w:rsid w:val="3EBA6596"/>
    <w:rsid w:val="3EDA31C3"/>
    <w:rsid w:val="3F082236"/>
    <w:rsid w:val="3F3A1437"/>
    <w:rsid w:val="3F720899"/>
    <w:rsid w:val="401C5B88"/>
    <w:rsid w:val="403401F3"/>
    <w:rsid w:val="40C441B9"/>
    <w:rsid w:val="40E819AB"/>
    <w:rsid w:val="413016DC"/>
    <w:rsid w:val="413B1951"/>
    <w:rsid w:val="415C11CE"/>
    <w:rsid w:val="422E1A8A"/>
    <w:rsid w:val="42D44147"/>
    <w:rsid w:val="42E02585"/>
    <w:rsid w:val="43420EE0"/>
    <w:rsid w:val="43611524"/>
    <w:rsid w:val="43845C26"/>
    <w:rsid w:val="43A07DB3"/>
    <w:rsid w:val="43AB4FB3"/>
    <w:rsid w:val="44202DE8"/>
    <w:rsid w:val="454E1424"/>
    <w:rsid w:val="45FD46C4"/>
    <w:rsid w:val="46A27ED3"/>
    <w:rsid w:val="47566941"/>
    <w:rsid w:val="48156E45"/>
    <w:rsid w:val="48FA01B7"/>
    <w:rsid w:val="490267CF"/>
    <w:rsid w:val="492E62F9"/>
    <w:rsid w:val="49D144DC"/>
    <w:rsid w:val="4A1A45C2"/>
    <w:rsid w:val="4A392E47"/>
    <w:rsid w:val="4A7360DE"/>
    <w:rsid w:val="4AB3209E"/>
    <w:rsid w:val="4AB968A0"/>
    <w:rsid w:val="4AED7F45"/>
    <w:rsid w:val="4AF94847"/>
    <w:rsid w:val="4B1A4EAA"/>
    <w:rsid w:val="4B83650C"/>
    <w:rsid w:val="4B9613A1"/>
    <w:rsid w:val="4C091BCE"/>
    <w:rsid w:val="4C2C08B6"/>
    <w:rsid w:val="4C484979"/>
    <w:rsid w:val="4C5022C1"/>
    <w:rsid w:val="4C962C5D"/>
    <w:rsid w:val="4C9B6616"/>
    <w:rsid w:val="4CA51D75"/>
    <w:rsid w:val="4CB037DB"/>
    <w:rsid w:val="4CCB0746"/>
    <w:rsid w:val="4CEC7905"/>
    <w:rsid w:val="4CF041EA"/>
    <w:rsid w:val="4D0B36A6"/>
    <w:rsid w:val="4D594211"/>
    <w:rsid w:val="4D807DEB"/>
    <w:rsid w:val="4DA26D7D"/>
    <w:rsid w:val="4DB044D2"/>
    <w:rsid w:val="4E021D85"/>
    <w:rsid w:val="4E246979"/>
    <w:rsid w:val="4E4C58DF"/>
    <w:rsid w:val="4EA63F69"/>
    <w:rsid w:val="4EAF2D88"/>
    <w:rsid w:val="4F09689E"/>
    <w:rsid w:val="4F5A607B"/>
    <w:rsid w:val="4F6F6D09"/>
    <w:rsid w:val="4FB27E39"/>
    <w:rsid w:val="503D20BC"/>
    <w:rsid w:val="50D100CC"/>
    <w:rsid w:val="50E96629"/>
    <w:rsid w:val="50F1784D"/>
    <w:rsid w:val="51DF4345"/>
    <w:rsid w:val="51E55E87"/>
    <w:rsid w:val="52467BAA"/>
    <w:rsid w:val="529369C2"/>
    <w:rsid w:val="53102BCD"/>
    <w:rsid w:val="53495593"/>
    <w:rsid w:val="53565DB4"/>
    <w:rsid w:val="53E616D7"/>
    <w:rsid w:val="54767708"/>
    <w:rsid w:val="54D40ECD"/>
    <w:rsid w:val="54EB46E2"/>
    <w:rsid w:val="55997986"/>
    <w:rsid w:val="55A01896"/>
    <w:rsid w:val="55C9793B"/>
    <w:rsid w:val="562A053B"/>
    <w:rsid w:val="562D7C35"/>
    <w:rsid w:val="563023B0"/>
    <w:rsid w:val="568160B3"/>
    <w:rsid w:val="569F736B"/>
    <w:rsid w:val="570723C1"/>
    <w:rsid w:val="570D65D0"/>
    <w:rsid w:val="57383664"/>
    <w:rsid w:val="57594626"/>
    <w:rsid w:val="577026E8"/>
    <w:rsid w:val="57744399"/>
    <w:rsid w:val="57814767"/>
    <w:rsid w:val="57D73A95"/>
    <w:rsid w:val="585175F3"/>
    <w:rsid w:val="59325A23"/>
    <w:rsid w:val="595961D1"/>
    <w:rsid w:val="59934A2C"/>
    <w:rsid w:val="59A247A0"/>
    <w:rsid w:val="5AE51EB3"/>
    <w:rsid w:val="5AF33F1D"/>
    <w:rsid w:val="5AF3715D"/>
    <w:rsid w:val="5AF75CA2"/>
    <w:rsid w:val="5B826BCA"/>
    <w:rsid w:val="5BB00137"/>
    <w:rsid w:val="5BEC5805"/>
    <w:rsid w:val="5C195865"/>
    <w:rsid w:val="5C2C0516"/>
    <w:rsid w:val="5C754E09"/>
    <w:rsid w:val="5CD75621"/>
    <w:rsid w:val="5D124FC5"/>
    <w:rsid w:val="5D517558"/>
    <w:rsid w:val="5D7B6180"/>
    <w:rsid w:val="5D973F1B"/>
    <w:rsid w:val="5DB825FE"/>
    <w:rsid w:val="5E4B2B42"/>
    <w:rsid w:val="5E5C3C46"/>
    <w:rsid w:val="5E7146D8"/>
    <w:rsid w:val="5ED45B94"/>
    <w:rsid w:val="5EFB6C45"/>
    <w:rsid w:val="5F2123FC"/>
    <w:rsid w:val="5F373ED0"/>
    <w:rsid w:val="5F44159D"/>
    <w:rsid w:val="5F61739B"/>
    <w:rsid w:val="5F91162B"/>
    <w:rsid w:val="600F54D0"/>
    <w:rsid w:val="60254A40"/>
    <w:rsid w:val="60280491"/>
    <w:rsid w:val="603A5946"/>
    <w:rsid w:val="604C2380"/>
    <w:rsid w:val="607A1395"/>
    <w:rsid w:val="60CB0D31"/>
    <w:rsid w:val="60DF66C2"/>
    <w:rsid w:val="614E50BB"/>
    <w:rsid w:val="615463B5"/>
    <w:rsid w:val="6175086E"/>
    <w:rsid w:val="618904EB"/>
    <w:rsid w:val="61B0714A"/>
    <w:rsid w:val="620A4D81"/>
    <w:rsid w:val="628C7CB5"/>
    <w:rsid w:val="629A0F9C"/>
    <w:rsid w:val="62A635C5"/>
    <w:rsid w:val="62C4048F"/>
    <w:rsid w:val="62FD6ADF"/>
    <w:rsid w:val="63744336"/>
    <w:rsid w:val="63C7101C"/>
    <w:rsid w:val="64261C2F"/>
    <w:rsid w:val="64912BFB"/>
    <w:rsid w:val="64E05152"/>
    <w:rsid w:val="64FD20A0"/>
    <w:rsid w:val="659F3EAD"/>
    <w:rsid w:val="65B8049A"/>
    <w:rsid w:val="65D64D5A"/>
    <w:rsid w:val="65FD7CA9"/>
    <w:rsid w:val="66120C0F"/>
    <w:rsid w:val="66B9543E"/>
    <w:rsid w:val="66BA2267"/>
    <w:rsid w:val="66D137C7"/>
    <w:rsid w:val="66F35271"/>
    <w:rsid w:val="674C36A0"/>
    <w:rsid w:val="675F1DEF"/>
    <w:rsid w:val="67827DA8"/>
    <w:rsid w:val="67A52F5E"/>
    <w:rsid w:val="67B64F17"/>
    <w:rsid w:val="67C47E35"/>
    <w:rsid w:val="67CA13DE"/>
    <w:rsid w:val="67E75BFA"/>
    <w:rsid w:val="681526AA"/>
    <w:rsid w:val="68847BA1"/>
    <w:rsid w:val="68922F46"/>
    <w:rsid w:val="68F23630"/>
    <w:rsid w:val="68FF471D"/>
    <w:rsid w:val="690E5951"/>
    <w:rsid w:val="6ABB4CB0"/>
    <w:rsid w:val="6ACE1D40"/>
    <w:rsid w:val="6ACF148C"/>
    <w:rsid w:val="6AF113B4"/>
    <w:rsid w:val="6AF37B6C"/>
    <w:rsid w:val="6AFE1011"/>
    <w:rsid w:val="6B183F49"/>
    <w:rsid w:val="6B1F6ACA"/>
    <w:rsid w:val="6B936DD9"/>
    <w:rsid w:val="6C1B4EF3"/>
    <w:rsid w:val="6C360024"/>
    <w:rsid w:val="6C675D6F"/>
    <w:rsid w:val="6CE11431"/>
    <w:rsid w:val="6D0D32FA"/>
    <w:rsid w:val="6D371F41"/>
    <w:rsid w:val="6D707097"/>
    <w:rsid w:val="6D8E1E50"/>
    <w:rsid w:val="6DDA0CB9"/>
    <w:rsid w:val="6DF90DD8"/>
    <w:rsid w:val="6E2D72CB"/>
    <w:rsid w:val="6E5322CA"/>
    <w:rsid w:val="6EB03B7D"/>
    <w:rsid w:val="6ECE5E34"/>
    <w:rsid w:val="6EDE14AF"/>
    <w:rsid w:val="6F4748F8"/>
    <w:rsid w:val="6F474CA5"/>
    <w:rsid w:val="6F5D79C2"/>
    <w:rsid w:val="6F7440D2"/>
    <w:rsid w:val="6F8F4FF6"/>
    <w:rsid w:val="6F9A2344"/>
    <w:rsid w:val="70002075"/>
    <w:rsid w:val="70132A6B"/>
    <w:rsid w:val="70696D75"/>
    <w:rsid w:val="70A6015B"/>
    <w:rsid w:val="70D67526"/>
    <w:rsid w:val="70D74B65"/>
    <w:rsid w:val="70F268DA"/>
    <w:rsid w:val="70F92139"/>
    <w:rsid w:val="71556406"/>
    <w:rsid w:val="726D0E25"/>
    <w:rsid w:val="72922E42"/>
    <w:rsid w:val="72A33942"/>
    <w:rsid w:val="72AA7833"/>
    <w:rsid w:val="72F93C0A"/>
    <w:rsid w:val="73147C67"/>
    <w:rsid w:val="733E14BB"/>
    <w:rsid w:val="74217EA4"/>
    <w:rsid w:val="747C2F71"/>
    <w:rsid w:val="74C975E7"/>
    <w:rsid w:val="74F51AF1"/>
    <w:rsid w:val="75091B86"/>
    <w:rsid w:val="75413600"/>
    <w:rsid w:val="75D8590C"/>
    <w:rsid w:val="761A103B"/>
    <w:rsid w:val="76526D65"/>
    <w:rsid w:val="76627C48"/>
    <w:rsid w:val="7674124C"/>
    <w:rsid w:val="76A831EE"/>
    <w:rsid w:val="76CB35D0"/>
    <w:rsid w:val="76FF6907"/>
    <w:rsid w:val="77440C0A"/>
    <w:rsid w:val="776B7A36"/>
    <w:rsid w:val="779D419C"/>
    <w:rsid w:val="78E65A5B"/>
    <w:rsid w:val="79A22C7D"/>
    <w:rsid w:val="79D15701"/>
    <w:rsid w:val="79F929DA"/>
    <w:rsid w:val="7A294BC8"/>
    <w:rsid w:val="7A4E12D1"/>
    <w:rsid w:val="7AC16FC4"/>
    <w:rsid w:val="7ACE3B53"/>
    <w:rsid w:val="7ADE3333"/>
    <w:rsid w:val="7AE7717F"/>
    <w:rsid w:val="7B350E78"/>
    <w:rsid w:val="7C202D83"/>
    <w:rsid w:val="7CD04513"/>
    <w:rsid w:val="7CDC2326"/>
    <w:rsid w:val="7DBF5B09"/>
    <w:rsid w:val="7E221BA6"/>
    <w:rsid w:val="7EF672D4"/>
    <w:rsid w:val="7FA62E8F"/>
    <w:rsid w:val="7FC01BB3"/>
    <w:rsid w:val="7FF879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line="576" w:lineRule="auto"/>
      <w:outlineLvl w:val="0"/>
    </w:pPr>
    <w:rPr>
      <w:rFonts w:eastAsia="黑体"/>
      <w:b/>
      <w:bCs/>
      <w:kern w:val="44"/>
      <w:sz w:val="28"/>
      <w:szCs w:val="44"/>
    </w:rPr>
  </w:style>
  <w:style w:type="paragraph" w:styleId="3">
    <w:name w:val="heading 2"/>
    <w:basedOn w:val="1"/>
    <w:next w:val="1"/>
    <w:link w:val="18"/>
    <w:unhideWhenUsed/>
    <w:qFormat/>
    <w:uiPriority w:val="0"/>
    <w:pPr>
      <w:keepNext/>
      <w:keepLines/>
      <w:spacing w:line="413" w:lineRule="auto"/>
      <w:ind w:left="200" w:leftChars="200"/>
      <w:outlineLvl w:val="1"/>
    </w:pPr>
    <w:rPr>
      <w:rFonts w:ascii="Arial" w:hAnsi="Arial" w:eastAsia="仿宋"/>
      <w:b/>
      <w:bCs/>
      <w:kern w:val="2"/>
      <w:sz w:val="28"/>
      <w:szCs w:val="32"/>
    </w:rPr>
  </w:style>
  <w:style w:type="paragraph" w:styleId="4">
    <w:name w:val="heading 3"/>
    <w:basedOn w:val="1"/>
    <w:next w:val="1"/>
    <w:unhideWhenUsed/>
    <w:qFormat/>
    <w:uiPriority w:val="0"/>
    <w:pPr>
      <w:keepNext/>
      <w:keepLines/>
      <w:spacing w:line="413" w:lineRule="auto"/>
      <w:ind w:left="400" w:leftChars="400"/>
      <w:outlineLvl w:val="2"/>
    </w:pPr>
    <w:rPr>
      <w:rFonts w:eastAsia="仿宋"/>
      <w:b/>
      <w:bCs/>
      <w:kern w:val="2"/>
      <w:sz w:val="28"/>
      <w:szCs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toc 3"/>
    <w:basedOn w:val="1"/>
    <w:next w:val="1"/>
    <w:qFormat/>
    <w:uiPriority w:val="0"/>
    <w:pPr>
      <w:ind w:left="840" w:leftChars="400"/>
    </w:pPr>
  </w:style>
  <w:style w:type="paragraph" w:styleId="8">
    <w:name w:val="footer"/>
    <w:basedOn w:val="1"/>
    <w:qFormat/>
    <w:uiPriority w:val="0"/>
    <w:pPr>
      <w:tabs>
        <w:tab w:val="center" w:pos="4153"/>
        <w:tab w:val="right" w:pos="8306"/>
      </w:tabs>
      <w:snapToGrid w:val="0"/>
      <w:jc w:val="left"/>
    </w:pPr>
    <w:rPr>
      <w:rFonts w:cs="Times New Roman"/>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10">
    <w:name w:val="toc 1"/>
    <w:basedOn w:val="1"/>
    <w:next w:val="1"/>
    <w:qFormat/>
    <w:uiPriority w:val="0"/>
  </w:style>
  <w:style w:type="paragraph" w:styleId="11">
    <w:name w:val="toc 2"/>
    <w:basedOn w:val="1"/>
    <w:next w:val="1"/>
    <w:qFormat/>
    <w:uiPriority w:val="0"/>
    <w:pPr>
      <w:tabs>
        <w:tab w:val="right" w:leader="dot" w:pos="8296"/>
      </w:tabs>
      <w:ind w:left="420" w:leftChars="200"/>
    </w:pPr>
  </w:style>
  <w:style w:type="paragraph" w:styleId="1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5">
    <w:name w:val="Hyperlink"/>
    <w:qFormat/>
    <w:uiPriority w:val="0"/>
    <w:rPr>
      <w:color w:val="0563C1"/>
      <w:u w:val="single"/>
    </w:rPr>
  </w:style>
  <w:style w:type="paragraph" w:customStyle="1" w:styleId="16">
    <w:name w:val="List Paragraph"/>
    <w:basedOn w:val="1"/>
    <w:qFormat/>
    <w:uiPriority w:val="0"/>
    <w:pPr>
      <w:ind w:firstLine="420" w:firstLineChars="200"/>
    </w:pPr>
  </w:style>
  <w:style w:type="paragraph" w:customStyle="1" w:styleId="17">
    <w:name w:val="p0"/>
    <w:basedOn w:val="1"/>
    <w:qFormat/>
    <w:uiPriority w:val="0"/>
    <w:pPr>
      <w:widowControl/>
    </w:pPr>
    <w:rPr>
      <w:rFonts w:ascii="Calibri" w:hAnsi="Calibri" w:cs="宋体"/>
      <w:kern w:val="0"/>
      <w:szCs w:val="21"/>
    </w:rPr>
  </w:style>
  <w:style w:type="character" w:customStyle="1" w:styleId="18">
    <w:name w:val=" Char Char4"/>
    <w:link w:val="3"/>
    <w:qFormat/>
    <w:uiPriority w:val="0"/>
    <w:rPr>
      <w:rFonts w:ascii="Arial" w:hAnsi="Arial" w:eastAsia="仿宋"/>
      <w:b/>
      <w:bCs/>
      <w:kern w:val="2"/>
      <w:sz w:val="28"/>
      <w:szCs w:val="32"/>
    </w:rPr>
  </w:style>
  <w:style w:type="paragraph" w:customStyle="1" w:styleId="19">
    <w:name w:val="p16"/>
    <w:basedOn w:val="1"/>
    <w:qFormat/>
    <w:uiPriority w:val="0"/>
    <w:pPr>
      <w:widowControl/>
      <w:ind w:firstLine="420"/>
    </w:pPr>
    <w:rPr>
      <w:rFonts w:cs="宋体"/>
      <w:kern w:val="0"/>
      <w:szCs w:val="21"/>
    </w:rPr>
  </w:style>
  <w:style w:type="paragraph" w:customStyle="1" w:styleId="20">
    <w:name w:val="列出段落1"/>
    <w:basedOn w:val="1"/>
    <w:qFormat/>
    <w:uiPriority w:val="0"/>
    <w:pPr>
      <w:ind w:firstLine="420" w:firstLineChars="200"/>
    </w:pPr>
  </w:style>
  <w:style w:type="paragraph" w:customStyle="1" w:styleId="21">
    <w:name w:val="Body text|2"/>
    <w:basedOn w:val="1"/>
    <w:qFormat/>
    <w:uiPriority w:val="0"/>
    <w:pPr>
      <w:widowControl w:val="0"/>
      <w:shd w:val="clear" w:color="auto" w:fill="FFFFFF"/>
      <w:spacing w:line="540" w:lineRule="exact"/>
    </w:pPr>
    <w:rPr>
      <w:rFonts w:ascii="PMingLiU" w:hAnsi="PMingLiU" w:eastAsia="PMingLiU" w:cs="PMingLiU"/>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2017-11-13T05:36:00Z</dcterms:created>
  <dc:creator>Ryoma</dc:creator>
  <cp:lastModifiedBy>Vivia</cp:lastModifiedBy>
  <cp:lastPrinted>2018-05-24T01:17:00Z</cp:lastPrinted>
  <dcterms:modified xsi:type="dcterms:W3CDTF">2021-11-08T03:00:28Z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6D7E6110AB8E428CB9D3BF35FE9BD95F</vt:lpwstr>
  </property>
</Properties>
</file>