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auto"/>
          <w:highlight w:val="none"/>
        </w:rPr>
      </w:pPr>
    </w:p>
    <w:p>
      <w:pPr>
        <w:rPr>
          <w:rFonts w:hint="eastAsia"/>
          <w:color w:val="auto"/>
          <w:highlight w:val="none"/>
        </w:rPr>
      </w:pPr>
    </w:p>
    <w:p>
      <w:pPr>
        <w:rPr>
          <w:rFonts w:hint="eastAsia"/>
          <w:color w:val="auto"/>
          <w:highlight w:val="none"/>
        </w:rPr>
      </w:pPr>
    </w:p>
    <w:p>
      <w:pPr>
        <w:spacing w:line="700" w:lineRule="exact"/>
        <w:jc w:val="center"/>
        <w:rPr>
          <w:rFonts w:hint="eastAsia" w:ascii="新宋体" w:hAnsi="新宋体" w:eastAsia="新宋体" w:cs="新宋体"/>
          <w:b/>
          <w:color w:val="auto"/>
          <w:spacing w:val="20"/>
          <w:sz w:val="44"/>
          <w:szCs w:val="44"/>
          <w:highlight w:val="none"/>
          <w:lang w:val="en-US" w:eastAsia="zh-CN"/>
        </w:rPr>
      </w:pPr>
      <w:r>
        <w:rPr>
          <w:rFonts w:hint="eastAsia" w:ascii="新宋体" w:hAnsi="新宋体" w:eastAsia="新宋体" w:cs="新宋体"/>
          <w:b/>
          <w:color w:val="auto"/>
          <w:spacing w:val="20"/>
          <w:sz w:val="44"/>
          <w:szCs w:val="44"/>
          <w:highlight w:val="none"/>
          <w:lang w:val="en-US" w:eastAsia="zh-CN"/>
        </w:rPr>
        <w:t>2017年武昌区政协委员视察活动经费项目</w:t>
      </w:r>
    </w:p>
    <w:p>
      <w:pPr>
        <w:spacing w:line="700" w:lineRule="exact"/>
        <w:jc w:val="center"/>
        <w:rPr>
          <w:rFonts w:hint="eastAsia" w:ascii="新宋体" w:hAnsi="新宋体" w:eastAsia="新宋体" w:cs="新宋体"/>
          <w:b/>
          <w:color w:val="auto"/>
          <w:spacing w:val="20"/>
          <w:sz w:val="44"/>
          <w:szCs w:val="44"/>
          <w:highlight w:val="none"/>
        </w:rPr>
      </w:pPr>
      <w:r>
        <w:rPr>
          <w:rFonts w:hint="eastAsia" w:ascii="新宋体" w:hAnsi="新宋体" w:eastAsia="新宋体" w:cs="新宋体"/>
          <w:b/>
          <w:color w:val="auto"/>
          <w:spacing w:val="20"/>
          <w:sz w:val="44"/>
          <w:szCs w:val="44"/>
          <w:highlight w:val="none"/>
          <w:lang w:val="en-US" w:eastAsia="zh-CN"/>
        </w:rPr>
        <w:t>绩效评价报告</w:t>
      </w:r>
    </w:p>
    <w:p>
      <w:pPr>
        <w:ind w:left="560" w:firstLine="2700" w:firstLineChars="750"/>
        <w:jc w:val="left"/>
        <w:rPr>
          <w:rFonts w:hint="eastAsia" w:ascii="黑体" w:hAnsi="黑体" w:eastAsia="黑体"/>
          <w:color w:val="auto"/>
          <w:sz w:val="36"/>
          <w:szCs w:val="36"/>
          <w:highlight w:val="none"/>
        </w:rPr>
      </w:pPr>
    </w:p>
    <w:p>
      <w:pPr>
        <w:ind w:left="560" w:firstLine="2700" w:firstLineChars="750"/>
        <w:jc w:val="left"/>
        <w:rPr>
          <w:rFonts w:hint="eastAsia" w:ascii="黑体" w:hAnsi="黑体" w:eastAsia="黑体"/>
          <w:color w:val="auto"/>
          <w:sz w:val="36"/>
          <w:szCs w:val="36"/>
          <w:highlight w:val="none"/>
        </w:rPr>
      </w:pPr>
    </w:p>
    <w:p>
      <w:pPr>
        <w:ind w:left="560" w:firstLine="2700" w:firstLineChars="750"/>
        <w:jc w:val="left"/>
        <w:rPr>
          <w:rFonts w:hint="eastAsia" w:ascii="黑体" w:hAnsi="黑体" w:eastAsia="黑体"/>
          <w:color w:val="auto"/>
          <w:sz w:val="36"/>
          <w:szCs w:val="36"/>
          <w:highlight w:val="none"/>
        </w:rPr>
      </w:pPr>
    </w:p>
    <w:p>
      <w:pPr>
        <w:ind w:left="560" w:firstLine="1575" w:firstLineChars="750"/>
        <w:jc w:val="left"/>
        <w:rPr>
          <w:rFonts w:hint="eastAsia" w:ascii="黑体" w:hAnsi="黑体" w:eastAsia="黑体"/>
          <w:color w:val="auto"/>
          <w:sz w:val="36"/>
          <w:szCs w:val="36"/>
          <w:highlight w:val="none"/>
        </w:rPr>
      </w:pPr>
      <w:r>
        <w:rPr>
          <w:color w:val="auto"/>
          <w:highlight w:val="none"/>
        </w:rPr>
        <w:drawing>
          <wp:anchor distT="0" distB="0" distL="114300" distR="114300" simplePos="0" relativeHeight="251666432" behindDoc="0" locked="0" layoutInCell="1" allowOverlap="1">
            <wp:simplePos x="0" y="0"/>
            <wp:positionH relativeFrom="column">
              <wp:posOffset>2022475</wp:posOffset>
            </wp:positionH>
            <wp:positionV relativeFrom="paragraph">
              <wp:posOffset>86360</wp:posOffset>
            </wp:positionV>
            <wp:extent cx="2124075" cy="2171700"/>
            <wp:effectExtent l="0" t="0" r="9525" b="0"/>
            <wp:wrapNone/>
            <wp:docPr id="15" name="图片 2" descr="中天诚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中天诚logo2"/>
                    <pic:cNvPicPr>
                      <a:picLocks noChangeAspect="1"/>
                    </pic:cNvPicPr>
                  </pic:nvPicPr>
                  <pic:blipFill>
                    <a:blip r:embed="rId17"/>
                    <a:stretch>
                      <a:fillRect/>
                    </a:stretch>
                  </pic:blipFill>
                  <pic:spPr>
                    <a:xfrm>
                      <a:off x="0" y="0"/>
                      <a:ext cx="2124075" cy="2171700"/>
                    </a:xfrm>
                    <a:prstGeom prst="rect">
                      <a:avLst/>
                    </a:prstGeom>
                    <a:noFill/>
                    <a:ln w="9525">
                      <a:noFill/>
                    </a:ln>
                  </pic:spPr>
                </pic:pic>
              </a:graphicData>
            </a:graphic>
          </wp:anchor>
        </w:drawing>
      </w:r>
    </w:p>
    <w:p>
      <w:pPr>
        <w:ind w:left="560" w:firstLine="2700" w:firstLineChars="750"/>
        <w:jc w:val="left"/>
        <w:rPr>
          <w:rFonts w:hint="eastAsia" w:ascii="黑体" w:hAnsi="黑体" w:eastAsia="黑体"/>
          <w:color w:val="auto"/>
          <w:sz w:val="36"/>
          <w:szCs w:val="36"/>
          <w:highlight w:val="none"/>
        </w:rPr>
      </w:pPr>
    </w:p>
    <w:p>
      <w:pPr>
        <w:ind w:left="560" w:firstLine="2700" w:firstLineChars="750"/>
        <w:jc w:val="left"/>
        <w:rPr>
          <w:rFonts w:hint="eastAsia" w:ascii="黑体" w:hAnsi="黑体" w:eastAsia="黑体"/>
          <w:color w:val="auto"/>
          <w:sz w:val="36"/>
          <w:szCs w:val="36"/>
          <w:highlight w:val="none"/>
        </w:rPr>
      </w:pPr>
    </w:p>
    <w:p>
      <w:pPr>
        <w:ind w:left="560" w:firstLine="2700" w:firstLineChars="750"/>
        <w:jc w:val="left"/>
        <w:rPr>
          <w:rFonts w:hint="eastAsia" w:ascii="黑体" w:hAnsi="黑体" w:eastAsia="黑体"/>
          <w:color w:val="auto"/>
          <w:sz w:val="36"/>
          <w:szCs w:val="36"/>
          <w:highlight w:val="none"/>
        </w:rPr>
      </w:pPr>
    </w:p>
    <w:p>
      <w:pPr>
        <w:ind w:left="560" w:firstLine="2700" w:firstLineChars="750"/>
        <w:jc w:val="left"/>
        <w:rPr>
          <w:rFonts w:hint="eastAsia" w:ascii="黑体" w:hAnsi="黑体" w:eastAsia="黑体"/>
          <w:color w:val="auto"/>
          <w:sz w:val="36"/>
          <w:szCs w:val="36"/>
          <w:highlight w:val="none"/>
        </w:rPr>
      </w:pPr>
    </w:p>
    <w:p>
      <w:pPr>
        <w:ind w:left="560" w:firstLine="2700" w:firstLineChars="750"/>
        <w:jc w:val="left"/>
        <w:rPr>
          <w:rFonts w:hint="eastAsia" w:ascii="黑体" w:hAnsi="黑体" w:eastAsia="黑体"/>
          <w:color w:val="auto"/>
          <w:sz w:val="36"/>
          <w:szCs w:val="36"/>
          <w:highlight w:val="none"/>
        </w:rPr>
      </w:pPr>
    </w:p>
    <w:p>
      <w:pPr>
        <w:rPr>
          <w:rFonts w:hint="eastAsia" w:ascii="黑体" w:hAnsi="黑体" w:eastAsia="黑体"/>
          <w:color w:val="auto"/>
          <w:sz w:val="36"/>
          <w:szCs w:val="36"/>
          <w:highlight w:val="none"/>
        </w:rPr>
      </w:pPr>
    </w:p>
    <w:p>
      <w:pPr>
        <w:jc w:val="center"/>
        <w:rPr>
          <w:rFonts w:hint="eastAsia" w:ascii="宋体" w:hAnsi="宋体"/>
          <w:bCs/>
          <w:color w:val="auto"/>
          <w:sz w:val="32"/>
          <w:szCs w:val="32"/>
          <w:highlight w:val="none"/>
        </w:rPr>
      </w:pPr>
    </w:p>
    <w:p>
      <w:pPr>
        <w:jc w:val="center"/>
        <w:rPr>
          <w:rFonts w:hint="eastAsia" w:ascii="宋体" w:hAnsi="宋体"/>
          <w:b/>
          <w:bCs w:val="0"/>
          <w:color w:val="auto"/>
          <w:sz w:val="32"/>
          <w:szCs w:val="32"/>
          <w:highlight w:val="none"/>
        </w:rPr>
      </w:pPr>
    </w:p>
    <w:p>
      <w:pPr>
        <w:jc w:val="center"/>
        <w:rPr>
          <w:rFonts w:hint="eastAsia" w:ascii="宋体" w:hAnsi="宋体"/>
          <w:b/>
          <w:bCs w:val="0"/>
          <w:color w:val="auto"/>
          <w:sz w:val="32"/>
          <w:szCs w:val="32"/>
          <w:highlight w:val="none"/>
        </w:rPr>
      </w:pPr>
    </w:p>
    <w:p>
      <w:pPr>
        <w:jc w:val="both"/>
        <w:rPr>
          <w:rFonts w:hint="eastAsia" w:ascii="宋体" w:hAnsi="宋体"/>
          <w:b/>
          <w:bCs w:val="0"/>
          <w:color w:val="auto"/>
          <w:sz w:val="32"/>
          <w:szCs w:val="32"/>
          <w:highlight w:val="yellow"/>
          <w:lang w:val="en-US" w:eastAsia="zh-CN"/>
        </w:rPr>
      </w:pPr>
      <w:r>
        <w:rPr>
          <w:rFonts w:hint="eastAsia" w:ascii="宋体" w:hAnsi="宋体"/>
          <w:b/>
          <w:bCs w:val="0"/>
          <w:color w:val="auto"/>
          <w:sz w:val="32"/>
          <w:szCs w:val="32"/>
          <w:highlight w:val="none"/>
          <w:lang w:val="en-US" w:eastAsia="zh-CN"/>
        </w:rPr>
        <w:t xml:space="preserve">      </w:t>
      </w:r>
      <w:r>
        <w:rPr>
          <w:rFonts w:hint="eastAsia" w:ascii="宋体" w:hAnsi="宋体"/>
          <w:b/>
          <w:bCs w:val="0"/>
          <w:color w:val="auto"/>
          <w:sz w:val="32"/>
          <w:szCs w:val="32"/>
          <w:highlight w:val="none"/>
        </w:rPr>
        <w:t>项目名称：</w:t>
      </w:r>
      <w:r>
        <w:rPr>
          <w:rFonts w:hint="eastAsia" w:ascii="宋体" w:hAnsi="宋体"/>
          <w:b/>
          <w:bCs w:val="0"/>
          <w:color w:val="auto"/>
          <w:sz w:val="32"/>
          <w:szCs w:val="32"/>
          <w:highlight w:val="none"/>
          <w:lang w:val="en-US" w:eastAsia="zh-CN"/>
        </w:rPr>
        <w:t>武昌区政协委员视察活动经费项目</w:t>
      </w:r>
    </w:p>
    <w:p>
      <w:pPr>
        <w:rPr>
          <w:rFonts w:hint="eastAsia" w:ascii="宋体" w:hAnsi="宋体"/>
          <w:b/>
          <w:bCs w:val="0"/>
          <w:color w:val="auto"/>
          <w:sz w:val="32"/>
          <w:szCs w:val="32"/>
          <w:highlight w:val="none"/>
          <w:lang w:val="en-US" w:eastAsia="zh-CN"/>
        </w:rPr>
      </w:pPr>
      <w:r>
        <w:rPr>
          <w:rFonts w:hint="eastAsia" w:ascii="宋体" w:hAnsi="宋体"/>
          <w:b/>
          <w:bCs w:val="0"/>
          <w:color w:val="auto"/>
          <w:sz w:val="32"/>
          <w:szCs w:val="32"/>
          <w:highlight w:val="none"/>
        </w:rPr>
        <w:t xml:space="preserve">   </w:t>
      </w:r>
      <w:r>
        <w:rPr>
          <w:rFonts w:hint="eastAsia" w:ascii="宋体" w:hAnsi="宋体"/>
          <w:b/>
          <w:bCs w:val="0"/>
          <w:color w:val="auto"/>
          <w:sz w:val="32"/>
          <w:szCs w:val="32"/>
          <w:highlight w:val="none"/>
          <w:lang w:val="en-US" w:eastAsia="zh-CN"/>
        </w:rPr>
        <w:t xml:space="preserve">   </w:t>
      </w:r>
      <w:r>
        <w:rPr>
          <w:rFonts w:hint="eastAsia" w:ascii="宋体" w:hAnsi="宋体"/>
          <w:b/>
          <w:bCs w:val="0"/>
          <w:color w:val="auto"/>
          <w:sz w:val="32"/>
          <w:szCs w:val="32"/>
          <w:highlight w:val="none"/>
        </w:rPr>
        <w:t>项目单位：</w:t>
      </w:r>
      <w:r>
        <w:rPr>
          <w:rFonts w:hint="eastAsia" w:ascii="宋体" w:hAnsi="宋体"/>
          <w:b/>
          <w:bCs w:val="0"/>
          <w:color w:val="auto"/>
          <w:sz w:val="32"/>
          <w:szCs w:val="32"/>
          <w:highlight w:val="none"/>
          <w:lang w:val="en-US" w:eastAsia="zh-CN"/>
        </w:rPr>
        <w:t>武昌区政协</w:t>
      </w:r>
    </w:p>
    <w:p>
      <w:pPr>
        <w:rPr>
          <w:rFonts w:hint="eastAsia" w:ascii="宋体" w:hAnsi="宋体"/>
          <w:b/>
          <w:bCs w:val="0"/>
          <w:color w:val="auto"/>
          <w:sz w:val="32"/>
          <w:szCs w:val="32"/>
          <w:highlight w:val="none"/>
        </w:rPr>
      </w:pPr>
      <w:r>
        <w:rPr>
          <w:rFonts w:hint="eastAsia" w:ascii="宋体" w:hAnsi="宋体"/>
          <w:b/>
          <w:bCs w:val="0"/>
          <w:color w:val="auto"/>
          <w:sz w:val="32"/>
          <w:szCs w:val="32"/>
          <w:highlight w:val="none"/>
        </w:rPr>
        <w:t xml:space="preserve">   </w:t>
      </w:r>
      <w:r>
        <w:rPr>
          <w:rFonts w:hint="eastAsia" w:ascii="宋体" w:hAnsi="宋体"/>
          <w:b/>
          <w:bCs w:val="0"/>
          <w:color w:val="auto"/>
          <w:sz w:val="32"/>
          <w:szCs w:val="32"/>
          <w:highlight w:val="none"/>
          <w:lang w:val="en-US" w:eastAsia="zh-CN"/>
        </w:rPr>
        <w:t xml:space="preserve">   </w:t>
      </w:r>
      <w:r>
        <w:rPr>
          <w:rFonts w:hint="eastAsia" w:ascii="宋体" w:hAnsi="宋体"/>
          <w:b/>
          <w:bCs w:val="0"/>
          <w:color w:val="auto"/>
          <w:sz w:val="32"/>
          <w:szCs w:val="32"/>
          <w:highlight w:val="none"/>
        </w:rPr>
        <w:t>评价机构：湖北中天诚资产评估有限公司</w:t>
      </w:r>
    </w:p>
    <w:p>
      <w:pPr>
        <w:rPr>
          <w:rFonts w:hint="eastAsia" w:ascii="宋体" w:hAnsi="宋体"/>
          <w:b/>
          <w:bCs w:val="0"/>
          <w:color w:val="auto"/>
          <w:sz w:val="32"/>
          <w:szCs w:val="32"/>
          <w:highlight w:val="none"/>
        </w:rPr>
      </w:pPr>
    </w:p>
    <w:p>
      <w:pPr>
        <w:jc w:val="center"/>
        <w:rPr>
          <w:rFonts w:hint="eastAsia" w:ascii="宋体" w:hAnsi="宋体"/>
          <w:b/>
          <w:bCs w:val="0"/>
          <w:color w:val="auto"/>
          <w:sz w:val="32"/>
          <w:szCs w:val="32"/>
          <w:highlight w:val="none"/>
        </w:rPr>
      </w:pPr>
    </w:p>
    <w:p>
      <w:pPr>
        <w:jc w:val="center"/>
        <w:rPr>
          <w:rFonts w:hint="eastAsia" w:ascii="宋体" w:hAnsi="宋体"/>
          <w:bCs/>
          <w:color w:val="auto"/>
          <w:sz w:val="32"/>
          <w:szCs w:val="32"/>
          <w:highlight w:val="yellow"/>
        </w:rPr>
      </w:pPr>
      <w:r>
        <w:rPr>
          <w:rFonts w:hint="eastAsia" w:ascii="宋体" w:hAnsi="宋体"/>
          <w:b/>
          <w:bCs w:val="0"/>
          <w:color w:val="auto"/>
          <w:sz w:val="32"/>
          <w:szCs w:val="32"/>
          <w:highlight w:val="none"/>
        </w:rPr>
        <w:t>二O一</w:t>
      </w:r>
      <w:r>
        <w:rPr>
          <w:rFonts w:hint="eastAsia" w:ascii="宋体" w:hAnsi="宋体"/>
          <w:b/>
          <w:bCs w:val="0"/>
          <w:color w:val="auto"/>
          <w:sz w:val="32"/>
          <w:szCs w:val="32"/>
          <w:highlight w:val="none"/>
          <w:lang w:val="en-US" w:eastAsia="zh-CN"/>
        </w:rPr>
        <w:t>八</w:t>
      </w:r>
      <w:r>
        <w:rPr>
          <w:rFonts w:hint="eastAsia" w:ascii="宋体" w:hAnsi="宋体"/>
          <w:b/>
          <w:bCs w:val="0"/>
          <w:color w:val="auto"/>
          <w:sz w:val="32"/>
          <w:szCs w:val="32"/>
          <w:highlight w:val="none"/>
        </w:rPr>
        <w:t>年</w:t>
      </w:r>
      <w:r>
        <w:rPr>
          <w:rFonts w:hint="eastAsia" w:ascii="宋体" w:hAnsi="宋体"/>
          <w:b/>
          <w:bCs w:val="0"/>
          <w:color w:val="auto"/>
          <w:sz w:val="32"/>
          <w:szCs w:val="32"/>
          <w:highlight w:val="none"/>
          <w:lang w:val="en-US" w:eastAsia="zh-CN"/>
        </w:rPr>
        <w:t>六月</w:t>
      </w:r>
    </w:p>
    <w:p>
      <w:pPr>
        <w:widowControl/>
        <w:jc w:val="center"/>
        <w:rPr>
          <w:rFonts w:hint="eastAsia" w:ascii="宋体" w:hAnsi="宋体" w:eastAsia="宋体" w:cs="宋体"/>
          <w:b/>
          <w:color w:val="auto"/>
          <w:sz w:val="36"/>
          <w:szCs w:val="36"/>
          <w:highlight w:val="none"/>
          <w:lang w:val="zh-CN"/>
        </w:rPr>
        <w:sectPr>
          <w:footerReference r:id="rId5" w:type="first"/>
          <w:headerReference r:id="rId3" w:type="default"/>
          <w:footerReference r:id="rId4" w:type="default"/>
          <w:type w:val="continuous"/>
          <w:pgSz w:w="11906" w:h="16838"/>
          <w:pgMar w:top="1191" w:right="1191" w:bottom="1191" w:left="1191" w:header="851" w:footer="539" w:gutter="0"/>
          <w:pgNumType w:fmt="decimal"/>
          <w:cols w:space="0" w:num="1"/>
          <w:titlePg/>
          <w:rtlGutter w:val="0"/>
          <w:docGrid w:type="lines" w:linePitch="312" w:charSpace="0"/>
        </w:sectPr>
      </w:pPr>
    </w:p>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b/>
          <w:bCs w:val="0"/>
          <w:color w:val="auto"/>
          <w:sz w:val="36"/>
          <w:szCs w:val="36"/>
          <w:highlight w:val="none"/>
          <w:lang w:val="zh-CN"/>
        </w:rPr>
      </w:pPr>
      <w:r>
        <w:rPr>
          <w:rFonts w:hint="eastAsia" w:asciiTheme="minorEastAsia" w:hAnsiTheme="minorEastAsia" w:eastAsiaTheme="minorEastAsia" w:cstheme="minorEastAsia"/>
          <w:b/>
          <w:bCs w:val="0"/>
          <w:color w:val="auto"/>
          <w:sz w:val="36"/>
          <w:szCs w:val="36"/>
          <w:highlight w:val="none"/>
          <w:lang w:val="zh-CN"/>
        </w:rPr>
        <w:t>目  录</w:t>
      </w:r>
    </w:p>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b/>
          <w:bCs w:val="0"/>
          <w:color w:val="auto"/>
          <w:sz w:val="36"/>
          <w:szCs w:val="36"/>
          <w:highlight w:val="none"/>
          <w:lang w:val="zh-CN"/>
        </w:rPr>
      </w:pPr>
    </w:p>
    <w:p>
      <w:pPr>
        <w:pStyle w:val="10"/>
        <w:keepNext w:val="0"/>
        <w:keepLines w:val="0"/>
        <w:pageBreakBefore w:val="0"/>
        <w:tabs>
          <w:tab w:val="right" w:leader="dot" w:pos="9524"/>
        </w:tabs>
        <w:kinsoku/>
        <w:wordWrap/>
        <w:overflowPunct/>
        <w:topLinePunct w:val="0"/>
        <w:autoSpaceDE/>
        <w:autoSpaceDN/>
        <w:bidi w:val="0"/>
        <w:adjustRightInd/>
        <w:snapToGrid/>
        <w:spacing w:line="380" w:lineRule="exact"/>
        <w:textAlignment w:val="auto"/>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color w:val="auto"/>
          <w:sz w:val="28"/>
          <w:szCs w:val="28"/>
          <w:highlight w:val="none"/>
        </w:rPr>
        <w:instrText xml:space="preserve"> TOC \o "1-3" \h \z \u </w:instrText>
      </w:r>
      <w:r>
        <w:rPr>
          <w:rFonts w:hint="eastAsia" w:asciiTheme="minorEastAsia" w:hAnsiTheme="minorEastAsia" w:eastAsiaTheme="minorEastAsia" w:cstheme="minorEastAsia"/>
          <w:b w:val="0"/>
          <w:bCs/>
          <w:color w:val="auto"/>
          <w:sz w:val="28"/>
          <w:szCs w:val="28"/>
          <w:highlight w:val="none"/>
        </w:rPr>
        <w:fldChar w:fldCharType="separate"/>
      </w:r>
      <w:r>
        <w:rPr>
          <w:rFonts w:hint="eastAsia" w:asciiTheme="minorEastAsia" w:hAnsiTheme="minorEastAsia" w:eastAsiaTheme="minorEastAsia" w:cstheme="minorEastAsia"/>
          <w:bCs/>
          <w:color w:val="auto"/>
          <w:szCs w:val="28"/>
          <w:highlight w:val="none"/>
        </w:rPr>
        <w:fldChar w:fldCharType="begin"/>
      </w:r>
      <w:r>
        <w:rPr>
          <w:rFonts w:hint="eastAsia" w:asciiTheme="minorEastAsia" w:hAnsiTheme="minorEastAsia" w:eastAsiaTheme="minorEastAsia" w:cstheme="minorEastAsia"/>
          <w:bCs/>
          <w:szCs w:val="28"/>
          <w:highlight w:val="none"/>
        </w:rPr>
        <w:instrText xml:space="preserve"> HYPERLINK \l _Toc26201 </w:instrText>
      </w:r>
      <w:r>
        <w:rPr>
          <w:rFonts w:hint="eastAsia" w:asciiTheme="minorEastAsia" w:hAnsiTheme="minorEastAsia" w:eastAsiaTheme="minorEastAsia" w:cstheme="minorEastAsia"/>
          <w:bCs/>
          <w:szCs w:val="28"/>
          <w:highlight w:val="none"/>
        </w:rPr>
        <w:fldChar w:fldCharType="separate"/>
      </w:r>
      <w:r>
        <w:rPr>
          <w:rFonts w:hint="eastAsia"/>
          <w:szCs w:val="36"/>
        </w:rPr>
        <w:t>摘   要</w:t>
      </w:r>
      <w:r>
        <w:tab/>
      </w:r>
      <w:r>
        <w:fldChar w:fldCharType="begin"/>
      </w:r>
      <w:r>
        <w:instrText xml:space="preserve"> PAGEREF _Toc26201 </w:instrText>
      </w:r>
      <w:r>
        <w:fldChar w:fldCharType="separate"/>
      </w:r>
      <w:r>
        <w:t>2</w:t>
      </w:r>
      <w:r>
        <w:fldChar w:fldCharType="end"/>
      </w:r>
      <w:r>
        <w:rPr>
          <w:rFonts w:hint="eastAsia" w:asciiTheme="minorEastAsia" w:hAnsiTheme="minorEastAsia" w:eastAsiaTheme="minorEastAsia" w:cstheme="minorEastAsia"/>
          <w:bCs/>
          <w:color w:val="auto"/>
          <w:szCs w:val="28"/>
          <w:highlight w:val="none"/>
        </w:rPr>
        <w:fldChar w:fldCharType="end"/>
      </w:r>
    </w:p>
    <w:p>
      <w:pPr>
        <w:pStyle w:val="11"/>
        <w:keepNext w:val="0"/>
        <w:keepLines w:val="0"/>
        <w:pageBreakBefore w:val="0"/>
        <w:tabs>
          <w:tab w:val="right" w:leader="dot" w:pos="9524"/>
          <w:tab w:val="clear" w:pos="8296"/>
        </w:tabs>
        <w:kinsoku/>
        <w:wordWrap/>
        <w:overflowPunct/>
        <w:topLinePunct w:val="0"/>
        <w:autoSpaceDE/>
        <w:autoSpaceDN/>
        <w:bidi w:val="0"/>
        <w:adjustRightInd/>
        <w:snapToGrid/>
        <w:spacing w:line="38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_Toc7882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bCs/>
          <w:szCs w:val="24"/>
          <w:highlight w:val="none"/>
          <w:lang w:eastAsia="zh-CN"/>
        </w:rPr>
        <w:t>（一）政策性建议</w:t>
      </w:r>
      <w:r>
        <w:tab/>
      </w:r>
      <w:r>
        <w:fldChar w:fldCharType="begin"/>
      </w:r>
      <w:r>
        <w:instrText xml:space="preserve"> PAGEREF _Toc7882 </w:instrText>
      </w:r>
      <w:r>
        <w:fldChar w:fldCharType="separate"/>
      </w:r>
      <w:r>
        <w:t>4</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1"/>
        <w:keepNext w:val="0"/>
        <w:keepLines w:val="0"/>
        <w:pageBreakBefore w:val="0"/>
        <w:tabs>
          <w:tab w:val="right" w:leader="dot" w:pos="9524"/>
          <w:tab w:val="clear" w:pos="8296"/>
        </w:tabs>
        <w:kinsoku/>
        <w:wordWrap/>
        <w:overflowPunct/>
        <w:topLinePunct w:val="0"/>
        <w:autoSpaceDE/>
        <w:autoSpaceDN/>
        <w:bidi w:val="0"/>
        <w:adjustRightInd/>
        <w:snapToGrid/>
        <w:spacing w:line="38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_Toc10059 </w:instrText>
      </w:r>
      <w:r>
        <w:rPr>
          <w:rFonts w:hint="eastAsia" w:asciiTheme="minorEastAsia" w:hAnsiTheme="minorEastAsia" w:eastAsiaTheme="minorEastAsia" w:cstheme="minorEastAsia"/>
          <w:bCs/>
          <w:szCs w:val="28"/>
          <w:highlight w:val="none"/>
          <w:lang w:val="zh-CN"/>
        </w:rPr>
        <w:fldChar w:fldCharType="separate"/>
      </w:r>
      <w:r>
        <w:rPr>
          <w:rFonts w:hint="eastAsia" w:ascii="宋体" w:hAnsi="宋体" w:eastAsia="宋体" w:cs="宋体"/>
          <w:szCs w:val="24"/>
          <w:highlight w:val="none"/>
          <w:lang w:eastAsia="zh-CN"/>
        </w:rPr>
        <w:t>（二）</w:t>
      </w:r>
      <w:r>
        <w:rPr>
          <w:rFonts w:hint="eastAsia" w:ascii="宋体" w:hAnsi="宋体" w:eastAsia="宋体" w:cs="宋体"/>
          <w:szCs w:val="24"/>
          <w:highlight w:val="none"/>
          <w:lang w:val="en-US" w:eastAsia="zh-CN"/>
        </w:rPr>
        <w:t>改进措施</w:t>
      </w:r>
      <w:r>
        <w:tab/>
      </w:r>
      <w:r>
        <w:fldChar w:fldCharType="begin"/>
      </w:r>
      <w:r>
        <w:instrText xml:space="preserve"> PAGEREF _Toc10059 </w:instrText>
      </w:r>
      <w:r>
        <w:fldChar w:fldCharType="separate"/>
      </w:r>
      <w:r>
        <w:t>4</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1"/>
        <w:keepNext w:val="0"/>
        <w:keepLines w:val="0"/>
        <w:pageBreakBefore w:val="0"/>
        <w:tabs>
          <w:tab w:val="right" w:leader="dot" w:pos="9524"/>
          <w:tab w:val="clear" w:pos="8296"/>
        </w:tabs>
        <w:kinsoku/>
        <w:wordWrap/>
        <w:overflowPunct/>
        <w:topLinePunct w:val="0"/>
        <w:autoSpaceDE/>
        <w:autoSpaceDN/>
        <w:bidi w:val="0"/>
        <w:adjustRightInd/>
        <w:snapToGrid/>
        <w:spacing w:line="38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_Toc31226 </w:instrText>
      </w:r>
      <w:r>
        <w:rPr>
          <w:rFonts w:hint="eastAsia" w:asciiTheme="minorEastAsia" w:hAnsiTheme="minorEastAsia" w:eastAsiaTheme="minorEastAsia" w:cstheme="minorEastAsia"/>
          <w:bCs/>
          <w:szCs w:val="28"/>
          <w:highlight w:val="none"/>
          <w:lang w:val="zh-CN"/>
        </w:rPr>
        <w:fldChar w:fldCharType="separate"/>
      </w:r>
      <w:r>
        <w:rPr>
          <w:rFonts w:hint="eastAsia" w:ascii="宋体" w:hAnsi="宋体" w:eastAsia="宋体" w:cs="宋体"/>
          <w:bCs/>
          <w:szCs w:val="24"/>
          <w:highlight w:val="none"/>
          <w:lang w:eastAsia="zh-CN"/>
        </w:rPr>
        <w:t>（</w:t>
      </w:r>
      <w:r>
        <w:rPr>
          <w:rFonts w:hint="eastAsia" w:ascii="宋体" w:hAnsi="宋体" w:eastAsia="宋体" w:cs="宋体"/>
          <w:szCs w:val="24"/>
          <w:highlight w:val="none"/>
          <w:lang w:eastAsia="zh-CN"/>
        </w:rPr>
        <w:t>三）</w:t>
      </w:r>
      <w:r>
        <w:rPr>
          <w:rFonts w:hint="eastAsia" w:ascii="宋体" w:hAnsi="宋体" w:eastAsia="宋体" w:cs="宋体"/>
          <w:szCs w:val="24"/>
          <w:highlight w:val="none"/>
          <w:lang w:val="en-US" w:eastAsia="zh-CN"/>
        </w:rPr>
        <w:t>绩效目标改进建议</w:t>
      </w:r>
      <w:r>
        <w:tab/>
      </w:r>
      <w:r>
        <w:fldChar w:fldCharType="begin"/>
      </w:r>
      <w:r>
        <w:instrText xml:space="preserve"> PAGEREF _Toc31226 </w:instrText>
      </w:r>
      <w:r>
        <w:fldChar w:fldCharType="separate"/>
      </w:r>
      <w:r>
        <w:t>4</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0"/>
        <w:keepNext w:val="0"/>
        <w:keepLines w:val="0"/>
        <w:pageBreakBefore w:val="0"/>
        <w:tabs>
          <w:tab w:val="right" w:leader="dot" w:pos="9524"/>
        </w:tabs>
        <w:kinsoku/>
        <w:wordWrap/>
        <w:overflowPunct/>
        <w:topLinePunct w:val="0"/>
        <w:autoSpaceDE/>
        <w:autoSpaceDN/>
        <w:bidi w:val="0"/>
        <w:adjustRightInd/>
        <w:snapToGrid/>
        <w:spacing w:line="38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_Toc30791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32"/>
          <w:highlight w:val="none"/>
          <w:lang w:val="en-US" w:eastAsia="zh-CN"/>
        </w:rPr>
        <w:t>一、项目基本情况</w:t>
      </w:r>
      <w:r>
        <w:tab/>
      </w:r>
      <w:r>
        <w:fldChar w:fldCharType="begin"/>
      </w:r>
      <w:r>
        <w:instrText xml:space="preserve"> PAGEREF _Toc30791 </w:instrText>
      </w:r>
      <w:r>
        <w:fldChar w:fldCharType="separate"/>
      </w:r>
      <w:r>
        <w:t>4</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1"/>
        <w:keepNext w:val="0"/>
        <w:keepLines w:val="0"/>
        <w:pageBreakBefore w:val="0"/>
        <w:tabs>
          <w:tab w:val="right" w:leader="dot" w:pos="9524"/>
          <w:tab w:val="clear" w:pos="8296"/>
        </w:tabs>
        <w:kinsoku/>
        <w:wordWrap/>
        <w:overflowPunct/>
        <w:topLinePunct w:val="0"/>
        <w:autoSpaceDE/>
        <w:autoSpaceDN/>
        <w:bidi w:val="0"/>
        <w:adjustRightInd/>
        <w:snapToGrid/>
        <w:spacing w:line="38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_Toc10625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24"/>
          <w:lang w:eastAsia="zh-CN"/>
        </w:rPr>
        <w:t>（</w:t>
      </w:r>
      <w:r>
        <w:rPr>
          <w:rFonts w:hint="eastAsia" w:asciiTheme="majorEastAsia" w:hAnsiTheme="majorEastAsia" w:eastAsiaTheme="majorEastAsia" w:cstheme="majorEastAsia"/>
          <w:szCs w:val="24"/>
          <w:lang w:val="en-US" w:eastAsia="zh-CN"/>
        </w:rPr>
        <w:t>一</w:t>
      </w:r>
      <w:r>
        <w:rPr>
          <w:rFonts w:hint="eastAsia" w:asciiTheme="majorEastAsia" w:hAnsiTheme="majorEastAsia" w:eastAsiaTheme="majorEastAsia" w:cstheme="majorEastAsia"/>
          <w:szCs w:val="24"/>
          <w:lang w:eastAsia="zh-CN"/>
        </w:rPr>
        <w:t>）项目立项背景和依据</w:t>
      </w:r>
      <w:r>
        <w:tab/>
      </w:r>
      <w:r>
        <w:fldChar w:fldCharType="begin"/>
      </w:r>
      <w:r>
        <w:instrText xml:space="preserve"> PAGEREF _Toc10625 </w:instrText>
      </w:r>
      <w:r>
        <w:fldChar w:fldCharType="separate"/>
      </w:r>
      <w:r>
        <w:t>4</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1"/>
        <w:keepNext w:val="0"/>
        <w:keepLines w:val="0"/>
        <w:pageBreakBefore w:val="0"/>
        <w:tabs>
          <w:tab w:val="right" w:leader="dot" w:pos="9524"/>
          <w:tab w:val="clear" w:pos="8296"/>
        </w:tabs>
        <w:kinsoku/>
        <w:wordWrap/>
        <w:overflowPunct/>
        <w:topLinePunct w:val="0"/>
        <w:autoSpaceDE/>
        <w:autoSpaceDN/>
        <w:bidi w:val="0"/>
        <w:adjustRightInd/>
        <w:snapToGrid/>
        <w:spacing w:line="38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_Toc9183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24"/>
          <w:lang w:val="en-US" w:eastAsia="zh-CN"/>
        </w:rPr>
        <w:t>（二）绩效目标</w:t>
      </w:r>
      <w:r>
        <w:tab/>
      </w:r>
      <w:r>
        <w:fldChar w:fldCharType="begin"/>
      </w:r>
      <w:r>
        <w:instrText xml:space="preserve"> PAGEREF _Toc9183 </w:instrText>
      </w:r>
      <w:r>
        <w:fldChar w:fldCharType="separate"/>
      </w:r>
      <w:r>
        <w:t>5</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7"/>
        <w:keepNext w:val="0"/>
        <w:keepLines w:val="0"/>
        <w:pageBreakBefore w:val="0"/>
        <w:tabs>
          <w:tab w:val="right" w:leader="dot" w:pos="9524"/>
        </w:tabs>
        <w:kinsoku/>
        <w:wordWrap/>
        <w:overflowPunct/>
        <w:topLinePunct w:val="0"/>
        <w:autoSpaceDE/>
        <w:autoSpaceDN/>
        <w:bidi w:val="0"/>
        <w:adjustRightInd/>
        <w:snapToGrid/>
        <w:spacing w:line="38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_Toc4948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24"/>
          <w:lang w:val="en-US" w:eastAsia="zh-CN"/>
        </w:rPr>
        <w:t>1、产出指标</w:t>
      </w:r>
      <w:r>
        <w:tab/>
      </w:r>
      <w:r>
        <w:fldChar w:fldCharType="begin"/>
      </w:r>
      <w:r>
        <w:instrText xml:space="preserve"> PAGEREF _Toc4948 </w:instrText>
      </w:r>
      <w:r>
        <w:fldChar w:fldCharType="separate"/>
      </w:r>
      <w:r>
        <w:t>5</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7"/>
        <w:keepNext w:val="0"/>
        <w:keepLines w:val="0"/>
        <w:pageBreakBefore w:val="0"/>
        <w:tabs>
          <w:tab w:val="right" w:leader="dot" w:pos="9524"/>
        </w:tabs>
        <w:kinsoku/>
        <w:wordWrap/>
        <w:overflowPunct/>
        <w:topLinePunct w:val="0"/>
        <w:autoSpaceDE/>
        <w:autoSpaceDN/>
        <w:bidi w:val="0"/>
        <w:adjustRightInd/>
        <w:snapToGrid/>
        <w:spacing w:line="38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_Toc20275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24"/>
          <w:lang w:val="en-US" w:eastAsia="zh-CN"/>
        </w:rPr>
        <w:t>2、效益指标</w:t>
      </w:r>
      <w:r>
        <w:tab/>
      </w:r>
      <w:r>
        <w:fldChar w:fldCharType="begin"/>
      </w:r>
      <w:r>
        <w:instrText xml:space="preserve"> PAGEREF _Toc20275 </w:instrText>
      </w:r>
      <w:r>
        <w:fldChar w:fldCharType="separate"/>
      </w:r>
      <w:r>
        <w:t>5</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7"/>
        <w:keepNext w:val="0"/>
        <w:keepLines w:val="0"/>
        <w:pageBreakBefore w:val="0"/>
        <w:tabs>
          <w:tab w:val="right" w:leader="dot" w:pos="9524"/>
        </w:tabs>
        <w:kinsoku/>
        <w:wordWrap/>
        <w:overflowPunct/>
        <w:topLinePunct w:val="0"/>
        <w:autoSpaceDE/>
        <w:autoSpaceDN/>
        <w:bidi w:val="0"/>
        <w:adjustRightInd/>
        <w:snapToGrid/>
        <w:spacing w:line="38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_Toc19213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24"/>
          <w:lang w:val="en-US" w:eastAsia="zh-CN"/>
        </w:rPr>
        <w:t>3、满意度指标</w:t>
      </w:r>
      <w:r>
        <w:tab/>
      </w:r>
      <w:r>
        <w:fldChar w:fldCharType="begin"/>
      </w:r>
      <w:r>
        <w:instrText xml:space="preserve"> PAGEREF _Toc19213 </w:instrText>
      </w:r>
      <w:r>
        <w:fldChar w:fldCharType="separate"/>
      </w:r>
      <w:r>
        <w:t>5</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1"/>
        <w:keepNext w:val="0"/>
        <w:keepLines w:val="0"/>
        <w:pageBreakBefore w:val="0"/>
        <w:tabs>
          <w:tab w:val="right" w:leader="dot" w:pos="9524"/>
          <w:tab w:val="clear" w:pos="8296"/>
        </w:tabs>
        <w:kinsoku/>
        <w:wordWrap/>
        <w:overflowPunct/>
        <w:topLinePunct w:val="0"/>
        <w:autoSpaceDE/>
        <w:autoSpaceDN/>
        <w:bidi w:val="0"/>
        <w:adjustRightInd/>
        <w:snapToGrid/>
        <w:spacing w:line="38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_Toc7819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24"/>
          <w:lang w:val="en-US" w:eastAsia="zh-CN"/>
        </w:rPr>
        <w:t>（三）经费来源和使用情况</w:t>
      </w:r>
      <w:r>
        <w:tab/>
      </w:r>
      <w:r>
        <w:fldChar w:fldCharType="begin"/>
      </w:r>
      <w:r>
        <w:instrText xml:space="preserve"> PAGEREF _Toc7819 </w:instrText>
      </w:r>
      <w:r>
        <w:fldChar w:fldCharType="separate"/>
      </w:r>
      <w:r>
        <w:t>5</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1"/>
        <w:keepNext w:val="0"/>
        <w:keepLines w:val="0"/>
        <w:pageBreakBefore w:val="0"/>
        <w:tabs>
          <w:tab w:val="right" w:leader="dot" w:pos="9524"/>
          <w:tab w:val="clear" w:pos="8296"/>
        </w:tabs>
        <w:kinsoku/>
        <w:wordWrap/>
        <w:overflowPunct/>
        <w:topLinePunct w:val="0"/>
        <w:autoSpaceDE/>
        <w:autoSpaceDN/>
        <w:bidi w:val="0"/>
        <w:adjustRightInd/>
        <w:snapToGrid/>
        <w:spacing w:line="38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_Toc3741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bCs/>
          <w:kern w:val="2"/>
          <w:szCs w:val="24"/>
          <w:lang w:val="en-US" w:eastAsia="zh-CN" w:bidi="ar-SA"/>
        </w:rPr>
        <w:t>（四）项目实施情况</w:t>
      </w:r>
      <w:r>
        <w:tab/>
      </w:r>
      <w:r>
        <w:fldChar w:fldCharType="begin"/>
      </w:r>
      <w:r>
        <w:instrText xml:space="preserve"> PAGEREF _Toc3741 </w:instrText>
      </w:r>
      <w:r>
        <w:fldChar w:fldCharType="separate"/>
      </w:r>
      <w:r>
        <w:t>5</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0"/>
        <w:keepNext w:val="0"/>
        <w:keepLines w:val="0"/>
        <w:pageBreakBefore w:val="0"/>
        <w:tabs>
          <w:tab w:val="right" w:leader="dot" w:pos="9524"/>
        </w:tabs>
        <w:kinsoku/>
        <w:wordWrap/>
        <w:overflowPunct/>
        <w:topLinePunct w:val="0"/>
        <w:autoSpaceDE/>
        <w:autoSpaceDN/>
        <w:bidi w:val="0"/>
        <w:adjustRightInd/>
        <w:snapToGrid/>
        <w:spacing w:line="38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_Toc32693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bCs/>
          <w:szCs w:val="32"/>
          <w:lang w:val="en-US" w:eastAsia="zh-CN"/>
        </w:rPr>
        <w:t xml:space="preserve">二、 </w:t>
      </w:r>
      <w:r>
        <w:rPr>
          <w:rFonts w:hint="eastAsia" w:asciiTheme="majorEastAsia" w:hAnsiTheme="majorEastAsia" w:eastAsiaTheme="majorEastAsia" w:cstheme="majorEastAsia"/>
          <w:bCs/>
          <w:szCs w:val="32"/>
          <w:highlight w:val="none"/>
          <w:lang w:val="en-US" w:eastAsia="zh-CN"/>
        </w:rPr>
        <w:t>绩效评价工作情况</w:t>
      </w:r>
      <w:r>
        <w:tab/>
      </w:r>
      <w:r>
        <w:fldChar w:fldCharType="begin"/>
      </w:r>
      <w:r>
        <w:instrText xml:space="preserve"> PAGEREF _Toc32693 </w:instrText>
      </w:r>
      <w:r>
        <w:fldChar w:fldCharType="separate"/>
      </w:r>
      <w:r>
        <w:t>6</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1"/>
        <w:keepNext w:val="0"/>
        <w:keepLines w:val="0"/>
        <w:pageBreakBefore w:val="0"/>
        <w:tabs>
          <w:tab w:val="right" w:leader="dot" w:pos="9524"/>
          <w:tab w:val="clear" w:pos="8296"/>
        </w:tabs>
        <w:kinsoku/>
        <w:wordWrap/>
        <w:overflowPunct/>
        <w:topLinePunct w:val="0"/>
        <w:autoSpaceDE/>
        <w:autoSpaceDN/>
        <w:bidi w:val="0"/>
        <w:adjustRightInd/>
        <w:snapToGrid/>
        <w:spacing w:line="38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_Toc9653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bCs/>
          <w:kern w:val="2"/>
          <w:szCs w:val="24"/>
          <w:lang w:val="en-US" w:eastAsia="zh-CN" w:bidi="ar-SA"/>
        </w:rPr>
        <w:t>（一）绩效评价目的</w:t>
      </w:r>
      <w:r>
        <w:tab/>
      </w:r>
      <w:r>
        <w:fldChar w:fldCharType="begin"/>
      </w:r>
      <w:r>
        <w:instrText xml:space="preserve"> PAGEREF _Toc9653 </w:instrText>
      </w:r>
      <w:r>
        <w:fldChar w:fldCharType="separate"/>
      </w:r>
      <w:r>
        <w:t>6</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1"/>
        <w:keepNext w:val="0"/>
        <w:keepLines w:val="0"/>
        <w:pageBreakBefore w:val="0"/>
        <w:tabs>
          <w:tab w:val="right" w:leader="dot" w:pos="9524"/>
          <w:tab w:val="clear" w:pos="8296"/>
        </w:tabs>
        <w:kinsoku/>
        <w:wordWrap/>
        <w:overflowPunct/>
        <w:topLinePunct w:val="0"/>
        <w:autoSpaceDE/>
        <w:autoSpaceDN/>
        <w:bidi w:val="0"/>
        <w:adjustRightInd/>
        <w:snapToGrid/>
        <w:spacing w:line="38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_Toc20557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bCs/>
          <w:kern w:val="2"/>
          <w:szCs w:val="24"/>
          <w:lang w:val="en-US" w:eastAsia="zh-CN" w:bidi="ar-SA"/>
        </w:rPr>
        <w:t>（二）绩效评价框架</w:t>
      </w:r>
      <w:r>
        <w:tab/>
      </w:r>
      <w:r>
        <w:fldChar w:fldCharType="begin"/>
      </w:r>
      <w:r>
        <w:instrText xml:space="preserve"> PAGEREF _Toc20557 </w:instrText>
      </w:r>
      <w:r>
        <w:fldChar w:fldCharType="separate"/>
      </w:r>
      <w:r>
        <w:t>6</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7"/>
        <w:keepNext w:val="0"/>
        <w:keepLines w:val="0"/>
        <w:pageBreakBefore w:val="0"/>
        <w:tabs>
          <w:tab w:val="right" w:leader="dot" w:pos="9524"/>
        </w:tabs>
        <w:kinsoku/>
        <w:wordWrap/>
        <w:overflowPunct/>
        <w:topLinePunct w:val="0"/>
        <w:autoSpaceDE/>
        <w:autoSpaceDN/>
        <w:bidi w:val="0"/>
        <w:adjustRightInd/>
        <w:snapToGrid/>
        <w:spacing w:line="38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_Toc8552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bCs/>
          <w:szCs w:val="24"/>
          <w:highlight w:val="none"/>
          <w:lang w:val="en-US" w:eastAsia="zh-CN"/>
        </w:rPr>
        <w:t>1、</w:t>
      </w:r>
      <w:r>
        <w:rPr>
          <w:rFonts w:hint="eastAsia" w:asciiTheme="majorEastAsia" w:hAnsiTheme="majorEastAsia" w:eastAsiaTheme="majorEastAsia" w:cstheme="majorEastAsia"/>
          <w:bCs/>
          <w:szCs w:val="24"/>
          <w:highlight w:val="none"/>
        </w:rPr>
        <w:t>绩效评价</w:t>
      </w:r>
      <w:r>
        <w:rPr>
          <w:rFonts w:hint="eastAsia" w:asciiTheme="majorEastAsia" w:hAnsiTheme="majorEastAsia" w:eastAsiaTheme="majorEastAsia" w:cstheme="majorEastAsia"/>
          <w:bCs/>
          <w:szCs w:val="24"/>
          <w:highlight w:val="none"/>
          <w:lang w:eastAsia="zh-CN"/>
        </w:rPr>
        <w:t>前期准备</w:t>
      </w:r>
      <w:r>
        <w:tab/>
      </w:r>
      <w:r>
        <w:fldChar w:fldCharType="begin"/>
      </w:r>
      <w:r>
        <w:instrText xml:space="preserve"> PAGEREF _Toc8552 </w:instrText>
      </w:r>
      <w:r>
        <w:fldChar w:fldCharType="separate"/>
      </w:r>
      <w:r>
        <w:t>6</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7"/>
        <w:keepNext w:val="0"/>
        <w:keepLines w:val="0"/>
        <w:pageBreakBefore w:val="0"/>
        <w:tabs>
          <w:tab w:val="right" w:leader="dot" w:pos="9524"/>
        </w:tabs>
        <w:kinsoku/>
        <w:wordWrap/>
        <w:overflowPunct/>
        <w:topLinePunct w:val="0"/>
        <w:autoSpaceDE/>
        <w:autoSpaceDN/>
        <w:bidi w:val="0"/>
        <w:adjustRightInd/>
        <w:snapToGrid/>
        <w:spacing w:line="38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_Toc1890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24"/>
          <w:highlight w:val="none"/>
          <w:lang w:val="en-US" w:eastAsia="zh-CN"/>
        </w:rPr>
        <w:t>2、</w:t>
      </w:r>
      <w:r>
        <w:rPr>
          <w:rFonts w:hint="eastAsia" w:asciiTheme="majorEastAsia" w:hAnsiTheme="majorEastAsia" w:eastAsiaTheme="majorEastAsia" w:cstheme="majorEastAsia"/>
          <w:szCs w:val="24"/>
          <w:highlight w:val="none"/>
        </w:rPr>
        <w:t>绩效评价</w:t>
      </w:r>
      <w:r>
        <w:rPr>
          <w:rFonts w:hint="eastAsia" w:asciiTheme="majorEastAsia" w:hAnsiTheme="majorEastAsia" w:eastAsiaTheme="majorEastAsia" w:cstheme="majorEastAsia"/>
          <w:szCs w:val="24"/>
          <w:highlight w:val="none"/>
          <w:lang w:eastAsia="zh-CN"/>
        </w:rPr>
        <w:t>组织</w:t>
      </w:r>
      <w:r>
        <w:rPr>
          <w:rFonts w:hint="eastAsia" w:asciiTheme="majorEastAsia" w:hAnsiTheme="majorEastAsia" w:eastAsiaTheme="majorEastAsia" w:cstheme="majorEastAsia"/>
          <w:szCs w:val="24"/>
          <w:highlight w:val="none"/>
        </w:rPr>
        <w:t>过程</w:t>
      </w:r>
      <w:r>
        <w:tab/>
      </w:r>
      <w:r>
        <w:fldChar w:fldCharType="begin"/>
      </w:r>
      <w:r>
        <w:instrText xml:space="preserve"> PAGEREF _Toc1890 </w:instrText>
      </w:r>
      <w:r>
        <w:fldChar w:fldCharType="separate"/>
      </w:r>
      <w:r>
        <w:t>8</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7"/>
        <w:keepNext w:val="0"/>
        <w:keepLines w:val="0"/>
        <w:pageBreakBefore w:val="0"/>
        <w:tabs>
          <w:tab w:val="right" w:leader="dot" w:pos="9524"/>
        </w:tabs>
        <w:kinsoku/>
        <w:wordWrap/>
        <w:overflowPunct/>
        <w:topLinePunct w:val="0"/>
        <w:autoSpaceDE/>
        <w:autoSpaceDN/>
        <w:bidi w:val="0"/>
        <w:adjustRightInd/>
        <w:snapToGrid/>
        <w:spacing w:line="38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_Toc9671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24"/>
          <w:highlight w:val="none"/>
          <w:lang w:val="en-US" w:eastAsia="zh-CN"/>
        </w:rPr>
        <w:t>3、绩效评价等级标准</w:t>
      </w:r>
      <w:r>
        <w:tab/>
      </w:r>
      <w:r>
        <w:fldChar w:fldCharType="begin"/>
      </w:r>
      <w:r>
        <w:instrText xml:space="preserve"> PAGEREF _Toc9671 </w:instrText>
      </w:r>
      <w:r>
        <w:fldChar w:fldCharType="separate"/>
      </w:r>
      <w:r>
        <w:t>8</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7"/>
        <w:keepNext w:val="0"/>
        <w:keepLines w:val="0"/>
        <w:pageBreakBefore w:val="0"/>
        <w:tabs>
          <w:tab w:val="right" w:leader="dot" w:pos="9524"/>
        </w:tabs>
        <w:kinsoku/>
        <w:wordWrap/>
        <w:overflowPunct/>
        <w:topLinePunct w:val="0"/>
        <w:autoSpaceDE/>
        <w:autoSpaceDN/>
        <w:bidi w:val="0"/>
        <w:adjustRightInd/>
        <w:snapToGrid/>
        <w:spacing w:line="38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_Toc1292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24"/>
          <w:highlight w:val="none"/>
          <w:lang w:val="en-US" w:eastAsia="zh-CN"/>
        </w:rPr>
        <w:t>4．评价指标</w:t>
      </w:r>
      <w:r>
        <w:tab/>
      </w:r>
      <w:r>
        <w:fldChar w:fldCharType="begin"/>
      </w:r>
      <w:r>
        <w:instrText xml:space="preserve"> PAGEREF _Toc1292 </w:instrText>
      </w:r>
      <w:r>
        <w:fldChar w:fldCharType="separate"/>
      </w:r>
      <w:r>
        <w:t>9</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0"/>
        <w:keepNext w:val="0"/>
        <w:keepLines w:val="0"/>
        <w:pageBreakBefore w:val="0"/>
        <w:tabs>
          <w:tab w:val="right" w:leader="dot" w:pos="9524"/>
        </w:tabs>
        <w:kinsoku/>
        <w:wordWrap/>
        <w:overflowPunct/>
        <w:topLinePunct w:val="0"/>
        <w:autoSpaceDE/>
        <w:autoSpaceDN/>
        <w:bidi w:val="0"/>
        <w:adjustRightInd/>
        <w:snapToGrid/>
        <w:spacing w:line="38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_Toc30097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30"/>
          <w:lang w:eastAsia="zh-CN"/>
        </w:rPr>
        <w:t xml:space="preserve">三、 </w:t>
      </w:r>
      <w:r>
        <w:rPr>
          <w:rFonts w:hint="eastAsia" w:asciiTheme="majorEastAsia" w:hAnsiTheme="majorEastAsia" w:eastAsiaTheme="majorEastAsia" w:cstheme="majorEastAsia"/>
          <w:szCs w:val="32"/>
          <w:highlight w:val="none"/>
          <w:lang w:val="en-US" w:eastAsia="zh-CN"/>
        </w:rPr>
        <w:t>绩效分析及评价结论</w:t>
      </w:r>
      <w:r>
        <w:tab/>
      </w:r>
      <w:r>
        <w:fldChar w:fldCharType="begin"/>
      </w:r>
      <w:r>
        <w:instrText xml:space="preserve"> PAGEREF _Toc30097 </w:instrText>
      </w:r>
      <w:r>
        <w:fldChar w:fldCharType="separate"/>
      </w:r>
      <w:r>
        <w:t>9</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1"/>
        <w:keepNext w:val="0"/>
        <w:keepLines w:val="0"/>
        <w:pageBreakBefore w:val="0"/>
        <w:tabs>
          <w:tab w:val="right" w:leader="dot" w:pos="9524"/>
          <w:tab w:val="clear" w:pos="8296"/>
        </w:tabs>
        <w:kinsoku/>
        <w:wordWrap/>
        <w:overflowPunct/>
        <w:topLinePunct w:val="0"/>
        <w:autoSpaceDE/>
        <w:autoSpaceDN/>
        <w:bidi w:val="0"/>
        <w:adjustRightInd/>
        <w:snapToGrid/>
        <w:spacing w:line="38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_Toc32754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30"/>
          <w:lang w:eastAsia="zh-CN"/>
        </w:rPr>
        <w:t>（一）绩效分析</w:t>
      </w:r>
      <w:r>
        <w:tab/>
      </w:r>
      <w:r>
        <w:fldChar w:fldCharType="begin"/>
      </w:r>
      <w:r>
        <w:instrText xml:space="preserve"> PAGEREF _Toc32754 </w:instrText>
      </w:r>
      <w:r>
        <w:fldChar w:fldCharType="separate"/>
      </w:r>
      <w:r>
        <w:t>9</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1"/>
        <w:keepNext w:val="0"/>
        <w:keepLines w:val="0"/>
        <w:pageBreakBefore w:val="0"/>
        <w:tabs>
          <w:tab w:val="right" w:leader="dot" w:pos="9524"/>
          <w:tab w:val="clear" w:pos="8296"/>
        </w:tabs>
        <w:kinsoku/>
        <w:wordWrap/>
        <w:overflowPunct/>
        <w:topLinePunct w:val="0"/>
        <w:autoSpaceDE/>
        <w:autoSpaceDN/>
        <w:bidi w:val="0"/>
        <w:adjustRightInd/>
        <w:snapToGrid/>
        <w:spacing w:line="38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_Toc30764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30"/>
          <w:lang w:val="en-US" w:eastAsia="zh-CN"/>
        </w:rPr>
        <w:t>（二）项目绩效指标完成情况分析</w:t>
      </w:r>
      <w:r>
        <w:tab/>
      </w:r>
      <w:r>
        <w:fldChar w:fldCharType="begin"/>
      </w:r>
      <w:r>
        <w:instrText xml:space="preserve"> PAGEREF _Toc30764 </w:instrText>
      </w:r>
      <w:r>
        <w:fldChar w:fldCharType="separate"/>
      </w:r>
      <w:r>
        <w:t>10</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7"/>
        <w:keepNext w:val="0"/>
        <w:keepLines w:val="0"/>
        <w:pageBreakBefore w:val="0"/>
        <w:tabs>
          <w:tab w:val="right" w:leader="dot" w:pos="9524"/>
        </w:tabs>
        <w:kinsoku/>
        <w:wordWrap/>
        <w:overflowPunct/>
        <w:topLinePunct w:val="0"/>
        <w:autoSpaceDE/>
        <w:autoSpaceDN/>
        <w:bidi w:val="0"/>
        <w:adjustRightInd/>
        <w:snapToGrid/>
        <w:spacing w:line="38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_Toc2009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24"/>
          <w:lang w:val="en-US" w:eastAsia="zh-CN"/>
        </w:rPr>
        <w:t>1、投入指标完成情况分析（15分）</w:t>
      </w:r>
      <w:r>
        <w:tab/>
      </w:r>
      <w:r>
        <w:fldChar w:fldCharType="begin"/>
      </w:r>
      <w:r>
        <w:instrText xml:space="preserve"> PAGEREF _Toc2009 </w:instrText>
      </w:r>
      <w:r>
        <w:fldChar w:fldCharType="separate"/>
      </w:r>
      <w:r>
        <w:t>10</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7"/>
        <w:keepNext w:val="0"/>
        <w:keepLines w:val="0"/>
        <w:pageBreakBefore w:val="0"/>
        <w:tabs>
          <w:tab w:val="right" w:leader="dot" w:pos="9524"/>
        </w:tabs>
        <w:kinsoku/>
        <w:wordWrap/>
        <w:overflowPunct/>
        <w:topLinePunct w:val="0"/>
        <w:autoSpaceDE/>
        <w:autoSpaceDN/>
        <w:bidi w:val="0"/>
        <w:adjustRightInd/>
        <w:snapToGrid/>
        <w:spacing w:line="38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_Toc29814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24"/>
          <w:lang w:val="en-US" w:eastAsia="zh-CN"/>
        </w:rPr>
        <w:t>2、过程指标完成情况分析（25分）</w:t>
      </w:r>
      <w:r>
        <w:tab/>
      </w:r>
      <w:r>
        <w:fldChar w:fldCharType="begin"/>
      </w:r>
      <w:r>
        <w:instrText xml:space="preserve"> PAGEREF _Toc29814 </w:instrText>
      </w:r>
      <w:r>
        <w:fldChar w:fldCharType="separate"/>
      </w:r>
      <w:r>
        <w:t>10</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7"/>
        <w:keepNext w:val="0"/>
        <w:keepLines w:val="0"/>
        <w:pageBreakBefore w:val="0"/>
        <w:tabs>
          <w:tab w:val="right" w:leader="dot" w:pos="9524"/>
        </w:tabs>
        <w:kinsoku/>
        <w:wordWrap/>
        <w:overflowPunct/>
        <w:topLinePunct w:val="0"/>
        <w:autoSpaceDE/>
        <w:autoSpaceDN/>
        <w:bidi w:val="0"/>
        <w:adjustRightInd/>
        <w:snapToGrid/>
        <w:spacing w:line="38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_Toc3491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24"/>
          <w:lang w:val="en-US" w:eastAsia="zh-CN"/>
        </w:rPr>
        <w:t>3、产出指标完成情况分析（25分）</w:t>
      </w:r>
      <w:r>
        <w:tab/>
      </w:r>
      <w:r>
        <w:fldChar w:fldCharType="begin"/>
      </w:r>
      <w:r>
        <w:instrText xml:space="preserve"> PAGEREF _Toc3491 </w:instrText>
      </w:r>
      <w:r>
        <w:fldChar w:fldCharType="separate"/>
      </w:r>
      <w:r>
        <w:t>11</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7"/>
        <w:keepNext w:val="0"/>
        <w:keepLines w:val="0"/>
        <w:pageBreakBefore w:val="0"/>
        <w:tabs>
          <w:tab w:val="right" w:leader="dot" w:pos="9524"/>
        </w:tabs>
        <w:kinsoku/>
        <w:wordWrap/>
        <w:overflowPunct/>
        <w:topLinePunct w:val="0"/>
        <w:autoSpaceDE/>
        <w:autoSpaceDN/>
        <w:bidi w:val="0"/>
        <w:adjustRightInd/>
        <w:snapToGrid/>
        <w:spacing w:line="38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_Toc20287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24"/>
          <w:lang w:val="en-US" w:eastAsia="zh-CN"/>
        </w:rPr>
        <w:t>4、效果指标完成情况分析（35分）</w:t>
      </w:r>
      <w:r>
        <w:tab/>
      </w:r>
      <w:r>
        <w:fldChar w:fldCharType="begin"/>
      </w:r>
      <w:r>
        <w:instrText xml:space="preserve"> PAGEREF _Toc20287 </w:instrText>
      </w:r>
      <w:r>
        <w:fldChar w:fldCharType="separate"/>
      </w:r>
      <w:r>
        <w:t>11</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1"/>
        <w:keepNext w:val="0"/>
        <w:keepLines w:val="0"/>
        <w:pageBreakBefore w:val="0"/>
        <w:tabs>
          <w:tab w:val="right" w:leader="dot" w:pos="9524"/>
          <w:tab w:val="clear" w:pos="8296"/>
        </w:tabs>
        <w:kinsoku/>
        <w:wordWrap/>
        <w:overflowPunct/>
        <w:topLinePunct w:val="0"/>
        <w:autoSpaceDE/>
        <w:autoSpaceDN/>
        <w:bidi w:val="0"/>
        <w:adjustRightInd/>
        <w:snapToGrid/>
        <w:spacing w:line="38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_Toc9332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bCs/>
          <w:szCs w:val="30"/>
          <w:highlight w:val="none"/>
          <w:lang w:eastAsia="zh-CN"/>
        </w:rPr>
        <w:t>（</w:t>
      </w:r>
      <w:r>
        <w:rPr>
          <w:rFonts w:hint="eastAsia" w:asciiTheme="majorEastAsia" w:hAnsiTheme="majorEastAsia" w:eastAsiaTheme="majorEastAsia" w:cstheme="majorEastAsia"/>
          <w:bCs/>
          <w:szCs w:val="30"/>
          <w:highlight w:val="none"/>
          <w:lang w:val="en-US" w:eastAsia="zh-CN"/>
        </w:rPr>
        <w:t>三</w:t>
      </w:r>
      <w:r>
        <w:rPr>
          <w:rFonts w:hint="eastAsia" w:asciiTheme="majorEastAsia" w:hAnsiTheme="majorEastAsia" w:eastAsiaTheme="majorEastAsia" w:cstheme="majorEastAsia"/>
          <w:bCs/>
          <w:szCs w:val="30"/>
          <w:highlight w:val="none"/>
          <w:lang w:eastAsia="zh-CN"/>
        </w:rPr>
        <w:t>）评价结论</w:t>
      </w:r>
      <w:r>
        <w:tab/>
      </w:r>
      <w:r>
        <w:fldChar w:fldCharType="begin"/>
      </w:r>
      <w:r>
        <w:instrText xml:space="preserve"> PAGEREF _Toc9332 </w:instrText>
      </w:r>
      <w:r>
        <w:fldChar w:fldCharType="separate"/>
      </w:r>
      <w:r>
        <w:t>12</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0"/>
        <w:keepNext w:val="0"/>
        <w:keepLines w:val="0"/>
        <w:pageBreakBefore w:val="0"/>
        <w:tabs>
          <w:tab w:val="right" w:leader="dot" w:pos="9524"/>
        </w:tabs>
        <w:kinsoku/>
        <w:wordWrap/>
        <w:overflowPunct/>
        <w:topLinePunct w:val="0"/>
        <w:autoSpaceDE/>
        <w:autoSpaceDN/>
        <w:bidi w:val="0"/>
        <w:adjustRightInd/>
        <w:snapToGrid/>
        <w:spacing w:line="38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_Toc21092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36"/>
          <w:highlight w:val="none"/>
          <w:lang w:val="en-US" w:eastAsia="zh-CN"/>
        </w:rPr>
        <w:t>四、经验总结</w:t>
      </w:r>
      <w:r>
        <w:tab/>
      </w:r>
      <w:r>
        <w:fldChar w:fldCharType="begin"/>
      </w:r>
      <w:r>
        <w:instrText xml:space="preserve"> PAGEREF _Toc21092 </w:instrText>
      </w:r>
      <w:r>
        <w:fldChar w:fldCharType="separate"/>
      </w:r>
      <w:r>
        <w:t>12</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0"/>
        <w:keepNext w:val="0"/>
        <w:keepLines w:val="0"/>
        <w:pageBreakBefore w:val="0"/>
        <w:tabs>
          <w:tab w:val="right" w:leader="dot" w:pos="9524"/>
        </w:tabs>
        <w:kinsoku/>
        <w:wordWrap/>
        <w:overflowPunct/>
        <w:topLinePunct w:val="0"/>
        <w:autoSpaceDE/>
        <w:autoSpaceDN/>
        <w:bidi w:val="0"/>
        <w:adjustRightInd/>
        <w:snapToGrid/>
        <w:spacing w:line="38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_Toc3288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36"/>
          <w:highlight w:val="none"/>
          <w:lang w:val="en-US" w:eastAsia="zh-CN"/>
        </w:rPr>
        <w:t>五、问题</w:t>
      </w:r>
      <w:r>
        <w:tab/>
      </w:r>
      <w:r>
        <w:fldChar w:fldCharType="begin"/>
      </w:r>
      <w:r>
        <w:instrText xml:space="preserve"> PAGEREF _Toc3288 </w:instrText>
      </w:r>
      <w:r>
        <w:fldChar w:fldCharType="separate"/>
      </w:r>
      <w:r>
        <w:t>12</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0"/>
        <w:keepNext w:val="0"/>
        <w:keepLines w:val="0"/>
        <w:pageBreakBefore w:val="0"/>
        <w:tabs>
          <w:tab w:val="right" w:leader="dot" w:pos="9524"/>
        </w:tabs>
        <w:kinsoku/>
        <w:wordWrap/>
        <w:overflowPunct/>
        <w:topLinePunct w:val="0"/>
        <w:autoSpaceDE/>
        <w:autoSpaceDN/>
        <w:bidi w:val="0"/>
        <w:adjustRightInd/>
        <w:snapToGrid/>
        <w:spacing w:line="38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_Toc27104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36"/>
          <w:highlight w:val="none"/>
          <w:lang w:val="en-US" w:eastAsia="zh-CN"/>
        </w:rPr>
        <w:t>六、建议</w:t>
      </w:r>
      <w:r>
        <w:tab/>
      </w:r>
      <w:r>
        <w:fldChar w:fldCharType="begin"/>
      </w:r>
      <w:r>
        <w:instrText xml:space="preserve"> PAGEREF _Toc27104 </w:instrText>
      </w:r>
      <w:r>
        <w:fldChar w:fldCharType="separate"/>
      </w:r>
      <w:r>
        <w:t>13</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1"/>
        <w:keepNext w:val="0"/>
        <w:keepLines w:val="0"/>
        <w:pageBreakBefore w:val="0"/>
        <w:tabs>
          <w:tab w:val="right" w:leader="dot" w:pos="9524"/>
          <w:tab w:val="clear" w:pos="8296"/>
        </w:tabs>
        <w:kinsoku/>
        <w:wordWrap/>
        <w:overflowPunct/>
        <w:topLinePunct w:val="0"/>
        <w:autoSpaceDE/>
        <w:autoSpaceDN/>
        <w:bidi w:val="0"/>
        <w:adjustRightInd/>
        <w:snapToGrid/>
        <w:spacing w:line="38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_Toc25106 </w:instrText>
      </w:r>
      <w:r>
        <w:rPr>
          <w:rFonts w:hint="eastAsia" w:asciiTheme="minorEastAsia" w:hAnsiTheme="minorEastAsia" w:eastAsiaTheme="minorEastAsia" w:cstheme="minorEastAsia"/>
          <w:bCs/>
          <w:szCs w:val="28"/>
          <w:highlight w:val="none"/>
          <w:lang w:val="zh-CN"/>
        </w:rPr>
        <w:fldChar w:fldCharType="separate"/>
      </w:r>
      <w:r>
        <w:rPr>
          <w:rFonts w:hint="eastAsia" w:ascii="宋体" w:hAnsi="宋体" w:eastAsia="宋体" w:cs="宋体"/>
          <w:szCs w:val="24"/>
          <w:highlight w:val="none"/>
          <w:lang w:eastAsia="zh-CN"/>
        </w:rPr>
        <w:t>（一）政策性建议</w:t>
      </w:r>
      <w:r>
        <w:tab/>
      </w:r>
      <w:r>
        <w:fldChar w:fldCharType="begin"/>
      </w:r>
      <w:r>
        <w:instrText xml:space="preserve"> PAGEREF _Toc25106 </w:instrText>
      </w:r>
      <w:r>
        <w:fldChar w:fldCharType="separate"/>
      </w:r>
      <w:r>
        <w:t>13</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1"/>
        <w:keepNext w:val="0"/>
        <w:keepLines w:val="0"/>
        <w:pageBreakBefore w:val="0"/>
        <w:tabs>
          <w:tab w:val="right" w:leader="dot" w:pos="9524"/>
          <w:tab w:val="clear" w:pos="8296"/>
        </w:tabs>
        <w:kinsoku/>
        <w:wordWrap/>
        <w:overflowPunct/>
        <w:topLinePunct w:val="0"/>
        <w:autoSpaceDE/>
        <w:autoSpaceDN/>
        <w:bidi w:val="0"/>
        <w:adjustRightInd/>
        <w:snapToGrid/>
        <w:spacing w:line="38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_Toc28240 </w:instrText>
      </w:r>
      <w:r>
        <w:rPr>
          <w:rFonts w:hint="eastAsia" w:asciiTheme="minorEastAsia" w:hAnsiTheme="minorEastAsia" w:eastAsiaTheme="minorEastAsia" w:cstheme="minorEastAsia"/>
          <w:bCs/>
          <w:szCs w:val="28"/>
          <w:highlight w:val="none"/>
          <w:lang w:val="zh-CN"/>
        </w:rPr>
        <w:fldChar w:fldCharType="separate"/>
      </w:r>
      <w:r>
        <w:rPr>
          <w:rFonts w:hint="eastAsia" w:ascii="宋体" w:hAnsi="宋体" w:eastAsia="宋体" w:cs="宋体"/>
          <w:szCs w:val="24"/>
          <w:highlight w:val="none"/>
          <w:lang w:eastAsia="zh-CN"/>
        </w:rPr>
        <w:t>（二）</w:t>
      </w:r>
      <w:r>
        <w:rPr>
          <w:rFonts w:hint="eastAsia" w:ascii="宋体" w:hAnsi="宋体" w:eastAsia="宋体" w:cs="宋体"/>
          <w:szCs w:val="24"/>
          <w:highlight w:val="none"/>
          <w:lang w:val="en-US" w:eastAsia="zh-CN"/>
        </w:rPr>
        <w:t>改进措施</w:t>
      </w:r>
      <w:r>
        <w:tab/>
      </w:r>
      <w:r>
        <w:fldChar w:fldCharType="begin"/>
      </w:r>
      <w:r>
        <w:instrText xml:space="preserve"> PAGEREF _Toc28240 </w:instrText>
      </w:r>
      <w:r>
        <w:fldChar w:fldCharType="separate"/>
      </w:r>
      <w:r>
        <w:t>13</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1"/>
        <w:keepNext w:val="0"/>
        <w:keepLines w:val="0"/>
        <w:pageBreakBefore w:val="0"/>
        <w:tabs>
          <w:tab w:val="right" w:leader="dot" w:pos="9524"/>
          <w:tab w:val="clear" w:pos="8296"/>
        </w:tabs>
        <w:kinsoku/>
        <w:wordWrap/>
        <w:overflowPunct/>
        <w:topLinePunct w:val="0"/>
        <w:autoSpaceDE/>
        <w:autoSpaceDN/>
        <w:bidi w:val="0"/>
        <w:adjustRightInd/>
        <w:snapToGrid/>
        <w:spacing w:line="38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_Toc17158 </w:instrText>
      </w:r>
      <w:r>
        <w:rPr>
          <w:rFonts w:hint="eastAsia" w:asciiTheme="minorEastAsia" w:hAnsiTheme="minorEastAsia" w:eastAsiaTheme="minorEastAsia" w:cstheme="minorEastAsia"/>
          <w:bCs/>
          <w:szCs w:val="28"/>
          <w:highlight w:val="none"/>
          <w:lang w:val="zh-CN"/>
        </w:rPr>
        <w:fldChar w:fldCharType="separate"/>
      </w:r>
      <w:r>
        <w:rPr>
          <w:rFonts w:hint="eastAsia" w:ascii="宋体" w:hAnsi="宋体" w:eastAsia="宋体" w:cs="宋体"/>
          <w:bCs/>
          <w:szCs w:val="24"/>
          <w:highlight w:val="none"/>
          <w:lang w:eastAsia="zh-CN"/>
        </w:rPr>
        <w:t>（</w:t>
      </w:r>
      <w:r>
        <w:rPr>
          <w:rFonts w:hint="eastAsia" w:ascii="宋体" w:hAnsi="宋体" w:eastAsia="宋体" w:cs="宋体"/>
          <w:szCs w:val="24"/>
          <w:highlight w:val="none"/>
          <w:lang w:eastAsia="zh-CN"/>
        </w:rPr>
        <w:t>三）</w:t>
      </w:r>
      <w:r>
        <w:rPr>
          <w:rFonts w:hint="eastAsia" w:ascii="宋体" w:hAnsi="宋体" w:eastAsia="宋体" w:cs="宋体"/>
          <w:szCs w:val="24"/>
          <w:highlight w:val="none"/>
          <w:lang w:val="en-US" w:eastAsia="zh-CN"/>
        </w:rPr>
        <w:t>绩效目标改进建议</w:t>
      </w:r>
      <w:r>
        <w:tab/>
      </w:r>
      <w:r>
        <w:fldChar w:fldCharType="begin"/>
      </w:r>
      <w:r>
        <w:instrText xml:space="preserve"> PAGEREF _Toc17158 </w:instrText>
      </w:r>
      <w:r>
        <w:fldChar w:fldCharType="separate"/>
      </w:r>
      <w:r>
        <w:t>13</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0"/>
        <w:keepNext w:val="0"/>
        <w:keepLines w:val="0"/>
        <w:pageBreakBefore w:val="0"/>
        <w:tabs>
          <w:tab w:val="right" w:leader="dot" w:pos="9524"/>
        </w:tabs>
        <w:kinsoku/>
        <w:wordWrap/>
        <w:overflowPunct/>
        <w:topLinePunct w:val="0"/>
        <w:autoSpaceDE/>
        <w:autoSpaceDN/>
        <w:bidi w:val="0"/>
        <w:adjustRightInd/>
        <w:snapToGrid/>
        <w:spacing w:line="38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_Toc4291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24"/>
        </w:rPr>
        <w:t>附件：</w:t>
      </w:r>
      <w:r>
        <w:tab/>
      </w:r>
      <w:r>
        <w:fldChar w:fldCharType="begin"/>
      </w:r>
      <w:r>
        <w:instrText xml:space="preserve"> PAGEREF _Toc4291 </w:instrText>
      </w:r>
      <w:r>
        <w:fldChar w:fldCharType="separate"/>
      </w:r>
      <w:r>
        <w:t>14</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0" w:firstLineChars="0"/>
        <w:jc w:val="both"/>
        <w:textAlignment w:val="auto"/>
        <w:outlineLvl w:val="9"/>
        <w:rPr>
          <w:rFonts w:hint="eastAsia" w:asciiTheme="minorEastAsia" w:hAnsiTheme="minorEastAsia" w:eastAsiaTheme="minorEastAsia" w:cstheme="minorEastAsia"/>
          <w:bCs/>
          <w:color w:val="auto"/>
          <w:szCs w:val="28"/>
          <w:highlight w:val="none"/>
          <w:lang w:val="zh-CN"/>
        </w:rPr>
        <w:sectPr>
          <w:footerReference r:id="rId7" w:type="first"/>
          <w:footerReference r:id="rId6" w:type="default"/>
          <w:type w:val="continuous"/>
          <w:pgSz w:w="11906" w:h="16838"/>
          <w:pgMar w:top="1191" w:right="1191" w:bottom="1191" w:left="1191" w:header="851" w:footer="539" w:gutter="0"/>
          <w:pgNumType w:fmt="decimal"/>
          <w:cols w:space="0" w:num="1"/>
          <w:titlePg/>
          <w:rtlGutter w:val="0"/>
          <w:docGrid w:type="lines" w:linePitch="312" w:charSpace="0"/>
        </w:sectPr>
      </w:pPr>
      <w:r>
        <w:rPr>
          <w:rFonts w:hint="eastAsia" w:asciiTheme="minorEastAsia" w:hAnsiTheme="minorEastAsia" w:eastAsiaTheme="minorEastAsia" w:cstheme="minorEastAsia"/>
          <w:bCs/>
          <w:color w:val="auto"/>
          <w:szCs w:val="28"/>
          <w:highlight w:val="none"/>
          <w:lang w:val="zh-CN"/>
        </w:rPr>
        <w:fldChar w:fldCharType="end"/>
      </w:r>
      <w:bookmarkStart w:id="0" w:name="_Toc22777"/>
      <w:bookmarkStart w:id="1" w:name="_Toc27270"/>
      <w:bookmarkStart w:id="2" w:name="_Toc421134121"/>
    </w:p>
    <w:p>
      <w:pPr>
        <w:pStyle w:val="2"/>
        <w:jc w:val="center"/>
        <w:outlineLvl w:val="0"/>
        <w:rPr>
          <w:rFonts w:hint="eastAsia"/>
          <w:sz w:val="36"/>
          <w:szCs w:val="36"/>
        </w:rPr>
      </w:pPr>
      <w:bookmarkStart w:id="3" w:name="_Toc26201"/>
      <w:r>
        <w:rPr>
          <w:rFonts w:hint="eastAsia"/>
          <w:sz w:val="36"/>
          <w:szCs w:val="36"/>
        </w:rPr>
        <w:t>摘   要</w:t>
      </w:r>
      <w:bookmarkEnd w:id="3"/>
    </w:p>
    <w:p>
      <w:pPr>
        <w:keepNext w:val="0"/>
        <w:keepLines w:val="0"/>
        <w:pageBreakBefore w:val="0"/>
        <w:kinsoku/>
        <w:wordWrap/>
        <w:overflowPunct/>
        <w:topLinePunct w:val="0"/>
        <w:autoSpaceDE/>
        <w:autoSpaceDN/>
        <w:bidi w:val="0"/>
        <w:adjustRightInd/>
        <w:snapToGrid/>
        <w:spacing w:line="360" w:lineRule="auto"/>
        <w:ind w:right="0" w:rightChars="0" w:firstLine="0" w:firstLineChars="0"/>
        <w:jc w:val="center"/>
        <w:outlineLvl w:val="9"/>
        <w:rPr>
          <w:rFonts w:ascii="Arial Narrow" w:hAnsi="Arial Narrow" w:cs="Arial Narrow"/>
          <w:b/>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
          <w:bCs/>
          <w:sz w:val="24"/>
          <w:szCs w:val="24"/>
          <w:lang w:val="en-US" w:eastAsia="zh-CN"/>
        </w:rPr>
      </w:pPr>
      <w:r>
        <w:rPr>
          <w:rFonts w:hint="eastAsia"/>
          <w:b/>
          <w:bCs/>
          <w:sz w:val="24"/>
          <w:szCs w:val="24"/>
          <w:lang w:val="en-US" w:eastAsia="zh-CN"/>
        </w:rPr>
        <w:t>一、</w:t>
      </w:r>
      <w:r>
        <w:rPr>
          <w:rFonts w:hint="eastAsia"/>
          <w:b/>
          <w:bCs/>
          <w:sz w:val="24"/>
          <w:szCs w:val="24"/>
        </w:rPr>
        <w:t>项目名称：</w:t>
      </w:r>
      <w:r>
        <w:rPr>
          <w:rFonts w:hint="eastAsia"/>
          <w:b/>
          <w:bCs/>
          <w:sz w:val="24"/>
          <w:szCs w:val="24"/>
          <w:lang w:val="en-US" w:eastAsia="zh-CN"/>
        </w:rPr>
        <w:t>2017年度武昌区政协委员视察活动经费项目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
          <w:bCs/>
          <w:sz w:val="24"/>
          <w:szCs w:val="24"/>
        </w:rPr>
      </w:pPr>
      <w:r>
        <w:rPr>
          <w:rFonts w:hint="eastAsia"/>
          <w:b/>
          <w:bCs/>
          <w:sz w:val="24"/>
          <w:szCs w:val="24"/>
          <w:lang w:eastAsia="zh-CN"/>
        </w:rPr>
        <w:t>二、</w:t>
      </w:r>
      <w:r>
        <w:rPr>
          <w:rFonts w:hint="eastAsia"/>
          <w:b/>
          <w:bCs/>
          <w:sz w:val="24"/>
          <w:szCs w:val="24"/>
        </w:rPr>
        <w:t>项目金额：</w:t>
      </w:r>
      <w:r>
        <w:rPr>
          <w:rFonts w:hint="eastAsia"/>
          <w:b/>
          <w:bCs/>
          <w:sz w:val="24"/>
          <w:szCs w:val="24"/>
          <w:lang w:val="en-US" w:eastAsia="zh-CN"/>
        </w:rPr>
        <w:t>54.6万元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b/>
          <w:bCs/>
          <w:sz w:val="24"/>
          <w:szCs w:val="24"/>
        </w:rPr>
      </w:pPr>
      <w:r>
        <w:rPr>
          <w:rFonts w:hint="eastAsia"/>
          <w:b/>
          <w:bCs/>
          <w:sz w:val="24"/>
          <w:szCs w:val="24"/>
        </w:rPr>
        <w:t>三、绩效评价结果</w:t>
      </w:r>
    </w:p>
    <w:tbl>
      <w:tblPr>
        <w:tblStyle w:val="15"/>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2235" w:type="dxa"/>
            <w:tcBorders>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outlineLvl w:val="9"/>
              <w:rPr>
                <w:rFonts w:hint="eastAsia" w:ascii="楷体" w:hAnsi="楷体" w:eastAsia="楷体" w:cs="楷体"/>
                <w:sz w:val="24"/>
                <w:szCs w:val="24"/>
              </w:rPr>
            </w:pPr>
            <w:r>
              <w:rPr>
                <w:rFonts w:hint="eastAsia" w:ascii="楷体" w:hAnsi="楷体" w:eastAsia="楷体" w:cs="楷体"/>
                <w:sz w:val="24"/>
                <w:szCs w:val="24"/>
              </w:rPr>
              <w:t>评价准则</w:t>
            </w:r>
          </w:p>
        </w:tc>
        <w:tc>
          <w:tcPr>
            <w:tcW w:w="2126" w:type="dxa"/>
            <w:tcBorders>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outlineLvl w:val="9"/>
              <w:rPr>
                <w:rFonts w:hint="eastAsia" w:ascii="楷体" w:hAnsi="楷体" w:eastAsia="楷体" w:cs="楷体"/>
                <w:sz w:val="24"/>
                <w:szCs w:val="24"/>
              </w:rPr>
            </w:pPr>
            <w:r>
              <w:rPr>
                <w:rFonts w:hint="eastAsia" w:ascii="楷体" w:hAnsi="楷体" w:eastAsia="楷体" w:cs="楷体"/>
                <w:sz w:val="24"/>
                <w:szCs w:val="24"/>
              </w:rPr>
              <w:t>准则分值</w:t>
            </w:r>
          </w:p>
        </w:tc>
        <w:tc>
          <w:tcPr>
            <w:tcW w:w="2268" w:type="dxa"/>
            <w:tcBorders>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left="183" w:right="0" w:rightChars="0" w:firstLine="480"/>
              <w:outlineLvl w:val="9"/>
              <w:rPr>
                <w:rFonts w:hint="eastAsia" w:ascii="楷体" w:hAnsi="楷体" w:eastAsia="楷体" w:cs="楷体"/>
                <w:sz w:val="24"/>
                <w:szCs w:val="24"/>
              </w:rPr>
            </w:pPr>
            <w:r>
              <w:rPr>
                <w:rFonts w:hint="eastAsia" w:ascii="楷体" w:hAnsi="楷体" w:eastAsia="楷体" w:cs="楷体"/>
                <w:sz w:val="24"/>
                <w:szCs w:val="24"/>
              </w:rPr>
              <w:t>评价得分</w:t>
            </w:r>
          </w:p>
        </w:tc>
        <w:tc>
          <w:tcPr>
            <w:tcW w:w="2126" w:type="dxa"/>
            <w:tcBorders>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outlineLvl w:val="9"/>
              <w:rPr>
                <w:rFonts w:hint="eastAsia" w:ascii="楷体" w:hAnsi="楷体" w:eastAsia="楷体" w:cs="楷体"/>
                <w:sz w:val="24"/>
                <w:szCs w:val="24"/>
              </w:rPr>
            </w:pPr>
            <w:r>
              <w:rPr>
                <w:rFonts w:hint="eastAsia" w:ascii="楷体" w:hAnsi="楷体" w:eastAsia="楷体" w:cs="楷体"/>
                <w:sz w:val="24"/>
                <w:szCs w:val="24"/>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2235"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jc w:val="both"/>
              <w:outlineLvl w:val="9"/>
              <w:rPr>
                <w:rFonts w:hint="eastAsia" w:ascii="楷体" w:hAnsi="楷体" w:eastAsia="楷体" w:cs="楷体"/>
                <w:sz w:val="24"/>
                <w:szCs w:val="24"/>
              </w:rPr>
            </w:pPr>
            <w:r>
              <w:rPr>
                <w:rFonts w:hint="eastAsia" w:ascii="楷体" w:hAnsi="楷体" w:eastAsia="楷体" w:cs="楷体"/>
                <w:sz w:val="24"/>
                <w:szCs w:val="24"/>
              </w:rPr>
              <w:t>项目投入</w:t>
            </w:r>
          </w:p>
        </w:tc>
        <w:tc>
          <w:tcPr>
            <w:tcW w:w="2126"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720" w:firstLineChars="300"/>
              <w:jc w:val="both"/>
              <w:outlineLvl w:val="9"/>
              <w:rPr>
                <w:rFonts w:hint="eastAsia" w:ascii="楷体" w:hAnsi="楷体" w:eastAsia="楷体" w:cs="楷体"/>
                <w:sz w:val="24"/>
                <w:szCs w:val="24"/>
              </w:rPr>
            </w:pPr>
            <w:r>
              <w:rPr>
                <w:rFonts w:hint="eastAsia" w:ascii="楷体" w:hAnsi="楷体" w:eastAsia="楷体" w:cs="楷体"/>
                <w:sz w:val="24"/>
                <w:szCs w:val="24"/>
              </w:rPr>
              <w:t>15分</w:t>
            </w:r>
          </w:p>
        </w:tc>
        <w:tc>
          <w:tcPr>
            <w:tcW w:w="2268" w:type="dxa"/>
            <w:vAlign w:val="center"/>
          </w:tcPr>
          <w:p>
            <w:pPr>
              <w:keepNext w:val="0"/>
              <w:keepLines w:val="0"/>
              <w:pageBreakBefore w:val="0"/>
              <w:kinsoku/>
              <w:wordWrap/>
              <w:overflowPunct/>
              <w:topLinePunct w:val="0"/>
              <w:autoSpaceDE/>
              <w:autoSpaceDN/>
              <w:bidi w:val="0"/>
              <w:adjustRightInd/>
              <w:snapToGrid/>
              <w:spacing w:line="360" w:lineRule="auto"/>
              <w:ind w:left="160" w:leftChars="76" w:right="0" w:rightChars="0" w:firstLine="840" w:firstLineChars="350"/>
              <w:jc w:val="left"/>
              <w:outlineLvl w:val="9"/>
              <w:rPr>
                <w:rFonts w:hint="eastAsia" w:ascii="楷体" w:hAnsi="楷体" w:eastAsia="楷体" w:cs="楷体"/>
                <w:sz w:val="24"/>
                <w:szCs w:val="24"/>
              </w:rPr>
            </w:pPr>
            <w:r>
              <w:rPr>
                <w:rFonts w:hint="eastAsia" w:ascii="楷体" w:hAnsi="楷体" w:eastAsia="楷体" w:cs="楷体"/>
                <w:sz w:val="24"/>
                <w:szCs w:val="24"/>
                <w:lang w:val="en-US" w:eastAsia="zh-CN"/>
              </w:rPr>
              <w:t>14</w:t>
            </w:r>
            <w:r>
              <w:rPr>
                <w:rFonts w:hint="eastAsia" w:ascii="楷体" w:hAnsi="楷体" w:eastAsia="楷体" w:cs="楷体"/>
                <w:sz w:val="24"/>
                <w:szCs w:val="24"/>
              </w:rPr>
              <w:t>分</w:t>
            </w:r>
          </w:p>
        </w:tc>
        <w:tc>
          <w:tcPr>
            <w:tcW w:w="2126"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796" w:firstLineChars="332"/>
              <w:jc w:val="both"/>
              <w:outlineLvl w:val="9"/>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2235"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jc w:val="both"/>
              <w:outlineLvl w:val="9"/>
              <w:rPr>
                <w:rFonts w:hint="eastAsia" w:ascii="楷体" w:hAnsi="楷体" w:eastAsia="楷体" w:cs="楷体"/>
                <w:sz w:val="24"/>
                <w:szCs w:val="24"/>
              </w:rPr>
            </w:pPr>
            <w:r>
              <w:rPr>
                <w:rFonts w:hint="eastAsia" w:ascii="楷体" w:hAnsi="楷体" w:eastAsia="楷体" w:cs="楷体"/>
                <w:sz w:val="24"/>
                <w:szCs w:val="24"/>
              </w:rPr>
              <w:t>项目过程</w:t>
            </w:r>
          </w:p>
        </w:tc>
        <w:tc>
          <w:tcPr>
            <w:tcW w:w="2126"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720" w:firstLineChars="300"/>
              <w:jc w:val="both"/>
              <w:outlineLvl w:val="9"/>
              <w:rPr>
                <w:rFonts w:hint="eastAsia" w:ascii="楷体" w:hAnsi="楷体" w:eastAsia="楷体" w:cs="楷体"/>
                <w:sz w:val="24"/>
                <w:szCs w:val="24"/>
              </w:rPr>
            </w:pPr>
            <w:r>
              <w:rPr>
                <w:rFonts w:hint="eastAsia" w:ascii="楷体" w:hAnsi="楷体" w:eastAsia="楷体" w:cs="楷体"/>
                <w:sz w:val="24"/>
                <w:szCs w:val="24"/>
              </w:rPr>
              <w:t>25分</w:t>
            </w:r>
          </w:p>
        </w:tc>
        <w:tc>
          <w:tcPr>
            <w:tcW w:w="2268" w:type="dxa"/>
            <w:vAlign w:val="center"/>
          </w:tcPr>
          <w:p>
            <w:pPr>
              <w:keepNext w:val="0"/>
              <w:keepLines w:val="0"/>
              <w:pageBreakBefore w:val="0"/>
              <w:kinsoku/>
              <w:wordWrap/>
              <w:overflowPunct/>
              <w:topLinePunct w:val="0"/>
              <w:autoSpaceDE/>
              <w:autoSpaceDN/>
              <w:bidi w:val="0"/>
              <w:adjustRightInd/>
              <w:snapToGrid/>
              <w:spacing w:line="360" w:lineRule="auto"/>
              <w:ind w:left="160" w:leftChars="76" w:right="0" w:rightChars="0" w:firstLine="840" w:firstLineChars="350"/>
              <w:jc w:val="left"/>
              <w:outlineLvl w:val="9"/>
              <w:rPr>
                <w:rFonts w:hint="eastAsia" w:ascii="楷体" w:hAnsi="楷体" w:eastAsia="楷体" w:cs="楷体"/>
                <w:sz w:val="24"/>
                <w:szCs w:val="24"/>
              </w:rPr>
            </w:pPr>
            <w:r>
              <w:rPr>
                <w:rFonts w:hint="eastAsia" w:ascii="楷体" w:hAnsi="楷体" w:eastAsia="楷体" w:cs="楷体"/>
                <w:sz w:val="24"/>
                <w:szCs w:val="24"/>
                <w:lang w:val="en-US" w:eastAsia="zh-CN"/>
              </w:rPr>
              <w:t>19</w:t>
            </w:r>
            <w:r>
              <w:rPr>
                <w:rFonts w:hint="eastAsia" w:ascii="楷体" w:hAnsi="楷体" w:eastAsia="楷体" w:cs="楷体"/>
                <w:sz w:val="24"/>
                <w:szCs w:val="24"/>
              </w:rPr>
              <w:t>分</w:t>
            </w:r>
          </w:p>
        </w:tc>
        <w:tc>
          <w:tcPr>
            <w:tcW w:w="2126"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796" w:firstLineChars="332"/>
              <w:jc w:val="both"/>
              <w:outlineLvl w:val="9"/>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2235"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jc w:val="both"/>
              <w:outlineLvl w:val="9"/>
              <w:rPr>
                <w:rFonts w:hint="eastAsia" w:ascii="楷体" w:hAnsi="楷体" w:eastAsia="楷体" w:cs="楷体"/>
                <w:sz w:val="24"/>
                <w:szCs w:val="24"/>
              </w:rPr>
            </w:pPr>
            <w:r>
              <w:rPr>
                <w:rFonts w:hint="eastAsia" w:ascii="楷体" w:hAnsi="楷体" w:eastAsia="楷体" w:cs="楷体"/>
                <w:sz w:val="24"/>
                <w:szCs w:val="24"/>
              </w:rPr>
              <w:t>项目产出</w:t>
            </w:r>
          </w:p>
        </w:tc>
        <w:tc>
          <w:tcPr>
            <w:tcW w:w="2126"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720" w:firstLineChars="300"/>
              <w:jc w:val="both"/>
              <w:textAlignment w:val="top"/>
              <w:outlineLvl w:val="9"/>
              <w:rPr>
                <w:rFonts w:hint="eastAsia"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sz w:val="24"/>
                <w:szCs w:val="24"/>
                <w:lang w:val="en-US" w:eastAsia="zh-CN"/>
              </w:rPr>
              <w:t>5</w:t>
            </w:r>
            <w:r>
              <w:rPr>
                <w:rFonts w:hint="eastAsia" w:ascii="楷体" w:hAnsi="楷体" w:eastAsia="楷体" w:cs="楷体"/>
                <w:sz w:val="24"/>
                <w:szCs w:val="24"/>
              </w:rPr>
              <w:t>分</w:t>
            </w:r>
          </w:p>
        </w:tc>
        <w:tc>
          <w:tcPr>
            <w:tcW w:w="2268" w:type="dxa"/>
            <w:vAlign w:val="center"/>
          </w:tcPr>
          <w:p>
            <w:pPr>
              <w:keepNext w:val="0"/>
              <w:keepLines w:val="0"/>
              <w:pageBreakBefore w:val="0"/>
              <w:kinsoku/>
              <w:wordWrap/>
              <w:overflowPunct/>
              <w:topLinePunct w:val="0"/>
              <w:autoSpaceDE/>
              <w:autoSpaceDN/>
              <w:bidi w:val="0"/>
              <w:adjustRightInd/>
              <w:snapToGrid/>
              <w:spacing w:line="360" w:lineRule="auto"/>
              <w:ind w:left="160" w:leftChars="76" w:right="0" w:rightChars="0" w:firstLine="840" w:firstLineChars="350"/>
              <w:jc w:val="left"/>
              <w:textAlignment w:val="top"/>
              <w:outlineLvl w:val="9"/>
              <w:rPr>
                <w:rFonts w:hint="eastAsia" w:ascii="楷体" w:hAnsi="楷体" w:eastAsia="楷体" w:cs="楷体"/>
                <w:sz w:val="24"/>
                <w:szCs w:val="24"/>
              </w:rPr>
            </w:pPr>
            <w:r>
              <w:rPr>
                <w:rFonts w:hint="eastAsia" w:ascii="楷体" w:hAnsi="楷体" w:eastAsia="楷体" w:cs="楷体"/>
                <w:sz w:val="24"/>
                <w:szCs w:val="24"/>
                <w:lang w:val="en-US" w:eastAsia="zh-CN"/>
              </w:rPr>
              <w:t>22.9</w:t>
            </w:r>
            <w:r>
              <w:rPr>
                <w:rFonts w:hint="eastAsia" w:ascii="楷体" w:hAnsi="楷体" w:eastAsia="楷体" w:cs="楷体"/>
                <w:sz w:val="24"/>
                <w:szCs w:val="24"/>
              </w:rPr>
              <w:t>分</w:t>
            </w:r>
          </w:p>
        </w:tc>
        <w:tc>
          <w:tcPr>
            <w:tcW w:w="2126"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796" w:firstLineChars="332"/>
              <w:jc w:val="both"/>
              <w:textAlignment w:val="top"/>
              <w:outlineLvl w:val="9"/>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2235" w:type="dxa"/>
            <w:tcBorders>
              <w:top w:val="single" w:color="008000" w:sz="6" w:space="0"/>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jc w:val="both"/>
              <w:outlineLvl w:val="9"/>
              <w:rPr>
                <w:rFonts w:hint="eastAsia" w:ascii="楷体" w:hAnsi="楷体" w:eastAsia="楷体" w:cs="楷体"/>
                <w:sz w:val="24"/>
                <w:szCs w:val="24"/>
              </w:rPr>
            </w:pPr>
            <w:r>
              <w:rPr>
                <w:rFonts w:hint="eastAsia" w:ascii="楷体" w:hAnsi="楷体" w:eastAsia="楷体" w:cs="楷体"/>
                <w:sz w:val="24"/>
                <w:szCs w:val="24"/>
              </w:rPr>
              <w:t>项目效果</w:t>
            </w:r>
          </w:p>
        </w:tc>
        <w:tc>
          <w:tcPr>
            <w:tcW w:w="2126" w:type="dxa"/>
            <w:tcBorders>
              <w:top w:val="single" w:color="008000" w:sz="6" w:space="0"/>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720" w:firstLineChars="300"/>
              <w:jc w:val="both"/>
              <w:outlineLvl w:val="9"/>
              <w:rPr>
                <w:rFonts w:hint="eastAsia" w:ascii="楷体" w:hAnsi="楷体" w:eastAsia="楷体" w:cs="楷体"/>
                <w:sz w:val="24"/>
                <w:szCs w:val="24"/>
              </w:rPr>
            </w:pPr>
            <w:r>
              <w:rPr>
                <w:rFonts w:hint="eastAsia" w:ascii="楷体" w:hAnsi="楷体" w:eastAsia="楷体" w:cs="楷体"/>
                <w:sz w:val="24"/>
                <w:szCs w:val="24"/>
                <w:lang w:val="en-US" w:eastAsia="zh-CN"/>
              </w:rPr>
              <w:t>35</w:t>
            </w:r>
            <w:r>
              <w:rPr>
                <w:rFonts w:hint="eastAsia" w:ascii="楷体" w:hAnsi="楷体" w:eastAsia="楷体" w:cs="楷体"/>
                <w:sz w:val="24"/>
                <w:szCs w:val="24"/>
              </w:rPr>
              <w:t>分</w:t>
            </w:r>
          </w:p>
        </w:tc>
        <w:tc>
          <w:tcPr>
            <w:tcW w:w="2268" w:type="dxa"/>
            <w:tcBorders>
              <w:top w:val="single" w:color="008000" w:sz="6" w:space="0"/>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left="160" w:leftChars="76" w:right="0" w:rightChars="0" w:firstLine="840" w:firstLineChars="350"/>
              <w:jc w:val="left"/>
              <w:outlineLvl w:val="9"/>
              <w:rPr>
                <w:rFonts w:hint="eastAsia" w:ascii="楷体" w:hAnsi="楷体" w:eastAsia="楷体" w:cs="楷体"/>
                <w:sz w:val="24"/>
                <w:szCs w:val="24"/>
              </w:rPr>
            </w:pPr>
            <w:r>
              <w:rPr>
                <w:rFonts w:hint="eastAsia" w:ascii="楷体" w:hAnsi="楷体" w:eastAsia="楷体" w:cs="楷体"/>
                <w:sz w:val="24"/>
                <w:szCs w:val="24"/>
                <w:lang w:val="en-US" w:eastAsia="zh-CN"/>
              </w:rPr>
              <w:t>33</w:t>
            </w:r>
            <w:r>
              <w:rPr>
                <w:rFonts w:hint="eastAsia" w:ascii="楷体" w:hAnsi="楷体" w:eastAsia="楷体" w:cs="楷体"/>
                <w:sz w:val="24"/>
                <w:szCs w:val="24"/>
              </w:rPr>
              <w:t>分</w:t>
            </w:r>
          </w:p>
        </w:tc>
        <w:tc>
          <w:tcPr>
            <w:tcW w:w="2126" w:type="dxa"/>
            <w:tcBorders>
              <w:top w:val="single" w:color="008000" w:sz="6" w:space="0"/>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796" w:firstLineChars="332"/>
              <w:jc w:val="both"/>
              <w:outlineLvl w:val="9"/>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2235" w:type="dxa"/>
            <w:tcBorders>
              <w:top w:val="single" w:color="008000" w:sz="6"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both"/>
              <w:textAlignment w:val="center"/>
              <w:outlineLvl w:val="9"/>
              <w:rPr>
                <w:rFonts w:hint="eastAsia" w:ascii="楷体" w:hAnsi="楷体" w:eastAsia="楷体" w:cs="楷体"/>
                <w:b/>
                <w:bCs/>
                <w:sz w:val="24"/>
                <w:szCs w:val="24"/>
              </w:rPr>
            </w:pPr>
            <w:r>
              <w:rPr>
                <w:rFonts w:hint="eastAsia" w:ascii="楷体" w:hAnsi="楷体" w:eastAsia="楷体" w:cs="楷体"/>
                <w:b/>
                <w:bCs/>
                <w:i w:val="0"/>
                <w:color w:val="000000"/>
                <w:kern w:val="0"/>
                <w:sz w:val="24"/>
                <w:szCs w:val="24"/>
                <w:u w:val="none"/>
                <w:lang w:val="en-US" w:eastAsia="zh-CN" w:bidi="ar"/>
              </w:rPr>
              <w:t xml:space="preserve">    综合绩效</w:t>
            </w:r>
          </w:p>
        </w:tc>
        <w:tc>
          <w:tcPr>
            <w:tcW w:w="2126" w:type="dxa"/>
            <w:tcBorders>
              <w:top w:val="single" w:color="008000" w:sz="6"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both"/>
              <w:textAlignment w:val="center"/>
              <w:outlineLvl w:val="9"/>
              <w:rPr>
                <w:rFonts w:hint="eastAsia" w:ascii="楷体" w:hAnsi="楷体" w:eastAsia="楷体" w:cs="楷体"/>
                <w:b/>
                <w:bCs/>
                <w:sz w:val="24"/>
                <w:szCs w:val="24"/>
              </w:rPr>
            </w:pPr>
            <w:r>
              <w:rPr>
                <w:rFonts w:hint="eastAsia" w:ascii="楷体" w:hAnsi="楷体" w:eastAsia="楷体" w:cs="楷体"/>
                <w:b/>
                <w:bCs/>
                <w:i w:val="0"/>
                <w:color w:val="000000"/>
                <w:kern w:val="0"/>
                <w:sz w:val="24"/>
                <w:szCs w:val="24"/>
                <w:u w:val="none"/>
                <w:lang w:val="en-US" w:eastAsia="zh-CN" w:bidi="ar"/>
              </w:rPr>
              <w:t xml:space="preserve">      100分</w:t>
            </w:r>
          </w:p>
        </w:tc>
        <w:tc>
          <w:tcPr>
            <w:tcW w:w="2268" w:type="dxa"/>
            <w:tcBorders>
              <w:top w:val="single" w:color="008000" w:sz="6"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firstLine="964" w:firstLineChars="400"/>
              <w:jc w:val="left"/>
              <w:textAlignment w:val="center"/>
              <w:outlineLvl w:val="9"/>
              <w:rPr>
                <w:rFonts w:hint="eastAsia" w:ascii="楷体" w:hAnsi="楷体" w:eastAsia="楷体" w:cs="楷体"/>
                <w:b/>
                <w:bCs/>
                <w:sz w:val="24"/>
                <w:szCs w:val="24"/>
              </w:rPr>
            </w:pPr>
            <w:r>
              <w:rPr>
                <w:rFonts w:hint="eastAsia" w:ascii="楷体" w:hAnsi="楷体" w:eastAsia="楷体" w:cs="楷体"/>
                <w:b/>
                <w:bCs/>
                <w:i w:val="0"/>
                <w:color w:val="000000"/>
                <w:kern w:val="0"/>
                <w:sz w:val="24"/>
                <w:szCs w:val="24"/>
                <w:u w:val="none"/>
                <w:lang w:val="en-US" w:eastAsia="zh-CN" w:bidi="ar"/>
              </w:rPr>
              <w:t>88.9分</w:t>
            </w:r>
          </w:p>
        </w:tc>
        <w:tc>
          <w:tcPr>
            <w:tcW w:w="2126" w:type="dxa"/>
            <w:tcBorders>
              <w:top w:val="single" w:color="008000" w:sz="6"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eastAsia" w:ascii="楷体" w:hAnsi="楷体" w:eastAsia="楷体" w:cs="楷体"/>
                <w:b/>
                <w:bCs/>
                <w:sz w:val="24"/>
                <w:szCs w:val="24"/>
                <w:lang w:val="en-US" w:eastAsia="zh-CN"/>
              </w:rPr>
            </w:pPr>
            <w:r>
              <w:rPr>
                <w:rFonts w:hint="eastAsia" w:ascii="楷体" w:hAnsi="楷体" w:eastAsia="楷体" w:cs="楷体"/>
                <w:b/>
                <w:bCs/>
                <w:i w:val="0"/>
                <w:color w:val="000000"/>
                <w:kern w:val="0"/>
                <w:sz w:val="24"/>
                <w:szCs w:val="24"/>
                <w:u w:val="none"/>
                <w:lang w:val="en-US" w:eastAsia="zh-CN" w:bidi="ar"/>
              </w:rPr>
              <w:t>良</w:t>
            </w:r>
          </w:p>
        </w:tc>
      </w:tr>
    </w:tbl>
    <w:p>
      <w:pPr>
        <w:pStyle w:val="16"/>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right="0" w:rightChars="0"/>
        <w:jc w:val="left"/>
        <w:textAlignment w:val="auto"/>
        <w:outlineLvl w:val="9"/>
        <w:rPr>
          <w:rFonts w:hint="eastAsia" w:ascii="宋体" w:hAnsi="宋体" w:eastAsia="宋体" w:cs="宋体"/>
          <w:b/>
          <w:sz w:val="24"/>
          <w:szCs w:val="24"/>
          <w:lang w:eastAsia="zh-CN"/>
        </w:rPr>
      </w:pPr>
      <w:r>
        <w:rPr>
          <w:rFonts w:hint="eastAsia" w:ascii="宋体" w:hAnsi="宋体" w:eastAsia="宋体" w:cs="宋体"/>
          <w:b/>
          <w:sz w:val="24"/>
          <w:szCs w:val="24"/>
          <w:lang w:eastAsia="zh-CN"/>
        </w:rPr>
        <w:t>四、评价工作组组成名单</w:t>
      </w:r>
    </w:p>
    <w:p>
      <w:pPr>
        <w:pStyle w:val="1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李怡民</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项目负责人  资产评估师   </w:t>
      </w:r>
    </w:p>
    <w:p>
      <w:pPr>
        <w:pStyle w:val="16"/>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杜秀兰</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评价</w:t>
      </w:r>
      <w:r>
        <w:rPr>
          <w:rFonts w:hint="eastAsia" w:ascii="宋体" w:hAnsi="宋体" w:eastAsia="宋体" w:cs="宋体"/>
          <w:color w:val="auto"/>
          <w:sz w:val="24"/>
          <w:szCs w:val="24"/>
          <w:highlight w:val="none"/>
          <w:lang w:val="en-US" w:eastAsia="zh-CN"/>
        </w:rPr>
        <w:t xml:space="preserve">人员    资产评估师     </w:t>
      </w:r>
    </w:p>
    <w:p>
      <w:pPr>
        <w:pStyle w:val="16"/>
        <w:keepNext w:val="0"/>
        <w:keepLines w:val="0"/>
        <w:pageBreakBefore w:val="0"/>
        <w:widowControl w:val="0"/>
        <w:shd w:val="clear" w:color="auto" w:fill="auto"/>
        <w:tabs>
          <w:tab w:val="center" w:pos="4762"/>
        </w:tabs>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b w:val="0"/>
          <w:bCs/>
          <w:color w:val="auto"/>
          <w:sz w:val="24"/>
          <w:szCs w:val="24"/>
        </w:rPr>
      </w:pPr>
      <w:r>
        <w:rPr>
          <w:rFonts w:hint="eastAsia" w:ascii="宋体" w:hAnsi="宋体" w:eastAsia="宋体" w:cs="宋体"/>
          <w:color w:val="auto"/>
          <w:sz w:val="24"/>
          <w:szCs w:val="24"/>
          <w:highlight w:val="none"/>
          <w:lang w:val="en-US" w:eastAsia="zh-CN"/>
        </w:rPr>
        <w:t>助理人员</w:t>
      </w:r>
      <w:r>
        <w:rPr>
          <w:rFonts w:hint="eastAsia" w:ascii="宋体" w:hAnsi="宋体" w:cs="宋体"/>
          <w:color w:val="auto"/>
          <w:sz w:val="24"/>
          <w:szCs w:val="24"/>
          <w:highlight w:val="none"/>
          <w:lang w:val="en-US" w:eastAsia="zh-CN"/>
        </w:rPr>
        <w:t xml:space="preserve">    肖玲芳      李 稳</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 xml:space="preserve"> </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right="0" w:rightChars="0"/>
        <w:jc w:val="left"/>
        <w:textAlignment w:val="auto"/>
        <w:outlineLvl w:val="9"/>
        <w:rPr>
          <w:rFonts w:hint="eastAsia" w:ascii="宋体" w:hAnsi="宋体" w:eastAsia="宋体" w:cs="宋体"/>
          <w:b/>
          <w:sz w:val="24"/>
          <w:szCs w:val="24"/>
          <w:lang w:eastAsia="zh-CN"/>
        </w:rPr>
      </w:pPr>
      <w:r>
        <w:rPr>
          <w:rFonts w:hint="eastAsia" w:ascii="宋体" w:hAnsi="宋体" w:eastAsia="宋体" w:cs="宋体"/>
          <w:b/>
          <w:sz w:val="24"/>
          <w:szCs w:val="24"/>
          <w:lang w:eastAsia="zh-CN"/>
        </w:rPr>
        <w:t>五、主要评价方法概述</w:t>
      </w:r>
    </w:p>
    <w:p>
      <w:pPr>
        <w:pStyle w:val="1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200" w:right="0" w:righ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本次绩效评价方法采用</w:t>
      </w:r>
      <w:r>
        <w:rPr>
          <w:rFonts w:hint="eastAsia" w:ascii="宋体" w:hAnsi="宋体" w:eastAsia="宋体" w:cs="宋体"/>
          <w:color w:val="auto"/>
          <w:sz w:val="24"/>
          <w:szCs w:val="24"/>
          <w:highlight w:val="none"/>
        </w:rPr>
        <w:t>绩效综合评分</w:t>
      </w:r>
      <w:r>
        <w:rPr>
          <w:rFonts w:hint="eastAsia" w:ascii="宋体" w:hAnsi="宋体" w:eastAsia="宋体" w:cs="宋体"/>
          <w:color w:val="auto"/>
          <w:sz w:val="24"/>
          <w:szCs w:val="24"/>
          <w:highlight w:val="none"/>
          <w:lang w:eastAsia="zh-CN"/>
        </w:rPr>
        <w:t>法；</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kern w:val="0"/>
          <w:sz w:val="24"/>
          <w:szCs w:val="24"/>
        </w:rPr>
        <w:t>（1）</w:t>
      </w:r>
      <w:r>
        <w:rPr>
          <w:rFonts w:hint="eastAsia" w:ascii="宋体" w:hAnsi="宋体" w:eastAsia="宋体" w:cs="宋体"/>
          <w:color w:val="auto"/>
          <w:sz w:val="24"/>
          <w:szCs w:val="24"/>
          <w:highlight w:val="none"/>
        </w:rPr>
        <w:t>综合评价结果计算方法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综合评价得分=∑（单位指标评分值×指标权重）</w:t>
      </w:r>
    </w:p>
    <w:p>
      <w:pPr>
        <w:pStyle w:val="16"/>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（2）单项指标</w:t>
      </w:r>
      <w:r>
        <w:rPr>
          <w:rFonts w:hint="eastAsia" w:ascii="宋体" w:hAnsi="宋体" w:cs="宋体"/>
          <w:color w:val="auto"/>
          <w:sz w:val="24"/>
          <w:szCs w:val="24"/>
          <w:highlight w:val="none"/>
          <w:lang w:eastAsia="zh-CN"/>
        </w:rPr>
        <w:t>评</w:t>
      </w:r>
      <w:r>
        <w:rPr>
          <w:rFonts w:hint="eastAsia" w:ascii="宋体" w:hAnsi="宋体" w:eastAsia="宋体" w:cs="宋体"/>
          <w:color w:val="auto"/>
          <w:sz w:val="24"/>
          <w:szCs w:val="24"/>
          <w:highlight w:val="none"/>
        </w:rPr>
        <w:t>分方法</w:t>
      </w:r>
    </w:p>
    <w:p>
      <w:pPr>
        <w:pStyle w:val="16"/>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本次评价指标中，既有定性指标又有定量指标，各类指标因考核的内容不同和标准值的存在与否，情况差异较大。因此单项指标计算中分别采用了不同方法。</w:t>
      </w:r>
    </w:p>
    <w:p>
      <w:pPr>
        <w:pStyle w:val="16"/>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①简单评分法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对能够取得标准值的指标，采用简单评分法，即：</w:t>
      </w:r>
    </w:p>
    <w:p>
      <w:pPr>
        <w:pStyle w:val="16"/>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707392" behindDoc="0" locked="0" layoutInCell="1" allowOverlap="1">
                <wp:simplePos x="0" y="0"/>
                <wp:positionH relativeFrom="column">
                  <wp:posOffset>3336290</wp:posOffset>
                </wp:positionH>
                <wp:positionV relativeFrom="paragraph">
                  <wp:posOffset>46990</wp:posOffset>
                </wp:positionV>
                <wp:extent cx="2738120" cy="274320"/>
                <wp:effectExtent l="0" t="0" r="5080" b="11430"/>
                <wp:wrapNone/>
                <wp:docPr id="10" name="文本框 10"/>
                <wp:cNvGraphicFramePr/>
                <a:graphic xmlns:a="http://schemas.openxmlformats.org/drawingml/2006/main">
                  <a:graphicData uri="http://schemas.microsoft.com/office/word/2010/wordprocessingShape">
                    <wps:wsp>
                      <wps:cNvSpPr txBox="1"/>
                      <wps:spPr>
                        <a:xfrm>
                          <a:off x="0" y="0"/>
                          <a:ext cx="2738120" cy="274320"/>
                        </a:xfrm>
                        <a:prstGeom prst="rect">
                          <a:avLst/>
                        </a:prstGeom>
                        <a:solidFill>
                          <a:srgbClr val="FFFFFF"/>
                        </a:solidFill>
                        <a:ln w="9525">
                          <a:noFill/>
                        </a:ln>
                      </wps:spPr>
                      <wps:txbx>
                        <w:txbxContent>
                          <w:p>
                            <w:pPr>
                              <w:rPr>
                                <w:rFonts w:hAnsi="宋体"/>
                                <w:sz w:val="24"/>
                                <w:szCs w:val="24"/>
                              </w:rPr>
                            </w:pPr>
                            <w:r>
                              <w:rPr>
                                <w:rFonts w:hint="eastAsia" w:hAnsi="宋体"/>
                                <w:sz w:val="24"/>
                                <w:szCs w:val="24"/>
                              </w:rPr>
                              <w:t>指标实际</w:t>
                            </w:r>
                            <w:r>
                              <w:rPr>
                                <w:rFonts w:hAnsi="宋体"/>
                                <w:sz w:val="24"/>
                                <w:szCs w:val="24"/>
                              </w:rPr>
                              <w:t>值</w:t>
                            </w:r>
                            <w:r>
                              <w:rPr>
                                <w:rFonts w:hint="eastAsia" w:ascii="宋体" w:hAnsi="宋体"/>
                                <w:sz w:val="24"/>
                                <w:szCs w:val="24"/>
                              </w:rPr>
                              <w:t>≥指标</w:t>
                            </w:r>
                            <w:r>
                              <w:rPr>
                                <w:rFonts w:hint="eastAsia" w:hAnsi="宋体"/>
                                <w:sz w:val="24"/>
                                <w:szCs w:val="24"/>
                              </w:rPr>
                              <w:t>标准</w:t>
                            </w:r>
                            <w:r>
                              <w:rPr>
                                <w:rFonts w:hAnsi="宋体"/>
                                <w:sz w:val="24"/>
                                <w:szCs w:val="24"/>
                              </w:rPr>
                              <w:t>值×</w:t>
                            </w:r>
                            <w:r>
                              <w:rPr>
                                <w:rFonts w:hint="eastAsia" w:hAnsi="宋体"/>
                                <w:sz w:val="24"/>
                                <w:szCs w:val="24"/>
                                <w:lang w:val="en-US" w:eastAsia="zh-CN"/>
                              </w:rPr>
                              <w:t>100</w:t>
                            </w:r>
                          </w:p>
                        </w:txbxContent>
                      </wps:txbx>
                      <wps:bodyPr upright="1"/>
                    </wps:wsp>
                  </a:graphicData>
                </a:graphic>
              </wp:anchor>
            </w:drawing>
          </mc:Choice>
          <mc:Fallback>
            <w:pict>
              <v:shape id="_x0000_s1026" o:spid="_x0000_s1026" o:spt="202" type="#_x0000_t202" style="position:absolute;left:0pt;margin-left:262.7pt;margin-top:3.7pt;height:21.6pt;width:215.6pt;z-index:251707392;mso-width-relative:page;mso-height-relative:page;" fillcolor="#FFFFFF" filled="t" stroked="f" coordsize="21600,21600" o:gfxdata="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Q3e9gtYAAAAI&#10;AQAADwAAAAAAAAABACAAAAAiAAAAZHJzL2Rvd25yZXYueG1sUEsBAhQAFAAAAAgAh07iQAKfx6es&#10;AQAANAMAAA4AAAAAAAAAAQAgAAAAJQEAAGRycy9lMm9Eb2MueG1sUEsFBgAAAAAGAAYAWQEAAEMF&#10;AAAAAA==&#10;">
                <v:fill on="t" focussize="0,0"/>
                <v:stroke on="f"/>
                <v:imagedata o:title=""/>
                <o:lock v:ext="edit" aspectratio="f"/>
                <v:textbox>
                  <w:txbxContent>
                    <w:p>
                      <w:pPr>
                        <w:rPr>
                          <w:rFonts w:hAnsi="宋体"/>
                          <w:sz w:val="24"/>
                          <w:szCs w:val="24"/>
                        </w:rPr>
                      </w:pPr>
                      <w:r>
                        <w:rPr>
                          <w:rFonts w:hint="eastAsia" w:hAnsi="宋体"/>
                          <w:sz w:val="24"/>
                          <w:szCs w:val="24"/>
                        </w:rPr>
                        <w:t>指标实际</w:t>
                      </w:r>
                      <w:r>
                        <w:rPr>
                          <w:rFonts w:hAnsi="宋体"/>
                          <w:sz w:val="24"/>
                          <w:szCs w:val="24"/>
                        </w:rPr>
                        <w:t>值</w:t>
                      </w:r>
                      <w:r>
                        <w:rPr>
                          <w:rFonts w:hint="eastAsia" w:ascii="宋体" w:hAnsi="宋体"/>
                          <w:sz w:val="24"/>
                          <w:szCs w:val="24"/>
                        </w:rPr>
                        <w:t>≥指标</w:t>
                      </w:r>
                      <w:r>
                        <w:rPr>
                          <w:rFonts w:hint="eastAsia" w:hAnsi="宋体"/>
                          <w:sz w:val="24"/>
                          <w:szCs w:val="24"/>
                        </w:rPr>
                        <w:t>标准</w:t>
                      </w:r>
                      <w:r>
                        <w:rPr>
                          <w:rFonts w:hAnsi="宋体"/>
                          <w:sz w:val="24"/>
                          <w:szCs w:val="24"/>
                        </w:rPr>
                        <w:t>值×</w:t>
                      </w:r>
                      <w:r>
                        <w:rPr>
                          <w:rFonts w:hint="eastAsia" w:hAnsi="宋体"/>
                          <w:sz w:val="24"/>
                          <w:szCs w:val="24"/>
                          <w:lang w:val="en-US" w:eastAsia="zh-CN"/>
                        </w:rPr>
                        <w:t>100</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706368" behindDoc="0" locked="0" layoutInCell="1" allowOverlap="1">
                <wp:simplePos x="0" y="0"/>
                <wp:positionH relativeFrom="column">
                  <wp:posOffset>3355340</wp:posOffset>
                </wp:positionH>
                <wp:positionV relativeFrom="paragraph">
                  <wp:posOffset>305435</wp:posOffset>
                </wp:positionV>
                <wp:extent cx="2694305" cy="302260"/>
                <wp:effectExtent l="0" t="0" r="10795" b="2540"/>
                <wp:wrapNone/>
                <wp:docPr id="7" name="文本框 7"/>
                <wp:cNvGraphicFramePr/>
                <a:graphic xmlns:a="http://schemas.openxmlformats.org/drawingml/2006/main">
                  <a:graphicData uri="http://schemas.microsoft.com/office/word/2010/wordprocessingShape">
                    <wps:wsp>
                      <wps:cNvSpPr txBox="1"/>
                      <wps:spPr>
                        <a:xfrm>
                          <a:off x="0" y="0"/>
                          <a:ext cx="2694305" cy="302260"/>
                        </a:xfrm>
                        <a:prstGeom prst="rect">
                          <a:avLst/>
                        </a:prstGeom>
                        <a:solidFill>
                          <a:srgbClr val="FFFFFF"/>
                        </a:solidFill>
                        <a:ln w="9525">
                          <a:noFill/>
                        </a:ln>
                      </wps:spPr>
                      <wps:txbx>
                        <w:txbxContent>
                          <w:p>
                            <w:pPr>
                              <w:rPr>
                                <w:rFonts w:hint="eastAsia" w:hAnsi="宋体"/>
                                <w:sz w:val="24"/>
                                <w:szCs w:val="24"/>
                                <w:lang w:val="en-US"/>
                              </w:rPr>
                            </w:pPr>
                            <w:r>
                              <w:rPr>
                                <w:rFonts w:hint="eastAsia" w:hAnsi="宋体"/>
                                <w:sz w:val="24"/>
                                <w:szCs w:val="24"/>
                              </w:rPr>
                              <w:t>指标实际值</w:t>
                            </w:r>
                            <w:r>
                              <w:rPr>
                                <w:rFonts w:hint="eastAsia" w:ascii="宋体" w:hAnsi="宋体" w:eastAsia="宋体" w:cs="宋体"/>
                                <w:sz w:val="24"/>
                                <w:szCs w:val="24"/>
                              </w:rPr>
                              <w:t>≤</w:t>
                            </w:r>
                            <w:r>
                              <w:rPr>
                                <w:rFonts w:hint="eastAsia" w:hAnsi="宋体"/>
                                <w:sz w:val="24"/>
                                <w:szCs w:val="24"/>
                              </w:rPr>
                              <w:t>指标标准值×</w:t>
                            </w:r>
                            <w:r>
                              <w:rPr>
                                <w:rFonts w:hint="eastAsia" w:hAnsi="宋体"/>
                                <w:sz w:val="24"/>
                                <w:szCs w:val="24"/>
                                <w:lang w:val="en-US" w:eastAsia="zh-CN"/>
                              </w:rPr>
                              <w:t>100</w:t>
                            </w:r>
                          </w:p>
                        </w:txbxContent>
                      </wps:txbx>
                      <wps:bodyPr upright="1"/>
                    </wps:wsp>
                  </a:graphicData>
                </a:graphic>
              </wp:anchor>
            </w:drawing>
          </mc:Choice>
          <mc:Fallback>
            <w:pict>
              <v:shape id="_x0000_s1026" o:spid="_x0000_s1026" o:spt="202" type="#_x0000_t202" style="position:absolute;left:0pt;margin-left:264.2pt;margin-top:24.05pt;height:23.8pt;width:212.15pt;z-index:251706368;mso-width-relative:page;mso-height-relative:page;" fillcolor="#FFFFFF" filled="t" stroked="f" coordsize="21600,21600" o:gfxdata="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Wm7zF&#10;1wAAAAkBAAAPAAAAAAAAAAEAIAAAACIAAABkcnMvZG93bnJldi54bWxQSwECFAAUAAAACACHTuJA&#10;vnbw77ABAAAyAwAADgAAAAAAAAABACAAAAAmAQAAZHJzL2Uyb0RvYy54bWxQSwUGAAAAAAYABgBZ&#10;AQAASAUAAAAA&#10;">
                <v:fill on="t" focussize="0,0"/>
                <v:stroke on="f"/>
                <v:imagedata o:title=""/>
                <o:lock v:ext="edit" aspectratio="f"/>
                <v:textbox>
                  <w:txbxContent>
                    <w:p>
                      <w:pPr>
                        <w:rPr>
                          <w:rFonts w:hint="eastAsia" w:hAnsi="宋体"/>
                          <w:sz w:val="24"/>
                          <w:szCs w:val="24"/>
                          <w:lang w:val="en-US"/>
                        </w:rPr>
                      </w:pPr>
                      <w:r>
                        <w:rPr>
                          <w:rFonts w:hint="eastAsia" w:hAnsi="宋体"/>
                          <w:sz w:val="24"/>
                          <w:szCs w:val="24"/>
                        </w:rPr>
                        <w:t>指标实际值</w:t>
                      </w:r>
                      <w:r>
                        <w:rPr>
                          <w:rFonts w:hint="eastAsia" w:ascii="宋体" w:hAnsi="宋体" w:eastAsia="宋体" w:cs="宋体"/>
                          <w:sz w:val="24"/>
                          <w:szCs w:val="24"/>
                        </w:rPr>
                        <w:t>≤</w:t>
                      </w:r>
                      <w:r>
                        <w:rPr>
                          <w:rFonts w:hint="eastAsia" w:hAnsi="宋体"/>
                          <w:sz w:val="24"/>
                          <w:szCs w:val="24"/>
                        </w:rPr>
                        <w:t>指标标准值×</w:t>
                      </w:r>
                      <w:r>
                        <w:rPr>
                          <w:rFonts w:hint="eastAsia" w:hAnsi="宋体"/>
                          <w:sz w:val="24"/>
                          <w:szCs w:val="24"/>
                          <w:lang w:val="en-US" w:eastAsia="zh-CN"/>
                        </w:rPr>
                        <w:t>100</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705344" behindDoc="0" locked="0" layoutInCell="1" allowOverlap="1">
                <wp:simplePos x="0" y="0"/>
                <wp:positionH relativeFrom="column">
                  <wp:posOffset>1689100</wp:posOffset>
                </wp:positionH>
                <wp:positionV relativeFrom="paragraph">
                  <wp:posOffset>308610</wp:posOffset>
                </wp:positionV>
                <wp:extent cx="1542415" cy="266065"/>
                <wp:effectExtent l="0" t="0" r="635" b="635"/>
                <wp:wrapNone/>
                <wp:docPr id="8" name="文本框 8"/>
                <wp:cNvGraphicFramePr/>
                <a:graphic xmlns:a="http://schemas.openxmlformats.org/drawingml/2006/main">
                  <a:graphicData uri="http://schemas.microsoft.com/office/word/2010/wordprocessingShape">
                    <wps:wsp>
                      <wps:cNvSpPr txBox="1"/>
                      <wps:spPr>
                        <a:xfrm>
                          <a:off x="0" y="0"/>
                          <a:ext cx="1542415" cy="266065"/>
                        </a:xfrm>
                        <a:prstGeom prst="rect">
                          <a:avLst/>
                        </a:prstGeom>
                        <a:solidFill>
                          <a:srgbClr val="FFFFFF"/>
                        </a:solidFill>
                        <a:ln w="9525">
                          <a:noFill/>
                        </a:ln>
                      </wps:spPr>
                      <wps:txbx>
                        <w:txbxContent>
                          <w:p>
                            <w:pPr>
                              <w:rPr>
                                <w:rFonts w:hAnsi="宋体"/>
                                <w:sz w:val="24"/>
                                <w:szCs w:val="24"/>
                              </w:rPr>
                            </w:pPr>
                            <w:r>
                              <w:rPr>
                                <w:rFonts w:hint="eastAsia" w:hAnsi="宋体"/>
                                <w:sz w:val="24"/>
                                <w:szCs w:val="24"/>
                              </w:rPr>
                              <w:t>实际</w:t>
                            </w:r>
                            <w:r>
                              <w:rPr>
                                <w:rFonts w:hAnsi="宋体"/>
                                <w:sz w:val="24"/>
                                <w:szCs w:val="24"/>
                              </w:rPr>
                              <w:t>值</w:t>
                            </w:r>
                            <w:r>
                              <w:rPr>
                                <w:rFonts w:hint="eastAsia" w:hAnsi="宋体"/>
                                <w:sz w:val="24"/>
                                <w:szCs w:val="24"/>
                              </w:rPr>
                              <w:t>/标准</w:t>
                            </w:r>
                            <w:r>
                              <w:rPr>
                                <w:rFonts w:hAnsi="宋体"/>
                                <w:sz w:val="24"/>
                                <w:szCs w:val="24"/>
                              </w:rPr>
                              <w:t>值×</w:t>
                            </w:r>
                            <w:r>
                              <w:rPr>
                                <w:rFonts w:hint="eastAsia" w:hAnsi="宋体"/>
                                <w:sz w:val="24"/>
                                <w:szCs w:val="24"/>
                                <w:lang w:val="en-US" w:eastAsia="zh-CN"/>
                              </w:rPr>
                              <w:t>100</w:t>
                            </w:r>
                          </w:p>
                        </w:txbxContent>
                      </wps:txbx>
                      <wps:bodyPr upright="1"/>
                    </wps:wsp>
                  </a:graphicData>
                </a:graphic>
              </wp:anchor>
            </w:drawing>
          </mc:Choice>
          <mc:Fallback>
            <w:pict>
              <v:shape id="_x0000_s1026" o:spid="_x0000_s1026" o:spt="202" type="#_x0000_t202" style="position:absolute;left:0pt;margin-left:133pt;margin-top:24.3pt;height:20.95pt;width:121.45pt;z-index:251705344;mso-width-relative:page;mso-height-relative:page;" fillcolor="#FFFFFF" filled="t" stroked="f" coordsize="21600,21600" o:gfxdata="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ozShh2AAA&#10;AAkBAAAPAAAAAAAAAAEAIAAAACIAAABkcnMvZG93bnJldi54bWxQSwECFAAUAAAACACHTuJATz7X&#10;VqwBAAAyAwAADgAAAAAAAAABACAAAAAnAQAAZHJzL2Uyb0RvYy54bWxQSwUGAAAAAAYABgBZAQAA&#10;RQUAAAAA&#10;">
                <v:fill on="t" focussize="0,0"/>
                <v:stroke on="f"/>
                <v:imagedata o:title=""/>
                <o:lock v:ext="edit" aspectratio="f"/>
                <v:textbox>
                  <w:txbxContent>
                    <w:p>
                      <w:pPr>
                        <w:rPr>
                          <w:rFonts w:hAnsi="宋体"/>
                          <w:sz w:val="24"/>
                          <w:szCs w:val="24"/>
                        </w:rPr>
                      </w:pPr>
                      <w:r>
                        <w:rPr>
                          <w:rFonts w:hint="eastAsia" w:hAnsi="宋体"/>
                          <w:sz w:val="24"/>
                          <w:szCs w:val="24"/>
                        </w:rPr>
                        <w:t>实际</w:t>
                      </w:r>
                      <w:r>
                        <w:rPr>
                          <w:rFonts w:hAnsi="宋体"/>
                          <w:sz w:val="24"/>
                          <w:szCs w:val="24"/>
                        </w:rPr>
                        <w:t>值</w:t>
                      </w:r>
                      <w:r>
                        <w:rPr>
                          <w:rFonts w:hint="eastAsia" w:hAnsi="宋体"/>
                          <w:sz w:val="24"/>
                          <w:szCs w:val="24"/>
                        </w:rPr>
                        <w:t>/标准</w:t>
                      </w:r>
                      <w:r>
                        <w:rPr>
                          <w:rFonts w:hAnsi="宋体"/>
                          <w:sz w:val="24"/>
                          <w:szCs w:val="24"/>
                        </w:rPr>
                        <w:t>值×</w:t>
                      </w:r>
                      <w:r>
                        <w:rPr>
                          <w:rFonts w:hint="eastAsia" w:hAnsi="宋体"/>
                          <w:sz w:val="24"/>
                          <w:szCs w:val="24"/>
                          <w:lang w:val="en-US" w:eastAsia="zh-CN"/>
                        </w:rPr>
                        <w:t>100</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702272" behindDoc="0" locked="0" layoutInCell="1" allowOverlap="1">
                <wp:simplePos x="0" y="0"/>
                <wp:positionH relativeFrom="column">
                  <wp:posOffset>46990</wp:posOffset>
                </wp:positionH>
                <wp:positionV relativeFrom="paragraph">
                  <wp:posOffset>-5715</wp:posOffset>
                </wp:positionV>
                <wp:extent cx="1450975" cy="544195"/>
                <wp:effectExtent l="0" t="0" r="15875" b="8255"/>
                <wp:wrapNone/>
                <wp:docPr id="16" name="文本框 16"/>
                <wp:cNvGraphicFramePr/>
                <a:graphic xmlns:a="http://schemas.openxmlformats.org/drawingml/2006/main">
                  <a:graphicData uri="http://schemas.microsoft.com/office/word/2010/wordprocessingShape">
                    <wps:wsp>
                      <wps:cNvSpPr txBox="1"/>
                      <wps:spPr>
                        <a:xfrm>
                          <a:off x="0" y="0"/>
                          <a:ext cx="1450975" cy="544195"/>
                        </a:xfrm>
                        <a:prstGeom prst="rect">
                          <a:avLst/>
                        </a:prstGeom>
                        <a:solidFill>
                          <a:srgbClr val="FFFFFF"/>
                        </a:solidFill>
                        <a:ln w="9525">
                          <a:noFill/>
                        </a:ln>
                      </wps:spPr>
                      <wps:txbx>
                        <w:txbxContent>
                          <w:p>
                            <w:pPr>
                              <w:jc w:val="center"/>
                              <w:rPr>
                                <w:rFonts w:hint="eastAsia" w:hAnsi="宋体"/>
                                <w:sz w:val="24"/>
                                <w:szCs w:val="24"/>
                              </w:rPr>
                            </w:pPr>
                          </w:p>
                          <w:p>
                            <w:pPr>
                              <w:jc w:val="center"/>
                              <w:rPr>
                                <w:rFonts w:hint="eastAsia" w:hAnsi="宋体"/>
                                <w:sz w:val="24"/>
                                <w:szCs w:val="24"/>
                              </w:rPr>
                            </w:pPr>
                            <w:r>
                              <w:rPr>
                                <w:rFonts w:hint="eastAsia" w:hAnsi="宋体"/>
                                <w:sz w:val="24"/>
                                <w:szCs w:val="24"/>
                                <w:lang w:val="en-US" w:eastAsia="zh-CN"/>
                              </w:rPr>
                              <w:t xml:space="preserve">    </w:t>
                            </w:r>
                            <w:r>
                              <w:rPr>
                                <w:rFonts w:hint="eastAsia" w:hAnsi="宋体"/>
                                <w:sz w:val="24"/>
                                <w:szCs w:val="24"/>
                              </w:rPr>
                              <w:t>指标</w:t>
                            </w:r>
                            <w:r>
                              <w:rPr>
                                <w:rFonts w:hAnsi="宋体"/>
                                <w:sz w:val="24"/>
                                <w:szCs w:val="24"/>
                              </w:rPr>
                              <w:t>评分值</w:t>
                            </w:r>
                            <w:r>
                              <w:rPr>
                                <w:rFonts w:hint="eastAsia" w:hAnsi="宋体"/>
                                <w:sz w:val="24"/>
                                <w:szCs w:val="24"/>
                              </w:rPr>
                              <w:t xml:space="preserve"> </w:t>
                            </w:r>
                            <w:r>
                              <w:rPr>
                                <w:rFonts w:hAnsi="宋体"/>
                                <w:sz w:val="24"/>
                                <w:szCs w:val="24"/>
                              </w:rPr>
                              <w:t>=</w:t>
                            </w:r>
                          </w:p>
                        </w:txbxContent>
                      </wps:txbx>
                      <wps:bodyPr upright="1"/>
                    </wps:wsp>
                  </a:graphicData>
                </a:graphic>
              </wp:anchor>
            </w:drawing>
          </mc:Choice>
          <mc:Fallback>
            <w:pict>
              <v:shape id="_x0000_s1026" o:spid="_x0000_s1026" o:spt="202" type="#_x0000_t202" style="position:absolute;left:0pt;margin-left:3.7pt;margin-top:-0.45pt;height:42.85pt;width:114.25pt;z-index:251702272;mso-width-relative:page;mso-height-relative:page;" fillcolor="#FFFFFF" filled="t" stroked="f" coordsize="21600,21600" o:gfxdata="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v2hJMtUAAAAG&#10;AQAADwAAAAAAAAABACAAAAAiAAAAZHJzL2Rvd25yZXYueG1sUEsBAhQAFAAAAAgAh07iQNGT+Oat&#10;AQAANAMAAA4AAAAAAAAAAQAgAAAAJAEAAGRycy9lMm9Eb2MueG1sUEsFBgAAAAAGAAYAWQEAAEMF&#10;AAAAAA==&#10;">
                <v:fill on="t" focussize="0,0"/>
                <v:stroke on="f"/>
                <v:imagedata o:title=""/>
                <o:lock v:ext="edit" aspectratio="f"/>
                <v:textbox>
                  <w:txbxContent>
                    <w:p>
                      <w:pPr>
                        <w:jc w:val="center"/>
                        <w:rPr>
                          <w:rFonts w:hint="eastAsia" w:hAnsi="宋体"/>
                          <w:sz w:val="24"/>
                          <w:szCs w:val="24"/>
                        </w:rPr>
                      </w:pPr>
                    </w:p>
                    <w:p>
                      <w:pPr>
                        <w:jc w:val="center"/>
                        <w:rPr>
                          <w:rFonts w:hint="eastAsia" w:hAnsi="宋体"/>
                          <w:sz w:val="24"/>
                          <w:szCs w:val="24"/>
                        </w:rPr>
                      </w:pPr>
                      <w:r>
                        <w:rPr>
                          <w:rFonts w:hint="eastAsia" w:hAnsi="宋体"/>
                          <w:sz w:val="24"/>
                          <w:szCs w:val="24"/>
                          <w:lang w:val="en-US" w:eastAsia="zh-CN"/>
                        </w:rPr>
                        <w:t xml:space="preserve">    </w:t>
                      </w:r>
                      <w:r>
                        <w:rPr>
                          <w:rFonts w:hint="eastAsia" w:hAnsi="宋体"/>
                          <w:sz w:val="24"/>
                          <w:szCs w:val="24"/>
                        </w:rPr>
                        <w:t>指标</w:t>
                      </w:r>
                      <w:r>
                        <w:rPr>
                          <w:rFonts w:hAnsi="宋体"/>
                          <w:sz w:val="24"/>
                          <w:szCs w:val="24"/>
                        </w:rPr>
                        <w:t>评分值</w:t>
                      </w:r>
                      <w:r>
                        <w:rPr>
                          <w:rFonts w:hint="eastAsia" w:hAnsi="宋体"/>
                          <w:sz w:val="24"/>
                          <w:szCs w:val="24"/>
                        </w:rPr>
                        <w:t xml:space="preserve"> </w:t>
                      </w:r>
                      <w:r>
                        <w:rPr>
                          <w:rFonts w:hAnsi="宋体"/>
                          <w:sz w:val="24"/>
                          <w:szCs w:val="24"/>
                        </w:rPr>
                        <w:t>=</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704320" behindDoc="0" locked="0" layoutInCell="1" allowOverlap="1">
                <wp:simplePos x="0" y="0"/>
                <wp:positionH relativeFrom="column">
                  <wp:posOffset>1699260</wp:posOffset>
                </wp:positionH>
                <wp:positionV relativeFrom="paragraph">
                  <wp:posOffset>41275</wp:posOffset>
                </wp:positionV>
                <wp:extent cx="2074545" cy="560070"/>
                <wp:effectExtent l="0" t="0" r="1905" b="11430"/>
                <wp:wrapNone/>
                <wp:docPr id="11" name="文本框 11"/>
                <wp:cNvGraphicFramePr/>
                <a:graphic xmlns:a="http://schemas.openxmlformats.org/drawingml/2006/main">
                  <a:graphicData uri="http://schemas.microsoft.com/office/word/2010/wordprocessingShape">
                    <wps:wsp>
                      <wps:cNvSpPr txBox="1"/>
                      <wps:spPr>
                        <a:xfrm>
                          <a:off x="0" y="0"/>
                          <a:ext cx="2074545" cy="560070"/>
                        </a:xfrm>
                        <a:prstGeom prst="rect">
                          <a:avLst/>
                        </a:prstGeom>
                        <a:solidFill>
                          <a:srgbClr val="FFFFFF"/>
                        </a:solidFill>
                        <a:ln w="9525">
                          <a:noFill/>
                        </a:ln>
                      </wps:spPr>
                      <wps:txbx>
                        <w:txbxContent>
                          <w:p>
                            <w:pPr>
                              <w:rPr>
                                <w:rFonts w:hAnsi="宋体"/>
                                <w:sz w:val="24"/>
                                <w:szCs w:val="24"/>
                              </w:rPr>
                            </w:pPr>
                            <w:r>
                              <w:rPr>
                                <w:rFonts w:hint="eastAsia" w:hAnsi="宋体"/>
                                <w:sz w:val="24"/>
                                <w:szCs w:val="24"/>
                              </w:rPr>
                              <w:t>实际</w:t>
                            </w:r>
                            <w:r>
                              <w:rPr>
                                <w:rFonts w:hAnsi="宋体"/>
                                <w:sz w:val="24"/>
                                <w:szCs w:val="24"/>
                              </w:rPr>
                              <w:t>值</w:t>
                            </w:r>
                            <w:r>
                              <w:rPr>
                                <w:rFonts w:hint="eastAsia" w:hAnsi="宋体"/>
                                <w:sz w:val="24"/>
                                <w:szCs w:val="24"/>
                              </w:rPr>
                              <w:t>/标准</w:t>
                            </w:r>
                            <w:r>
                              <w:rPr>
                                <w:rFonts w:hAnsi="宋体"/>
                                <w:sz w:val="24"/>
                                <w:szCs w:val="24"/>
                              </w:rPr>
                              <w:t>值×</w:t>
                            </w:r>
                            <w:r>
                              <w:rPr>
                                <w:rFonts w:hint="eastAsia" w:hAnsi="宋体"/>
                                <w:sz w:val="24"/>
                                <w:szCs w:val="24"/>
                                <w:lang w:val="en-US" w:eastAsia="zh-CN"/>
                              </w:rPr>
                              <w:t>100</w:t>
                            </w:r>
                          </w:p>
                        </w:txbxContent>
                      </wps:txbx>
                      <wps:bodyPr upright="1"/>
                    </wps:wsp>
                  </a:graphicData>
                </a:graphic>
              </wp:anchor>
            </w:drawing>
          </mc:Choice>
          <mc:Fallback>
            <w:pict>
              <v:shape id="_x0000_s1026" o:spid="_x0000_s1026" o:spt="202" type="#_x0000_t202" style="position:absolute;left:0pt;margin-left:133.8pt;margin-top:3.25pt;height:44.1pt;width:163.35pt;z-index:251704320;mso-width-relative:page;mso-height-relative:page;" fillcolor="#FFFFFF" filled="t" stroked="f" coordsize="21600,21600" o:gfxdata="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Qn2mY&#10;1wAAAAgBAAAPAAAAAAAAAAEAIAAAACIAAABkcnMvZG93bnJldi54bWxQSwECFAAUAAAACACHTuJA&#10;uPsazbABAAA0AwAADgAAAAAAAAABACAAAAAmAQAAZHJzL2Uyb0RvYy54bWxQSwUGAAAAAAYABgBZ&#10;AQAASAUAAAAA&#10;">
                <v:fill on="t" focussize="0,0"/>
                <v:stroke on="f"/>
                <v:imagedata o:title=""/>
                <o:lock v:ext="edit" aspectratio="f"/>
                <v:textbox>
                  <w:txbxContent>
                    <w:p>
                      <w:pPr>
                        <w:rPr>
                          <w:rFonts w:hAnsi="宋体"/>
                          <w:sz w:val="24"/>
                          <w:szCs w:val="24"/>
                        </w:rPr>
                      </w:pPr>
                      <w:r>
                        <w:rPr>
                          <w:rFonts w:hint="eastAsia" w:hAnsi="宋体"/>
                          <w:sz w:val="24"/>
                          <w:szCs w:val="24"/>
                        </w:rPr>
                        <w:t>实际</w:t>
                      </w:r>
                      <w:r>
                        <w:rPr>
                          <w:rFonts w:hAnsi="宋体"/>
                          <w:sz w:val="24"/>
                          <w:szCs w:val="24"/>
                        </w:rPr>
                        <w:t>值</w:t>
                      </w:r>
                      <w:r>
                        <w:rPr>
                          <w:rFonts w:hint="eastAsia" w:hAnsi="宋体"/>
                          <w:sz w:val="24"/>
                          <w:szCs w:val="24"/>
                        </w:rPr>
                        <w:t>/标准</w:t>
                      </w:r>
                      <w:r>
                        <w:rPr>
                          <w:rFonts w:hAnsi="宋体"/>
                          <w:sz w:val="24"/>
                          <w:szCs w:val="24"/>
                        </w:rPr>
                        <w:t>值×</w:t>
                      </w:r>
                      <w:r>
                        <w:rPr>
                          <w:rFonts w:hint="eastAsia" w:hAnsi="宋体"/>
                          <w:sz w:val="24"/>
                          <w:szCs w:val="24"/>
                          <w:lang w:val="en-US" w:eastAsia="zh-CN"/>
                        </w:rPr>
                        <w:t>100</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703296" behindDoc="0" locked="0" layoutInCell="1" allowOverlap="1">
                <wp:simplePos x="0" y="0"/>
                <wp:positionH relativeFrom="column">
                  <wp:posOffset>1516380</wp:posOffset>
                </wp:positionH>
                <wp:positionV relativeFrom="paragraph">
                  <wp:posOffset>142240</wp:posOffset>
                </wp:positionV>
                <wp:extent cx="95250" cy="401320"/>
                <wp:effectExtent l="0" t="4445" r="19050" b="13335"/>
                <wp:wrapNone/>
                <wp:docPr id="20" name="左大括号 20"/>
                <wp:cNvGraphicFramePr/>
                <a:graphic xmlns:a="http://schemas.openxmlformats.org/drawingml/2006/main">
                  <a:graphicData uri="http://schemas.microsoft.com/office/word/2010/wordprocessingShape">
                    <wps:wsp>
                      <wps:cNvSpPr/>
                      <wps:spPr>
                        <a:xfrm>
                          <a:off x="0" y="0"/>
                          <a:ext cx="95250" cy="401320"/>
                        </a:xfrm>
                        <a:prstGeom prst="leftBrace">
                          <a:avLst>
                            <a:gd name="adj1" fmla="val 35091"/>
                            <a:gd name="adj2" fmla="val 50000"/>
                          </a:avLst>
                        </a:prstGeom>
                        <a:noFill/>
                        <a:ln w="9525"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87" type="#_x0000_t87" style="position:absolute;left:0pt;margin-left:119.4pt;margin-top:11.2pt;height:31.6pt;width:7.5pt;z-index:251703296;mso-width-relative:page;mso-height-relative:page;" filled="f" stroked="t" coordsize="21600,21600" o:gfxdata="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&#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oIDsrZAAAACQEAAA8AAAAAAAAAAQAgAAAAIgAAAGRy&#10;cy9kb3ducmV2LnhtbFBLAQIUABQAAAAIAIdO4kCVmXKrBAIAAAMEAAAOAAAAAAAAAAEAIAAAACgB&#10;AABkcnMvZTJvRG9jLnhtbFBLBQYAAAAABgAGAFkBAACeBQAAAAA=&#10;" adj="1798,10800">
                <v:fill on="f" focussize="0,0"/>
                <v:stroke color="#000000" joinstyle="bevel"/>
                <v:imagedata o:title=""/>
                <o:lock v:ext="edit" aspectratio="f"/>
              </v:shape>
            </w:pict>
          </mc:Fallback>
        </mc:AlternateContent>
      </w:r>
      <w:r>
        <w:rPr>
          <w:rFonts w:hint="eastAsia" w:ascii="宋体" w:hAnsi="宋体" w:eastAsia="宋体" w:cs="宋体"/>
          <w:color w:val="auto"/>
          <w:sz w:val="24"/>
          <w:szCs w:val="24"/>
          <w:highlight w:val="none"/>
        </w:rPr>
        <mc:AlternateContent>
          <mc:Choice Requires="wps">
            <w:drawing>
              <wp:inline distT="0" distB="0" distL="114300" distR="114300">
                <wp:extent cx="610235" cy="626110"/>
                <wp:effectExtent l="0" t="0" r="0" b="0"/>
                <wp:docPr id="21" name="文本框 21"/>
                <wp:cNvGraphicFramePr/>
                <a:graphic xmlns:a="http://schemas.openxmlformats.org/drawingml/2006/main">
                  <a:graphicData uri="http://schemas.microsoft.com/office/word/2010/wordprocessingShape">
                    <wps:wsp>
                      <wps:cNvSpPr txBox="1">
                        <a:spLocks noRot="1"/>
                      </wps:cNvSpPr>
                      <wps:spPr>
                        <a:xfrm>
                          <a:off x="0" y="0"/>
                          <a:ext cx="610235" cy="626110"/>
                        </a:xfrm>
                        <a:prstGeom prst="rect">
                          <a:avLst/>
                        </a:prstGeom>
                        <a:noFill/>
                        <a:ln w="9525">
                          <a:noFill/>
                        </a:ln>
                      </wps:spPr>
                      <wps:txbx>
                        <w:txbxContent>
                          <w:p>
                            <w:pPr>
                              <w:rPr>
                                <w:rFonts w:hint="eastAsia" w:hAnsi="宋体"/>
                                <w:sz w:val="24"/>
                                <w:szCs w:val="24"/>
                              </w:rPr>
                            </w:pPr>
                          </w:p>
                        </w:txbxContent>
                      </wps:txbx>
                      <wps:bodyPr upright="1"/>
                    </wps:wsp>
                  </a:graphicData>
                </a:graphic>
              </wp:inline>
            </w:drawing>
          </mc:Choice>
          <mc:Fallback>
            <w:pict>
              <v:shape id="_x0000_s1026" o:spid="_x0000_s1026" o:spt="202" type="#_x0000_t202" style="height:49.3pt;width:48.05pt;" filled="f" stroked="f" coordsize="21600,21600" o:gfxdata="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HzyQTNEAAAADAQAADwAAAAAA&#10;AAABACAAAAAiAAAAZHJzL2Rvd25yZXYueG1sUEsBAhQAFAAAAAgAh07iQNJqwjeoAQAALQMAAA4A&#10;AAAAAAAAAQAgAAAAIAEAAGRycy9lMm9Eb2MueG1sUEsFBgAAAAAGAAYAWQEAADoFAAAAAA==&#10;">
                <v:fill on="f" focussize="0,0"/>
                <v:stroke on="f"/>
                <v:imagedata o:title=""/>
                <o:lock v:ext="edit" rotation="t" aspectratio="f"/>
                <v:textbox>
                  <w:txbxContent>
                    <w:p>
                      <w:pPr>
                        <w:rPr>
                          <w:rFonts w:hint="eastAsia" w:hAnsi="宋体"/>
                          <w:sz w:val="24"/>
                          <w:szCs w:val="24"/>
                        </w:rPr>
                      </w:pPr>
                    </w:p>
                  </w:txbxContent>
                </v:textbox>
                <w10:wrap type="none"/>
                <w10:anchorlock/>
              </v:shape>
            </w:pict>
          </mc:Fallback>
        </mc:AlternateContent>
      </w:r>
    </w:p>
    <w:p>
      <w:pPr>
        <w:pStyle w:val="16"/>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720" w:firstLineChars="300"/>
        <w:jc w:val="left"/>
        <w:textAlignment w:val="auto"/>
        <w:outlineLvl w:val="9"/>
        <w:rPr>
          <w:rFonts w:hint="eastAsia"/>
          <w:sz w:val="24"/>
          <w:szCs w:val="24"/>
        </w:rPr>
      </w:pPr>
      <w:r>
        <w:rPr>
          <w:rFonts w:hint="eastAsia" w:ascii="宋体" w:hAnsi="宋体" w:eastAsia="宋体" w:cs="宋体"/>
          <w:color w:val="auto"/>
          <w:sz w:val="24"/>
          <w:szCs w:val="24"/>
          <w:highlight w:val="none"/>
        </w:rPr>
        <w:t>②因素分析法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对定性指标和不存在标准值的指标，采用因素分析法，即指标标准定为</w:t>
      </w: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并对影响指标结果的因素进行分析，设计出主要影响因素及因素权重分。采用多人评分方法得出综合评分值。</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right="0" w:rightChars="0"/>
        <w:jc w:val="left"/>
        <w:textAlignment w:val="auto"/>
        <w:outlineLvl w:val="9"/>
        <w:rPr>
          <w:rFonts w:hint="eastAsia" w:ascii="宋体" w:hAnsi="宋体" w:eastAsia="宋体" w:cs="宋体"/>
          <w:b/>
          <w:sz w:val="24"/>
          <w:szCs w:val="24"/>
          <w:lang w:val="en-US" w:eastAsia="zh-CN"/>
        </w:rPr>
      </w:pPr>
      <w:r>
        <w:rPr>
          <w:rFonts w:hint="eastAsia" w:ascii="宋体" w:hAnsi="宋体" w:cs="宋体"/>
          <w:b/>
          <w:sz w:val="24"/>
          <w:szCs w:val="24"/>
          <w:lang w:val="en-US" w:eastAsia="zh-CN"/>
        </w:rPr>
        <w:t>六、</w:t>
      </w:r>
      <w:r>
        <w:rPr>
          <w:rFonts w:hint="eastAsia" w:ascii="宋体" w:hAnsi="宋体" w:eastAsia="宋体" w:cs="宋体"/>
          <w:b/>
          <w:sz w:val="24"/>
          <w:szCs w:val="24"/>
          <w:lang w:val="en-US" w:eastAsia="zh-CN"/>
        </w:rPr>
        <w:t>存在的主要问题概述</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b/>
          <w:bCs/>
          <w:sz w:val="24"/>
          <w:szCs w:val="24"/>
          <w:lang w:val="en-US" w:eastAsia="zh-CN"/>
        </w:rPr>
      </w:pPr>
      <w:r>
        <w:rPr>
          <w:rFonts w:hint="eastAsia"/>
          <w:b/>
          <w:bCs/>
          <w:sz w:val="24"/>
          <w:szCs w:val="24"/>
          <w:lang w:val="en-US" w:eastAsia="zh-CN"/>
        </w:rPr>
        <w:t>（一）存在的问题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项目绩效指标</w:t>
      </w:r>
      <w:r>
        <w:rPr>
          <w:rFonts w:hint="eastAsia" w:ascii="宋体" w:hAnsi="宋体" w:eastAsia="宋体" w:cs="宋体"/>
          <w:b/>
          <w:bCs/>
          <w:color w:val="auto"/>
          <w:sz w:val="24"/>
          <w:szCs w:val="24"/>
          <w:highlight w:val="none"/>
          <w:lang w:val="en-US" w:eastAsia="zh-CN"/>
        </w:rPr>
        <w:t>予待</w:t>
      </w:r>
      <w:r>
        <w:rPr>
          <w:rFonts w:hint="eastAsia" w:ascii="宋体" w:hAnsi="宋体" w:eastAsia="宋体" w:cs="宋体"/>
          <w:b/>
          <w:bCs/>
          <w:color w:val="auto"/>
          <w:sz w:val="24"/>
          <w:szCs w:val="24"/>
          <w:highlight w:val="none"/>
          <w:lang w:eastAsia="zh-CN"/>
        </w:rPr>
        <w:t>完善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无《项目申报表》，目标不明确，无考核指标，不能</w:t>
      </w:r>
      <w:r>
        <w:rPr>
          <w:rFonts w:hint="eastAsia" w:ascii="宋体" w:hAnsi="宋体" w:eastAsia="宋体" w:cs="宋体"/>
          <w:color w:val="auto"/>
          <w:sz w:val="24"/>
          <w:szCs w:val="24"/>
          <w:highlight w:val="none"/>
          <w:lang w:eastAsia="zh-CN"/>
        </w:rPr>
        <w:t>量化，预算绩效管理</w:t>
      </w:r>
      <w:r>
        <w:rPr>
          <w:rFonts w:hint="eastAsia" w:ascii="宋体" w:hAnsi="宋体" w:eastAsia="宋体" w:cs="宋体"/>
          <w:color w:val="auto"/>
          <w:sz w:val="24"/>
          <w:szCs w:val="24"/>
          <w:highlight w:val="none"/>
          <w:lang w:val="en-US" w:eastAsia="zh-CN"/>
        </w:rPr>
        <w:t>予待加强。项目支出没有预算，资金用途太泛化，难以区分项目支出还是基本支出。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r>
        <w:rPr>
          <w:rFonts w:hint="eastAsia" w:ascii="宋体" w:hAnsi="宋体" w:cs="宋体"/>
          <w:b/>
          <w:bCs/>
          <w:color w:val="auto"/>
          <w:sz w:val="24"/>
          <w:szCs w:val="24"/>
          <w:highlight w:val="none"/>
          <w:lang w:val="en-US" w:eastAsia="zh-CN"/>
        </w:rPr>
        <w:t>政协委员成果需及时转化：</w:t>
      </w:r>
      <w:r>
        <w:rPr>
          <w:rFonts w:hint="eastAsia" w:ascii="宋体" w:hAnsi="宋体" w:eastAsia="宋体" w:cs="宋体"/>
          <w:color w:val="auto"/>
          <w:sz w:val="24"/>
          <w:szCs w:val="24"/>
          <w:highlight w:val="none"/>
          <w:lang w:val="en-US" w:eastAsia="zh-CN"/>
        </w:rPr>
        <w:t>调查研究不够深入，协商质量有待提升；民主监督系统性、针对性不强，工作有待深化；成果转化落实机制不完善，协商议政的实效性有待加强。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b/>
          <w:bCs/>
          <w:sz w:val="24"/>
          <w:szCs w:val="24"/>
          <w:lang w:val="en-US" w:eastAsia="zh-CN"/>
        </w:rPr>
        <w:sectPr>
          <w:headerReference r:id="rId9" w:type="first"/>
          <w:footerReference r:id="rId11" w:type="first"/>
          <w:headerReference r:id="rId8" w:type="default"/>
          <w:footerReference r:id="rId10" w:type="default"/>
          <w:type w:val="continuous"/>
          <w:pgSz w:w="11906" w:h="16838"/>
          <w:pgMar w:top="1191" w:right="1191" w:bottom="1191" w:left="1191" w:header="851" w:footer="539" w:gutter="0"/>
          <w:pgNumType w:fmt="decimal"/>
          <w:cols w:space="0" w:num="1"/>
          <w:titlePg/>
          <w:rtlGutter w:val="0"/>
          <w:docGrid w:type="lines" w:linePitch="312" w:charSpace="0"/>
        </w:sectPr>
      </w:pPr>
      <w:r>
        <w:rPr>
          <w:rFonts w:hint="eastAsia"/>
          <w:b/>
          <w:bCs/>
          <w:sz w:val="24"/>
          <w:szCs w:val="24"/>
          <w:lang w:val="en-US" w:eastAsia="zh-CN"/>
        </w:rPr>
        <w:t>（二）问题分析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项目绩效指标</w:t>
      </w:r>
      <w:r>
        <w:rPr>
          <w:rFonts w:hint="eastAsia" w:ascii="宋体" w:hAnsi="宋体" w:eastAsia="宋体" w:cs="宋体"/>
          <w:color w:val="auto"/>
          <w:sz w:val="24"/>
          <w:szCs w:val="24"/>
          <w:highlight w:val="none"/>
          <w:lang w:val="en-US" w:eastAsia="zh-CN"/>
        </w:rPr>
        <w:t>没有专</w:t>
      </w:r>
      <w:r>
        <w:rPr>
          <w:rFonts w:hint="eastAsia" w:ascii="宋体" w:hAnsi="宋体" w:cs="宋体"/>
          <w:color w:val="auto"/>
          <w:sz w:val="24"/>
          <w:szCs w:val="24"/>
          <w:highlight w:val="none"/>
          <w:lang w:val="en-US" w:eastAsia="zh-CN"/>
        </w:rPr>
        <w:t>门</w:t>
      </w:r>
      <w:r>
        <w:rPr>
          <w:rFonts w:hint="eastAsia" w:ascii="宋体" w:hAnsi="宋体" w:eastAsia="宋体" w:cs="宋体"/>
          <w:color w:val="auto"/>
          <w:sz w:val="24"/>
          <w:szCs w:val="24"/>
          <w:highlight w:val="none"/>
          <w:lang w:val="en-US" w:eastAsia="zh-CN"/>
        </w:rPr>
        <w:t>财务人员，</w:t>
      </w:r>
      <w:r>
        <w:rPr>
          <w:rFonts w:hint="eastAsia" w:ascii="宋体" w:hAnsi="宋体" w:cs="宋体"/>
          <w:color w:val="auto"/>
          <w:sz w:val="24"/>
          <w:szCs w:val="24"/>
          <w:highlight w:val="none"/>
          <w:lang w:val="en-US" w:eastAsia="zh-CN"/>
        </w:rPr>
        <w:t>单位</w:t>
      </w:r>
      <w:r>
        <w:rPr>
          <w:rFonts w:hint="eastAsia" w:ascii="宋体" w:hAnsi="宋体" w:eastAsia="宋体" w:cs="宋体"/>
          <w:color w:val="auto"/>
          <w:sz w:val="24"/>
          <w:szCs w:val="24"/>
          <w:highlight w:val="none"/>
          <w:lang w:val="en-US" w:eastAsia="zh-CN"/>
        </w:rPr>
        <w:t>对</w:t>
      </w:r>
      <w:r>
        <w:rPr>
          <w:rFonts w:hint="eastAsia" w:ascii="宋体" w:hAnsi="宋体" w:eastAsia="宋体" w:cs="宋体"/>
          <w:color w:val="auto"/>
          <w:sz w:val="24"/>
          <w:szCs w:val="24"/>
          <w:highlight w:val="none"/>
          <w:lang w:eastAsia="zh-CN"/>
        </w:rPr>
        <w:t>预算绩效管理</w:t>
      </w:r>
      <w:r>
        <w:rPr>
          <w:rFonts w:hint="eastAsia" w:ascii="宋体" w:hAnsi="宋体" w:eastAsia="宋体" w:cs="宋体"/>
          <w:color w:val="auto"/>
          <w:sz w:val="24"/>
          <w:szCs w:val="24"/>
          <w:highlight w:val="none"/>
          <w:lang w:val="en-US" w:eastAsia="zh-CN"/>
        </w:rPr>
        <w:t>不重视。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2、政协委员的调查研</w:t>
      </w:r>
      <w:r>
        <w:rPr>
          <w:rFonts w:hint="eastAsia" w:ascii="宋体" w:hAnsi="宋体" w:eastAsia="宋体" w:cs="宋体"/>
          <w:color w:val="auto"/>
          <w:sz w:val="24"/>
          <w:szCs w:val="24"/>
          <w:highlight w:val="none"/>
          <w:lang w:val="en-US" w:eastAsia="zh-CN"/>
        </w:rPr>
        <w:t>究</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成果转化</w:t>
      </w:r>
      <w:r>
        <w:rPr>
          <w:rFonts w:hint="eastAsia" w:ascii="宋体" w:hAnsi="宋体" w:cs="宋体"/>
          <w:color w:val="auto"/>
          <w:sz w:val="24"/>
          <w:szCs w:val="24"/>
          <w:highlight w:val="none"/>
          <w:lang w:val="en-US" w:eastAsia="zh-CN"/>
        </w:rPr>
        <w:t>没有制订年度目标；探讨落实机制。</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right="0" w:rightChars="0"/>
        <w:jc w:val="left"/>
        <w:textAlignment w:val="auto"/>
        <w:outlineLvl w:val="9"/>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七、管理建议概述</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1"/>
        <w:rPr>
          <w:rFonts w:hint="eastAsia" w:asciiTheme="majorEastAsia" w:hAnsiTheme="majorEastAsia" w:eastAsiaTheme="majorEastAsia" w:cstheme="majorEastAsia"/>
          <w:b/>
          <w:bCs/>
          <w:color w:val="auto"/>
          <w:sz w:val="24"/>
          <w:szCs w:val="24"/>
          <w:highlight w:val="none"/>
          <w:lang w:eastAsia="zh-CN"/>
        </w:rPr>
      </w:pPr>
      <w:bookmarkStart w:id="4" w:name="_Toc7882"/>
      <w:r>
        <w:rPr>
          <w:rFonts w:hint="eastAsia" w:asciiTheme="majorEastAsia" w:hAnsiTheme="majorEastAsia" w:eastAsiaTheme="majorEastAsia" w:cstheme="majorEastAsia"/>
          <w:b/>
          <w:bCs/>
          <w:color w:val="auto"/>
          <w:sz w:val="24"/>
          <w:szCs w:val="24"/>
          <w:highlight w:val="none"/>
          <w:lang w:eastAsia="zh-CN"/>
        </w:rPr>
        <w:t>（一）政策性建议</w:t>
      </w:r>
      <w:bookmarkEnd w:id="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lang w:val="en-US" w:eastAsia="zh-CN"/>
        </w:rPr>
      </w:pPr>
      <w:r>
        <w:rPr>
          <w:rFonts w:hint="eastAsia"/>
          <w:color w:val="auto"/>
          <w:sz w:val="24"/>
          <w:szCs w:val="24"/>
          <w:lang w:val="en-US" w:eastAsia="zh-CN"/>
        </w:rPr>
        <w:t>1、健全激励约束机制，强化委员纪律和规矩意识，开展优秀政协委员评选活动，增强委员的社会责任感和履职成就感。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lang w:val="en-US" w:eastAsia="zh-CN"/>
        </w:rPr>
      </w:pPr>
      <w:r>
        <w:rPr>
          <w:rFonts w:hint="eastAsia" w:ascii="仿宋_GB2312" w:hAnsi="仿宋" w:eastAsia="仿宋_GB2312" w:cs="仿宋"/>
          <w:color w:val="auto"/>
          <w:sz w:val="24"/>
          <w:szCs w:val="24"/>
          <w:highlight w:val="none"/>
          <w:lang w:val="en-US" w:eastAsia="zh-CN"/>
        </w:rPr>
        <w:t>2、</w:t>
      </w:r>
      <w:r>
        <w:rPr>
          <w:rFonts w:hint="eastAsia"/>
          <w:color w:val="auto"/>
          <w:sz w:val="24"/>
          <w:szCs w:val="24"/>
          <w:highlight w:val="none"/>
          <w:lang w:val="en-US" w:eastAsia="zh-CN"/>
        </w:rPr>
        <w:t>建</w:t>
      </w:r>
      <w:r>
        <w:rPr>
          <w:rFonts w:hint="eastAsia"/>
          <w:color w:val="auto"/>
          <w:sz w:val="24"/>
          <w:szCs w:val="24"/>
          <w:lang w:val="en-US" w:eastAsia="zh-CN"/>
        </w:rPr>
        <w:t>立健全项目指标库，指导各单位编制绩效目标，细化指标体系，或通过购买第三方服务方式，逐年完善指标库。</w:t>
      </w:r>
    </w:p>
    <w:p>
      <w:pPr>
        <w:keepNext w:val="0"/>
        <w:keepLines w:val="0"/>
        <w:pageBreakBefore w:val="0"/>
        <w:kinsoku/>
        <w:wordWrap/>
        <w:overflowPunct/>
        <w:topLinePunct w:val="0"/>
        <w:autoSpaceDE/>
        <w:autoSpaceDN/>
        <w:bidi w:val="0"/>
        <w:adjustRightInd/>
        <w:snapToGrid/>
        <w:spacing w:line="360" w:lineRule="auto"/>
        <w:ind w:right="0" w:rightChars="0" w:firstLine="482" w:firstLineChars="200"/>
        <w:jc w:val="left"/>
        <w:textAlignment w:val="auto"/>
        <w:outlineLvl w:val="1"/>
        <w:rPr>
          <w:rFonts w:hint="eastAsia" w:ascii="宋体" w:hAnsi="宋体" w:eastAsia="宋体" w:cs="宋体"/>
          <w:b/>
          <w:color w:val="auto"/>
          <w:sz w:val="24"/>
          <w:szCs w:val="24"/>
          <w:highlight w:val="none"/>
          <w:lang w:val="en-US" w:eastAsia="zh-CN"/>
        </w:rPr>
      </w:pPr>
      <w:bookmarkStart w:id="5" w:name="_Toc10059"/>
      <w:r>
        <w:rPr>
          <w:rFonts w:hint="eastAsia" w:ascii="宋体" w:hAnsi="宋体" w:eastAsia="宋体" w:cs="宋体"/>
          <w:b/>
          <w:color w:val="auto"/>
          <w:sz w:val="24"/>
          <w:szCs w:val="24"/>
          <w:highlight w:val="none"/>
          <w:lang w:eastAsia="zh-CN"/>
        </w:rPr>
        <w:t>（二）</w:t>
      </w:r>
      <w:r>
        <w:rPr>
          <w:rFonts w:hint="eastAsia" w:ascii="宋体" w:hAnsi="宋体" w:eastAsia="宋体" w:cs="宋体"/>
          <w:b/>
          <w:color w:val="auto"/>
          <w:sz w:val="24"/>
          <w:szCs w:val="24"/>
          <w:highlight w:val="none"/>
          <w:lang w:val="en-US" w:eastAsia="zh-CN"/>
        </w:rPr>
        <w:t>改进措施</w:t>
      </w:r>
      <w:bookmarkEnd w:id="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lang w:val="en-US" w:eastAsia="zh-CN"/>
        </w:rPr>
      </w:pPr>
      <w:r>
        <w:rPr>
          <w:rFonts w:hint="eastAsia"/>
          <w:color w:val="auto"/>
          <w:sz w:val="24"/>
          <w:szCs w:val="24"/>
          <w:lang w:val="en-US" w:eastAsia="zh-CN"/>
        </w:rPr>
        <w:t>1、对</w:t>
      </w:r>
      <w:r>
        <w:rPr>
          <w:rFonts w:hint="eastAsia"/>
          <w:color w:val="auto"/>
          <w:sz w:val="24"/>
          <w:szCs w:val="24"/>
          <w:lang w:eastAsia="zh-CN"/>
        </w:rPr>
        <w:t>预算绩效管理</w:t>
      </w:r>
      <w:r>
        <w:rPr>
          <w:rFonts w:hint="eastAsia"/>
          <w:color w:val="auto"/>
          <w:sz w:val="24"/>
          <w:szCs w:val="24"/>
          <w:lang w:val="en-US" w:eastAsia="zh-CN"/>
        </w:rPr>
        <w:t>加以重视：年初做好项目申报工作，</w:t>
      </w:r>
      <w:r>
        <w:rPr>
          <w:rFonts w:hint="eastAsia" w:ascii="宋体" w:hAnsi="宋体" w:cs="宋体"/>
          <w:color w:val="auto"/>
          <w:sz w:val="24"/>
          <w:szCs w:val="24"/>
          <w:highlight w:val="none"/>
          <w:lang w:val="en-US" w:eastAsia="zh-CN"/>
        </w:rPr>
        <w:t>制订年度目标，</w:t>
      </w:r>
      <w:r>
        <w:rPr>
          <w:rFonts w:hint="eastAsia"/>
          <w:color w:val="auto"/>
          <w:sz w:val="24"/>
          <w:szCs w:val="24"/>
          <w:lang w:val="en-US" w:eastAsia="zh-CN"/>
        </w:rPr>
        <w:t>细化指标。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lang w:val="en-US" w:eastAsia="zh-CN"/>
        </w:rPr>
      </w:pPr>
      <w:r>
        <w:rPr>
          <w:rFonts w:hint="eastAsia"/>
          <w:color w:val="auto"/>
          <w:sz w:val="24"/>
          <w:szCs w:val="24"/>
          <w:lang w:val="en-US" w:eastAsia="zh-CN"/>
        </w:rPr>
        <w:t>2、创新委员学习培训机制，开辟“移动”课堂，以提升委员履职能力为重点，坚持联系委员机制，开展走访委员、交心谈心活动，尽力帮助委员所在单位排忧解难，提高委员的向心力和自豪感。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lang w:val="en-US" w:eastAsia="zh-CN"/>
        </w:rPr>
      </w:pPr>
      <w:r>
        <w:rPr>
          <w:rFonts w:hint="eastAsia"/>
          <w:color w:val="auto"/>
          <w:sz w:val="24"/>
          <w:szCs w:val="24"/>
          <w:lang w:val="en-US" w:eastAsia="zh-CN"/>
        </w:rPr>
        <w:t>3、丰富议政性协商，开展专题性咨政，打造“双月协商会”品牌，形成以政协全体会议为龙头，以专题议政性常委会、专题协商会为重点，以对口界别协商会、提案办理协商会为常态的协商议政格局，为党委、政府科学决策、推动工作提供有益参考。</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outlineLvl w:val="1"/>
        <w:rPr>
          <w:rFonts w:hint="eastAsia" w:ascii="宋体" w:hAnsi="宋体" w:eastAsia="宋体" w:cs="宋体"/>
          <w:b w:val="0"/>
          <w:bCs/>
          <w:color w:val="auto"/>
          <w:sz w:val="24"/>
          <w:szCs w:val="24"/>
          <w:highlight w:val="none"/>
          <w:lang w:val="en-US" w:eastAsia="zh-CN"/>
        </w:rPr>
      </w:pPr>
      <w:bookmarkStart w:id="6" w:name="_Toc31226"/>
      <w:r>
        <w:rPr>
          <w:rFonts w:hint="eastAsia" w:ascii="宋体" w:hAnsi="宋体" w:eastAsia="宋体" w:cs="宋体"/>
          <w:b w:val="0"/>
          <w:bCs/>
          <w:color w:val="auto"/>
          <w:sz w:val="24"/>
          <w:szCs w:val="24"/>
          <w:highlight w:val="none"/>
          <w:lang w:eastAsia="zh-CN"/>
        </w:rPr>
        <w:t>（</w:t>
      </w:r>
      <w:r>
        <w:rPr>
          <w:rFonts w:hint="eastAsia" w:ascii="宋体" w:hAnsi="宋体" w:eastAsia="宋体" w:cs="宋体"/>
          <w:b/>
          <w:color w:val="auto"/>
          <w:sz w:val="24"/>
          <w:szCs w:val="24"/>
          <w:highlight w:val="none"/>
          <w:lang w:eastAsia="zh-CN"/>
        </w:rPr>
        <w:t>三）</w:t>
      </w:r>
      <w:r>
        <w:rPr>
          <w:rFonts w:hint="eastAsia" w:ascii="宋体" w:hAnsi="宋体" w:eastAsia="宋体" w:cs="宋体"/>
          <w:b/>
          <w:color w:val="auto"/>
          <w:sz w:val="24"/>
          <w:szCs w:val="24"/>
          <w:highlight w:val="none"/>
          <w:lang w:val="en-US" w:eastAsia="zh-CN"/>
        </w:rPr>
        <w:t>绩效目标改进建议</w:t>
      </w:r>
      <w:bookmarkEnd w:id="6"/>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eastAsia"/>
          <w:color w:val="auto"/>
          <w:sz w:val="24"/>
          <w:szCs w:val="24"/>
          <w:lang w:val="en-US" w:eastAsia="zh-CN"/>
        </w:rPr>
      </w:pPr>
      <w:bookmarkStart w:id="60" w:name="_GoBack"/>
      <w:bookmarkEnd w:id="60"/>
      <w:r>
        <w:rPr>
          <w:rFonts w:hint="eastAsia"/>
          <w:color w:val="auto"/>
          <w:sz w:val="24"/>
          <w:szCs w:val="24"/>
          <w:lang w:val="en-US" w:eastAsia="zh-CN"/>
        </w:rPr>
        <w:t>1、年度目标：建立《项目申报表》，细化指标体系，明确考核指标。</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eastAsia"/>
          <w:color w:val="auto"/>
          <w:sz w:val="24"/>
          <w:szCs w:val="24"/>
          <w:lang w:val="en-US" w:eastAsia="zh-CN"/>
        </w:rPr>
      </w:pPr>
      <w:r>
        <w:rPr>
          <w:rFonts w:hint="eastAsia"/>
          <w:color w:val="auto"/>
          <w:sz w:val="24"/>
          <w:szCs w:val="24"/>
          <w:lang w:val="en-US" w:eastAsia="zh-CN"/>
        </w:rPr>
        <w:t>2、效益指标：以服务委员为己任，充分运用信息化手段，提高工作效率、提升工作水平，为委员履职提供有力保障；可持续影响是促进档案信息化成果运用，推进工作转型升级、提质增效。</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eastAsia"/>
          <w:color w:val="auto"/>
          <w:sz w:val="24"/>
          <w:szCs w:val="24"/>
          <w:lang w:val="en-US" w:eastAsia="zh-CN"/>
        </w:rPr>
      </w:pPr>
      <w:r>
        <w:rPr>
          <w:rFonts w:hint="eastAsia"/>
          <w:color w:val="auto"/>
          <w:sz w:val="24"/>
          <w:szCs w:val="24"/>
          <w:lang w:val="en-US" w:eastAsia="zh-CN"/>
        </w:rPr>
        <w:t>3、满意度指标：设立政协委员满意度指标。</w:t>
      </w:r>
    </w:p>
    <w:p>
      <w:pPr>
        <w:pStyle w:val="2"/>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jc w:val="center"/>
        <w:textAlignment w:val="auto"/>
        <w:outlineLvl w:val="0"/>
        <w:rPr>
          <w:rFonts w:hint="eastAsia" w:asciiTheme="majorEastAsia" w:hAnsiTheme="majorEastAsia" w:eastAsiaTheme="majorEastAsia" w:cstheme="majorEastAsia"/>
          <w:color w:val="auto"/>
          <w:sz w:val="32"/>
          <w:szCs w:val="32"/>
          <w:highlight w:val="none"/>
          <w:lang w:val="en-US" w:eastAsia="zh-CN"/>
        </w:rPr>
      </w:pPr>
      <w:bookmarkStart w:id="7" w:name="_Toc30791"/>
      <w:r>
        <w:rPr>
          <w:rFonts w:hint="eastAsia" w:asciiTheme="majorEastAsia" w:hAnsiTheme="majorEastAsia" w:eastAsiaTheme="majorEastAsia" w:cstheme="majorEastAsia"/>
          <w:color w:val="auto"/>
          <w:sz w:val="32"/>
          <w:szCs w:val="32"/>
          <w:highlight w:val="none"/>
          <w:lang w:val="en-US" w:eastAsia="zh-CN"/>
        </w:rPr>
        <w:t>一、项目基本情况</w:t>
      </w:r>
      <w:bookmarkEnd w:id="7"/>
    </w:p>
    <w:p>
      <w:pPr>
        <w:pStyle w:val="3"/>
        <w:keepNext/>
        <w:keepLines/>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1"/>
        <w:rPr>
          <w:rFonts w:hint="eastAsia" w:asciiTheme="majorEastAsia" w:hAnsiTheme="majorEastAsia" w:eastAsiaTheme="majorEastAsia" w:cstheme="majorEastAsia"/>
          <w:color w:val="auto"/>
          <w:sz w:val="24"/>
          <w:szCs w:val="24"/>
          <w:lang w:val="en-US" w:eastAsia="zh-CN"/>
        </w:rPr>
      </w:pPr>
      <w:bookmarkStart w:id="8" w:name="_Toc10625"/>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一</w:t>
      </w:r>
      <w:r>
        <w:rPr>
          <w:rFonts w:hint="eastAsia" w:asciiTheme="majorEastAsia" w:hAnsiTheme="majorEastAsia" w:eastAsiaTheme="majorEastAsia" w:cstheme="majorEastAsia"/>
          <w:color w:val="auto"/>
          <w:sz w:val="24"/>
          <w:szCs w:val="24"/>
          <w:lang w:eastAsia="zh-CN"/>
        </w:rPr>
        <w:t>）项目立项背景和依据</w:t>
      </w:r>
      <w:bookmarkEnd w:id="8"/>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ajorEastAsia" w:hAnsiTheme="majorEastAsia" w:eastAsiaTheme="majorEastAsia" w:cstheme="majorEastAsia"/>
          <w:color w:val="FF0000"/>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为深入贯彻落实党的十九大“全面实施绩效管理”的决策部署，进一步提高中央对地方专项转移支付资金使用效益，切实增强地方主管部门以及资金使用单位的支出责任</w:t>
      </w:r>
      <w:r>
        <w:rPr>
          <w:rFonts w:hint="eastAsia" w:asciiTheme="majorEastAsia" w:hAnsiTheme="majorEastAsia" w:eastAsiaTheme="majorEastAsia" w:cstheme="majorEastAsia"/>
          <w:strike w:val="0"/>
          <w:dstrike w:val="0"/>
          <w:color w:val="auto"/>
          <w:sz w:val="24"/>
          <w:szCs w:val="24"/>
          <w:highlight w:val="none"/>
          <w:lang w:val="en-US" w:eastAsia="zh-CN"/>
        </w:rPr>
        <w:t>、</w:t>
      </w:r>
      <w:r>
        <w:rPr>
          <w:rFonts w:hint="eastAsia" w:asciiTheme="majorEastAsia" w:hAnsiTheme="majorEastAsia" w:eastAsiaTheme="majorEastAsia" w:cstheme="majorEastAsia"/>
          <w:color w:val="auto"/>
          <w:sz w:val="24"/>
          <w:szCs w:val="24"/>
          <w:highlight w:val="none"/>
          <w:lang w:val="en-US" w:eastAsia="zh-CN"/>
        </w:rPr>
        <w:t>提高资金使用效率的意识，根据</w:t>
      </w:r>
      <w:r>
        <w:rPr>
          <w:rFonts w:hint="eastAsia" w:ascii="宋体" w:hAnsi="宋体" w:eastAsia="宋体" w:cs="宋体"/>
          <w:color w:val="auto"/>
          <w:sz w:val="24"/>
          <w:szCs w:val="24"/>
          <w:highlight w:val="none"/>
        </w:rPr>
        <w:t>《中国人民政治协商会议全国委员会委员视察工作条例》、</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武昌区财政局关于政协武昌区办公室2017年部门预算的批复</w:t>
      </w:r>
      <w:r>
        <w:rPr>
          <w:rFonts w:hint="eastAsia" w:ascii="宋体" w:hAnsi="宋体" w:cs="宋体"/>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和</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武昌区财政局关于政协武昌区办公室2017年部门预算的批复</w:t>
      </w:r>
      <w:r>
        <w:rPr>
          <w:rFonts w:hint="eastAsia" w:ascii="宋体" w:hAnsi="宋体" w:cs="宋体"/>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的要求，</w:t>
      </w:r>
      <w:r>
        <w:rPr>
          <w:rFonts w:hint="eastAsia" w:ascii="宋体" w:hAnsi="宋体" w:eastAsia="宋体" w:cs="宋体"/>
          <w:color w:val="auto"/>
          <w:sz w:val="24"/>
          <w:szCs w:val="24"/>
          <w:highlight w:val="none"/>
          <w:lang w:val="zh-CN" w:eastAsia="zh-CN"/>
        </w:rPr>
        <w:t>区政协依据“政协委员视察活动经费”项目预算批复文件、资金使用情况、项目执行资料和其他相关资料，本着客观、公正、公平的原则，</w:t>
      </w:r>
      <w:r>
        <w:rPr>
          <w:rFonts w:hint="eastAsia" w:ascii="宋体" w:hAnsi="宋体" w:eastAsia="宋体" w:cs="宋体"/>
          <w:color w:val="auto"/>
          <w:sz w:val="24"/>
          <w:szCs w:val="24"/>
          <w:highlight w:val="none"/>
          <w:lang w:val="en-US" w:eastAsia="zh-CN"/>
        </w:rPr>
        <w:t>武汉市武昌区</w:t>
      </w:r>
      <w:r>
        <w:rPr>
          <w:rFonts w:hint="eastAsia" w:ascii="宋体" w:hAnsi="宋体" w:cs="宋体"/>
          <w:color w:val="auto"/>
          <w:sz w:val="24"/>
          <w:szCs w:val="24"/>
          <w:highlight w:val="none"/>
          <w:lang w:val="en-US" w:eastAsia="zh-CN"/>
        </w:rPr>
        <w:t>政协</w:t>
      </w:r>
      <w:r>
        <w:rPr>
          <w:rFonts w:hint="eastAsia" w:ascii="宋体" w:hAnsi="宋体" w:eastAsia="宋体" w:cs="宋体"/>
          <w:color w:val="auto"/>
          <w:sz w:val="24"/>
          <w:szCs w:val="24"/>
          <w:highlight w:val="none"/>
        </w:rPr>
        <w:t>组织开展了“</w:t>
      </w:r>
      <w:r>
        <w:rPr>
          <w:rFonts w:hint="eastAsia" w:ascii="宋体" w:hAnsi="宋体" w:eastAsia="宋体" w:cs="宋体"/>
          <w:color w:val="auto"/>
          <w:sz w:val="24"/>
          <w:szCs w:val="24"/>
          <w:highlight w:val="none"/>
          <w:lang w:val="en-US" w:eastAsia="zh-CN"/>
        </w:rPr>
        <w:t>武昌区</w:t>
      </w:r>
      <w:r>
        <w:rPr>
          <w:rFonts w:hint="eastAsia" w:ascii="宋体" w:hAnsi="宋体" w:eastAsia="宋体" w:cs="宋体"/>
          <w:color w:val="auto"/>
          <w:sz w:val="24"/>
          <w:szCs w:val="24"/>
          <w:highlight w:val="none"/>
          <w:lang w:val="zh-CN" w:eastAsia="zh-CN"/>
        </w:rPr>
        <w:t>政协委员视察活动经费</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”的绩效评价工作。</w:t>
      </w:r>
    </w:p>
    <w:p>
      <w:pPr>
        <w:pStyle w:val="3"/>
        <w:keepNext/>
        <w:keepLines/>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1"/>
        <w:rPr>
          <w:rFonts w:hint="eastAsia" w:asciiTheme="majorEastAsia" w:hAnsiTheme="majorEastAsia" w:eastAsiaTheme="majorEastAsia" w:cstheme="majorEastAsia"/>
          <w:color w:val="auto"/>
          <w:sz w:val="24"/>
          <w:szCs w:val="24"/>
          <w:lang w:val="en-US" w:eastAsia="zh-CN"/>
        </w:rPr>
      </w:pPr>
      <w:bookmarkStart w:id="9" w:name="_Toc9183"/>
      <w:r>
        <w:rPr>
          <w:rFonts w:hint="eastAsia" w:asciiTheme="majorEastAsia" w:hAnsiTheme="majorEastAsia" w:eastAsiaTheme="majorEastAsia" w:cstheme="majorEastAsia"/>
          <w:color w:val="auto"/>
          <w:sz w:val="24"/>
          <w:szCs w:val="24"/>
          <w:lang w:val="en-US" w:eastAsia="zh-CN"/>
        </w:rPr>
        <w:t>（二）绩效目标</w:t>
      </w:r>
      <w:bookmarkEnd w:id="9"/>
    </w:p>
    <w:p>
      <w:pPr>
        <w:pageBreakBefore w:val="0"/>
        <w:numPr>
          <w:ilvl w:val="0"/>
          <w:numId w:val="0"/>
        </w:numPr>
        <w:kinsoku/>
        <w:wordWrap/>
        <w:overflowPunct/>
        <w:topLinePunct w:val="0"/>
        <w:autoSpaceDE/>
        <w:autoSpaceDN/>
        <w:bidi w:val="0"/>
        <w:adjustRightInd/>
        <w:snapToGrid/>
        <w:spacing w:line="360" w:lineRule="auto"/>
        <w:ind w:leftChars="200"/>
        <w:textAlignment w:val="auto"/>
        <w:outlineLvl w:val="2"/>
        <w:rPr>
          <w:rFonts w:hint="eastAsia" w:asciiTheme="majorEastAsia" w:hAnsiTheme="majorEastAsia" w:eastAsiaTheme="majorEastAsia" w:cstheme="majorEastAsia"/>
          <w:color w:val="auto"/>
          <w:sz w:val="24"/>
          <w:szCs w:val="24"/>
          <w:lang w:val="en-US" w:eastAsia="zh-CN"/>
        </w:rPr>
      </w:pPr>
      <w:bookmarkStart w:id="10" w:name="_Toc4948"/>
      <w:r>
        <w:rPr>
          <w:rFonts w:hint="eastAsia" w:asciiTheme="majorEastAsia" w:hAnsiTheme="majorEastAsia" w:eastAsiaTheme="majorEastAsia" w:cstheme="majorEastAsia"/>
          <w:color w:val="auto"/>
          <w:sz w:val="24"/>
          <w:szCs w:val="24"/>
          <w:lang w:val="en-US" w:eastAsia="zh-CN"/>
        </w:rPr>
        <w:t>1、产出指标</w:t>
      </w:r>
      <w:bookmarkEnd w:id="10"/>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ajorEastAsia" w:hAnsiTheme="majorEastAsia" w:eastAsiaTheme="majorEastAsia" w:cstheme="majorEastAsia"/>
          <w:color w:val="FF0000"/>
          <w:sz w:val="24"/>
          <w:szCs w:val="24"/>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产出指标分为数量指标、质量指标、时效指标和成本指标，开展专业课题研究及讲座不少于6个，举办2期专题培训班，参训会员的好评率98%，数量质量均达标。计划成本54.6万，项目按时完成，在计划成本内</w:t>
      </w:r>
      <w:r>
        <w:rPr>
          <w:rFonts w:hint="eastAsia" w:ascii="宋体" w:hAnsi="宋体" w:cs="宋体"/>
          <w:color w:val="auto"/>
          <w:sz w:val="24"/>
          <w:szCs w:val="24"/>
          <w:highlight w:val="none"/>
          <w:lang w:val="en-US" w:eastAsia="zh-CN"/>
        </w:rPr>
        <w:t>。</w:t>
      </w:r>
    </w:p>
    <w:p>
      <w:pPr>
        <w:pageBreakBefore w:val="0"/>
        <w:numPr>
          <w:ilvl w:val="0"/>
          <w:numId w:val="0"/>
        </w:numPr>
        <w:kinsoku/>
        <w:wordWrap/>
        <w:overflowPunct/>
        <w:topLinePunct w:val="0"/>
        <w:autoSpaceDE/>
        <w:autoSpaceDN/>
        <w:bidi w:val="0"/>
        <w:adjustRightInd/>
        <w:snapToGrid/>
        <w:spacing w:line="360" w:lineRule="auto"/>
        <w:ind w:leftChars="200"/>
        <w:textAlignment w:val="auto"/>
        <w:outlineLvl w:val="2"/>
        <w:rPr>
          <w:rFonts w:hint="eastAsia" w:asciiTheme="majorEastAsia" w:hAnsiTheme="majorEastAsia" w:eastAsiaTheme="majorEastAsia" w:cstheme="majorEastAsia"/>
          <w:color w:val="auto"/>
          <w:sz w:val="24"/>
          <w:szCs w:val="24"/>
          <w:lang w:val="en-US" w:eastAsia="zh-CN"/>
        </w:rPr>
      </w:pPr>
      <w:bookmarkStart w:id="11" w:name="_Toc20275"/>
      <w:r>
        <w:rPr>
          <w:rFonts w:hint="eastAsia" w:asciiTheme="majorEastAsia" w:hAnsiTheme="majorEastAsia" w:eastAsiaTheme="majorEastAsia" w:cstheme="majorEastAsia"/>
          <w:color w:val="auto"/>
          <w:sz w:val="24"/>
          <w:szCs w:val="24"/>
          <w:lang w:val="en-US" w:eastAsia="zh-CN"/>
        </w:rPr>
        <w:t>2、效益指标</w:t>
      </w:r>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lang w:val="en-US" w:eastAsia="zh-CN"/>
        </w:rPr>
      </w:pPr>
      <w:r>
        <w:rPr>
          <w:rFonts w:hint="eastAsia"/>
          <w:sz w:val="24"/>
          <w:szCs w:val="24"/>
          <w:lang w:val="en-US" w:eastAsia="zh-CN"/>
        </w:rPr>
        <w:t>效</w:t>
      </w:r>
      <w:r>
        <w:rPr>
          <w:rFonts w:hint="eastAsia" w:asciiTheme="majorEastAsia" w:hAnsiTheme="majorEastAsia" w:eastAsiaTheme="majorEastAsia" w:cstheme="majorEastAsia"/>
          <w:b w:val="0"/>
          <w:bCs w:val="0"/>
          <w:color w:val="auto"/>
          <w:sz w:val="24"/>
          <w:szCs w:val="24"/>
          <w:highlight w:val="none"/>
          <w:lang w:val="en-US" w:eastAsia="zh-CN"/>
        </w:rPr>
        <w:t>益指标主要是指项目实施后所能带来的经济效益、社会效益和可持续影响。</w:t>
      </w:r>
      <w:r>
        <w:rPr>
          <w:rFonts w:hint="eastAsia" w:ascii="宋体" w:hAnsi="宋体" w:cs="宋体"/>
          <w:color w:val="auto"/>
          <w:sz w:val="24"/>
          <w:szCs w:val="24"/>
          <w:highlight w:val="none"/>
          <w:lang w:val="en-US" w:eastAsia="zh-CN"/>
        </w:rPr>
        <w:t>2017年</w:t>
      </w:r>
      <w:r>
        <w:rPr>
          <w:rFonts w:hint="eastAsia" w:ascii="宋体" w:hAnsi="宋体" w:eastAsia="宋体" w:cs="宋体"/>
          <w:color w:val="auto"/>
          <w:sz w:val="24"/>
          <w:szCs w:val="24"/>
          <w:highlight w:val="none"/>
          <w:lang w:val="en-US" w:eastAsia="zh-CN"/>
        </w:rPr>
        <w:t>武昌区政协委员视察活动经费项目</w:t>
      </w:r>
      <w:r>
        <w:rPr>
          <w:rFonts w:hint="eastAsia" w:asciiTheme="majorEastAsia" w:hAnsiTheme="majorEastAsia" w:eastAsiaTheme="majorEastAsia" w:cstheme="majorEastAsia"/>
          <w:b w:val="0"/>
          <w:bCs w:val="0"/>
          <w:color w:val="auto"/>
          <w:sz w:val="24"/>
          <w:szCs w:val="24"/>
          <w:highlight w:val="none"/>
          <w:lang w:val="en-US" w:eastAsia="zh-CN"/>
        </w:rPr>
        <w:t>施行后，武汉市武昌区政协</w:t>
      </w:r>
      <w:r>
        <w:rPr>
          <w:rFonts w:hint="eastAsia" w:asciiTheme="majorEastAsia" w:hAnsiTheme="majorEastAsia" w:eastAsiaTheme="majorEastAsia" w:cstheme="majorEastAsia"/>
          <w:b w:val="0"/>
          <w:bCs w:val="0"/>
          <w:color w:val="auto"/>
          <w:sz w:val="24"/>
          <w:szCs w:val="24"/>
          <w:highlight w:val="none"/>
        </w:rPr>
        <w:t>成立领导小组</w:t>
      </w:r>
      <w:r>
        <w:rPr>
          <w:rFonts w:hint="eastAsia" w:asciiTheme="majorEastAsia" w:hAnsiTheme="majorEastAsia" w:eastAsiaTheme="majorEastAsia" w:cstheme="majorEastAsia"/>
          <w:b w:val="0"/>
          <w:bCs w:val="0"/>
          <w:color w:val="auto"/>
          <w:sz w:val="24"/>
          <w:szCs w:val="24"/>
          <w:highlight w:val="none"/>
          <w:lang w:val="en-US" w:eastAsia="zh-CN"/>
        </w:rPr>
        <w:t>加紧对经费使用的发放，</w:t>
      </w:r>
      <w:bookmarkStart w:id="12" w:name="_Toc2731"/>
      <w:r>
        <w:rPr>
          <w:rFonts w:hint="eastAsia" w:asciiTheme="majorEastAsia" w:hAnsiTheme="majorEastAsia" w:eastAsiaTheme="majorEastAsia" w:cstheme="majorEastAsia"/>
          <w:color w:val="auto"/>
          <w:sz w:val="24"/>
          <w:szCs w:val="24"/>
          <w:highlight w:val="none"/>
          <w:shd w:val="clear" w:color="auto" w:fill="auto"/>
          <w:lang w:val="en-US" w:eastAsia="zh-CN"/>
        </w:rPr>
        <w:t>完善委员学习培训体系，健全走访联系委员及所在单位常态化机制，激发委员双岗建功的热情和潜力，提升政协组织的凝聚力和影响力。产生了较好的社会和经济效益，且有益于政协的可持续发展。</w:t>
      </w:r>
    </w:p>
    <w:p>
      <w:pPr>
        <w:pageBreakBefore w:val="0"/>
        <w:numPr>
          <w:ilvl w:val="0"/>
          <w:numId w:val="0"/>
        </w:numPr>
        <w:kinsoku/>
        <w:wordWrap/>
        <w:overflowPunct/>
        <w:topLinePunct w:val="0"/>
        <w:autoSpaceDE/>
        <w:autoSpaceDN/>
        <w:bidi w:val="0"/>
        <w:adjustRightInd/>
        <w:snapToGrid/>
        <w:spacing w:line="360" w:lineRule="auto"/>
        <w:ind w:leftChars="200"/>
        <w:textAlignment w:val="auto"/>
        <w:outlineLvl w:val="2"/>
        <w:rPr>
          <w:rFonts w:hint="eastAsia" w:asciiTheme="majorEastAsia" w:hAnsiTheme="majorEastAsia" w:eastAsiaTheme="majorEastAsia" w:cstheme="majorEastAsia"/>
          <w:color w:val="auto"/>
          <w:sz w:val="24"/>
          <w:szCs w:val="24"/>
          <w:lang w:val="en-US" w:eastAsia="zh-CN"/>
        </w:rPr>
      </w:pPr>
      <w:bookmarkStart w:id="13" w:name="_Toc19213"/>
      <w:r>
        <w:rPr>
          <w:rFonts w:hint="eastAsia" w:asciiTheme="majorEastAsia" w:hAnsiTheme="majorEastAsia" w:eastAsiaTheme="majorEastAsia" w:cstheme="majorEastAsia"/>
          <w:color w:val="auto"/>
          <w:sz w:val="24"/>
          <w:szCs w:val="24"/>
          <w:lang w:val="en-US" w:eastAsia="zh-CN"/>
        </w:rPr>
        <w:t>3、满意度指标</w:t>
      </w:r>
      <w:bookmarkEnd w:id="12"/>
      <w:bookmarkEnd w:id="13"/>
    </w:p>
    <w:p>
      <w:pPr>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ajorEastAsia" w:hAnsiTheme="majorEastAsia" w:eastAsiaTheme="majorEastAsia" w:cstheme="majorEastAsia"/>
          <w:color w:val="FF0000"/>
          <w:sz w:val="24"/>
          <w:szCs w:val="24"/>
          <w:lang w:val="en-US" w:eastAsia="zh-CN"/>
        </w:rPr>
      </w:pPr>
      <w:r>
        <w:rPr>
          <w:rFonts w:hint="eastAsia" w:asciiTheme="majorEastAsia" w:hAnsiTheme="majorEastAsia" w:eastAsiaTheme="majorEastAsia" w:cstheme="majorEastAsia"/>
          <w:color w:val="auto"/>
          <w:sz w:val="24"/>
          <w:szCs w:val="24"/>
          <w:highlight w:val="none"/>
          <w:lang w:val="en-US" w:eastAsia="zh-CN"/>
        </w:rPr>
        <w:t>政协委员满意度达到95%；</w:t>
      </w:r>
    </w:p>
    <w:p>
      <w:pPr>
        <w:pStyle w:val="3"/>
        <w:keepNext/>
        <w:keepLines/>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1"/>
        <w:rPr>
          <w:rFonts w:hint="eastAsia" w:asciiTheme="majorEastAsia" w:hAnsiTheme="majorEastAsia" w:eastAsiaTheme="majorEastAsia" w:cstheme="majorEastAsia"/>
          <w:color w:val="auto"/>
          <w:sz w:val="24"/>
          <w:szCs w:val="24"/>
          <w:lang w:val="en-US" w:eastAsia="zh-CN"/>
        </w:rPr>
      </w:pPr>
      <w:bookmarkStart w:id="14" w:name="_Toc7819"/>
      <w:r>
        <w:rPr>
          <w:rFonts w:hint="eastAsia" w:asciiTheme="majorEastAsia" w:hAnsiTheme="majorEastAsia" w:eastAsiaTheme="majorEastAsia" w:cstheme="majorEastAsia"/>
          <w:color w:val="auto"/>
          <w:sz w:val="24"/>
          <w:szCs w:val="24"/>
          <w:lang w:val="en-US" w:eastAsia="zh-CN"/>
        </w:rPr>
        <w:t>（三）经费来源和使用情况</w:t>
      </w:r>
      <w:bookmarkEnd w:id="14"/>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firstLine="480" w:firstLineChars="200"/>
        <w:jc w:val="both"/>
        <w:textAlignment w:val="auto"/>
        <w:rPr>
          <w:rFonts w:hint="eastAsia" w:asciiTheme="majorEastAsia" w:hAnsiTheme="majorEastAsia" w:eastAsiaTheme="majorEastAsia" w:cstheme="majorEastAsia"/>
          <w:color w:val="auto"/>
          <w:kern w:val="2"/>
          <w:sz w:val="24"/>
          <w:szCs w:val="24"/>
          <w:highlight w:val="none"/>
          <w:u w:val="none"/>
          <w:lang w:val="zh-CN" w:eastAsia="zh-CN" w:bidi="ar-SA"/>
        </w:rPr>
      </w:pPr>
      <w:r>
        <w:rPr>
          <w:rFonts w:hint="eastAsia" w:asciiTheme="majorEastAsia" w:hAnsiTheme="majorEastAsia" w:eastAsiaTheme="majorEastAsia" w:cstheme="majorEastAsia"/>
          <w:color w:val="auto"/>
          <w:kern w:val="2"/>
          <w:sz w:val="24"/>
          <w:szCs w:val="24"/>
          <w:highlight w:val="none"/>
          <w:u w:val="none"/>
          <w:lang w:val="zh-CN" w:eastAsia="zh-CN" w:bidi="ar-SA"/>
        </w:rPr>
        <w:t>根据《武昌区财政局关于政协武昌区委员会办公室201</w:t>
      </w:r>
      <w:r>
        <w:rPr>
          <w:rFonts w:hint="eastAsia" w:asciiTheme="majorEastAsia" w:hAnsiTheme="majorEastAsia" w:eastAsiaTheme="majorEastAsia" w:cstheme="majorEastAsia"/>
          <w:color w:val="auto"/>
          <w:kern w:val="2"/>
          <w:sz w:val="24"/>
          <w:szCs w:val="24"/>
          <w:highlight w:val="none"/>
          <w:u w:val="none"/>
          <w:lang w:val="en-US" w:eastAsia="zh-CN" w:bidi="ar-SA"/>
        </w:rPr>
        <w:t>7</w:t>
      </w:r>
      <w:r>
        <w:rPr>
          <w:rFonts w:hint="eastAsia" w:asciiTheme="majorEastAsia" w:hAnsiTheme="majorEastAsia" w:eastAsiaTheme="majorEastAsia" w:cstheme="majorEastAsia"/>
          <w:color w:val="auto"/>
          <w:kern w:val="2"/>
          <w:sz w:val="24"/>
          <w:szCs w:val="24"/>
          <w:highlight w:val="none"/>
          <w:u w:val="none"/>
          <w:lang w:val="zh-CN" w:eastAsia="zh-CN" w:bidi="ar-SA"/>
        </w:rPr>
        <w:t>年部门预算的批复》及武昌区行政</w:t>
      </w:r>
      <w:r>
        <w:rPr>
          <w:rFonts w:hint="eastAsia" w:asciiTheme="majorEastAsia" w:hAnsiTheme="majorEastAsia" w:eastAsiaTheme="majorEastAsia" w:cstheme="majorEastAsia"/>
          <w:color w:val="auto"/>
          <w:kern w:val="2"/>
          <w:sz w:val="24"/>
          <w:szCs w:val="24"/>
          <w:highlight w:val="none"/>
          <w:u w:val="none"/>
          <w:lang w:val="en-US" w:eastAsia="zh-CN" w:bidi="ar-SA"/>
        </w:rPr>
        <w:t>事</w:t>
      </w:r>
      <w:r>
        <w:rPr>
          <w:rFonts w:hint="eastAsia" w:asciiTheme="majorEastAsia" w:hAnsiTheme="majorEastAsia" w:eastAsiaTheme="majorEastAsia" w:cstheme="majorEastAsia"/>
          <w:color w:val="auto"/>
          <w:kern w:val="2"/>
          <w:sz w:val="24"/>
          <w:szCs w:val="24"/>
          <w:highlight w:val="none"/>
          <w:u w:val="none"/>
          <w:lang w:val="zh-CN" w:eastAsia="zh-CN" w:bidi="ar-SA"/>
        </w:rPr>
        <w:t>业单位201</w:t>
      </w:r>
      <w:r>
        <w:rPr>
          <w:rFonts w:hint="eastAsia" w:asciiTheme="majorEastAsia" w:hAnsiTheme="majorEastAsia" w:eastAsiaTheme="majorEastAsia" w:cstheme="majorEastAsia"/>
          <w:color w:val="auto"/>
          <w:kern w:val="2"/>
          <w:sz w:val="24"/>
          <w:szCs w:val="24"/>
          <w:highlight w:val="none"/>
          <w:u w:val="none"/>
          <w:lang w:val="en-US" w:eastAsia="zh-CN" w:bidi="ar-SA"/>
        </w:rPr>
        <w:t>7</w:t>
      </w:r>
      <w:r>
        <w:rPr>
          <w:rFonts w:hint="eastAsia" w:asciiTheme="majorEastAsia" w:hAnsiTheme="majorEastAsia" w:eastAsiaTheme="majorEastAsia" w:cstheme="majorEastAsia"/>
          <w:color w:val="auto"/>
          <w:kern w:val="2"/>
          <w:sz w:val="24"/>
          <w:szCs w:val="24"/>
          <w:highlight w:val="none"/>
          <w:u w:val="none"/>
          <w:lang w:val="zh-CN" w:eastAsia="zh-CN" w:bidi="ar-SA"/>
        </w:rPr>
        <w:t>年综合财政预算收支分配表，</w:t>
      </w:r>
      <w:r>
        <w:rPr>
          <w:rFonts w:hint="eastAsia" w:asciiTheme="majorEastAsia" w:hAnsiTheme="majorEastAsia" w:eastAsiaTheme="majorEastAsia" w:cstheme="majorEastAsia"/>
          <w:color w:val="auto"/>
          <w:kern w:val="2"/>
          <w:sz w:val="24"/>
          <w:szCs w:val="24"/>
          <w:highlight w:val="none"/>
          <w:u w:val="none"/>
          <w:lang w:val="en-US" w:eastAsia="zh-CN" w:bidi="ar-SA"/>
        </w:rPr>
        <w:t>武昌</w:t>
      </w:r>
      <w:r>
        <w:rPr>
          <w:rFonts w:hint="eastAsia" w:asciiTheme="majorEastAsia" w:hAnsiTheme="majorEastAsia" w:eastAsiaTheme="majorEastAsia" w:cstheme="majorEastAsia"/>
          <w:color w:val="auto"/>
          <w:kern w:val="2"/>
          <w:sz w:val="24"/>
          <w:szCs w:val="24"/>
          <w:highlight w:val="none"/>
          <w:u w:val="none"/>
          <w:lang w:val="zh-CN" w:eastAsia="zh-CN" w:bidi="ar-SA"/>
        </w:rPr>
        <w:t>区政协“</w:t>
      </w:r>
      <w:r>
        <w:rPr>
          <w:rFonts w:hint="eastAsia" w:ascii="宋体" w:hAnsi="宋体" w:eastAsia="宋体" w:cs="宋体"/>
          <w:color w:val="auto"/>
          <w:sz w:val="24"/>
          <w:szCs w:val="24"/>
          <w:highlight w:val="none"/>
          <w:lang w:val="en-US" w:eastAsia="zh-CN"/>
        </w:rPr>
        <w:t>委员视察活动经费</w:t>
      </w:r>
      <w:r>
        <w:rPr>
          <w:rFonts w:hint="eastAsia" w:asciiTheme="majorEastAsia" w:hAnsiTheme="majorEastAsia" w:eastAsiaTheme="majorEastAsia" w:cstheme="majorEastAsia"/>
          <w:color w:val="auto"/>
          <w:kern w:val="2"/>
          <w:sz w:val="24"/>
          <w:szCs w:val="24"/>
          <w:highlight w:val="none"/>
          <w:u w:val="none"/>
          <w:lang w:val="zh-CN" w:eastAsia="zh-CN" w:bidi="ar-SA"/>
        </w:rPr>
        <w:t>”项目预算批复的年初预算收支</w:t>
      </w:r>
      <w:r>
        <w:rPr>
          <w:rFonts w:hint="eastAsia" w:asciiTheme="majorEastAsia" w:hAnsiTheme="majorEastAsia" w:eastAsiaTheme="majorEastAsia" w:cstheme="majorEastAsia"/>
          <w:color w:val="auto"/>
          <w:kern w:val="2"/>
          <w:sz w:val="24"/>
          <w:szCs w:val="24"/>
          <w:highlight w:val="none"/>
          <w:u w:val="none"/>
          <w:lang w:val="en-US" w:eastAsia="zh-CN" w:bidi="ar-SA"/>
        </w:rPr>
        <w:t>54.6万</w:t>
      </w:r>
      <w:r>
        <w:rPr>
          <w:rFonts w:hint="eastAsia" w:asciiTheme="majorEastAsia" w:hAnsiTheme="majorEastAsia" w:eastAsiaTheme="majorEastAsia" w:cstheme="majorEastAsia"/>
          <w:color w:val="auto"/>
          <w:kern w:val="2"/>
          <w:sz w:val="24"/>
          <w:szCs w:val="24"/>
          <w:highlight w:val="none"/>
          <w:u w:val="none"/>
          <w:lang w:val="zh-CN" w:eastAsia="zh-CN" w:bidi="ar-SA"/>
        </w:rPr>
        <w:t>元，</w:t>
      </w:r>
      <w:r>
        <w:rPr>
          <w:rFonts w:hint="eastAsia" w:asciiTheme="majorEastAsia" w:hAnsiTheme="majorEastAsia" w:eastAsiaTheme="majorEastAsia" w:cstheme="majorEastAsia"/>
          <w:color w:val="auto"/>
          <w:kern w:val="2"/>
          <w:sz w:val="24"/>
          <w:szCs w:val="24"/>
          <w:highlight w:val="none"/>
          <w:u w:val="none"/>
          <w:lang w:val="en-US" w:eastAsia="zh-CN" w:bidi="ar-SA"/>
        </w:rPr>
        <w:t>预算全部来源于区级</w:t>
      </w:r>
      <w:r>
        <w:rPr>
          <w:rFonts w:hint="eastAsia" w:asciiTheme="majorEastAsia" w:hAnsiTheme="majorEastAsia" w:eastAsiaTheme="majorEastAsia" w:cstheme="majorEastAsia"/>
          <w:color w:val="auto"/>
          <w:kern w:val="2"/>
          <w:sz w:val="24"/>
          <w:szCs w:val="24"/>
          <w:highlight w:val="none"/>
          <w:u w:val="none"/>
          <w:lang w:val="zh-CN" w:eastAsia="zh-CN" w:bidi="ar-SA"/>
        </w:rPr>
        <w:t>财政拨款。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color w:val="auto"/>
          <w:kern w:val="2"/>
          <w:sz w:val="24"/>
          <w:szCs w:val="24"/>
          <w:highlight w:val="none"/>
          <w:u w:val="none"/>
          <w:lang w:val="en-US" w:eastAsia="zh-CN" w:bidi="ar-SA"/>
        </w:rPr>
      </w:pPr>
      <w:r>
        <w:rPr>
          <w:rFonts w:hint="eastAsia" w:asciiTheme="majorEastAsia" w:hAnsiTheme="majorEastAsia" w:eastAsiaTheme="majorEastAsia" w:cstheme="majorEastAsia"/>
          <w:color w:val="auto"/>
          <w:kern w:val="2"/>
          <w:sz w:val="24"/>
          <w:szCs w:val="24"/>
          <w:highlight w:val="none"/>
          <w:u w:val="none"/>
          <w:lang w:val="en-US" w:eastAsia="zh-CN" w:bidi="ar-SA"/>
        </w:rPr>
        <w:t>资金主要用于课题研究经费、开展界别活动、发放聘用人员工资、购买办公用品、看望政协委员及供在职人员外出培训等。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color w:val="auto"/>
          <w:kern w:val="2"/>
          <w:sz w:val="24"/>
          <w:szCs w:val="24"/>
          <w:highlight w:val="none"/>
          <w:u w:val="none"/>
          <w:lang w:val="en-US" w:eastAsia="zh-CN" w:bidi="ar-SA"/>
        </w:rPr>
      </w:pPr>
      <w:r>
        <w:rPr>
          <w:rFonts w:hint="eastAsia" w:asciiTheme="majorEastAsia" w:hAnsiTheme="majorEastAsia" w:eastAsiaTheme="majorEastAsia" w:cstheme="majorEastAsia"/>
          <w:color w:val="auto"/>
          <w:kern w:val="2"/>
          <w:sz w:val="24"/>
          <w:szCs w:val="24"/>
          <w:highlight w:val="none"/>
          <w:u w:val="none"/>
          <w:lang w:val="en-US" w:eastAsia="zh-CN" w:bidi="ar-SA"/>
        </w:rPr>
        <w:t>具体支出情况见：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9"/>
        <w:rPr>
          <w:rFonts w:hint="eastAsia" w:asciiTheme="majorEastAsia" w:hAnsiTheme="majorEastAsia" w:eastAsiaTheme="majorEastAsia" w:cstheme="majorEastAsia"/>
          <w:color w:val="auto"/>
          <w:kern w:val="2"/>
          <w:sz w:val="24"/>
          <w:szCs w:val="24"/>
          <w:highlight w:val="none"/>
          <w:u w:val="none"/>
          <w:lang w:val="en-US" w:eastAsia="zh-CN" w:bidi="ar-SA"/>
        </w:rPr>
      </w:pPr>
      <w:r>
        <w:rPr>
          <w:rFonts w:hint="eastAsia" w:ascii="楷体" w:hAnsi="楷体" w:eastAsia="楷体" w:cs="楷体"/>
          <w:b/>
          <w:bCs/>
          <w:color w:val="auto"/>
          <w:kern w:val="2"/>
          <w:sz w:val="24"/>
          <w:szCs w:val="24"/>
          <w:highlight w:val="none"/>
          <w:u w:val="none"/>
          <w:lang w:val="en-US" w:eastAsia="zh-CN" w:bidi="ar-SA"/>
        </w:rPr>
        <w:t>附表2：</w:t>
      </w:r>
      <w:r>
        <w:rPr>
          <w:rFonts w:hint="eastAsia" w:ascii="楷体" w:hAnsi="楷体" w:eastAsia="楷体" w:cs="楷体"/>
          <w:b/>
          <w:i w:val="0"/>
          <w:color w:val="auto"/>
          <w:kern w:val="0"/>
          <w:sz w:val="24"/>
          <w:szCs w:val="24"/>
          <w:u w:val="none"/>
          <w:lang w:val="en-US" w:eastAsia="zh-CN" w:bidi="ar"/>
        </w:rPr>
        <w:t>2017年度武昌区政协委员视察活动经费项目支出明细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Theme="majorEastAsia" w:hAnsiTheme="majorEastAsia" w:eastAsiaTheme="majorEastAsia" w:cstheme="majorEastAsia"/>
          <w:b/>
          <w:bCs/>
          <w:color w:val="auto"/>
          <w:kern w:val="2"/>
          <w:sz w:val="24"/>
          <w:szCs w:val="24"/>
          <w:lang w:val="en-US" w:eastAsia="zh-CN" w:bidi="ar-SA"/>
        </w:rPr>
      </w:pPr>
      <w:bookmarkStart w:id="15" w:name="_Toc3741"/>
      <w:r>
        <w:rPr>
          <w:rFonts w:hint="eastAsia" w:asciiTheme="majorEastAsia" w:hAnsiTheme="majorEastAsia" w:eastAsiaTheme="majorEastAsia" w:cstheme="majorEastAsia"/>
          <w:b/>
          <w:bCs/>
          <w:color w:val="auto"/>
          <w:kern w:val="2"/>
          <w:sz w:val="24"/>
          <w:szCs w:val="24"/>
          <w:lang w:val="en-US" w:eastAsia="zh-CN" w:bidi="ar-SA"/>
        </w:rPr>
        <w:t>（四）项目实施情况</w:t>
      </w:r>
      <w:bookmarkEnd w:id="1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shd w:val="clear" w:color="auto" w:fill="auto"/>
          <w:lang w:val="en-US" w:eastAsia="zh-CN"/>
        </w:rPr>
      </w:pPr>
      <w:r>
        <w:rPr>
          <w:rFonts w:hint="eastAsia" w:asciiTheme="majorEastAsia" w:hAnsiTheme="majorEastAsia" w:eastAsiaTheme="majorEastAsia" w:cstheme="majorEastAsia"/>
          <w:color w:val="auto"/>
          <w:sz w:val="24"/>
          <w:szCs w:val="24"/>
          <w:highlight w:val="none"/>
          <w:lang w:val="en-US" w:eastAsia="zh-CN"/>
        </w:rPr>
        <w:t>武汉市</w:t>
      </w:r>
      <w:r>
        <w:rPr>
          <w:rFonts w:hint="eastAsia" w:asciiTheme="majorEastAsia" w:hAnsiTheme="majorEastAsia" w:eastAsiaTheme="majorEastAsia" w:cstheme="majorEastAsia"/>
          <w:color w:val="auto"/>
          <w:sz w:val="24"/>
          <w:szCs w:val="24"/>
          <w:highlight w:val="none"/>
          <w:shd w:val="clear" w:color="auto" w:fill="auto"/>
          <w:lang w:val="en-US" w:eastAsia="zh-CN"/>
        </w:rPr>
        <w:t>武昌区政协</w:t>
      </w:r>
      <w:r>
        <w:rPr>
          <w:rFonts w:hint="eastAsia" w:asciiTheme="majorEastAsia" w:hAnsiTheme="majorEastAsia" w:eastAsiaTheme="majorEastAsia" w:cstheme="majorEastAsia"/>
          <w:color w:val="auto"/>
          <w:sz w:val="24"/>
          <w:szCs w:val="24"/>
          <w:highlight w:val="none"/>
        </w:rPr>
        <w:t>根据省市部门相关文件精神，认真组织实施</w:t>
      </w:r>
      <w:r>
        <w:rPr>
          <w:rFonts w:hint="eastAsia" w:asciiTheme="majorEastAsia" w:hAnsiTheme="majorEastAsia" w:eastAsiaTheme="majorEastAsia" w:cstheme="majorEastAsia"/>
          <w:color w:val="auto"/>
          <w:sz w:val="24"/>
          <w:szCs w:val="24"/>
          <w:highlight w:val="none"/>
          <w:lang w:val="en-US" w:eastAsia="zh-CN"/>
        </w:rPr>
        <w:t>武昌区政协人员视察活动经费</w:t>
      </w:r>
      <w:r>
        <w:rPr>
          <w:rFonts w:hint="eastAsia" w:asciiTheme="majorEastAsia" w:hAnsiTheme="majorEastAsia" w:eastAsiaTheme="majorEastAsia" w:cstheme="majorEastAsia"/>
          <w:color w:val="auto"/>
          <w:sz w:val="24"/>
          <w:szCs w:val="24"/>
          <w:highlight w:val="none"/>
        </w:rPr>
        <w:t>项目，</w:t>
      </w:r>
      <w:r>
        <w:rPr>
          <w:rFonts w:hint="eastAsia" w:asciiTheme="majorEastAsia" w:hAnsiTheme="majorEastAsia" w:eastAsiaTheme="majorEastAsia" w:cstheme="majorEastAsia"/>
          <w:color w:val="auto"/>
          <w:sz w:val="24"/>
          <w:szCs w:val="24"/>
          <w:highlight w:val="none"/>
          <w:lang w:val="en-US" w:eastAsia="zh-CN"/>
        </w:rPr>
        <w:t>经费</w:t>
      </w:r>
      <w:r>
        <w:rPr>
          <w:rFonts w:hint="eastAsia" w:asciiTheme="majorEastAsia" w:hAnsiTheme="majorEastAsia" w:eastAsiaTheme="majorEastAsia" w:cstheme="majorEastAsia"/>
          <w:color w:val="auto"/>
          <w:kern w:val="2"/>
          <w:sz w:val="24"/>
          <w:szCs w:val="24"/>
          <w:highlight w:val="none"/>
          <w:u w:val="none"/>
          <w:lang w:val="en-US" w:eastAsia="zh-CN" w:bidi="ar-SA"/>
        </w:rPr>
        <w:t>主要用于课题研究经费、开展界别活动、发放聘用人员工资、购买办公用品、看望政协委员及供在职人员外出培训等。</w:t>
      </w:r>
      <w:r>
        <w:rPr>
          <w:rFonts w:hint="eastAsia" w:asciiTheme="majorEastAsia" w:hAnsiTheme="majorEastAsia" w:eastAsiaTheme="majorEastAsia" w:cstheme="majorEastAsia"/>
          <w:color w:val="auto"/>
          <w:sz w:val="24"/>
          <w:szCs w:val="24"/>
          <w:highlight w:val="none"/>
          <w:shd w:val="clear" w:color="auto" w:fill="auto"/>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shd w:val="clear" w:color="auto" w:fill="auto"/>
          <w:lang w:val="en-US" w:eastAsia="zh-CN"/>
        </w:rPr>
      </w:pPr>
      <w:r>
        <w:rPr>
          <w:rFonts w:hint="eastAsia" w:asciiTheme="majorEastAsia" w:hAnsiTheme="majorEastAsia" w:eastAsiaTheme="majorEastAsia" w:cstheme="majorEastAsia"/>
          <w:color w:val="auto"/>
          <w:sz w:val="24"/>
          <w:szCs w:val="24"/>
          <w:highlight w:val="none"/>
          <w:shd w:val="clear" w:color="auto" w:fill="auto"/>
          <w:lang w:val="en-US" w:eastAsia="zh-CN"/>
        </w:rPr>
        <w:t>武昌区政协完善委员学习培训体系，健全走访联系委员及所在单位常态化机制，激发委员双岗建功的热情和潜力，提升政协组织的凝聚力和影响力。</w:t>
      </w:r>
    </w:p>
    <w:p>
      <w:pPr>
        <w:pStyle w:val="2"/>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0" w:leftChars="0" w:firstLine="420" w:firstLineChars="0"/>
        <w:jc w:val="center"/>
        <w:textAlignment w:val="auto"/>
        <w:outlineLvl w:val="0"/>
        <w:rPr>
          <w:rFonts w:hint="eastAsia" w:asciiTheme="majorEastAsia" w:hAnsiTheme="majorEastAsia" w:eastAsiaTheme="majorEastAsia" w:cstheme="majorEastAsia"/>
          <w:color w:val="auto"/>
          <w:sz w:val="32"/>
          <w:szCs w:val="32"/>
          <w:highlight w:val="none"/>
          <w:lang w:val="en-US" w:eastAsia="zh-CN"/>
        </w:rPr>
      </w:pPr>
      <w:bookmarkStart w:id="16" w:name="_Toc32693"/>
      <w:r>
        <w:rPr>
          <w:rFonts w:hint="eastAsia" w:asciiTheme="majorEastAsia" w:hAnsiTheme="majorEastAsia" w:eastAsiaTheme="majorEastAsia" w:cstheme="majorEastAsia"/>
          <w:color w:val="auto"/>
          <w:sz w:val="32"/>
          <w:szCs w:val="32"/>
          <w:highlight w:val="none"/>
          <w:lang w:val="en-US" w:eastAsia="zh-CN"/>
        </w:rPr>
        <w:t>绩效评价工作情况</w:t>
      </w:r>
      <w:bookmarkEnd w:id="1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Theme="majorEastAsia" w:hAnsiTheme="majorEastAsia" w:eastAsiaTheme="majorEastAsia" w:cstheme="majorEastAsia"/>
          <w:b/>
          <w:bCs/>
          <w:color w:val="auto"/>
          <w:kern w:val="2"/>
          <w:sz w:val="24"/>
          <w:szCs w:val="24"/>
          <w:lang w:val="en-US" w:eastAsia="zh-CN" w:bidi="ar-SA"/>
        </w:rPr>
      </w:pPr>
      <w:bookmarkStart w:id="17" w:name="_Toc9653"/>
      <w:r>
        <w:rPr>
          <w:rFonts w:hint="eastAsia" w:asciiTheme="majorEastAsia" w:hAnsiTheme="majorEastAsia" w:eastAsiaTheme="majorEastAsia" w:cstheme="majorEastAsia"/>
          <w:b/>
          <w:bCs/>
          <w:color w:val="auto"/>
          <w:kern w:val="2"/>
          <w:sz w:val="24"/>
          <w:szCs w:val="24"/>
          <w:lang w:val="en-US" w:eastAsia="zh-CN" w:bidi="ar-SA"/>
        </w:rPr>
        <w:t>（一）绩效评价目的</w:t>
      </w:r>
      <w:bookmarkEnd w:id="17"/>
    </w:p>
    <w:p>
      <w:pPr>
        <w:pageBreakBefore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b/>
          <w:bCs/>
          <w:color w:val="auto"/>
          <w:sz w:val="30"/>
          <w:szCs w:val="30"/>
          <w:lang w:val="en-US" w:eastAsia="zh-CN"/>
        </w:rPr>
      </w:pPr>
      <w:r>
        <w:rPr>
          <w:rFonts w:hint="eastAsia" w:ascii="宋体" w:hAnsi="宋体" w:eastAsia="宋体" w:cs="宋体"/>
          <w:color w:val="auto"/>
          <w:sz w:val="24"/>
          <w:szCs w:val="24"/>
          <w:highlight w:val="none"/>
        </w:rPr>
        <w:t>为了进一步规范和加强对</w:t>
      </w:r>
      <w:r>
        <w:rPr>
          <w:rFonts w:hint="eastAsia" w:asciiTheme="majorEastAsia" w:hAnsiTheme="majorEastAsia" w:eastAsiaTheme="majorEastAsia" w:cstheme="majorEastAsia"/>
          <w:color w:val="auto"/>
          <w:sz w:val="24"/>
          <w:szCs w:val="24"/>
          <w:highlight w:val="none"/>
          <w:shd w:val="clear" w:color="auto" w:fill="auto"/>
          <w:lang w:val="en-US" w:eastAsia="zh-CN"/>
        </w:rPr>
        <w:t>2017年</w:t>
      </w:r>
      <w:r>
        <w:rPr>
          <w:rFonts w:hint="eastAsia" w:ascii="宋体" w:hAnsi="宋体" w:eastAsia="宋体" w:cs="宋体"/>
          <w:color w:val="auto"/>
          <w:sz w:val="24"/>
          <w:szCs w:val="24"/>
          <w:highlight w:val="none"/>
          <w:lang w:val="en-US" w:eastAsia="zh-CN"/>
        </w:rPr>
        <w:t>武昌区政协委员视察活动经费</w:t>
      </w:r>
      <w:r>
        <w:rPr>
          <w:rFonts w:hint="eastAsia" w:ascii="宋体" w:hAnsi="宋体" w:cs="宋体"/>
          <w:color w:val="auto"/>
          <w:sz w:val="24"/>
          <w:szCs w:val="24"/>
          <w:highlight w:val="none"/>
          <w:lang w:val="en-US" w:eastAsia="zh-CN"/>
        </w:rPr>
        <w:t>项目</w:t>
      </w:r>
      <w:r>
        <w:rPr>
          <w:rFonts w:hint="eastAsia" w:ascii="宋体" w:hAnsi="宋体" w:cs="宋体"/>
          <w:b w:val="0"/>
          <w:bCs w:val="0"/>
          <w:color w:val="auto"/>
          <w:kern w:val="2"/>
          <w:sz w:val="24"/>
          <w:szCs w:val="24"/>
          <w:highlight w:val="none"/>
          <w:lang w:val="en-US" w:eastAsia="zh-CN" w:bidi="ar-SA"/>
        </w:rPr>
        <w:t>资金</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分配和使用</w:t>
      </w:r>
      <w:r>
        <w:rPr>
          <w:rFonts w:hint="eastAsia" w:ascii="宋体" w:hAnsi="宋体" w:eastAsia="宋体" w:cs="宋体"/>
          <w:color w:val="auto"/>
          <w:sz w:val="24"/>
          <w:szCs w:val="24"/>
          <w:highlight w:val="none"/>
        </w:rPr>
        <w:t>管理，提高财政资金的使用效率，及时发现预算执行、资金使用管理中存在的问题</w:t>
      </w:r>
      <w:r>
        <w:rPr>
          <w:rFonts w:hint="eastAsia" w:ascii="宋体" w:hAnsi="宋体" w:eastAsia="宋体" w:cs="宋体"/>
          <w:color w:val="auto"/>
          <w:sz w:val="24"/>
          <w:szCs w:val="24"/>
          <w:highlight w:val="none"/>
          <w:lang w:eastAsia="zh-CN"/>
        </w:rPr>
        <w:t>。加强财政资金管理，提高财政资金的使用效益，为合理分配资金、优化支出提供</w:t>
      </w:r>
      <w:r>
        <w:rPr>
          <w:rFonts w:hint="eastAsia" w:ascii="宋体" w:hAnsi="宋体" w:cs="宋体"/>
          <w:color w:val="auto"/>
          <w:sz w:val="24"/>
          <w:szCs w:val="24"/>
          <w:highlight w:val="none"/>
          <w:lang w:val="en-US" w:eastAsia="zh-CN"/>
        </w:rPr>
        <w:t>参考</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Theme="majorEastAsia" w:hAnsiTheme="majorEastAsia" w:eastAsiaTheme="majorEastAsia" w:cstheme="majorEastAsia"/>
          <w:b/>
          <w:bCs/>
          <w:color w:val="auto"/>
          <w:kern w:val="2"/>
          <w:sz w:val="24"/>
          <w:szCs w:val="24"/>
          <w:lang w:val="en-US" w:eastAsia="zh-CN" w:bidi="ar-SA"/>
        </w:rPr>
      </w:pPr>
      <w:bookmarkStart w:id="18" w:name="_Toc20557"/>
      <w:r>
        <w:rPr>
          <w:rFonts w:hint="eastAsia" w:asciiTheme="majorEastAsia" w:hAnsiTheme="majorEastAsia" w:eastAsiaTheme="majorEastAsia" w:cstheme="majorEastAsia"/>
          <w:b/>
          <w:bCs/>
          <w:color w:val="auto"/>
          <w:kern w:val="2"/>
          <w:sz w:val="24"/>
          <w:szCs w:val="24"/>
          <w:lang w:val="en-US" w:eastAsia="zh-CN" w:bidi="ar-SA"/>
        </w:rPr>
        <w:t>（二）绩效评价框架</w:t>
      </w:r>
      <w:bookmarkEnd w:id="18"/>
    </w:p>
    <w:p>
      <w:pPr>
        <w:pStyle w:val="19"/>
        <w:keepNext w:val="0"/>
        <w:keepLines w:val="0"/>
        <w:pageBreakBefore w:val="0"/>
        <w:widowControl/>
        <w:kinsoku/>
        <w:wordWrap/>
        <w:overflowPunct/>
        <w:topLinePunct w:val="0"/>
        <w:autoSpaceDE/>
        <w:autoSpaceDN/>
        <w:bidi w:val="0"/>
        <w:adjustRightInd/>
        <w:snapToGrid/>
        <w:spacing w:line="360" w:lineRule="auto"/>
        <w:ind w:left="0" w:leftChars="0" w:right="-115" w:rightChars="-55" w:firstLine="482" w:firstLineChars="200"/>
        <w:jc w:val="left"/>
        <w:textAlignment w:val="auto"/>
        <w:outlineLvl w:val="2"/>
        <w:rPr>
          <w:rFonts w:hint="eastAsia" w:asciiTheme="majorEastAsia" w:hAnsiTheme="majorEastAsia" w:eastAsiaTheme="majorEastAsia" w:cstheme="majorEastAsia"/>
          <w:b/>
          <w:bCs/>
          <w:color w:val="auto"/>
          <w:sz w:val="24"/>
          <w:szCs w:val="24"/>
          <w:highlight w:val="none"/>
          <w:lang w:eastAsia="zh-CN"/>
        </w:rPr>
      </w:pPr>
      <w:bookmarkStart w:id="19" w:name="_Toc8552"/>
      <w:r>
        <w:rPr>
          <w:rFonts w:hint="eastAsia" w:asciiTheme="majorEastAsia" w:hAnsiTheme="majorEastAsia" w:eastAsiaTheme="majorEastAsia" w:cstheme="majorEastAsia"/>
          <w:b/>
          <w:bCs/>
          <w:color w:val="auto"/>
          <w:sz w:val="24"/>
          <w:szCs w:val="24"/>
          <w:highlight w:val="none"/>
          <w:lang w:val="en-US" w:eastAsia="zh-CN"/>
        </w:rPr>
        <w:t>1、</w:t>
      </w:r>
      <w:r>
        <w:rPr>
          <w:rFonts w:hint="eastAsia" w:asciiTheme="majorEastAsia" w:hAnsiTheme="majorEastAsia" w:eastAsiaTheme="majorEastAsia" w:cstheme="majorEastAsia"/>
          <w:b/>
          <w:bCs/>
          <w:color w:val="auto"/>
          <w:sz w:val="24"/>
          <w:szCs w:val="24"/>
          <w:highlight w:val="none"/>
        </w:rPr>
        <w:t>绩效评价</w:t>
      </w:r>
      <w:r>
        <w:rPr>
          <w:rFonts w:hint="eastAsia" w:asciiTheme="majorEastAsia" w:hAnsiTheme="majorEastAsia" w:eastAsiaTheme="majorEastAsia" w:cstheme="majorEastAsia"/>
          <w:b/>
          <w:bCs/>
          <w:color w:val="auto"/>
          <w:sz w:val="24"/>
          <w:szCs w:val="24"/>
          <w:highlight w:val="none"/>
          <w:lang w:eastAsia="zh-CN"/>
        </w:rPr>
        <w:t>前期准备</w:t>
      </w:r>
      <w:bookmarkEnd w:id="19"/>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这次绩效评价工作按照严格的程序和规范。具体实施步骤如下：</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准备阶段</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①</w:t>
      </w:r>
      <w:r>
        <w:rPr>
          <w:rFonts w:hint="eastAsia" w:asciiTheme="majorEastAsia" w:hAnsiTheme="majorEastAsia" w:eastAsiaTheme="majorEastAsia" w:cstheme="majorEastAsia"/>
          <w:color w:val="auto"/>
          <w:sz w:val="24"/>
          <w:szCs w:val="24"/>
          <w:highlight w:val="none"/>
        </w:rPr>
        <w:t>成立绩效评价工作组</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本项目评价以湖北中天诚资产评估有限公司为主体，由熟悉财政、财务、评价分析的专业人员，并聘请了相关的专业人士共同组成绩效评价工作小组。</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②</w:t>
      </w:r>
      <w:r>
        <w:rPr>
          <w:rFonts w:hint="eastAsia" w:asciiTheme="majorEastAsia" w:hAnsiTheme="majorEastAsia" w:eastAsiaTheme="majorEastAsia" w:cstheme="majorEastAsia"/>
          <w:color w:val="auto"/>
          <w:sz w:val="24"/>
          <w:szCs w:val="24"/>
          <w:highlight w:val="none"/>
        </w:rPr>
        <w:t>制定绩效评价</w:t>
      </w:r>
      <w:r>
        <w:rPr>
          <w:rFonts w:hint="eastAsia" w:asciiTheme="majorEastAsia" w:hAnsiTheme="majorEastAsia" w:eastAsiaTheme="majorEastAsia" w:cstheme="majorEastAsia"/>
          <w:color w:val="auto"/>
          <w:sz w:val="24"/>
          <w:szCs w:val="24"/>
          <w:highlight w:val="none"/>
          <w:lang w:eastAsia="zh-CN"/>
        </w:rPr>
        <w:t>工作方案</w:t>
      </w:r>
    </w:p>
    <w:p>
      <w:pPr>
        <w:pStyle w:val="16"/>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查询</w:t>
      </w:r>
      <w:r>
        <w:rPr>
          <w:rFonts w:hint="eastAsia" w:asciiTheme="majorEastAsia" w:hAnsiTheme="majorEastAsia" w:eastAsiaTheme="majorEastAsia" w:cstheme="majorEastAsia"/>
          <w:color w:val="auto"/>
          <w:sz w:val="24"/>
          <w:szCs w:val="24"/>
          <w:highlight w:val="none"/>
          <w:shd w:val="clear" w:color="auto" w:fill="auto"/>
          <w:lang w:val="en-US" w:eastAsia="zh-CN"/>
        </w:rPr>
        <w:t>2017年</w:t>
      </w:r>
      <w:r>
        <w:rPr>
          <w:rFonts w:hint="eastAsia" w:ascii="宋体" w:hAnsi="宋体" w:eastAsia="宋体" w:cs="宋体"/>
          <w:color w:val="auto"/>
          <w:sz w:val="24"/>
          <w:szCs w:val="24"/>
          <w:highlight w:val="none"/>
          <w:lang w:val="en-US" w:eastAsia="zh-CN"/>
        </w:rPr>
        <w:t>武昌区政协委员视察活动经费</w:t>
      </w:r>
      <w:r>
        <w:rPr>
          <w:rFonts w:hint="eastAsia" w:ascii="宋体" w:hAnsi="宋体" w:cs="宋体"/>
          <w:color w:val="auto"/>
          <w:sz w:val="24"/>
          <w:szCs w:val="24"/>
          <w:highlight w:val="none"/>
          <w:lang w:val="en-US" w:eastAsia="zh-CN"/>
        </w:rPr>
        <w:t>项目</w:t>
      </w:r>
      <w:r>
        <w:rPr>
          <w:rFonts w:hint="eastAsia" w:asciiTheme="majorEastAsia" w:hAnsiTheme="majorEastAsia" w:eastAsiaTheme="majorEastAsia" w:cstheme="majorEastAsia"/>
          <w:color w:val="auto"/>
          <w:sz w:val="24"/>
          <w:szCs w:val="24"/>
          <w:highlight w:val="none"/>
        </w:rPr>
        <w:t>的有关资料，与有关部门联系了解项目的特点以及考核目的，经与评价领导小组商讨，形成项目绩效评价</w:t>
      </w:r>
      <w:r>
        <w:rPr>
          <w:rFonts w:hint="eastAsia" w:asciiTheme="majorEastAsia" w:hAnsiTheme="majorEastAsia" w:eastAsiaTheme="majorEastAsia" w:cstheme="majorEastAsia"/>
          <w:color w:val="auto"/>
          <w:sz w:val="24"/>
          <w:szCs w:val="24"/>
          <w:highlight w:val="none"/>
          <w:lang w:eastAsia="zh-CN"/>
        </w:rPr>
        <w:t>工作方案</w:t>
      </w:r>
      <w:r>
        <w:rPr>
          <w:rFonts w:hint="eastAsia" w:asciiTheme="majorEastAsia" w:hAnsiTheme="majorEastAsia" w:eastAsiaTheme="majorEastAsia" w:cstheme="majorEastAsia"/>
          <w:color w:val="auto"/>
          <w:sz w:val="24"/>
          <w:szCs w:val="24"/>
          <w:highlight w:val="none"/>
        </w:rPr>
        <w:t>。</w:t>
      </w:r>
    </w:p>
    <w:p>
      <w:pPr>
        <w:pStyle w:val="16"/>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③绩效</w:t>
      </w:r>
      <w:r>
        <w:rPr>
          <w:rFonts w:hint="eastAsia" w:asciiTheme="majorEastAsia" w:hAnsiTheme="majorEastAsia" w:eastAsiaTheme="majorEastAsia" w:cstheme="majorEastAsia"/>
          <w:color w:val="auto"/>
          <w:sz w:val="24"/>
          <w:szCs w:val="24"/>
          <w:highlight w:val="none"/>
        </w:rPr>
        <w:t>指标初步设计</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shd w:val="clear" w:color="auto" w:fill="auto"/>
          <w:lang w:val="en-US" w:eastAsia="zh-CN"/>
        </w:rPr>
        <w:t>2017年</w:t>
      </w:r>
      <w:r>
        <w:rPr>
          <w:rFonts w:hint="eastAsia" w:ascii="宋体" w:hAnsi="宋体" w:eastAsia="宋体" w:cs="宋体"/>
          <w:color w:val="auto"/>
          <w:sz w:val="24"/>
          <w:szCs w:val="24"/>
          <w:highlight w:val="none"/>
          <w:lang w:val="en-US" w:eastAsia="zh-CN"/>
        </w:rPr>
        <w:t>武昌区政协委员视察活动经费</w:t>
      </w:r>
      <w:r>
        <w:rPr>
          <w:rFonts w:hint="eastAsia" w:ascii="宋体" w:hAnsi="宋体" w:cs="宋体"/>
          <w:color w:val="auto"/>
          <w:sz w:val="24"/>
          <w:szCs w:val="24"/>
          <w:highlight w:val="none"/>
          <w:lang w:val="en-US" w:eastAsia="zh-CN"/>
        </w:rPr>
        <w:t>项目</w:t>
      </w:r>
      <w:r>
        <w:rPr>
          <w:rFonts w:hint="eastAsia" w:asciiTheme="majorEastAsia" w:hAnsiTheme="majorEastAsia" w:eastAsiaTheme="majorEastAsia" w:cstheme="majorEastAsia"/>
          <w:color w:val="auto"/>
          <w:sz w:val="24"/>
          <w:szCs w:val="24"/>
          <w:highlight w:val="none"/>
        </w:rPr>
        <w:t>的使用情况、管理体系等项目概况，并向评价领导小组提交初步绩效评价指标。</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④</w:t>
      </w:r>
      <w:r>
        <w:rPr>
          <w:rFonts w:hint="eastAsia" w:asciiTheme="majorEastAsia" w:hAnsiTheme="majorEastAsia" w:eastAsiaTheme="majorEastAsia" w:cstheme="majorEastAsia"/>
          <w:color w:val="auto"/>
          <w:sz w:val="24"/>
          <w:szCs w:val="24"/>
          <w:highlight w:val="none"/>
        </w:rPr>
        <w:t>指标研讨与修订</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武昌区政协</w:t>
      </w:r>
      <w:r>
        <w:rPr>
          <w:rFonts w:hint="eastAsia" w:asciiTheme="majorEastAsia" w:hAnsiTheme="majorEastAsia" w:eastAsiaTheme="majorEastAsia" w:cstheme="majorEastAsia"/>
          <w:color w:val="auto"/>
          <w:sz w:val="24"/>
          <w:szCs w:val="24"/>
          <w:highlight w:val="none"/>
        </w:rPr>
        <w:t>、评估师</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有关专家，经与评价领导小组商榷，确定项目绩效评价指标。</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现场工作阶段</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①</w:t>
      </w:r>
      <w:r>
        <w:rPr>
          <w:rFonts w:hint="eastAsia" w:asciiTheme="majorEastAsia" w:hAnsiTheme="majorEastAsia" w:eastAsiaTheme="majorEastAsia" w:cstheme="majorEastAsia"/>
          <w:color w:val="auto"/>
          <w:sz w:val="24"/>
          <w:szCs w:val="24"/>
          <w:highlight w:val="none"/>
        </w:rPr>
        <w:t>基础数据与资料的收集</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根据申报资料清单，核对项目实施方</w:t>
      </w:r>
      <w:r>
        <w:rPr>
          <w:rFonts w:hint="eastAsia" w:asciiTheme="majorEastAsia" w:hAnsiTheme="majorEastAsia" w:eastAsiaTheme="majorEastAsia" w:cstheme="majorEastAsia"/>
          <w:color w:val="auto"/>
          <w:sz w:val="24"/>
          <w:szCs w:val="24"/>
          <w:highlight w:val="none"/>
          <w:lang w:eastAsia="zh-CN"/>
        </w:rPr>
        <w:t>案的申报</w:t>
      </w:r>
      <w:r>
        <w:rPr>
          <w:rFonts w:hint="eastAsia" w:asciiTheme="majorEastAsia" w:hAnsiTheme="majorEastAsia" w:eastAsiaTheme="majorEastAsia" w:cstheme="majorEastAsia"/>
          <w:color w:val="auto"/>
          <w:sz w:val="24"/>
          <w:szCs w:val="24"/>
          <w:highlight w:val="none"/>
        </w:rPr>
        <w:t>资料是否齐全。</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②</w:t>
      </w:r>
      <w:r>
        <w:rPr>
          <w:rFonts w:hint="eastAsia" w:asciiTheme="majorEastAsia" w:hAnsiTheme="majorEastAsia" w:eastAsiaTheme="majorEastAsia" w:cstheme="majorEastAsia"/>
          <w:color w:val="auto"/>
          <w:sz w:val="24"/>
          <w:szCs w:val="24"/>
          <w:highlight w:val="none"/>
        </w:rPr>
        <w:t>资料的整理及分析</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根据</w:t>
      </w:r>
      <w:r>
        <w:rPr>
          <w:rFonts w:hint="eastAsia" w:asciiTheme="majorEastAsia" w:hAnsiTheme="majorEastAsia" w:eastAsiaTheme="majorEastAsia" w:cstheme="majorEastAsia"/>
          <w:color w:val="auto"/>
          <w:sz w:val="24"/>
          <w:szCs w:val="24"/>
          <w:highlight w:val="none"/>
          <w:shd w:val="clear" w:color="auto" w:fill="auto"/>
          <w:lang w:val="en-US" w:eastAsia="zh-CN"/>
        </w:rPr>
        <w:t>2017年</w:t>
      </w:r>
      <w:r>
        <w:rPr>
          <w:rFonts w:hint="eastAsia" w:ascii="宋体" w:hAnsi="宋体" w:eastAsia="宋体" w:cs="宋体"/>
          <w:color w:val="auto"/>
          <w:sz w:val="24"/>
          <w:szCs w:val="24"/>
          <w:highlight w:val="none"/>
          <w:lang w:val="en-US" w:eastAsia="zh-CN"/>
        </w:rPr>
        <w:t>武昌区政协委员视察活动经费</w:t>
      </w:r>
      <w:r>
        <w:rPr>
          <w:rFonts w:hint="eastAsia" w:ascii="宋体" w:hAnsi="宋体" w:cs="宋体"/>
          <w:color w:val="auto"/>
          <w:sz w:val="24"/>
          <w:szCs w:val="24"/>
          <w:highlight w:val="none"/>
          <w:lang w:val="en-US" w:eastAsia="zh-CN"/>
        </w:rPr>
        <w:t>项目</w:t>
      </w:r>
      <w:r>
        <w:rPr>
          <w:rFonts w:hint="eastAsia" w:asciiTheme="majorEastAsia" w:hAnsiTheme="majorEastAsia" w:eastAsiaTheme="majorEastAsia" w:cstheme="majorEastAsia"/>
          <w:color w:val="auto"/>
          <w:sz w:val="24"/>
          <w:szCs w:val="24"/>
          <w:highlight w:val="none"/>
        </w:rPr>
        <w:t>的筹集和拨付资料，</w:t>
      </w:r>
      <w:r>
        <w:rPr>
          <w:rFonts w:hint="eastAsia" w:asciiTheme="majorEastAsia" w:hAnsiTheme="majorEastAsia" w:eastAsiaTheme="majorEastAsia" w:cstheme="majorEastAsia"/>
          <w:color w:val="auto"/>
          <w:sz w:val="24"/>
          <w:szCs w:val="24"/>
          <w:highlight w:val="none"/>
          <w:lang w:eastAsia="zh-CN"/>
        </w:rPr>
        <w:t>进行整理分析。</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③</w:t>
      </w:r>
      <w:r>
        <w:rPr>
          <w:rFonts w:hint="eastAsia" w:asciiTheme="majorEastAsia" w:hAnsiTheme="majorEastAsia" w:eastAsiaTheme="majorEastAsia" w:cstheme="majorEastAsia"/>
          <w:color w:val="auto"/>
          <w:sz w:val="24"/>
          <w:szCs w:val="24"/>
          <w:highlight w:val="none"/>
        </w:rPr>
        <w:t>现场考评</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确定核查单位名单，评价工作小组成员深入项目实施单位，对</w:t>
      </w:r>
      <w:r>
        <w:rPr>
          <w:rFonts w:hint="eastAsia" w:asciiTheme="majorEastAsia" w:hAnsiTheme="majorEastAsia" w:eastAsiaTheme="majorEastAsia" w:cstheme="majorEastAsia"/>
          <w:color w:val="auto"/>
          <w:sz w:val="24"/>
          <w:szCs w:val="24"/>
          <w:highlight w:val="none"/>
          <w:shd w:val="clear" w:color="auto" w:fill="auto"/>
          <w:lang w:val="en-US" w:eastAsia="zh-CN"/>
        </w:rPr>
        <w:t>2017年</w:t>
      </w:r>
      <w:r>
        <w:rPr>
          <w:rFonts w:hint="eastAsia" w:ascii="宋体" w:hAnsi="宋体" w:eastAsia="宋体" w:cs="宋体"/>
          <w:color w:val="auto"/>
          <w:sz w:val="24"/>
          <w:szCs w:val="24"/>
          <w:highlight w:val="none"/>
          <w:lang w:val="en-US" w:eastAsia="zh-CN"/>
        </w:rPr>
        <w:t>武昌区政协委员视察活动经费</w:t>
      </w:r>
      <w:r>
        <w:rPr>
          <w:rFonts w:hint="eastAsia" w:ascii="宋体" w:hAnsi="宋体" w:cs="宋体"/>
          <w:color w:val="auto"/>
          <w:sz w:val="24"/>
          <w:szCs w:val="24"/>
          <w:highlight w:val="none"/>
          <w:lang w:val="en-US" w:eastAsia="zh-CN"/>
        </w:rPr>
        <w:t>项目</w:t>
      </w:r>
      <w:r>
        <w:rPr>
          <w:rFonts w:hint="eastAsia" w:asciiTheme="majorEastAsia" w:hAnsiTheme="majorEastAsia" w:eastAsiaTheme="majorEastAsia" w:cstheme="majorEastAsia"/>
          <w:color w:val="auto"/>
          <w:sz w:val="24"/>
          <w:szCs w:val="24"/>
          <w:highlight w:val="none"/>
        </w:rPr>
        <w:t>开展现场考评工作，分别进行综合访谈、</w:t>
      </w:r>
      <w:r>
        <w:rPr>
          <w:rFonts w:hint="eastAsia" w:asciiTheme="majorEastAsia" w:hAnsiTheme="majorEastAsia" w:eastAsiaTheme="majorEastAsia" w:cstheme="majorEastAsia"/>
          <w:color w:val="auto"/>
          <w:sz w:val="24"/>
          <w:szCs w:val="24"/>
          <w:highlight w:val="none"/>
          <w:lang w:val="en-US" w:eastAsia="zh-CN"/>
        </w:rPr>
        <w:t>核查</w:t>
      </w:r>
      <w:r>
        <w:rPr>
          <w:rFonts w:hint="eastAsia" w:asciiTheme="majorEastAsia" w:hAnsiTheme="majorEastAsia" w:eastAsiaTheme="majorEastAsia" w:cstheme="majorEastAsia"/>
          <w:color w:val="auto"/>
          <w:sz w:val="24"/>
          <w:szCs w:val="24"/>
          <w:highlight w:val="none"/>
        </w:rPr>
        <w:t>财务，听取项目实施单位对该项目的详细介绍，完成现场考评工作各类表格，并抽查项目相关档案资料等。</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④</w:t>
      </w:r>
      <w:r>
        <w:rPr>
          <w:rFonts w:hint="eastAsia" w:asciiTheme="majorEastAsia" w:hAnsiTheme="majorEastAsia" w:eastAsiaTheme="majorEastAsia" w:cstheme="majorEastAsia"/>
          <w:color w:val="auto"/>
          <w:sz w:val="24"/>
          <w:szCs w:val="24"/>
          <w:highlight w:val="none"/>
        </w:rPr>
        <w:t>其他信息和资料的采集</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由</w:t>
      </w:r>
      <w:r>
        <w:rPr>
          <w:rFonts w:hint="eastAsia" w:asciiTheme="majorEastAsia" w:hAnsiTheme="majorEastAsia" w:eastAsiaTheme="majorEastAsia" w:cstheme="majorEastAsia"/>
          <w:color w:val="auto"/>
          <w:sz w:val="24"/>
          <w:szCs w:val="24"/>
          <w:highlight w:val="none"/>
          <w:lang w:val="en-US" w:eastAsia="zh-CN"/>
        </w:rPr>
        <w:t>武昌区政协</w:t>
      </w:r>
      <w:r>
        <w:rPr>
          <w:rFonts w:hint="eastAsia" w:asciiTheme="majorEastAsia" w:hAnsiTheme="majorEastAsia" w:eastAsiaTheme="majorEastAsia" w:cstheme="majorEastAsia"/>
          <w:color w:val="auto"/>
          <w:sz w:val="24"/>
          <w:szCs w:val="24"/>
          <w:highlight w:val="none"/>
        </w:rPr>
        <w:t>提供各项评价材料。同时，评价工作小组通过信息媒体等收集项目相关系统外资料。</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评价分析</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①</w:t>
      </w:r>
      <w:r>
        <w:rPr>
          <w:rFonts w:hint="eastAsia" w:asciiTheme="majorEastAsia" w:hAnsiTheme="majorEastAsia" w:eastAsiaTheme="majorEastAsia" w:cstheme="majorEastAsia"/>
          <w:color w:val="auto"/>
          <w:sz w:val="24"/>
          <w:szCs w:val="24"/>
          <w:highlight w:val="none"/>
        </w:rPr>
        <w:t>基础数据与资料的审核</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审核搜集到的资料的相关性、真实性、可靠性，对有效资料进行整理、分类、统计，形成项目基础数据表。</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②</w:t>
      </w:r>
      <w:r>
        <w:rPr>
          <w:rFonts w:hint="eastAsia" w:asciiTheme="majorEastAsia" w:hAnsiTheme="majorEastAsia" w:eastAsiaTheme="majorEastAsia" w:cstheme="majorEastAsia"/>
          <w:color w:val="auto"/>
          <w:sz w:val="24"/>
          <w:szCs w:val="24"/>
          <w:highlight w:val="none"/>
        </w:rPr>
        <w:t>项目决策分析、管理分析、绩效分析</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对</w:t>
      </w:r>
      <w:r>
        <w:rPr>
          <w:rFonts w:hint="eastAsia" w:asciiTheme="majorEastAsia" w:hAnsiTheme="majorEastAsia" w:eastAsiaTheme="majorEastAsia" w:cstheme="majorEastAsia"/>
          <w:color w:val="auto"/>
          <w:sz w:val="24"/>
          <w:szCs w:val="24"/>
          <w:highlight w:val="none"/>
          <w:shd w:val="clear" w:color="auto" w:fill="auto"/>
          <w:lang w:val="en-US" w:eastAsia="zh-CN"/>
        </w:rPr>
        <w:t>2017年</w:t>
      </w:r>
      <w:r>
        <w:rPr>
          <w:rFonts w:hint="eastAsia" w:ascii="宋体" w:hAnsi="宋体" w:eastAsia="宋体" w:cs="宋体"/>
          <w:color w:val="auto"/>
          <w:sz w:val="24"/>
          <w:szCs w:val="24"/>
          <w:highlight w:val="none"/>
          <w:lang w:val="en-US" w:eastAsia="zh-CN"/>
        </w:rPr>
        <w:t>武昌区政协委员视察活动经费</w:t>
      </w:r>
      <w:r>
        <w:rPr>
          <w:rFonts w:hint="eastAsia" w:ascii="宋体" w:hAnsi="宋体" w:cs="宋体"/>
          <w:color w:val="auto"/>
          <w:sz w:val="24"/>
          <w:szCs w:val="24"/>
          <w:highlight w:val="none"/>
          <w:lang w:val="en-US" w:eastAsia="zh-CN"/>
        </w:rPr>
        <w:t>项目</w:t>
      </w:r>
      <w:r>
        <w:rPr>
          <w:rFonts w:hint="eastAsia" w:asciiTheme="majorEastAsia" w:hAnsiTheme="majorEastAsia" w:eastAsiaTheme="majorEastAsia" w:cstheme="majorEastAsia"/>
          <w:color w:val="auto"/>
          <w:sz w:val="24"/>
          <w:szCs w:val="24"/>
          <w:highlight w:val="none"/>
        </w:rPr>
        <w:t>管理制度与执行等管理情况以及项目资金使用、成果统计等绩效情况进行分析，对该项目进行定性、定量的评价，分析该项目的实施效果。</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③</w:t>
      </w:r>
      <w:r>
        <w:rPr>
          <w:rFonts w:hint="eastAsia" w:asciiTheme="majorEastAsia" w:hAnsiTheme="majorEastAsia" w:eastAsiaTheme="majorEastAsia" w:cstheme="majorEastAsia"/>
          <w:color w:val="auto"/>
          <w:sz w:val="24"/>
          <w:szCs w:val="24"/>
          <w:highlight w:val="none"/>
        </w:rPr>
        <w:t>评价指标体系确定</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评价工作小组根据对项目的进一步了解及结合现有资料，完善绩效评价指标体系。</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④</w:t>
      </w:r>
      <w:r>
        <w:rPr>
          <w:rFonts w:hint="eastAsia" w:asciiTheme="majorEastAsia" w:hAnsiTheme="majorEastAsia" w:eastAsiaTheme="majorEastAsia" w:cstheme="majorEastAsia"/>
          <w:color w:val="auto"/>
          <w:sz w:val="24"/>
          <w:szCs w:val="24"/>
          <w:highlight w:val="none"/>
        </w:rPr>
        <w:t>评价指标计量及综合评价</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计算绩效评价指标，根据本次评价指标体系与评分标准，形成评价结论。</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⑤</w:t>
      </w:r>
      <w:r>
        <w:rPr>
          <w:rFonts w:hint="eastAsia" w:asciiTheme="majorEastAsia" w:hAnsiTheme="majorEastAsia" w:eastAsiaTheme="majorEastAsia" w:cstheme="majorEastAsia"/>
          <w:color w:val="auto"/>
          <w:sz w:val="24"/>
          <w:szCs w:val="24"/>
          <w:highlight w:val="none"/>
        </w:rPr>
        <w:t>形成问题和建议</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对绩效评价过程中发现的问题进行归总，并提出相关建议。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报告阶段</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①</w:t>
      </w:r>
      <w:r>
        <w:rPr>
          <w:rFonts w:hint="eastAsia" w:asciiTheme="majorEastAsia" w:hAnsiTheme="majorEastAsia" w:eastAsiaTheme="majorEastAsia" w:cstheme="majorEastAsia"/>
          <w:color w:val="auto"/>
          <w:sz w:val="24"/>
          <w:szCs w:val="24"/>
          <w:highlight w:val="none"/>
        </w:rPr>
        <w:t>撰写初评报告</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撰写</w:t>
      </w:r>
      <w:r>
        <w:rPr>
          <w:rFonts w:hint="eastAsia" w:asciiTheme="majorEastAsia" w:hAnsiTheme="majorEastAsia" w:eastAsiaTheme="majorEastAsia" w:cstheme="majorEastAsia"/>
          <w:color w:val="auto"/>
          <w:sz w:val="24"/>
          <w:szCs w:val="24"/>
          <w:highlight w:val="none"/>
          <w:shd w:val="clear" w:color="auto" w:fill="auto"/>
          <w:lang w:val="en-US" w:eastAsia="zh-CN"/>
        </w:rPr>
        <w:t>2017年</w:t>
      </w:r>
      <w:r>
        <w:rPr>
          <w:rFonts w:hint="eastAsia" w:ascii="宋体" w:hAnsi="宋体" w:eastAsia="宋体" w:cs="宋体"/>
          <w:color w:val="auto"/>
          <w:sz w:val="24"/>
          <w:szCs w:val="24"/>
          <w:highlight w:val="none"/>
          <w:lang w:val="en-US" w:eastAsia="zh-CN"/>
        </w:rPr>
        <w:t>武昌区政协委员视察活动经费</w:t>
      </w:r>
      <w:r>
        <w:rPr>
          <w:rFonts w:hint="eastAsia" w:ascii="宋体" w:hAnsi="宋体" w:cs="宋体"/>
          <w:color w:val="auto"/>
          <w:sz w:val="24"/>
          <w:szCs w:val="24"/>
          <w:highlight w:val="none"/>
          <w:lang w:val="en-US" w:eastAsia="zh-CN"/>
        </w:rPr>
        <w:t>项目</w:t>
      </w:r>
      <w:r>
        <w:rPr>
          <w:rFonts w:hint="eastAsia" w:asciiTheme="majorEastAsia" w:hAnsiTheme="majorEastAsia" w:eastAsiaTheme="majorEastAsia" w:cstheme="majorEastAsia"/>
          <w:color w:val="auto"/>
          <w:sz w:val="24"/>
          <w:szCs w:val="24"/>
          <w:highlight w:val="none"/>
        </w:rPr>
        <w:t>绩效评价报告初稿。</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②</w:t>
      </w:r>
      <w:r>
        <w:rPr>
          <w:rFonts w:hint="eastAsia" w:asciiTheme="majorEastAsia" w:hAnsiTheme="majorEastAsia" w:eastAsiaTheme="majorEastAsia" w:cstheme="majorEastAsia"/>
          <w:color w:val="auto"/>
          <w:sz w:val="24"/>
          <w:szCs w:val="24"/>
          <w:highlight w:val="none"/>
        </w:rPr>
        <w:t>反馈并修改报告</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将初评报告发送给</w:t>
      </w:r>
      <w:r>
        <w:rPr>
          <w:rFonts w:hint="eastAsia" w:asciiTheme="majorEastAsia" w:hAnsiTheme="majorEastAsia" w:eastAsiaTheme="majorEastAsia" w:cstheme="majorEastAsia"/>
          <w:color w:val="auto"/>
          <w:sz w:val="24"/>
          <w:szCs w:val="24"/>
          <w:highlight w:val="none"/>
          <w:lang w:val="en-US" w:eastAsia="zh-CN"/>
        </w:rPr>
        <w:t>武昌区政协</w:t>
      </w:r>
      <w:r>
        <w:rPr>
          <w:rFonts w:hint="eastAsia" w:asciiTheme="majorEastAsia" w:hAnsiTheme="majorEastAsia" w:eastAsiaTheme="majorEastAsia" w:cstheme="majorEastAsia"/>
          <w:color w:val="auto"/>
          <w:sz w:val="24"/>
          <w:szCs w:val="24"/>
          <w:highlight w:val="none"/>
        </w:rPr>
        <w:t>审阅，根据</w:t>
      </w:r>
      <w:r>
        <w:rPr>
          <w:rFonts w:hint="eastAsia" w:asciiTheme="majorEastAsia" w:hAnsiTheme="majorEastAsia" w:eastAsiaTheme="majorEastAsia" w:cstheme="majorEastAsia"/>
          <w:color w:val="auto"/>
          <w:sz w:val="24"/>
          <w:szCs w:val="24"/>
          <w:highlight w:val="none"/>
          <w:lang w:val="en-US" w:eastAsia="zh-CN"/>
        </w:rPr>
        <w:t>武昌区政协</w:t>
      </w:r>
      <w:r>
        <w:rPr>
          <w:rFonts w:hint="eastAsia" w:asciiTheme="majorEastAsia" w:hAnsiTheme="majorEastAsia" w:eastAsiaTheme="majorEastAsia" w:cstheme="majorEastAsia"/>
          <w:color w:val="auto"/>
          <w:sz w:val="24"/>
          <w:szCs w:val="24"/>
          <w:highlight w:val="none"/>
        </w:rPr>
        <w:t>的反馈意见对初评报告进行修改，最终完成评价报告。</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③</w:t>
      </w:r>
      <w:r>
        <w:rPr>
          <w:rFonts w:hint="eastAsia" w:asciiTheme="majorEastAsia" w:hAnsiTheme="majorEastAsia" w:eastAsiaTheme="majorEastAsia" w:cstheme="majorEastAsia"/>
          <w:color w:val="auto"/>
          <w:sz w:val="24"/>
          <w:szCs w:val="24"/>
          <w:highlight w:val="none"/>
        </w:rPr>
        <w:t>报告审核及提交</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将修改后的报告提交有关专家组进行评审，根据评审意见对报告进行再次修改。通过专家组评审后，向</w:t>
      </w:r>
      <w:r>
        <w:rPr>
          <w:rFonts w:hint="eastAsia" w:asciiTheme="majorEastAsia" w:hAnsiTheme="majorEastAsia" w:eastAsiaTheme="majorEastAsia" w:cstheme="majorEastAsia"/>
          <w:color w:val="auto"/>
          <w:sz w:val="24"/>
          <w:szCs w:val="24"/>
          <w:highlight w:val="none"/>
          <w:lang w:val="en-US" w:eastAsia="zh-CN"/>
        </w:rPr>
        <w:t>武昌区政协</w:t>
      </w:r>
      <w:r>
        <w:rPr>
          <w:rFonts w:hint="eastAsia" w:asciiTheme="majorEastAsia" w:hAnsiTheme="majorEastAsia" w:eastAsiaTheme="majorEastAsia" w:cstheme="majorEastAsia"/>
          <w:color w:val="auto"/>
          <w:sz w:val="24"/>
          <w:szCs w:val="24"/>
          <w:highlight w:val="none"/>
        </w:rPr>
        <w:t>提交正式绩效评价报告。</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归档</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对绩效评价工作资料进行整理，完善绩效评价工作底稿并归档。</w:t>
      </w:r>
    </w:p>
    <w:p>
      <w:pPr>
        <w:pStyle w:val="4"/>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482" w:firstLineChars="200"/>
        <w:jc w:val="left"/>
        <w:textAlignment w:val="auto"/>
        <w:outlineLvl w:val="2"/>
        <w:rPr>
          <w:rFonts w:hint="eastAsia" w:asciiTheme="majorEastAsia" w:hAnsiTheme="majorEastAsia" w:eastAsiaTheme="majorEastAsia" w:cstheme="majorEastAsia"/>
          <w:color w:val="auto"/>
          <w:sz w:val="24"/>
          <w:szCs w:val="24"/>
          <w:highlight w:val="none"/>
          <w:lang w:val="en-US" w:eastAsia="zh-CN"/>
        </w:rPr>
      </w:pPr>
      <w:bookmarkStart w:id="20" w:name="_Toc1890"/>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绩效评价</w:t>
      </w:r>
      <w:r>
        <w:rPr>
          <w:rFonts w:hint="eastAsia" w:asciiTheme="majorEastAsia" w:hAnsiTheme="majorEastAsia" w:eastAsiaTheme="majorEastAsia" w:cstheme="majorEastAsia"/>
          <w:color w:val="auto"/>
          <w:sz w:val="24"/>
          <w:szCs w:val="24"/>
          <w:highlight w:val="none"/>
          <w:lang w:eastAsia="zh-CN"/>
        </w:rPr>
        <w:t>组织</w:t>
      </w:r>
      <w:r>
        <w:rPr>
          <w:rFonts w:hint="eastAsia" w:asciiTheme="majorEastAsia" w:hAnsiTheme="majorEastAsia" w:eastAsiaTheme="majorEastAsia" w:cstheme="majorEastAsia"/>
          <w:color w:val="auto"/>
          <w:sz w:val="24"/>
          <w:szCs w:val="24"/>
          <w:highlight w:val="none"/>
        </w:rPr>
        <w:t>过程</w:t>
      </w:r>
      <w:bookmarkEnd w:id="20"/>
      <w:r>
        <w:rPr>
          <w:rFonts w:hint="eastAsia" w:asciiTheme="majorEastAsia" w:hAnsiTheme="majorEastAsia" w:eastAsiaTheme="majorEastAsia" w:cstheme="majorEastAsia"/>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b w:val="0"/>
          <w:bCs w:val="0"/>
          <w:color w:val="auto"/>
          <w:kern w:val="2"/>
          <w:sz w:val="24"/>
          <w:szCs w:val="24"/>
          <w:highlight w:val="none"/>
          <w:lang w:val="en-US" w:eastAsia="zh-CN" w:bidi="ar-SA"/>
        </w:rPr>
      </w:pPr>
      <w:r>
        <w:rPr>
          <w:rFonts w:hint="eastAsia" w:asciiTheme="majorEastAsia" w:hAnsiTheme="majorEastAsia" w:eastAsiaTheme="majorEastAsia" w:cstheme="majorEastAsia"/>
          <w:b w:val="0"/>
          <w:bCs w:val="0"/>
          <w:color w:val="auto"/>
          <w:sz w:val="24"/>
          <w:szCs w:val="24"/>
          <w:highlight w:val="none"/>
          <w:lang w:val="en-US" w:eastAsia="zh-CN"/>
        </w:rPr>
        <w:t xml:space="preserve"> （1）</w:t>
      </w:r>
      <w:r>
        <w:rPr>
          <w:rFonts w:hint="eastAsia" w:asciiTheme="majorEastAsia" w:hAnsiTheme="majorEastAsia" w:eastAsiaTheme="majorEastAsia" w:cstheme="majorEastAsia"/>
          <w:b w:val="0"/>
          <w:bCs w:val="0"/>
          <w:color w:val="auto"/>
          <w:kern w:val="2"/>
          <w:sz w:val="24"/>
          <w:szCs w:val="24"/>
          <w:highlight w:val="none"/>
          <w:lang w:val="en-US" w:eastAsia="zh-CN" w:bidi="ar-SA"/>
        </w:rPr>
        <w:t>本次绩效评价的实施过程如下图所示</w:t>
      </w:r>
    </w:p>
    <w:p>
      <w:pPr>
        <w:pStyle w:val="19"/>
        <w:spacing w:line="510" w:lineRule="exact"/>
        <w:ind w:right="-115" w:rightChars="-55" w:firstLine="420" w:firstLineChars="200"/>
        <w:outlineLvl w:val="9"/>
        <w:rPr>
          <w:rFonts w:hint="eastAsia" w:cs="Times New Roman"/>
          <w:color w:val="FF0000"/>
          <w:sz w:val="24"/>
          <w:szCs w:val="24"/>
          <w:highlight w:val="none"/>
        </w:rPr>
      </w:pPr>
      <w:r>
        <w:rPr>
          <w:color w:val="FF0000"/>
          <w:highlight w:val="none"/>
        </w:rPr>
        <mc:AlternateContent>
          <mc:Choice Requires="wpg">
            <w:drawing>
              <wp:anchor distT="0" distB="0" distL="114300" distR="114300" simplePos="0" relativeHeight="251677696" behindDoc="0" locked="0" layoutInCell="1" allowOverlap="1">
                <wp:simplePos x="0" y="0"/>
                <wp:positionH relativeFrom="column">
                  <wp:posOffset>123825</wp:posOffset>
                </wp:positionH>
                <wp:positionV relativeFrom="paragraph">
                  <wp:posOffset>179705</wp:posOffset>
                </wp:positionV>
                <wp:extent cx="5575300" cy="3473450"/>
                <wp:effectExtent l="6350" t="6350" r="19050" b="25400"/>
                <wp:wrapNone/>
                <wp:docPr id="2" name="组合 3"/>
                <wp:cNvGraphicFramePr/>
                <a:graphic xmlns:a="http://schemas.openxmlformats.org/drawingml/2006/main">
                  <a:graphicData uri="http://schemas.microsoft.com/office/word/2010/wordprocessingGroup">
                    <wpg:wgp>
                      <wpg:cNvGrpSpPr/>
                      <wpg:grpSpPr>
                        <a:xfrm>
                          <a:off x="0" y="0"/>
                          <a:ext cx="5575300" cy="3473450"/>
                          <a:chOff x="0" y="0"/>
                          <a:chExt cx="8831" cy="4413"/>
                        </a:xfrm>
                      </wpg:grpSpPr>
                      <wps:wsp>
                        <wps:cNvPr id="12" name="矩形 5"/>
                        <wps:cNvSpPr/>
                        <wps:spPr>
                          <a:xfrm>
                            <a:off x="12" y="6"/>
                            <a:ext cx="2513" cy="570"/>
                          </a:xfrm>
                          <a:prstGeom prst="rect">
                            <a:avLst/>
                          </a:prstGeom>
                          <a:noFill/>
                          <a:ln w="12700" cap="flat" cmpd="sng">
                            <a:solidFill>
                              <a:srgbClr val="000000"/>
                            </a:solidFill>
                            <a:prstDash val="solid"/>
                            <a:miter/>
                            <a:headEnd type="none" w="med" len="med"/>
                            <a:tailEnd type="none" w="med" len="med"/>
                          </a:ln>
                        </wps:spPr>
                        <wps:txbx>
                          <w:txbxContent>
                            <w:p>
                              <w:pPr>
                                <w:jc w:val="center"/>
                                <w:rPr>
                                  <w:rFonts w:hint="eastAsia"/>
                                </w:rPr>
                              </w:pPr>
                              <w:r>
                                <w:rPr>
                                  <w:rFonts w:hint="eastAsia"/>
                                </w:rPr>
                                <w:t>前期准备</w:t>
                              </w:r>
                            </w:p>
                          </w:txbxContent>
                        </wps:txbx>
                        <wps:bodyPr lIns="91439" tIns="45719" rIns="91439" bIns="45719" upright="1"/>
                      </wps:wsp>
                      <wps:wsp>
                        <wps:cNvPr id="13" name="矩形 7"/>
                        <wps:cNvSpPr/>
                        <wps:spPr>
                          <a:xfrm>
                            <a:off x="0" y="865"/>
                            <a:ext cx="2507" cy="3549"/>
                          </a:xfrm>
                          <a:prstGeom prst="rect">
                            <a:avLst/>
                          </a:prstGeom>
                          <a:noFill/>
                          <a:ln w="12700" cap="flat" cmpd="sng">
                            <a:solidFill>
                              <a:srgbClr val="000000"/>
                            </a:solidFill>
                            <a:prstDash val="solid"/>
                            <a:miter/>
                            <a:headEnd type="none" w="med" len="med"/>
                            <a:tailEnd type="none" w="med" len="med"/>
                          </a:ln>
                        </wps:spPr>
                        <wps:txbx>
                          <w:txbxContent>
                            <w:p>
                              <w:pPr>
                                <w:jc w:val="left"/>
                                <w:rPr>
                                  <w:rFonts w:hint="eastAsia"/>
                                  <w:sz w:val="22"/>
                                </w:rPr>
                              </w:pPr>
                              <w:r>
                                <w:rPr>
                                  <w:rFonts w:hint="eastAsia"/>
                                  <w:sz w:val="20"/>
                                  <w:szCs w:val="20"/>
                                </w:rPr>
                                <w:t>*</w:t>
                              </w:r>
                              <w:r>
                                <w:rPr>
                                  <w:rFonts w:hint="eastAsia"/>
                                  <w:sz w:val="22"/>
                                </w:rPr>
                                <w:t>熟悉相关政策制度，了解委托方需求，确定评价方案（</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16</w:t>
                              </w:r>
                              <w:r>
                                <w:rPr>
                                  <w:rFonts w:hint="eastAsia"/>
                                  <w:sz w:val="22"/>
                                </w:rPr>
                                <w:t>日）</w:t>
                              </w:r>
                            </w:p>
                            <w:p>
                              <w:pPr>
                                <w:jc w:val="left"/>
                                <w:rPr>
                                  <w:rFonts w:hint="eastAsia"/>
                                  <w:sz w:val="22"/>
                                </w:rPr>
                              </w:pPr>
                              <w:r>
                                <w:rPr>
                                  <w:rFonts w:hint="eastAsia"/>
                                  <w:sz w:val="22"/>
                                </w:rPr>
                                <w:t>*根据评价方案收集所需资料</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日-</w:t>
                              </w:r>
                              <w:r>
                                <w:rPr>
                                  <w:rFonts w:hint="eastAsia"/>
                                  <w:sz w:val="22"/>
                                  <w:lang w:val="en-US" w:eastAsia="zh-CN"/>
                                </w:rPr>
                                <w:t>18</w:t>
                              </w:r>
                              <w:r>
                                <w:rPr>
                                  <w:rFonts w:hint="eastAsia"/>
                                  <w:sz w:val="22"/>
                                  <w:lang w:eastAsia="zh-CN"/>
                                </w:rPr>
                                <w:t>日</w:t>
                              </w:r>
                              <w:r>
                                <w:rPr>
                                  <w:rFonts w:hint="eastAsia"/>
                                  <w:sz w:val="22"/>
                                </w:rPr>
                                <w:t xml:space="preserve"> ）</w:t>
                              </w:r>
                            </w:p>
                            <w:p>
                              <w:pPr>
                                <w:jc w:val="left"/>
                                <w:rPr>
                                  <w:rFonts w:hint="eastAsia"/>
                                  <w:sz w:val="22"/>
                                </w:rPr>
                              </w:pPr>
                              <w:r>
                                <w:rPr>
                                  <w:rFonts w:hint="eastAsia"/>
                                  <w:sz w:val="22"/>
                                </w:rPr>
                                <w:t>*分组分工案卷研析，整合理论与实践资料，确定评价方法（</w:t>
                              </w:r>
                              <w:r>
                                <w:rPr>
                                  <w:rFonts w:hint="eastAsia"/>
                                  <w:sz w:val="22"/>
                                  <w:lang w:val="en-US" w:eastAsia="zh-CN"/>
                                </w:rPr>
                                <w:t>6</w:t>
                              </w:r>
                              <w:r>
                                <w:rPr>
                                  <w:rFonts w:hint="eastAsia"/>
                                  <w:sz w:val="22"/>
                                </w:rPr>
                                <w:t>月</w:t>
                              </w:r>
                              <w:r>
                                <w:rPr>
                                  <w:rFonts w:hint="eastAsia"/>
                                  <w:sz w:val="22"/>
                                  <w:lang w:val="en-US" w:eastAsia="zh-CN"/>
                                </w:rPr>
                                <w:t>16-18</w:t>
                              </w:r>
                              <w:r>
                                <w:rPr>
                                  <w:rFonts w:hint="eastAsia"/>
                                  <w:sz w:val="22"/>
                                </w:rPr>
                                <w:t>日）</w:t>
                              </w:r>
                            </w:p>
                            <w:p>
                              <w:pPr>
                                <w:jc w:val="left"/>
                                <w:rPr>
                                  <w:rFonts w:hint="eastAsia"/>
                                  <w:sz w:val="22"/>
                                </w:rPr>
                              </w:pPr>
                              <w:r>
                                <w:rPr>
                                  <w:rFonts w:hint="eastAsia"/>
                                  <w:sz w:val="22"/>
                                </w:rPr>
                                <w:t>*现场评价（</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18</w:t>
                              </w:r>
                              <w:r>
                                <w:rPr>
                                  <w:rFonts w:hint="eastAsia"/>
                                  <w:sz w:val="22"/>
                                </w:rPr>
                                <w:t>日）</w:t>
                              </w:r>
                            </w:p>
                          </w:txbxContent>
                        </wps:txbx>
                        <wps:bodyPr lIns="91439" tIns="45719" rIns="91439" bIns="45719" upright="1"/>
                      </wps:wsp>
                      <wps:wsp>
                        <wps:cNvPr id="14" name="矩形 6"/>
                        <wps:cNvSpPr/>
                        <wps:spPr>
                          <a:xfrm>
                            <a:off x="3177" y="0"/>
                            <a:ext cx="2513" cy="570"/>
                          </a:xfrm>
                          <a:prstGeom prst="rect">
                            <a:avLst/>
                          </a:prstGeom>
                          <a:noFill/>
                          <a:ln w="12700" cap="flat" cmpd="sng">
                            <a:solidFill>
                              <a:srgbClr val="000000"/>
                            </a:solidFill>
                            <a:prstDash val="solid"/>
                            <a:miter/>
                            <a:headEnd type="none" w="med" len="med"/>
                            <a:tailEnd type="none" w="med" len="med"/>
                          </a:ln>
                        </wps:spPr>
                        <wps:txbx>
                          <w:txbxContent>
                            <w:p>
                              <w:pPr>
                                <w:jc w:val="center"/>
                                <w:rPr>
                                  <w:rFonts w:hint="eastAsia"/>
                                </w:rPr>
                              </w:pPr>
                              <w:r>
                                <w:rPr>
                                  <w:rFonts w:hint="eastAsia"/>
                                </w:rPr>
                                <w:t>开发绩效评价框架</w:t>
                              </w:r>
                            </w:p>
                          </w:txbxContent>
                        </wps:txbx>
                        <wps:bodyPr lIns="91439" tIns="45719" rIns="91439" bIns="45719" upright="1"/>
                      </wps:wsp>
                      <wps:wsp>
                        <wps:cNvPr id="33" name="矩形 7"/>
                        <wps:cNvSpPr/>
                        <wps:spPr>
                          <a:xfrm>
                            <a:off x="3179" y="861"/>
                            <a:ext cx="2507" cy="3553"/>
                          </a:xfrm>
                          <a:prstGeom prst="rect">
                            <a:avLst/>
                          </a:prstGeom>
                          <a:noFill/>
                          <a:ln w="12700" cap="flat" cmpd="sng">
                            <a:solidFill>
                              <a:srgbClr val="000000"/>
                            </a:solidFill>
                            <a:prstDash val="solid"/>
                            <a:miter/>
                            <a:headEnd type="none" w="med" len="med"/>
                            <a:tailEnd type="none" w="med" len="med"/>
                          </a:ln>
                        </wps:spPr>
                        <wps:txbx>
                          <w:txbxContent>
                            <w:p>
                              <w:pPr>
                                <w:spacing w:line="400" w:lineRule="exact"/>
                                <w:jc w:val="left"/>
                                <w:rPr>
                                  <w:rFonts w:hint="eastAsia"/>
                                  <w:sz w:val="22"/>
                                </w:rPr>
                              </w:pPr>
                              <w:r>
                                <w:rPr>
                                  <w:rFonts w:hint="eastAsia"/>
                                  <w:sz w:val="22"/>
                                </w:rPr>
                                <w:t>*初步设计项目绩效评价指标体系及基础数据表（</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16</w:t>
                              </w:r>
                              <w:r>
                                <w:rPr>
                                  <w:rFonts w:hint="eastAsia"/>
                                  <w:sz w:val="22"/>
                                </w:rPr>
                                <w:t>日）</w:t>
                              </w:r>
                            </w:p>
                            <w:p>
                              <w:pPr>
                                <w:spacing w:line="400" w:lineRule="exact"/>
                                <w:jc w:val="left"/>
                                <w:rPr>
                                  <w:rFonts w:hint="eastAsia"/>
                                  <w:sz w:val="22"/>
                                </w:rPr>
                              </w:pPr>
                              <w:r>
                                <w:rPr>
                                  <w:rFonts w:hint="eastAsia"/>
                                  <w:sz w:val="22"/>
                                </w:rPr>
                                <w:t>*与项目承担单位进行多次沟通，优化并确定指标体系及基础表（</w:t>
                              </w:r>
                              <w:r>
                                <w:rPr>
                                  <w:rFonts w:hint="eastAsia"/>
                                  <w:sz w:val="22"/>
                                  <w:lang w:val="en-US" w:eastAsia="zh-CN"/>
                                </w:rPr>
                                <w:t>6</w:t>
                              </w:r>
                              <w:r>
                                <w:rPr>
                                  <w:rFonts w:hint="eastAsia"/>
                                  <w:sz w:val="22"/>
                                </w:rPr>
                                <w:t>月</w:t>
                              </w:r>
                              <w:r>
                                <w:rPr>
                                  <w:rFonts w:hint="eastAsia"/>
                                  <w:sz w:val="22"/>
                                  <w:lang w:val="en-US" w:eastAsia="zh-CN"/>
                                </w:rPr>
                                <w:t>16</w:t>
                              </w:r>
                              <w:r>
                                <w:rPr>
                                  <w:rFonts w:hint="eastAsia"/>
                                  <w:sz w:val="22"/>
                                </w:rPr>
                                <w:t>-</w:t>
                              </w:r>
                              <w:r>
                                <w:rPr>
                                  <w:rFonts w:hint="eastAsia"/>
                                  <w:sz w:val="22"/>
                                  <w:lang w:val="en-US" w:eastAsia="zh-CN"/>
                                </w:rPr>
                                <w:t>17</w:t>
                              </w:r>
                              <w:r>
                                <w:rPr>
                                  <w:rFonts w:hint="eastAsia"/>
                                  <w:sz w:val="22"/>
                                </w:rPr>
                                <w:t>日）</w:t>
                              </w:r>
                            </w:p>
                            <w:p>
                              <w:pPr>
                                <w:spacing w:line="400" w:lineRule="exact"/>
                                <w:jc w:val="left"/>
                                <w:rPr>
                                  <w:rFonts w:hint="eastAsia"/>
                                  <w:sz w:val="22"/>
                                </w:rPr>
                              </w:pPr>
                              <w:r>
                                <w:rPr>
                                  <w:rFonts w:hint="eastAsia"/>
                                  <w:sz w:val="22"/>
                                </w:rPr>
                                <w:t>*项目单位填报基础表，提供评价依据（</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17</w:t>
                              </w:r>
                              <w:r>
                                <w:rPr>
                                  <w:rFonts w:hint="eastAsia"/>
                                  <w:sz w:val="22"/>
                                </w:rPr>
                                <w:t>日）</w:t>
                              </w: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txbxContent>
                        </wps:txbx>
                        <wps:bodyPr lIns="91439" tIns="45719" rIns="91439" bIns="45719" upright="1"/>
                      </wps:wsp>
                      <wps:wsp>
                        <wps:cNvPr id="34" name="矩形 8"/>
                        <wps:cNvSpPr/>
                        <wps:spPr>
                          <a:xfrm>
                            <a:off x="6318" y="873"/>
                            <a:ext cx="2507" cy="3540"/>
                          </a:xfrm>
                          <a:prstGeom prst="rect">
                            <a:avLst/>
                          </a:prstGeom>
                          <a:noFill/>
                          <a:ln w="12700" cap="flat" cmpd="sng">
                            <a:solidFill>
                              <a:srgbClr val="000000"/>
                            </a:solidFill>
                            <a:prstDash val="solid"/>
                            <a:miter/>
                            <a:headEnd type="none" w="med" len="med"/>
                            <a:tailEnd type="none" w="med" len="med"/>
                          </a:ln>
                        </wps:spPr>
                        <wps:txbx>
                          <w:txbxContent>
                            <w:p>
                              <w:pPr>
                                <w:spacing w:line="380" w:lineRule="exact"/>
                                <w:jc w:val="left"/>
                                <w:rPr>
                                  <w:rFonts w:hint="eastAsia"/>
                                  <w:sz w:val="22"/>
                                </w:rPr>
                              </w:pPr>
                              <w:r>
                                <w:rPr>
                                  <w:rFonts w:hint="eastAsia"/>
                                  <w:sz w:val="22"/>
                                </w:rPr>
                                <w:t>*社会调研：对项目、单位或负责人开展实地调研、电话访谈、问卷调查（</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18</w:t>
                              </w:r>
                              <w:r>
                                <w:rPr>
                                  <w:rFonts w:hint="eastAsia"/>
                                  <w:sz w:val="22"/>
                                </w:rPr>
                                <w:t>日）</w:t>
                              </w:r>
                            </w:p>
                            <w:p>
                              <w:pPr>
                                <w:spacing w:line="380" w:lineRule="exact"/>
                                <w:jc w:val="left"/>
                                <w:rPr>
                                  <w:rFonts w:hint="eastAsia"/>
                                  <w:sz w:val="22"/>
                                </w:rPr>
                              </w:pPr>
                              <w:r>
                                <w:rPr>
                                  <w:rFonts w:hint="eastAsia"/>
                                  <w:sz w:val="22"/>
                                </w:rPr>
                                <w:t>*开始绩效报告撰写（</w:t>
                              </w:r>
                              <w:r>
                                <w:rPr>
                                  <w:rFonts w:hint="eastAsia"/>
                                  <w:sz w:val="22"/>
                                  <w:lang w:val="en-US" w:eastAsia="zh-CN"/>
                                </w:rPr>
                                <w:t>6</w:t>
                              </w:r>
                              <w:r>
                                <w:rPr>
                                  <w:rFonts w:hint="eastAsia"/>
                                  <w:sz w:val="22"/>
                                </w:rPr>
                                <w:t>月</w:t>
                              </w:r>
                              <w:r>
                                <w:rPr>
                                  <w:rFonts w:hint="eastAsia"/>
                                  <w:sz w:val="22"/>
                                  <w:lang w:val="en-US" w:eastAsia="zh-CN"/>
                                </w:rPr>
                                <w:t>19</w:t>
                              </w:r>
                              <w:r>
                                <w:rPr>
                                  <w:rFonts w:hint="eastAsia"/>
                                  <w:sz w:val="22"/>
                                </w:rPr>
                                <w:t>-</w:t>
                              </w:r>
                              <w:r>
                                <w:rPr>
                                  <w:rFonts w:hint="eastAsia"/>
                                  <w:sz w:val="22"/>
                                  <w:lang w:val="en-US" w:eastAsia="zh-CN"/>
                                </w:rPr>
                                <w:t>20</w:t>
                              </w:r>
                              <w:r>
                                <w:rPr>
                                  <w:rFonts w:hint="eastAsia"/>
                                  <w:sz w:val="22"/>
                                </w:rPr>
                                <w:t>日）</w:t>
                              </w:r>
                            </w:p>
                            <w:p>
                              <w:pPr>
                                <w:spacing w:line="380" w:lineRule="exact"/>
                                <w:jc w:val="left"/>
                                <w:rPr>
                                  <w:rFonts w:hint="eastAsia"/>
                                  <w:sz w:val="22"/>
                                </w:rPr>
                              </w:pPr>
                              <w:r>
                                <w:rPr>
                                  <w:rFonts w:hint="eastAsia"/>
                                  <w:sz w:val="22"/>
                                </w:rPr>
                                <w:t>*邀请专家对项目及指标体系进行评审（</w:t>
                              </w:r>
                              <w:r>
                                <w:rPr>
                                  <w:rFonts w:hint="eastAsia"/>
                                  <w:sz w:val="22"/>
                                  <w:lang w:val="en-US" w:eastAsia="zh-CN"/>
                                </w:rPr>
                                <w:t>6</w:t>
                              </w:r>
                              <w:r>
                                <w:rPr>
                                  <w:rFonts w:hint="eastAsia"/>
                                  <w:sz w:val="22"/>
                                </w:rPr>
                                <w:t>月</w:t>
                              </w:r>
                              <w:r>
                                <w:rPr>
                                  <w:rFonts w:hint="eastAsia"/>
                                  <w:sz w:val="22"/>
                                  <w:lang w:val="en-US" w:eastAsia="zh-CN"/>
                                </w:rPr>
                                <w:t>20</w:t>
                              </w:r>
                              <w:r>
                                <w:rPr>
                                  <w:rFonts w:hint="eastAsia"/>
                                  <w:sz w:val="22"/>
                                </w:rPr>
                                <w:t>-</w:t>
                              </w:r>
                              <w:r>
                                <w:rPr>
                                  <w:rFonts w:hint="eastAsia"/>
                                  <w:sz w:val="22"/>
                                  <w:lang w:val="en-US" w:eastAsia="zh-CN"/>
                                </w:rPr>
                                <w:t>22</w:t>
                              </w:r>
                              <w:r>
                                <w:rPr>
                                  <w:rFonts w:hint="eastAsia"/>
                                  <w:sz w:val="22"/>
                                </w:rPr>
                                <w:t>日）</w:t>
                              </w:r>
                            </w:p>
                            <w:p>
                              <w:pPr>
                                <w:spacing w:line="380" w:lineRule="exact"/>
                                <w:jc w:val="left"/>
                                <w:rPr>
                                  <w:rFonts w:hint="eastAsia"/>
                                  <w:sz w:val="22"/>
                                </w:rPr>
                              </w:pPr>
                              <w:r>
                                <w:rPr>
                                  <w:rFonts w:hint="eastAsia"/>
                                  <w:sz w:val="22"/>
                                </w:rPr>
                                <w:t>*专家审稿、多方沟通与提交报告（</w:t>
                              </w:r>
                              <w:r>
                                <w:rPr>
                                  <w:rFonts w:hint="eastAsia"/>
                                  <w:sz w:val="22"/>
                                  <w:lang w:val="en-US" w:eastAsia="zh-CN"/>
                                </w:rPr>
                                <w:t>6</w:t>
                              </w:r>
                              <w:r>
                                <w:rPr>
                                  <w:rFonts w:hint="eastAsia"/>
                                  <w:sz w:val="22"/>
                                </w:rPr>
                                <w:t>月</w:t>
                              </w:r>
                              <w:r>
                                <w:rPr>
                                  <w:rFonts w:hint="eastAsia"/>
                                  <w:sz w:val="22"/>
                                  <w:lang w:val="en-US" w:eastAsia="zh-CN"/>
                                </w:rPr>
                                <w:t>23）</w:t>
                              </w:r>
                              <w:r>
                                <w:rPr>
                                  <w:rFonts w:hint="eastAsia"/>
                                  <w:sz w:val="22"/>
                                </w:rPr>
                                <w:t>日）</w:t>
                              </w:r>
                            </w:p>
                            <w:p>
                              <w:pPr>
                                <w:jc w:val="left"/>
                                <w:rPr>
                                  <w:rFonts w:hint="eastAsia"/>
                                  <w:sz w:val="16"/>
                                  <w:szCs w:val="15"/>
                                </w:rPr>
                              </w:pPr>
                            </w:p>
                          </w:txbxContent>
                        </wps:txbx>
                        <wps:bodyPr lIns="91439" tIns="45719" rIns="91439" bIns="45719" upright="1"/>
                      </wps:wsp>
                      <wps:wsp>
                        <wps:cNvPr id="36" name="矩形 5"/>
                        <wps:cNvSpPr/>
                        <wps:spPr>
                          <a:xfrm>
                            <a:off x="6319" y="4"/>
                            <a:ext cx="2513" cy="570"/>
                          </a:xfrm>
                          <a:prstGeom prst="rect">
                            <a:avLst/>
                          </a:prstGeom>
                          <a:noFill/>
                          <a:ln w="12700" cap="flat" cmpd="sng">
                            <a:solidFill>
                              <a:srgbClr val="000000"/>
                            </a:solidFill>
                            <a:prstDash val="solid"/>
                            <a:miter/>
                            <a:headEnd type="none" w="med" len="med"/>
                            <a:tailEnd type="none" w="med" len="med"/>
                          </a:ln>
                        </wps:spPr>
                        <wps:txbx>
                          <w:txbxContent>
                            <w:p>
                              <w:pPr>
                                <w:jc w:val="center"/>
                                <w:rPr>
                                  <w:rFonts w:hint="eastAsia"/>
                                </w:rPr>
                              </w:pPr>
                              <w:r>
                                <w:rPr>
                                  <w:rFonts w:hint="eastAsia"/>
                                </w:rPr>
                                <w:t>完成评价方案</w:t>
                              </w:r>
                            </w:p>
                          </w:txbxContent>
                        </wps:txbx>
                        <wps:bodyPr lIns="91439" tIns="45719" rIns="91439" bIns="45719" upright="1"/>
                      </wps:wsp>
                      <wps:wsp>
                        <wps:cNvPr id="38" name="箭头 15"/>
                        <wps:cNvCnPr/>
                        <wps:spPr>
                          <a:xfrm>
                            <a:off x="1206" y="593"/>
                            <a:ext cx="1" cy="257"/>
                          </a:xfrm>
                          <a:prstGeom prst="line">
                            <a:avLst/>
                          </a:prstGeom>
                          <a:ln w="15875" cap="flat" cmpd="sng">
                            <a:solidFill>
                              <a:srgbClr val="000000"/>
                            </a:solidFill>
                            <a:prstDash val="solid"/>
                            <a:headEnd type="none" w="med" len="med"/>
                            <a:tailEnd type="triangle" w="med" len="med"/>
                          </a:ln>
                        </wps:spPr>
                        <wps:bodyPr upright="1"/>
                      </wps:wsp>
                      <wps:wsp>
                        <wps:cNvPr id="39" name="箭头 17"/>
                        <wps:cNvCnPr/>
                        <wps:spPr>
                          <a:xfrm>
                            <a:off x="4377" y="582"/>
                            <a:ext cx="1" cy="279"/>
                          </a:xfrm>
                          <a:prstGeom prst="line">
                            <a:avLst/>
                          </a:prstGeom>
                          <a:ln w="15875" cap="flat" cmpd="sng">
                            <a:solidFill>
                              <a:srgbClr val="000000"/>
                            </a:solidFill>
                            <a:prstDash val="solid"/>
                            <a:headEnd type="none" w="med" len="med"/>
                            <a:tailEnd type="triangle" w="med" len="med"/>
                          </a:ln>
                        </wps:spPr>
                        <wps:bodyPr upright="1"/>
                      </wps:wsp>
                      <wps:wsp>
                        <wps:cNvPr id="40" name="箭头 19"/>
                        <wps:cNvCnPr/>
                        <wps:spPr>
                          <a:xfrm>
                            <a:off x="7581" y="593"/>
                            <a:ext cx="1" cy="278"/>
                          </a:xfrm>
                          <a:prstGeom prst="line">
                            <a:avLst/>
                          </a:prstGeom>
                          <a:ln w="15875" cap="flat" cmpd="sng">
                            <a:solidFill>
                              <a:srgbClr val="000000"/>
                            </a:solidFill>
                            <a:prstDash val="solid"/>
                            <a:headEnd type="none" w="med" len="med"/>
                            <a:tailEnd type="triangle" w="med" len="med"/>
                          </a:ln>
                        </wps:spPr>
                        <wps:bodyPr upright="1"/>
                      </wps:wsp>
                      <wps:wsp>
                        <wps:cNvPr id="41" name="箭头 21"/>
                        <wps:cNvCnPr/>
                        <wps:spPr>
                          <a:xfrm>
                            <a:off x="2545" y="293"/>
                            <a:ext cx="622" cy="1"/>
                          </a:xfrm>
                          <a:prstGeom prst="line">
                            <a:avLst/>
                          </a:prstGeom>
                          <a:ln w="15875" cap="flat" cmpd="sng">
                            <a:solidFill>
                              <a:srgbClr val="000000"/>
                            </a:solidFill>
                            <a:prstDash val="solid"/>
                            <a:headEnd type="none" w="med" len="med"/>
                            <a:tailEnd type="triangle" w="med" len="med"/>
                          </a:ln>
                        </wps:spPr>
                        <wps:bodyPr upright="1"/>
                      </wps:wsp>
                      <wps:wsp>
                        <wps:cNvPr id="42" name="箭头 23"/>
                        <wps:cNvCnPr/>
                        <wps:spPr>
                          <a:xfrm>
                            <a:off x="5695" y="282"/>
                            <a:ext cx="622" cy="1"/>
                          </a:xfrm>
                          <a:prstGeom prst="line">
                            <a:avLst/>
                          </a:prstGeom>
                          <a:ln w="15875" cap="flat" cmpd="sng">
                            <a:solidFill>
                              <a:srgbClr val="000000"/>
                            </a:solidFill>
                            <a:prstDash val="solid"/>
                            <a:headEnd type="none" w="med" len="med"/>
                            <a:tailEnd type="triangle" w="med" len="med"/>
                          </a:ln>
                        </wps:spPr>
                        <wps:bodyPr upright="1"/>
                      </wps:wsp>
                    </wpg:wgp>
                  </a:graphicData>
                </a:graphic>
              </wp:anchor>
            </w:drawing>
          </mc:Choice>
          <mc:Fallback>
            <w:pict>
              <v:group id="组合 3" o:spid="_x0000_s1026" o:spt="203" style="position:absolute;left:0pt;margin-left:9.75pt;margin-top:14.15pt;height:273.5pt;width:439pt;z-index:251677696;mso-width-relative:page;mso-height-relative:page;" coordsize="8831,4413" o:gfxdata="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">
                <o:lock v:ext="edit" aspectratio="f"/>
                <v:rect id="矩形 5" o:spid="_x0000_s1026" o:spt="1" style="position:absolute;left:12;top:6;height:570;width:2513;" filled="f" stroked="t" coordsize="21600,21600" o:gfxdata="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zaKO/rUAAADbAAAADwAA&#10;AAAAAAABACAAAAAiAAAAZHJzL2Rvd25yZXYueG1sUEsBAhQAFAAAAAgAh07iQDMvBZ47AAAAOQAA&#10;ABAAAAAAAAAAAQAgAAAABAEAAGRycy9zaGFwZXhtbC54bWxQSwUGAAAAAAYABgBbAQAArgMAAAAA&#10;">
                  <v:fill on="f" focussize="0,0"/>
                  <v:stroke weight="1pt" color="#000000" joinstyle="miter"/>
                  <v:imagedata o:title=""/>
                  <o:lock v:ext="edit" aspectratio="f"/>
                  <v:textbox inset="7.19992125984252pt,3.59992125984252pt,7.19992125984252pt,3.59992125984252pt">
                    <w:txbxContent>
                      <w:p>
                        <w:pPr>
                          <w:jc w:val="center"/>
                          <w:rPr>
                            <w:rFonts w:hint="eastAsia"/>
                          </w:rPr>
                        </w:pPr>
                        <w:r>
                          <w:rPr>
                            <w:rFonts w:hint="eastAsia"/>
                          </w:rPr>
                          <w:t>前期准备</w:t>
                        </w:r>
                      </w:p>
                    </w:txbxContent>
                  </v:textbox>
                </v:rect>
                <v:rect id="矩形 7" o:spid="_x0000_s1026" o:spt="1" style="position:absolute;left:0;top:865;height:3549;width:2507;" filled="f" stroked="t" coordsize="21600,21600" o:gfxdata="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ou4rZbUAAADbAAAADwAA&#10;AAAAAAABACAAAAAiAAAAZHJzL2Rvd25yZXYueG1sUEsBAhQAFAAAAAgAh07iQDMvBZ47AAAAOQAA&#10;ABAAAAAAAAAAAQAgAAAABAEAAGRycy9zaGFwZXhtbC54bWxQSwUGAAAAAAYABgBbAQAArgMAAAAA&#10;">
                  <v:fill on="f" focussize="0,0"/>
                  <v:stroke weight="1pt" color="#000000" joinstyle="miter"/>
                  <v:imagedata o:title=""/>
                  <o:lock v:ext="edit" aspectratio="f"/>
                  <v:textbox inset="7.19992125984252pt,3.59992125984252pt,7.19992125984252pt,3.59992125984252pt">
                    <w:txbxContent>
                      <w:p>
                        <w:pPr>
                          <w:jc w:val="left"/>
                          <w:rPr>
                            <w:rFonts w:hint="eastAsia"/>
                            <w:sz w:val="22"/>
                          </w:rPr>
                        </w:pPr>
                        <w:r>
                          <w:rPr>
                            <w:rFonts w:hint="eastAsia"/>
                            <w:sz w:val="20"/>
                            <w:szCs w:val="20"/>
                          </w:rPr>
                          <w:t>*</w:t>
                        </w:r>
                        <w:r>
                          <w:rPr>
                            <w:rFonts w:hint="eastAsia"/>
                            <w:sz w:val="22"/>
                          </w:rPr>
                          <w:t>熟悉相关政策制度，了解委托方需求，确定评价方案（</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16</w:t>
                        </w:r>
                        <w:r>
                          <w:rPr>
                            <w:rFonts w:hint="eastAsia"/>
                            <w:sz w:val="22"/>
                          </w:rPr>
                          <w:t>日）</w:t>
                        </w:r>
                      </w:p>
                      <w:p>
                        <w:pPr>
                          <w:jc w:val="left"/>
                          <w:rPr>
                            <w:rFonts w:hint="eastAsia"/>
                            <w:sz w:val="22"/>
                          </w:rPr>
                        </w:pPr>
                        <w:r>
                          <w:rPr>
                            <w:rFonts w:hint="eastAsia"/>
                            <w:sz w:val="22"/>
                          </w:rPr>
                          <w:t>*根据评价方案收集所需资料</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日-</w:t>
                        </w:r>
                        <w:r>
                          <w:rPr>
                            <w:rFonts w:hint="eastAsia"/>
                            <w:sz w:val="22"/>
                            <w:lang w:val="en-US" w:eastAsia="zh-CN"/>
                          </w:rPr>
                          <w:t>18</w:t>
                        </w:r>
                        <w:r>
                          <w:rPr>
                            <w:rFonts w:hint="eastAsia"/>
                            <w:sz w:val="22"/>
                            <w:lang w:eastAsia="zh-CN"/>
                          </w:rPr>
                          <w:t>日</w:t>
                        </w:r>
                        <w:r>
                          <w:rPr>
                            <w:rFonts w:hint="eastAsia"/>
                            <w:sz w:val="22"/>
                          </w:rPr>
                          <w:t xml:space="preserve"> ）</w:t>
                        </w:r>
                      </w:p>
                      <w:p>
                        <w:pPr>
                          <w:jc w:val="left"/>
                          <w:rPr>
                            <w:rFonts w:hint="eastAsia"/>
                            <w:sz w:val="22"/>
                          </w:rPr>
                        </w:pPr>
                        <w:r>
                          <w:rPr>
                            <w:rFonts w:hint="eastAsia"/>
                            <w:sz w:val="22"/>
                          </w:rPr>
                          <w:t>*分组分工案卷研析，整合理论与实践资料，确定评价方法（</w:t>
                        </w:r>
                        <w:r>
                          <w:rPr>
                            <w:rFonts w:hint="eastAsia"/>
                            <w:sz w:val="22"/>
                            <w:lang w:val="en-US" w:eastAsia="zh-CN"/>
                          </w:rPr>
                          <w:t>6</w:t>
                        </w:r>
                        <w:r>
                          <w:rPr>
                            <w:rFonts w:hint="eastAsia"/>
                            <w:sz w:val="22"/>
                          </w:rPr>
                          <w:t>月</w:t>
                        </w:r>
                        <w:r>
                          <w:rPr>
                            <w:rFonts w:hint="eastAsia"/>
                            <w:sz w:val="22"/>
                            <w:lang w:val="en-US" w:eastAsia="zh-CN"/>
                          </w:rPr>
                          <w:t>16-18</w:t>
                        </w:r>
                        <w:r>
                          <w:rPr>
                            <w:rFonts w:hint="eastAsia"/>
                            <w:sz w:val="22"/>
                          </w:rPr>
                          <w:t>日）</w:t>
                        </w:r>
                      </w:p>
                      <w:p>
                        <w:pPr>
                          <w:jc w:val="left"/>
                          <w:rPr>
                            <w:rFonts w:hint="eastAsia"/>
                            <w:sz w:val="22"/>
                          </w:rPr>
                        </w:pPr>
                        <w:r>
                          <w:rPr>
                            <w:rFonts w:hint="eastAsia"/>
                            <w:sz w:val="22"/>
                          </w:rPr>
                          <w:t>*现场评价（</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18</w:t>
                        </w:r>
                        <w:r>
                          <w:rPr>
                            <w:rFonts w:hint="eastAsia"/>
                            <w:sz w:val="22"/>
                          </w:rPr>
                          <w:t>日）</w:t>
                        </w:r>
                      </w:p>
                    </w:txbxContent>
                  </v:textbox>
                </v:rect>
                <v:rect id="矩形 6" o:spid="_x0000_s1026" o:spt="1" style="position:absolute;left:3177;top:0;height:570;width:2513;" filled="f" stroked="t" coordsize="21600,21600" o:gfxdata="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LQezEbUAAADbAAAADwAA&#10;AAAAAAABACAAAAAiAAAAZHJzL2Rvd25yZXYueG1sUEsBAhQAFAAAAAgAh07iQDMvBZ47AAAAOQAA&#10;ABAAAAAAAAAAAQAgAAAABAEAAGRycy9zaGFwZXhtbC54bWxQSwUGAAAAAAYABgBbAQAArgMAAAAA&#10;">
                  <v:fill on="f" focussize="0,0"/>
                  <v:stroke weight="1pt" color="#000000" joinstyle="miter"/>
                  <v:imagedata o:title=""/>
                  <o:lock v:ext="edit" aspectratio="f"/>
                  <v:textbox inset="7.19992125984252pt,3.59992125984252pt,7.19992125984252pt,3.59992125984252pt">
                    <w:txbxContent>
                      <w:p>
                        <w:pPr>
                          <w:jc w:val="center"/>
                          <w:rPr>
                            <w:rFonts w:hint="eastAsia"/>
                          </w:rPr>
                        </w:pPr>
                        <w:r>
                          <w:rPr>
                            <w:rFonts w:hint="eastAsia"/>
                          </w:rPr>
                          <w:t>开发绩效评价框架</w:t>
                        </w:r>
                      </w:p>
                    </w:txbxContent>
                  </v:textbox>
                </v:rect>
                <v:rect id="矩形 7" o:spid="_x0000_s1026" o:spt="1" style="position:absolute;left:3179;top:861;height:3553;width:2507;" filled="f" stroked="t" coordsize="21600,21600" o:gfxdata="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pW3cFtwAAANsAAAAP&#10;AAAAAAAAAAEAIAAAACIAAABkcnMvZG93bnJldi54bWxQSwECFAAUAAAACACHTuJAMy8FnjsAAAA5&#10;AAAAEAAAAAAAAAABACAAAAAGAQAAZHJzL3NoYXBleG1sLnhtbFBLBQYAAAAABgAGAFsBAACwAwAA&#10;AAA=&#10;">
                  <v:fill on="f" focussize="0,0"/>
                  <v:stroke weight="1pt" color="#000000" joinstyle="miter"/>
                  <v:imagedata o:title=""/>
                  <o:lock v:ext="edit" aspectratio="f"/>
                  <v:textbox inset="7.19992125984252pt,3.59992125984252pt,7.19992125984252pt,3.59992125984252pt">
                    <w:txbxContent>
                      <w:p>
                        <w:pPr>
                          <w:spacing w:line="400" w:lineRule="exact"/>
                          <w:jc w:val="left"/>
                          <w:rPr>
                            <w:rFonts w:hint="eastAsia"/>
                            <w:sz w:val="22"/>
                          </w:rPr>
                        </w:pPr>
                        <w:r>
                          <w:rPr>
                            <w:rFonts w:hint="eastAsia"/>
                            <w:sz w:val="22"/>
                          </w:rPr>
                          <w:t>*初步设计项目绩效评价指标体系及基础数据表（</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16</w:t>
                        </w:r>
                        <w:r>
                          <w:rPr>
                            <w:rFonts w:hint="eastAsia"/>
                            <w:sz w:val="22"/>
                          </w:rPr>
                          <w:t>日）</w:t>
                        </w:r>
                      </w:p>
                      <w:p>
                        <w:pPr>
                          <w:spacing w:line="400" w:lineRule="exact"/>
                          <w:jc w:val="left"/>
                          <w:rPr>
                            <w:rFonts w:hint="eastAsia"/>
                            <w:sz w:val="22"/>
                          </w:rPr>
                        </w:pPr>
                        <w:r>
                          <w:rPr>
                            <w:rFonts w:hint="eastAsia"/>
                            <w:sz w:val="22"/>
                          </w:rPr>
                          <w:t>*与项目承担单位进行多次沟通，优化并确定指标体系及基础表（</w:t>
                        </w:r>
                        <w:r>
                          <w:rPr>
                            <w:rFonts w:hint="eastAsia"/>
                            <w:sz w:val="22"/>
                            <w:lang w:val="en-US" w:eastAsia="zh-CN"/>
                          </w:rPr>
                          <w:t>6</w:t>
                        </w:r>
                        <w:r>
                          <w:rPr>
                            <w:rFonts w:hint="eastAsia"/>
                            <w:sz w:val="22"/>
                          </w:rPr>
                          <w:t>月</w:t>
                        </w:r>
                        <w:r>
                          <w:rPr>
                            <w:rFonts w:hint="eastAsia"/>
                            <w:sz w:val="22"/>
                            <w:lang w:val="en-US" w:eastAsia="zh-CN"/>
                          </w:rPr>
                          <w:t>16</w:t>
                        </w:r>
                        <w:r>
                          <w:rPr>
                            <w:rFonts w:hint="eastAsia"/>
                            <w:sz w:val="22"/>
                          </w:rPr>
                          <w:t>-</w:t>
                        </w:r>
                        <w:r>
                          <w:rPr>
                            <w:rFonts w:hint="eastAsia"/>
                            <w:sz w:val="22"/>
                            <w:lang w:val="en-US" w:eastAsia="zh-CN"/>
                          </w:rPr>
                          <w:t>17</w:t>
                        </w:r>
                        <w:r>
                          <w:rPr>
                            <w:rFonts w:hint="eastAsia"/>
                            <w:sz w:val="22"/>
                          </w:rPr>
                          <w:t>日）</w:t>
                        </w:r>
                      </w:p>
                      <w:p>
                        <w:pPr>
                          <w:spacing w:line="400" w:lineRule="exact"/>
                          <w:jc w:val="left"/>
                          <w:rPr>
                            <w:rFonts w:hint="eastAsia"/>
                            <w:sz w:val="22"/>
                          </w:rPr>
                        </w:pPr>
                        <w:r>
                          <w:rPr>
                            <w:rFonts w:hint="eastAsia"/>
                            <w:sz w:val="22"/>
                          </w:rPr>
                          <w:t>*项目单位填报基础表，提供评价依据（</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17</w:t>
                        </w:r>
                        <w:r>
                          <w:rPr>
                            <w:rFonts w:hint="eastAsia"/>
                            <w:sz w:val="22"/>
                          </w:rPr>
                          <w:t>日）</w:t>
                        </w: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txbxContent>
                  </v:textbox>
                </v:rect>
                <v:rect id="矩形 8" o:spid="_x0000_s1026" o:spt="1" style="position:absolute;left:6318;top:873;height:3540;width:2507;" filled="f" stroked="t" coordsize="21600,21600" o:gfxdata="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msu9xtwAAANsAAAAP&#10;AAAAAAAAAAEAIAAAACIAAABkcnMvZG93bnJldi54bWxQSwECFAAUAAAACACHTuJAMy8FnjsAAAA5&#10;AAAAEAAAAAAAAAABACAAAAAGAQAAZHJzL3NoYXBleG1sLnhtbFBLBQYAAAAABgAGAFsBAACwAwAA&#10;AAA=&#10;">
                  <v:fill on="f" focussize="0,0"/>
                  <v:stroke weight="1pt" color="#000000" joinstyle="miter"/>
                  <v:imagedata o:title=""/>
                  <o:lock v:ext="edit" aspectratio="f"/>
                  <v:textbox inset="7.19992125984252pt,3.59992125984252pt,7.19992125984252pt,3.59992125984252pt">
                    <w:txbxContent>
                      <w:p>
                        <w:pPr>
                          <w:spacing w:line="380" w:lineRule="exact"/>
                          <w:jc w:val="left"/>
                          <w:rPr>
                            <w:rFonts w:hint="eastAsia"/>
                            <w:sz w:val="22"/>
                          </w:rPr>
                        </w:pPr>
                        <w:r>
                          <w:rPr>
                            <w:rFonts w:hint="eastAsia"/>
                            <w:sz w:val="22"/>
                          </w:rPr>
                          <w:t>*社会调研：对项目、单位或负责人开展实地调研、电话访谈、问卷调查（</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18</w:t>
                        </w:r>
                        <w:r>
                          <w:rPr>
                            <w:rFonts w:hint="eastAsia"/>
                            <w:sz w:val="22"/>
                          </w:rPr>
                          <w:t>日）</w:t>
                        </w:r>
                      </w:p>
                      <w:p>
                        <w:pPr>
                          <w:spacing w:line="380" w:lineRule="exact"/>
                          <w:jc w:val="left"/>
                          <w:rPr>
                            <w:rFonts w:hint="eastAsia"/>
                            <w:sz w:val="22"/>
                          </w:rPr>
                        </w:pPr>
                        <w:r>
                          <w:rPr>
                            <w:rFonts w:hint="eastAsia"/>
                            <w:sz w:val="22"/>
                          </w:rPr>
                          <w:t>*开始绩效报告撰写（</w:t>
                        </w:r>
                        <w:r>
                          <w:rPr>
                            <w:rFonts w:hint="eastAsia"/>
                            <w:sz w:val="22"/>
                            <w:lang w:val="en-US" w:eastAsia="zh-CN"/>
                          </w:rPr>
                          <w:t>6</w:t>
                        </w:r>
                        <w:r>
                          <w:rPr>
                            <w:rFonts w:hint="eastAsia"/>
                            <w:sz w:val="22"/>
                          </w:rPr>
                          <w:t>月</w:t>
                        </w:r>
                        <w:r>
                          <w:rPr>
                            <w:rFonts w:hint="eastAsia"/>
                            <w:sz w:val="22"/>
                            <w:lang w:val="en-US" w:eastAsia="zh-CN"/>
                          </w:rPr>
                          <w:t>19</w:t>
                        </w:r>
                        <w:r>
                          <w:rPr>
                            <w:rFonts w:hint="eastAsia"/>
                            <w:sz w:val="22"/>
                          </w:rPr>
                          <w:t>-</w:t>
                        </w:r>
                        <w:r>
                          <w:rPr>
                            <w:rFonts w:hint="eastAsia"/>
                            <w:sz w:val="22"/>
                            <w:lang w:val="en-US" w:eastAsia="zh-CN"/>
                          </w:rPr>
                          <w:t>20</w:t>
                        </w:r>
                        <w:r>
                          <w:rPr>
                            <w:rFonts w:hint="eastAsia"/>
                            <w:sz w:val="22"/>
                          </w:rPr>
                          <w:t>日）</w:t>
                        </w:r>
                      </w:p>
                      <w:p>
                        <w:pPr>
                          <w:spacing w:line="380" w:lineRule="exact"/>
                          <w:jc w:val="left"/>
                          <w:rPr>
                            <w:rFonts w:hint="eastAsia"/>
                            <w:sz w:val="22"/>
                          </w:rPr>
                        </w:pPr>
                        <w:r>
                          <w:rPr>
                            <w:rFonts w:hint="eastAsia"/>
                            <w:sz w:val="22"/>
                          </w:rPr>
                          <w:t>*邀请专家对项目及指标体系进行评审（</w:t>
                        </w:r>
                        <w:r>
                          <w:rPr>
                            <w:rFonts w:hint="eastAsia"/>
                            <w:sz w:val="22"/>
                            <w:lang w:val="en-US" w:eastAsia="zh-CN"/>
                          </w:rPr>
                          <w:t>6</w:t>
                        </w:r>
                        <w:r>
                          <w:rPr>
                            <w:rFonts w:hint="eastAsia"/>
                            <w:sz w:val="22"/>
                          </w:rPr>
                          <w:t>月</w:t>
                        </w:r>
                        <w:r>
                          <w:rPr>
                            <w:rFonts w:hint="eastAsia"/>
                            <w:sz w:val="22"/>
                            <w:lang w:val="en-US" w:eastAsia="zh-CN"/>
                          </w:rPr>
                          <w:t>20</w:t>
                        </w:r>
                        <w:r>
                          <w:rPr>
                            <w:rFonts w:hint="eastAsia"/>
                            <w:sz w:val="22"/>
                          </w:rPr>
                          <w:t>-</w:t>
                        </w:r>
                        <w:r>
                          <w:rPr>
                            <w:rFonts w:hint="eastAsia"/>
                            <w:sz w:val="22"/>
                            <w:lang w:val="en-US" w:eastAsia="zh-CN"/>
                          </w:rPr>
                          <w:t>22</w:t>
                        </w:r>
                        <w:r>
                          <w:rPr>
                            <w:rFonts w:hint="eastAsia"/>
                            <w:sz w:val="22"/>
                          </w:rPr>
                          <w:t>日）</w:t>
                        </w:r>
                      </w:p>
                      <w:p>
                        <w:pPr>
                          <w:spacing w:line="380" w:lineRule="exact"/>
                          <w:jc w:val="left"/>
                          <w:rPr>
                            <w:rFonts w:hint="eastAsia"/>
                            <w:sz w:val="22"/>
                          </w:rPr>
                        </w:pPr>
                        <w:r>
                          <w:rPr>
                            <w:rFonts w:hint="eastAsia"/>
                            <w:sz w:val="22"/>
                          </w:rPr>
                          <w:t>*专家审稿、多方沟通与提交报告（</w:t>
                        </w:r>
                        <w:r>
                          <w:rPr>
                            <w:rFonts w:hint="eastAsia"/>
                            <w:sz w:val="22"/>
                            <w:lang w:val="en-US" w:eastAsia="zh-CN"/>
                          </w:rPr>
                          <w:t>6</w:t>
                        </w:r>
                        <w:r>
                          <w:rPr>
                            <w:rFonts w:hint="eastAsia"/>
                            <w:sz w:val="22"/>
                          </w:rPr>
                          <w:t>月</w:t>
                        </w:r>
                        <w:r>
                          <w:rPr>
                            <w:rFonts w:hint="eastAsia"/>
                            <w:sz w:val="22"/>
                            <w:lang w:val="en-US" w:eastAsia="zh-CN"/>
                          </w:rPr>
                          <w:t>23）</w:t>
                        </w:r>
                        <w:r>
                          <w:rPr>
                            <w:rFonts w:hint="eastAsia"/>
                            <w:sz w:val="22"/>
                          </w:rPr>
                          <w:t>日）</w:t>
                        </w:r>
                      </w:p>
                      <w:p>
                        <w:pPr>
                          <w:jc w:val="left"/>
                          <w:rPr>
                            <w:rFonts w:hint="eastAsia"/>
                            <w:sz w:val="16"/>
                            <w:szCs w:val="15"/>
                          </w:rPr>
                        </w:pPr>
                      </w:p>
                    </w:txbxContent>
                  </v:textbox>
                </v:rect>
                <v:rect id="矩形 5" o:spid="_x0000_s1026" o:spt="1" style="position:absolute;left:6319;top:4;height:570;width:2513;" filled="f" stroked="t" coordsize="21600,21600" o:gfxdata="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5LNSdtwAAANsAAAAP&#10;AAAAAAAAAAEAIAAAACIAAABkcnMvZG93bnJldi54bWxQSwECFAAUAAAACACHTuJAMy8FnjsAAAA5&#10;AAAAEAAAAAAAAAABACAAAAAGAQAAZHJzL3NoYXBleG1sLnhtbFBLBQYAAAAABgAGAFsBAACwAwAA&#10;AAA=&#10;">
                  <v:fill on="f" focussize="0,0"/>
                  <v:stroke weight="1pt" color="#000000" joinstyle="miter"/>
                  <v:imagedata o:title=""/>
                  <o:lock v:ext="edit" aspectratio="f"/>
                  <v:textbox inset="7.19992125984252pt,3.59992125984252pt,7.19992125984252pt,3.59992125984252pt">
                    <w:txbxContent>
                      <w:p>
                        <w:pPr>
                          <w:jc w:val="center"/>
                          <w:rPr>
                            <w:rFonts w:hint="eastAsia"/>
                          </w:rPr>
                        </w:pPr>
                        <w:r>
                          <w:rPr>
                            <w:rFonts w:hint="eastAsia"/>
                          </w:rPr>
                          <w:t>完成评价方案</w:t>
                        </w:r>
                      </w:p>
                    </w:txbxContent>
                  </v:textbox>
                </v:rect>
                <v:line id="箭头 15" o:spid="_x0000_s1026" o:spt="20" style="position:absolute;left:1206;top:593;height:257;width:1;" filled="f" stroked="t" coordsize="21600,21600" o:gfxdata="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3l+mugAAANsA&#10;AAAPAAAAAAAAAAEAIAAAACIAAABkcnMvZG93bnJldi54bWxQSwECFAAUAAAACACHTuJAMy8FnjsA&#10;AAA5AAAAEAAAAAAAAAABACAAAAAJAQAAZHJzL3NoYXBleG1sLnhtbFBLBQYAAAAABgAGAFsBAACz&#10;AwAAAAA=&#10;">
                  <v:fill on="f" focussize="0,0"/>
                  <v:stroke weight="1.25pt" color="#000000" joinstyle="round" endarrow="block"/>
                  <v:imagedata o:title=""/>
                  <o:lock v:ext="edit" aspectratio="f"/>
                </v:line>
                <v:line id="箭头 17" o:spid="_x0000_s1026" o:spt="20" style="position:absolute;left:4377;top:582;height:279;width:1;" filled="f" stroked="t" coordsize="21600,21600" o:gfxdata="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j28AAAA&#10;2w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line id="箭头 19" o:spid="_x0000_s1026" o:spt="20" style="position:absolute;left:7581;top:593;height:278;width:1;" filled="f" stroked="t" coordsize="21600,21600" o:gfxdata="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2riDdugAAANsA&#10;AAAPAAAAAAAAAAEAIAAAACIAAABkcnMvZG93bnJldi54bWxQSwECFAAUAAAACACHTuJAMy8FnjsA&#10;AAA5AAAAEAAAAAAAAAABACAAAAAJAQAAZHJzL3NoYXBleG1sLnhtbFBLBQYAAAAABgAGAFsBAACz&#10;AwAAAAA=&#10;">
                  <v:fill on="f" focussize="0,0"/>
                  <v:stroke weight="1.25pt" color="#000000" joinstyle="round" endarrow="block"/>
                  <v:imagedata o:title=""/>
                  <o:lock v:ext="edit" aspectratio="f"/>
                </v:line>
                <v:line id="箭头 21" o:spid="_x0000_s1026" o:spt="20" style="position:absolute;left:2545;top:293;height:1;width:622;" filled="f" stroked="t" coordsize="21600,21600" o:gfxdata="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4oVGvQAA&#10;ANs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line>
                <v:line id="箭头 23" o:spid="_x0000_s1026" o:spt="20" style="position:absolute;left:5695;top:282;height:1;width:622;" filled="f" stroked="t" coordsize="21600,21600" o:gfxdata="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kwGzG8AAAA&#10;2w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group>
            </w:pict>
          </mc:Fallback>
        </mc:AlternateContent>
      </w:r>
    </w:p>
    <w:p>
      <w:pPr>
        <w:pStyle w:val="19"/>
        <w:spacing w:line="510" w:lineRule="exact"/>
        <w:ind w:right="-115" w:rightChars="-55" w:firstLine="480" w:firstLineChars="200"/>
        <w:outlineLvl w:val="9"/>
        <w:rPr>
          <w:rFonts w:hint="eastAsia" w:cs="Times New Roman"/>
          <w:color w:val="FF0000"/>
          <w:sz w:val="24"/>
          <w:szCs w:val="24"/>
          <w:highlight w:val="none"/>
        </w:rPr>
      </w:pPr>
    </w:p>
    <w:p>
      <w:pPr>
        <w:pStyle w:val="20"/>
        <w:ind w:left="1605" w:firstLine="0" w:firstLineChars="0"/>
        <w:outlineLvl w:val="9"/>
        <w:rPr>
          <w:bCs/>
          <w:color w:val="FF0000"/>
          <w:highlight w:val="none"/>
        </w:rPr>
      </w:pPr>
    </w:p>
    <w:p>
      <w:pPr>
        <w:pStyle w:val="20"/>
        <w:ind w:left="1605" w:firstLine="0" w:firstLineChars="0"/>
        <w:outlineLvl w:val="9"/>
        <w:rPr>
          <w:bCs/>
          <w:color w:val="FF0000"/>
          <w:highlight w:val="none"/>
        </w:rPr>
      </w:pPr>
    </w:p>
    <w:p>
      <w:pPr>
        <w:pStyle w:val="20"/>
        <w:ind w:left="1605" w:firstLine="0" w:firstLineChars="0"/>
        <w:outlineLvl w:val="9"/>
        <w:rPr>
          <w:bCs/>
          <w:color w:val="FF0000"/>
          <w:highlight w:val="none"/>
        </w:rPr>
      </w:pPr>
    </w:p>
    <w:p>
      <w:pPr>
        <w:pStyle w:val="20"/>
        <w:ind w:left="1605" w:firstLine="0" w:firstLineChars="0"/>
        <w:outlineLvl w:val="9"/>
        <w:rPr>
          <w:bCs/>
          <w:color w:val="FF0000"/>
          <w:highlight w:val="none"/>
        </w:rPr>
      </w:pPr>
    </w:p>
    <w:p>
      <w:pPr>
        <w:pStyle w:val="20"/>
        <w:ind w:left="1605" w:firstLine="0" w:firstLineChars="0"/>
        <w:outlineLvl w:val="9"/>
        <w:rPr>
          <w:bCs/>
          <w:color w:val="FF0000"/>
          <w:highlight w:val="none"/>
        </w:rPr>
      </w:pPr>
    </w:p>
    <w:p>
      <w:pPr>
        <w:pStyle w:val="20"/>
        <w:ind w:left="1605" w:firstLine="0" w:firstLineChars="0"/>
        <w:outlineLvl w:val="9"/>
        <w:rPr>
          <w:bCs/>
          <w:color w:val="FF0000"/>
          <w:highlight w:val="none"/>
        </w:rPr>
      </w:pPr>
    </w:p>
    <w:p>
      <w:pPr>
        <w:pStyle w:val="20"/>
        <w:ind w:left="1605" w:firstLine="0" w:firstLineChars="0"/>
        <w:outlineLvl w:val="9"/>
        <w:rPr>
          <w:bCs/>
          <w:color w:val="FF0000"/>
          <w:highlight w:val="none"/>
        </w:rPr>
      </w:pPr>
    </w:p>
    <w:p>
      <w:pPr>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color w:val="FF0000"/>
          <w:sz w:val="24"/>
          <w:szCs w:val="24"/>
          <w:highlight w:val="none"/>
        </w:rPr>
      </w:pPr>
    </w:p>
    <w:p>
      <w:pPr>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color w:val="FF0000"/>
          <w:sz w:val="24"/>
          <w:szCs w:val="24"/>
          <w:highlight w:val="none"/>
        </w:rPr>
      </w:pPr>
    </w:p>
    <w:p>
      <w:pPr>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color w:val="FF0000"/>
          <w:sz w:val="24"/>
          <w:szCs w:val="24"/>
          <w:highlight w:val="none"/>
        </w:rPr>
      </w:pPr>
    </w:p>
    <w:p>
      <w:pPr>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color w:val="FF0000"/>
          <w:sz w:val="24"/>
          <w:szCs w:val="24"/>
          <w:highlight w:val="none"/>
        </w:rPr>
      </w:pPr>
    </w:p>
    <w:p>
      <w:pPr>
        <w:keepNext/>
        <w:keepLines/>
        <w:pageBreakBefore w:val="0"/>
        <w:widowControl w:val="0"/>
        <w:kinsoku/>
        <w:wordWrap/>
        <w:overflowPunct/>
        <w:topLinePunct w:val="0"/>
        <w:autoSpaceDE/>
        <w:autoSpaceDN/>
        <w:bidi w:val="0"/>
        <w:adjustRightInd/>
        <w:snapToGrid/>
        <w:spacing w:before="0" w:after="0" w:line="360" w:lineRule="auto"/>
        <w:ind w:left="0" w:leftChars="0" w:firstLine="480" w:firstLineChars="200"/>
        <w:jc w:val="left"/>
        <w:textAlignment w:val="auto"/>
        <w:outlineLvl w:val="9"/>
        <w:rPr>
          <w:rFonts w:hint="eastAsia" w:asciiTheme="majorEastAsia" w:hAnsiTheme="majorEastAsia" w:eastAsiaTheme="majorEastAsia" w:cstheme="majorEastAsia"/>
          <w:b w:val="0"/>
          <w:bCs/>
          <w:color w:val="auto"/>
          <w:sz w:val="24"/>
          <w:szCs w:val="24"/>
          <w:highlight w:val="none"/>
        </w:rPr>
      </w:pPr>
      <w:r>
        <w:rPr>
          <w:rFonts w:hint="eastAsia" w:asciiTheme="majorEastAsia" w:hAnsiTheme="majorEastAsia" w:eastAsiaTheme="majorEastAsia" w:cstheme="majorEastAsia"/>
          <w:b w:val="0"/>
          <w:bCs/>
          <w:color w:val="FF0000"/>
          <w:sz w:val="24"/>
          <w:szCs w:val="24"/>
          <w:highlight w:val="none"/>
          <w:lang w:val="en-US" w:eastAsia="zh-CN"/>
        </w:rPr>
        <w:t xml:space="preserve"> </w:t>
      </w:r>
      <w:bookmarkStart w:id="21" w:name="_Toc17085"/>
      <w:r>
        <w:rPr>
          <w:rFonts w:hint="eastAsia" w:asciiTheme="majorEastAsia" w:hAnsiTheme="majorEastAsia" w:eastAsiaTheme="majorEastAsia" w:cstheme="majorEastAsia"/>
          <w:b w:val="0"/>
          <w:bCs/>
          <w:color w:val="auto"/>
          <w:sz w:val="24"/>
          <w:szCs w:val="24"/>
          <w:highlight w:val="none"/>
          <w:lang w:val="en-US" w:eastAsia="zh-CN"/>
        </w:rPr>
        <w:t>（2）</w:t>
      </w:r>
      <w:r>
        <w:rPr>
          <w:rFonts w:hint="eastAsia" w:asciiTheme="majorEastAsia" w:hAnsiTheme="majorEastAsia" w:eastAsiaTheme="majorEastAsia" w:cstheme="majorEastAsia"/>
          <w:b w:val="0"/>
          <w:bCs/>
          <w:color w:val="auto"/>
          <w:sz w:val="24"/>
          <w:szCs w:val="24"/>
          <w:highlight w:val="none"/>
        </w:rPr>
        <w:t>绩效评价依据</w:t>
      </w:r>
      <w:bookmarkEnd w:id="21"/>
    </w:p>
    <w:p>
      <w:pPr>
        <w:pStyle w:val="19"/>
        <w:keepNext w:val="0"/>
        <w:keepLines w:val="0"/>
        <w:pageBreakBefore w:val="0"/>
        <w:kinsoku/>
        <w:wordWrap/>
        <w:overflowPunct/>
        <w:topLinePunct w:val="0"/>
        <w:autoSpaceDE/>
        <w:autoSpaceDN/>
        <w:bidi w:val="0"/>
        <w:adjustRightInd/>
        <w:snapToGrid/>
        <w:spacing w:line="360" w:lineRule="auto"/>
        <w:ind w:left="0" w:leftChars="0" w:right="-115" w:rightChars="-55"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①</w:t>
      </w:r>
      <w:r>
        <w:rPr>
          <w:rFonts w:hint="eastAsia" w:asciiTheme="majorEastAsia" w:hAnsiTheme="majorEastAsia" w:eastAsiaTheme="majorEastAsia" w:cstheme="majorEastAsia"/>
          <w:color w:val="auto"/>
          <w:sz w:val="24"/>
          <w:szCs w:val="24"/>
          <w:highlight w:val="none"/>
        </w:rPr>
        <w:t>《预算绩效评价共性指标体系框架》（财预[2013]53号）；</w:t>
      </w:r>
    </w:p>
    <w:p>
      <w:pPr>
        <w:pStyle w:val="19"/>
        <w:keepNext w:val="0"/>
        <w:keepLines w:val="0"/>
        <w:pageBreakBefore w:val="0"/>
        <w:kinsoku/>
        <w:wordWrap/>
        <w:overflowPunct/>
        <w:topLinePunct w:val="0"/>
        <w:autoSpaceDE/>
        <w:autoSpaceDN/>
        <w:bidi w:val="0"/>
        <w:adjustRightInd/>
        <w:snapToGrid/>
        <w:spacing w:line="360" w:lineRule="auto"/>
        <w:ind w:left="0" w:leftChars="0" w:right="-115" w:rightChars="-55"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 xml:space="preserve">② </w:t>
      </w:r>
      <w:r>
        <w:rPr>
          <w:rFonts w:hint="eastAsia" w:asciiTheme="majorEastAsia" w:hAnsiTheme="majorEastAsia" w:eastAsiaTheme="majorEastAsia" w:cstheme="majorEastAsia"/>
          <w:color w:val="auto"/>
          <w:sz w:val="24"/>
          <w:szCs w:val="24"/>
          <w:highlight w:val="none"/>
        </w:rPr>
        <w:t>财政部《财政支出绩效评价管理暂行办法》（财预〔2011〕285号）；</w:t>
      </w:r>
    </w:p>
    <w:p>
      <w:pPr>
        <w:pStyle w:val="19"/>
        <w:keepNext w:val="0"/>
        <w:keepLines w:val="0"/>
        <w:pageBreakBefore w:val="0"/>
        <w:kinsoku/>
        <w:wordWrap/>
        <w:overflowPunct/>
        <w:topLinePunct w:val="0"/>
        <w:autoSpaceDE/>
        <w:autoSpaceDN/>
        <w:bidi w:val="0"/>
        <w:adjustRightInd/>
        <w:snapToGrid/>
        <w:spacing w:line="360" w:lineRule="auto"/>
        <w:ind w:left="0" w:leftChars="0" w:right="-115" w:rightChars="-55"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③</w:t>
      </w:r>
      <w:r>
        <w:rPr>
          <w:rFonts w:hint="eastAsia" w:asciiTheme="majorEastAsia" w:hAnsiTheme="majorEastAsia" w:eastAsiaTheme="majorEastAsia" w:cstheme="majorEastAsia"/>
          <w:color w:val="auto"/>
          <w:sz w:val="24"/>
          <w:szCs w:val="24"/>
          <w:highlight w:val="none"/>
        </w:rPr>
        <w:t>《财政支出（项目支出）绩效评价操作指引(试行)》（中评协[2014]70号）；</w:t>
      </w:r>
    </w:p>
    <w:p>
      <w:pPr>
        <w:pStyle w:val="19"/>
        <w:keepNext w:val="0"/>
        <w:keepLines w:val="0"/>
        <w:pageBreakBefore w:val="0"/>
        <w:kinsoku/>
        <w:wordWrap/>
        <w:overflowPunct/>
        <w:topLinePunct w:val="0"/>
        <w:autoSpaceDE/>
        <w:autoSpaceDN/>
        <w:bidi w:val="0"/>
        <w:adjustRightInd/>
        <w:snapToGrid/>
        <w:spacing w:line="360" w:lineRule="auto"/>
        <w:ind w:left="0" w:leftChars="0" w:right="-115" w:rightChars="-55"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④</w:t>
      </w:r>
      <w:r>
        <w:rPr>
          <w:rFonts w:hint="eastAsia" w:asciiTheme="majorEastAsia" w:hAnsiTheme="majorEastAsia" w:eastAsiaTheme="majorEastAsia" w:cstheme="majorEastAsia"/>
          <w:color w:val="auto"/>
          <w:sz w:val="24"/>
          <w:szCs w:val="24"/>
          <w:highlight w:val="none"/>
        </w:rPr>
        <w:t>《湖北省财政项目资金绩效评价操作指南》（鄂财函[2014]376号）；</w:t>
      </w:r>
    </w:p>
    <w:p>
      <w:pPr>
        <w:pStyle w:val="16"/>
        <w:keepNext w:val="0"/>
        <w:keepLines w:val="0"/>
        <w:pageBreakBefore w:val="0"/>
        <w:kinsoku/>
        <w:wordWrap/>
        <w:overflowPunct/>
        <w:topLinePunct w:val="0"/>
        <w:autoSpaceDE/>
        <w:autoSpaceDN/>
        <w:bidi w:val="0"/>
        <w:adjustRightInd/>
        <w:snapToGrid/>
        <w:spacing w:line="360" w:lineRule="auto"/>
        <w:ind w:left="0" w:lef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⑤</w:t>
      </w:r>
      <w:r>
        <w:rPr>
          <w:rFonts w:hint="eastAsia" w:asciiTheme="majorEastAsia" w:hAnsiTheme="majorEastAsia" w:eastAsiaTheme="majorEastAsia" w:cstheme="majorEastAsia"/>
          <w:color w:val="auto"/>
          <w:sz w:val="24"/>
          <w:szCs w:val="24"/>
          <w:highlight w:val="none"/>
        </w:rPr>
        <w:t>《湖北省省级财政项目资金绩效评价实施暂行办法》（鄂财绩发[2012]5号）；</w:t>
      </w:r>
    </w:p>
    <w:p>
      <w:pPr>
        <w:pStyle w:val="19"/>
        <w:keepNext w:val="0"/>
        <w:keepLines w:val="0"/>
        <w:pageBreakBefore w:val="0"/>
        <w:kinsoku/>
        <w:wordWrap/>
        <w:overflowPunct/>
        <w:topLinePunct w:val="0"/>
        <w:autoSpaceDE/>
        <w:autoSpaceDN/>
        <w:bidi w:val="0"/>
        <w:adjustRightInd/>
        <w:snapToGrid/>
        <w:spacing w:line="360" w:lineRule="auto"/>
        <w:ind w:left="0" w:leftChars="0" w:right="-115" w:rightChars="-55" w:firstLine="480" w:firstLineChars="200"/>
        <w:jc w:val="left"/>
        <w:textAlignment w:val="auto"/>
        <w:outlineLvl w:val="9"/>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val="en-US" w:eastAsia="zh-CN"/>
        </w:rPr>
        <w:t xml:space="preserve">⑥ </w:t>
      </w:r>
      <w:r>
        <w:rPr>
          <w:rFonts w:hint="eastAsia" w:asciiTheme="majorEastAsia" w:hAnsiTheme="majorEastAsia" w:eastAsiaTheme="majorEastAsia" w:cstheme="majorEastAsia"/>
          <w:color w:val="auto"/>
          <w:sz w:val="24"/>
          <w:szCs w:val="24"/>
          <w:highlight w:val="none"/>
        </w:rPr>
        <w:t>财政部《行政单位会计制度》、《事业单位会计制度》及补充规定</w:t>
      </w:r>
      <w:r>
        <w:rPr>
          <w:rFonts w:hint="eastAsia" w:asciiTheme="majorEastAsia" w:hAnsiTheme="majorEastAsia" w:eastAsiaTheme="majorEastAsia" w:cstheme="majorEastAsia"/>
          <w:color w:val="auto"/>
          <w:sz w:val="24"/>
          <w:szCs w:val="24"/>
          <w:highlight w:val="none"/>
          <w:lang w:eastAsia="zh-CN"/>
        </w:rPr>
        <w:t>。</w:t>
      </w:r>
    </w:p>
    <w:p>
      <w:pPr>
        <w:pStyle w:val="4"/>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left"/>
        <w:textAlignment w:val="auto"/>
        <w:outlineLvl w:val="2"/>
        <w:rPr>
          <w:rFonts w:hint="eastAsia" w:asciiTheme="majorEastAsia" w:hAnsiTheme="majorEastAsia" w:eastAsiaTheme="majorEastAsia" w:cstheme="majorEastAsia"/>
          <w:color w:val="auto"/>
          <w:sz w:val="24"/>
          <w:szCs w:val="24"/>
          <w:highlight w:val="none"/>
          <w:lang w:val="en-US" w:eastAsia="zh-CN"/>
        </w:rPr>
      </w:pPr>
      <w:bookmarkStart w:id="22" w:name="_Toc9671"/>
      <w:r>
        <w:rPr>
          <w:rFonts w:hint="eastAsia" w:asciiTheme="majorEastAsia" w:hAnsiTheme="majorEastAsia" w:eastAsiaTheme="majorEastAsia" w:cstheme="majorEastAsia"/>
          <w:color w:val="auto"/>
          <w:sz w:val="24"/>
          <w:szCs w:val="24"/>
          <w:highlight w:val="none"/>
          <w:lang w:val="en-US" w:eastAsia="zh-CN"/>
        </w:rPr>
        <w:t>3、绩效评价等级标准</w:t>
      </w:r>
      <w:bookmarkEnd w:id="22"/>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依据</w:t>
      </w:r>
      <w:r>
        <w:rPr>
          <w:rFonts w:hint="eastAsia" w:ascii="宋体" w:hAnsi="宋体" w:eastAsia="宋体" w:cs="宋体"/>
          <w:color w:val="auto"/>
          <w:kern w:val="2"/>
          <w:sz w:val="24"/>
          <w:szCs w:val="24"/>
          <w:highlight w:val="none"/>
          <w:lang w:val="en-US" w:eastAsia="zh-CN" w:bidi="ar-SA"/>
        </w:rPr>
        <w:t>《武昌区财政局关于开展2018年区级财政支出绩效评价工作的通知</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，将评分结果级别类型分为如下档次：</w:t>
      </w:r>
    </w:p>
    <w:p>
      <w:pPr>
        <w:pStyle w:val="16"/>
        <w:keepNext w:val="0"/>
        <w:keepLines w:val="0"/>
        <w:pageBreakBefore w:val="0"/>
        <w:kinsoku/>
        <w:wordWrap/>
        <w:overflowPunct/>
        <w:topLinePunct w:val="0"/>
        <w:autoSpaceDE/>
        <w:autoSpaceDN/>
        <w:bidi w:val="0"/>
        <w:adjustRightInd/>
        <w:snapToGrid/>
        <w:spacing w:line="360" w:lineRule="auto"/>
        <w:ind w:firstLine="2650" w:firstLineChars="1100"/>
        <w:jc w:val="both"/>
        <w:textAlignment w:val="auto"/>
        <w:outlineLvl w:val="9"/>
        <w:rPr>
          <w:rFonts w:hint="eastAsia" w:ascii="宋体" w:hAnsi="宋体" w:cs="宋体"/>
          <w:color w:val="auto"/>
          <w:sz w:val="24"/>
          <w:szCs w:val="24"/>
          <w:highlight w:val="none"/>
        </w:rPr>
      </w:pPr>
      <w:bookmarkStart w:id="23" w:name="_Toc29723_WPSOffice_Level3"/>
      <w:r>
        <w:rPr>
          <w:rFonts w:hint="eastAsia" w:ascii="楷体" w:hAnsi="楷体" w:eastAsia="楷体" w:cs="楷体"/>
          <w:b/>
          <w:color w:val="auto"/>
          <w:sz w:val="24"/>
          <w:szCs w:val="24"/>
          <w:highlight w:val="none"/>
          <w:lang w:eastAsia="zh-CN"/>
        </w:rPr>
        <w:t>表</w:t>
      </w:r>
      <w:r>
        <w:rPr>
          <w:rFonts w:hint="eastAsia" w:ascii="楷体" w:hAnsi="楷体" w:eastAsia="楷体" w:cs="楷体"/>
          <w:b/>
          <w:color w:val="auto"/>
          <w:sz w:val="24"/>
          <w:szCs w:val="24"/>
          <w:highlight w:val="none"/>
          <w:lang w:val="en-US" w:eastAsia="zh-CN"/>
        </w:rPr>
        <w:t xml:space="preserve">2   </w:t>
      </w:r>
      <w:r>
        <w:rPr>
          <w:rFonts w:hint="eastAsia" w:ascii="楷体" w:hAnsi="楷体" w:eastAsia="楷体" w:cs="楷体"/>
          <w:b/>
          <w:color w:val="auto"/>
          <w:sz w:val="24"/>
          <w:szCs w:val="24"/>
          <w:highlight w:val="none"/>
        </w:rPr>
        <w:t>评分结果级别评定对照表</w:t>
      </w:r>
      <w:bookmarkEnd w:id="23"/>
    </w:p>
    <w:tbl>
      <w:tblPr>
        <w:tblStyle w:val="15"/>
        <w:tblW w:w="4281" w:type="dxa"/>
        <w:jc w:val="center"/>
        <w:tblInd w:w="2053" w:type="dxa"/>
        <w:tblLayout w:type="fixed"/>
        <w:tblCellMar>
          <w:top w:w="0" w:type="dxa"/>
          <w:left w:w="108" w:type="dxa"/>
          <w:bottom w:w="0" w:type="dxa"/>
          <w:right w:w="108" w:type="dxa"/>
        </w:tblCellMar>
      </w:tblPr>
      <w:tblGrid>
        <w:gridCol w:w="2534"/>
        <w:gridCol w:w="1747"/>
      </w:tblGrid>
      <w:tr>
        <w:tblPrEx>
          <w:tblLayout w:type="fixed"/>
          <w:tblCellMar>
            <w:top w:w="0" w:type="dxa"/>
            <w:left w:w="108" w:type="dxa"/>
            <w:bottom w:w="0" w:type="dxa"/>
            <w:right w:w="108" w:type="dxa"/>
          </w:tblCellMar>
        </w:tblPrEx>
        <w:trPr>
          <w:trHeight w:val="498" w:hRule="exact"/>
          <w:jc w:val="center"/>
        </w:trPr>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auto"/>
                <w:kern w:val="0"/>
                <w:sz w:val="21"/>
                <w:szCs w:val="21"/>
                <w:u w:val="none"/>
                <w:lang w:val="en-US" w:eastAsia="zh-CN" w:bidi="ar"/>
              </w:rPr>
            </w:pPr>
            <w:r>
              <w:rPr>
                <w:rFonts w:hint="eastAsia" w:ascii="楷体_GB2312" w:hAnsi="宋体" w:eastAsia="楷体_GB2312" w:cs="楷体_GB2312"/>
                <w:b w:val="0"/>
                <w:bCs/>
                <w:i w:val="0"/>
                <w:color w:val="auto"/>
                <w:kern w:val="0"/>
                <w:sz w:val="21"/>
                <w:szCs w:val="21"/>
                <w:u w:val="none"/>
                <w:lang w:val="en-US" w:eastAsia="zh-CN" w:bidi="ar"/>
              </w:rPr>
              <w:t>评分计分结果</w:t>
            </w:r>
          </w:p>
        </w:tc>
        <w:tc>
          <w:tcPr>
            <w:tcW w:w="1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auto"/>
                <w:kern w:val="0"/>
                <w:sz w:val="21"/>
                <w:szCs w:val="21"/>
                <w:u w:val="none"/>
                <w:lang w:val="en-US" w:eastAsia="zh-CN" w:bidi="ar"/>
              </w:rPr>
            </w:pPr>
            <w:r>
              <w:rPr>
                <w:rFonts w:hint="eastAsia" w:ascii="楷体_GB2312" w:hAnsi="宋体" w:eastAsia="楷体_GB2312" w:cs="楷体_GB2312"/>
                <w:b w:val="0"/>
                <w:bCs/>
                <w:i w:val="0"/>
                <w:color w:val="auto"/>
                <w:kern w:val="0"/>
                <w:sz w:val="21"/>
                <w:szCs w:val="21"/>
                <w:u w:val="none"/>
                <w:lang w:val="en-US" w:eastAsia="zh-CN" w:bidi="ar"/>
              </w:rPr>
              <w:t>评价结果级别</w:t>
            </w:r>
          </w:p>
        </w:tc>
      </w:tr>
      <w:tr>
        <w:tblPrEx>
          <w:tblLayout w:type="fixed"/>
          <w:tblCellMar>
            <w:top w:w="0" w:type="dxa"/>
            <w:left w:w="108" w:type="dxa"/>
            <w:bottom w:w="0" w:type="dxa"/>
            <w:right w:w="108" w:type="dxa"/>
          </w:tblCellMar>
        </w:tblPrEx>
        <w:trPr>
          <w:trHeight w:val="448" w:hRule="exact"/>
          <w:jc w:val="center"/>
        </w:trPr>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auto"/>
                <w:kern w:val="0"/>
                <w:sz w:val="21"/>
                <w:szCs w:val="21"/>
                <w:u w:val="none"/>
                <w:lang w:val="en-US" w:eastAsia="zh-CN" w:bidi="ar"/>
              </w:rPr>
            </w:pPr>
            <w:r>
              <w:rPr>
                <w:rFonts w:hint="eastAsia" w:ascii="楷体_GB2312" w:hAnsi="宋体" w:eastAsia="楷体_GB2312" w:cs="楷体_GB2312"/>
                <w:b w:val="0"/>
                <w:bCs/>
                <w:i w:val="0"/>
                <w:color w:val="auto"/>
                <w:kern w:val="0"/>
                <w:sz w:val="21"/>
                <w:szCs w:val="21"/>
                <w:u w:val="none"/>
                <w:lang w:val="en-US" w:eastAsia="zh-CN" w:bidi="ar"/>
              </w:rPr>
              <w:t>90-100分（含90分）</w:t>
            </w:r>
          </w:p>
        </w:tc>
        <w:tc>
          <w:tcPr>
            <w:tcW w:w="1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auto"/>
                <w:kern w:val="0"/>
                <w:sz w:val="21"/>
                <w:szCs w:val="21"/>
                <w:u w:val="none"/>
                <w:lang w:val="en-US" w:eastAsia="zh-CN" w:bidi="ar"/>
              </w:rPr>
            </w:pPr>
            <w:r>
              <w:rPr>
                <w:rFonts w:hint="eastAsia" w:ascii="楷体_GB2312" w:hAnsi="宋体" w:eastAsia="楷体_GB2312" w:cs="楷体_GB2312"/>
                <w:b w:val="0"/>
                <w:bCs/>
                <w:i w:val="0"/>
                <w:color w:val="auto"/>
                <w:kern w:val="0"/>
                <w:sz w:val="21"/>
                <w:szCs w:val="21"/>
                <w:u w:val="none"/>
                <w:lang w:val="en-US" w:eastAsia="zh-CN" w:bidi="ar"/>
              </w:rPr>
              <w:t>优</w:t>
            </w:r>
          </w:p>
        </w:tc>
      </w:tr>
      <w:tr>
        <w:tblPrEx>
          <w:tblLayout w:type="fixed"/>
          <w:tblCellMar>
            <w:top w:w="0" w:type="dxa"/>
            <w:left w:w="108" w:type="dxa"/>
            <w:bottom w:w="0" w:type="dxa"/>
            <w:right w:w="108" w:type="dxa"/>
          </w:tblCellMar>
        </w:tblPrEx>
        <w:trPr>
          <w:trHeight w:val="448" w:hRule="exact"/>
          <w:jc w:val="center"/>
        </w:trPr>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80-90分（含80分）</w:t>
            </w:r>
          </w:p>
        </w:tc>
        <w:tc>
          <w:tcPr>
            <w:tcW w:w="1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良</w:t>
            </w:r>
          </w:p>
        </w:tc>
      </w:tr>
      <w:tr>
        <w:tblPrEx>
          <w:tblLayout w:type="fixed"/>
          <w:tblCellMar>
            <w:top w:w="0" w:type="dxa"/>
            <w:left w:w="108" w:type="dxa"/>
            <w:bottom w:w="0" w:type="dxa"/>
            <w:right w:w="108" w:type="dxa"/>
          </w:tblCellMar>
        </w:tblPrEx>
        <w:trPr>
          <w:trHeight w:val="448" w:hRule="exact"/>
          <w:jc w:val="center"/>
        </w:trPr>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60-80分（含60分）</w:t>
            </w:r>
          </w:p>
        </w:tc>
        <w:tc>
          <w:tcPr>
            <w:tcW w:w="1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中</w:t>
            </w:r>
          </w:p>
        </w:tc>
      </w:tr>
      <w:tr>
        <w:tblPrEx>
          <w:tblLayout w:type="fixed"/>
          <w:tblCellMar>
            <w:top w:w="0" w:type="dxa"/>
            <w:left w:w="108" w:type="dxa"/>
            <w:bottom w:w="0" w:type="dxa"/>
            <w:right w:w="108" w:type="dxa"/>
          </w:tblCellMar>
        </w:tblPrEx>
        <w:trPr>
          <w:trHeight w:val="448" w:hRule="exact"/>
          <w:jc w:val="center"/>
        </w:trPr>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60分以下</w:t>
            </w:r>
          </w:p>
        </w:tc>
        <w:tc>
          <w:tcPr>
            <w:tcW w:w="1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差</w:t>
            </w:r>
          </w:p>
        </w:tc>
      </w:tr>
    </w:tbl>
    <w:p>
      <w:pPr>
        <w:outlineLvl w:val="9"/>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left"/>
        <w:textAlignment w:val="auto"/>
        <w:outlineLvl w:val="2"/>
        <w:rPr>
          <w:rFonts w:hint="eastAsia" w:asciiTheme="majorEastAsia" w:hAnsiTheme="majorEastAsia" w:eastAsiaTheme="majorEastAsia" w:cstheme="majorEastAsia"/>
          <w:color w:val="auto"/>
          <w:sz w:val="24"/>
          <w:szCs w:val="24"/>
          <w:highlight w:val="none"/>
          <w:lang w:val="en-US" w:eastAsia="zh-CN"/>
        </w:rPr>
      </w:pPr>
      <w:bookmarkStart w:id="24" w:name="_Toc1292"/>
      <w:r>
        <w:rPr>
          <w:rFonts w:hint="eastAsia" w:asciiTheme="majorEastAsia" w:hAnsiTheme="majorEastAsia" w:eastAsiaTheme="majorEastAsia" w:cstheme="majorEastAsia"/>
          <w:color w:val="auto"/>
          <w:sz w:val="24"/>
          <w:szCs w:val="24"/>
          <w:highlight w:val="none"/>
          <w:lang w:val="en-US" w:eastAsia="zh-CN"/>
        </w:rPr>
        <w:t>4．评价指标</w:t>
      </w:r>
      <w:bookmarkEnd w:id="24"/>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根据</w:t>
      </w:r>
      <w:r>
        <w:rPr>
          <w:rFonts w:hint="eastAsia" w:ascii="宋体" w:hAnsi="宋体" w:eastAsia="宋体" w:cs="宋体"/>
          <w:b w:val="0"/>
          <w:bCs/>
          <w:color w:val="auto"/>
          <w:sz w:val="24"/>
          <w:szCs w:val="24"/>
          <w:lang w:eastAsia="zh-CN"/>
        </w:rPr>
        <w:t>《武昌区人民政府关于加强预算绩效管理开展财政支出绩效评价的通知》（2014[052]号）、《武昌区财政支出绩效评价管理暂行办法》（武昌财预[2015]85号）</w:t>
      </w:r>
      <w:r>
        <w:rPr>
          <w:rFonts w:hint="eastAsia" w:ascii="宋体" w:hAnsi="宋体" w:eastAsia="宋体" w:cs="宋体"/>
          <w:b w:val="0"/>
          <w:bCs/>
          <w:color w:val="auto"/>
          <w:sz w:val="24"/>
          <w:szCs w:val="24"/>
          <w:lang w:val="en-US" w:eastAsia="zh-CN"/>
        </w:rPr>
        <w:t>，</w:t>
      </w:r>
      <w:r>
        <w:rPr>
          <w:rFonts w:hint="eastAsia" w:ascii="宋体" w:hAnsi="宋体" w:eastAsia="宋体" w:cs="宋体"/>
          <w:color w:val="auto"/>
          <w:kern w:val="2"/>
          <w:sz w:val="24"/>
          <w:szCs w:val="24"/>
          <w:highlight w:val="none"/>
          <w:lang w:val="en-US" w:eastAsia="zh-CN" w:bidi="ar-SA"/>
        </w:rPr>
        <w:t>《武昌区财政局关于开展2018年区级财政支出绩效评价工作的通知</w:t>
      </w:r>
      <w:r>
        <w:rPr>
          <w:rFonts w:hint="eastAsia" w:ascii="宋体" w:hAnsi="宋体" w:cs="宋体"/>
          <w:color w:val="auto"/>
          <w:sz w:val="24"/>
          <w:szCs w:val="24"/>
          <w:highlight w:val="none"/>
          <w:lang w:eastAsia="zh-CN"/>
        </w:rPr>
        <w:t>》</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结合本项目的具体情况，设计</w:t>
      </w:r>
      <w:r>
        <w:rPr>
          <w:rFonts w:hint="eastAsia" w:asciiTheme="minorEastAsia" w:hAnsiTheme="minorEastAsia" w:cstheme="minorEastAsia"/>
          <w:sz w:val="24"/>
          <w:szCs w:val="24"/>
          <w:lang w:val="en-US" w:eastAsia="zh-CN"/>
        </w:rPr>
        <w:t>了</w:t>
      </w:r>
      <w:r>
        <w:rPr>
          <w:rFonts w:hint="eastAsia" w:ascii="宋体" w:hAnsi="宋体" w:eastAsia="宋体" w:cs="宋体"/>
          <w:b w:val="0"/>
          <w:bCs/>
          <w:color w:val="auto"/>
          <w:sz w:val="24"/>
          <w:szCs w:val="24"/>
          <w:lang w:eastAsia="zh-CN"/>
        </w:rPr>
        <w:t>项目</w:t>
      </w:r>
      <w:r>
        <w:rPr>
          <w:rFonts w:hint="eastAsia" w:asciiTheme="minorEastAsia" w:hAnsiTheme="minorEastAsia" w:eastAsiaTheme="minorEastAsia" w:cstheme="minorEastAsia"/>
          <w:sz w:val="24"/>
          <w:szCs w:val="24"/>
        </w:rPr>
        <w:t>评价指标体系，从项目</w:t>
      </w:r>
      <w:r>
        <w:rPr>
          <w:rFonts w:hint="eastAsia" w:asciiTheme="minorEastAsia" w:hAnsiTheme="minorEastAsia" w:cstheme="minorEastAsia"/>
          <w:sz w:val="24"/>
          <w:szCs w:val="24"/>
          <w:lang w:val="en-US" w:eastAsia="zh-CN"/>
        </w:rPr>
        <w:t>投入（15%）</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val="en-US" w:eastAsia="zh-CN"/>
        </w:rPr>
        <w:t>过程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highlight w:val="none"/>
          <w:lang w:eastAsia="zh-CN"/>
        </w:rPr>
        <w:t>项目</w:t>
      </w:r>
      <w:r>
        <w:rPr>
          <w:rFonts w:hint="eastAsia" w:asciiTheme="minorEastAsia" w:hAnsiTheme="minorEastAsia" w:eastAsiaTheme="minorEastAsia" w:cstheme="minorEastAsia"/>
          <w:sz w:val="24"/>
          <w:szCs w:val="24"/>
          <w:highlight w:val="none"/>
          <w:lang w:val="en-US" w:eastAsia="zh-CN"/>
        </w:rPr>
        <w:t>产出</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25%</w:t>
      </w:r>
      <w:r>
        <w:rPr>
          <w:rFonts w:hint="eastAsia" w:asciiTheme="minorEastAsia" w:hAnsiTheme="minorEastAsia" w:eastAsiaTheme="minorEastAsia" w:cstheme="minorEastAsia"/>
          <w:sz w:val="24"/>
          <w:szCs w:val="24"/>
          <w:highlight w:val="none"/>
          <w:lang w:eastAsia="zh-CN"/>
        </w:rPr>
        <w:t>）、项目</w:t>
      </w:r>
      <w:r>
        <w:rPr>
          <w:rFonts w:hint="eastAsia" w:asciiTheme="minorEastAsia" w:hAnsiTheme="minorEastAsia" w:eastAsiaTheme="minorEastAsia" w:cstheme="minorEastAsia"/>
          <w:sz w:val="24"/>
          <w:szCs w:val="24"/>
          <w:highlight w:val="none"/>
          <w:lang w:val="en-US" w:eastAsia="zh-CN"/>
        </w:rPr>
        <w:t>效益</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35%</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cstheme="minorEastAsia"/>
          <w:sz w:val="24"/>
          <w:szCs w:val="24"/>
          <w:highlight w:val="none"/>
          <w:lang w:val="en-US" w:eastAsia="zh-CN"/>
        </w:rPr>
        <w:t>四</w:t>
      </w:r>
      <w:r>
        <w:rPr>
          <w:rFonts w:hint="eastAsia" w:asciiTheme="minorEastAsia" w:hAnsiTheme="minorEastAsia" w:eastAsiaTheme="minorEastAsia" w:cstheme="minorEastAsia"/>
          <w:sz w:val="24"/>
          <w:szCs w:val="24"/>
          <w:highlight w:val="none"/>
        </w:rPr>
        <w:t>个维度，</w:t>
      </w:r>
      <w:r>
        <w:rPr>
          <w:rFonts w:hint="eastAsia" w:asciiTheme="minorEastAsia" w:hAnsiTheme="minorEastAsia" w:eastAsiaTheme="minorEastAsia" w:cstheme="minorEastAsia"/>
          <w:sz w:val="24"/>
          <w:szCs w:val="24"/>
          <w:lang w:val="en-US" w:eastAsia="zh-CN"/>
        </w:rPr>
        <w:t>对</w:t>
      </w:r>
      <w:r>
        <w:rPr>
          <w:rFonts w:hint="eastAsia" w:asciiTheme="minorEastAsia" w:hAnsiTheme="minorEastAsia" w:eastAsiaTheme="minorEastAsia" w:cstheme="minorEastAsia"/>
          <w:sz w:val="24"/>
          <w:szCs w:val="24"/>
        </w:rPr>
        <w:t>项目资金进行综合评价。</w:t>
      </w:r>
    </w:p>
    <w:p>
      <w:pPr>
        <w:spacing w:line="360" w:lineRule="auto"/>
        <w:ind w:firstLine="482" w:firstLineChars="200"/>
        <w:jc w:val="left"/>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 xml:space="preserve">见附表1：绩效评价指标体系  </w:t>
      </w:r>
    </w:p>
    <w:p>
      <w:pPr>
        <w:spacing w:line="360" w:lineRule="auto"/>
        <w:ind w:firstLine="482" w:firstLineChars="200"/>
        <w:jc w:val="left"/>
        <w:rPr>
          <w:rFonts w:hint="eastAsia" w:ascii="楷体" w:hAnsi="楷体" w:eastAsia="楷体" w:cs="楷体"/>
          <w:b/>
          <w:bCs/>
          <w:sz w:val="24"/>
          <w:szCs w:val="24"/>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0" w:leftChars="0" w:firstLine="420" w:firstLineChars="0"/>
        <w:jc w:val="center"/>
        <w:textAlignment w:val="auto"/>
        <w:outlineLvl w:val="0"/>
        <w:rPr>
          <w:rFonts w:hint="eastAsia" w:asciiTheme="majorEastAsia" w:hAnsiTheme="majorEastAsia" w:eastAsiaTheme="majorEastAsia" w:cstheme="majorEastAsia"/>
          <w:color w:val="auto"/>
          <w:sz w:val="32"/>
          <w:szCs w:val="32"/>
          <w:highlight w:val="none"/>
          <w:lang w:val="en-US" w:eastAsia="zh-CN"/>
        </w:rPr>
      </w:pPr>
      <w:bookmarkStart w:id="25" w:name="_Toc30097"/>
      <w:r>
        <w:rPr>
          <w:rFonts w:hint="eastAsia" w:asciiTheme="majorEastAsia" w:hAnsiTheme="majorEastAsia" w:eastAsiaTheme="majorEastAsia" w:cstheme="majorEastAsia"/>
          <w:color w:val="auto"/>
          <w:sz w:val="32"/>
          <w:szCs w:val="32"/>
          <w:highlight w:val="none"/>
          <w:lang w:val="en-US" w:eastAsia="zh-CN"/>
        </w:rPr>
        <w:t>绩效分析及评价结论</w:t>
      </w:r>
      <w:bookmarkEnd w:id="25"/>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1"/>
        <w:rPr>
          <w:rFonts w:hint="eastAsia" w:asciiTheme="majorEastAsia" w:hAnsiTheme="majorEastAsia" w:eastAsiaTheme="majorEastAsia" w:cstheme="majorEastAsia"/>
          <w:color w:val="auto"/>
          <w:sz w:val="30"/>
          <w:szCs w:val="30"/>
          <w:lang w:eastAsia="zh-CN"/>
        </w:rPr>
      </w:pPr>
      <w:bookmarkStart w:id="26" w:name="_Toc32754"/>
      <w:r>
        <w:rPr>
          <w:rFonts w:hint="eastAsia" w:asciiTheme="majorEastAsia" w:hAnsiTheme="majorEastAsia" w:eastAsiaTheme="majorEastAsia" w:cstheme="majorEastAsia"/>
          <w:color w:val="auto"/>
          <w:sz w:val="30"/>
          <w:szCs w:val="30"/>
          <w:lang w:eastAsia="zh-CN"/>
        </w:rPr>
        <w:t>（一）绩效分析</w:t>
      </w:r>
      <w:bookmarkEnd w:id="26"/>
    </w:p>
    <w:p>
      <w:pPr>
        <w:keepNext/>
        <w:keepLines/>
        <w:pageBreakBefore w:val="0"/>
        <w:widowControl w:val="0"/>
        <w:kinsoku/>
        <w:wordWrap/>
        <w:overflowPunct/>
        <w:topLinePunct w:val="0"/>
        <w:autoSpaceDE/>
        <w:autoSpaceDN/>
        <w:bidi w:val="0"/>
        <w:adjustRightInd/>
        <w:snapToGrid/>
        <w:spacing w:before="0" w:after="0" w:line="360" w:lineRule="auto"/>
        <w:ind w:left="0" w:leftChars="0" w:firstLine="482" w:firstLineChars="200"/>
        <w:jc w:val="left"/>
        <w:textAlignment w:val="auto"/>
        <w:outlineLvl w:val="9"/>
        <w:rPr>
          <w:rFonts w:hint="eastAsia" w:asciiTheme="majorEastAsia" w:hAnsiTheme="majorEastAsia" w:eastAsiaTheme="majorEastAsia" w:cstheme="majorEastAsia"/>
          <w:b/>
          <w:bCs/>
          <w:color w:val="auto"/>
          <w:sz w:val="24"/>
          <w:szCs w:val="24"/>
          <w:lang w:val="en-US" w:eastAsia="zh-CN"/>
        </w:rPr>
      </w:pPr>
      <w:r>
        <w:rPr>
          <w:rFonts w:hint="eastAsia" w:asciiTheme="majorEastAsia" w:hAnsiTheme="majorEastAsia" w:eastAsiaTheme="majorEastAsia" w:cstheme="majorEastAsia"/>
          <w:b/>
          <w:bCs/>
          <w:color w:val="auto"/>
          <w:sz w:val="24"/>
          <w:szCs w:val="24"/>
          <w:lang w:val="en-US" w:eastAsia="zh-CN"/>
        </w:rPr>
        <w:t>1、项目资金到位情况分析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ajorEastAsia" w:hAnsiTheme="majorEastAsia" w:eastAsiaTheme="majorEastAsia" w:cstheme="majorEastAsia"/>
          <w:b w:val="0"/>
          <w:bCs/>
          <w:color w:val="auto"/>
          <w:sz w:val="24"/>
          <w:szCs w:val="24"/>
          <w:lang w:val="en-US" w:eastAsia="zh-CN"/>
        </w:rPr>
      </w:pPr>
      <w:r>
        <w:rPr>
          <w:rFonts w:hint="eastAsia" w:asciiTheme="majorEastAsia" w:hAnsiTheme="majorEastAsia" w:eastAsiaTheme="majorEastAsia" w:cstheme="majorEastAsia"/>
          <w:color w:val="auto"/>
          <w:kern w:val="2"/>
          <w:sz w:val="24"/>
          <w:szCs w:val="24"/>
          <w:highlight w:val="none"/>
          <w:u w:val="none"/>
          <w:lang w:val="zh-CN" w:eastAsia="zh-CN" w:bidi="ar-SA"/>
        </w:rPr>
        <w:t>根据《武昌区财政局关于政协武昌区委员会办公室201</w:t>
      </w:r>
      <w:r>
        <w:rPr>
          <w:rFonts w:hint="eastAsia" w:asciiTheme="majorEastAsia" w:hAnsiTheme="majorEastAsia" w:eastAsiaTheme="majorEastAsia" w:cstheme="majorEastAsia"/>
          <w:color w:val="auto"/>
          <w:kern w:val="2"/>
          <w:sz w:val="24"/>
          <w:szCs w:val="24"/>
          <w:highlight w:val="none"/>
          <w:u w:val="none"/>
          <w:lang w:val="en-US" w:eastAsia="zh-CN" w:bidi="ar-SA"/>
        </w:rPr>
        <w:t>7</w:t>
      </w:r>
      <w:r>
        <w:rPr>
          <w:rFonts w:hint="eastAsia" w:asciiTheme="majorEastAsia" w:hAnsiTheme="majorEastAsia" w:eastAsiaTheme="majorEastAsia" w:cstheme="majorEastAsia"/>
          <w:color w:val="auto"/>
          <w:kern w:val="2"/>
          <w:sz w:val="24"/>
          <w:szCs w:val="24"/>
          <w:highlight w:val="none"/>
          <w:u w:val="none"/>
          <w:lang w:val="zh-CN" w:eastAsia="zh-CN" w:bidi="ar-SA"/>
        </w:rPr>
        <w:t>年部门预算的批复》，</w:t>
      </w:r>
      <w:r>
        <w:rPr>
          <w:rFonts w:hint="eastAsia" w:asciiTheme="majorEastAsia" w:hAnsiTheme="majorEastAsia" w:eastAsiaTheme="majorEastAsia" w:cstheme="majorEastAsia"/>
          <w:color w:val="auto"/>
          <w:kern w:val="2"/>
          <w:sz w:val="24"/>
          <w:szCs w:val="24"/>
          <w:highlight w:val="none"/>
          <w:u w:val="none"/>
          <w:lang w:val="en-US" w:eastAsia="zh-CN" w:bidi="ar-SA"/>
        </w:rPr>
        <w:t>武昌</w:t>
      </w:r>
      <w:r>
        <w:rPr>
          <w:rFonts w:hint="eastAsia" w:asciiTheme="majorEastAsia" w:hAnsiTheme="majorEastAsia" w:eastAsiaTheme="majorEastAsia" w:cstheme="majorEastAsia"/>
          <w:color w:val="auto"/>
          <w:kern w:val="2"/>
          <w:sz w:val="24"/>
          <w:szCs w:val="24"/>
          <w:highlight w:val="none"/>
          <w:u w:val="none"/>
          <w:lang w:val="zh-CN" w:eastAsia="zh-CN" w:bidi="ar-SA"/>
        </w:rPr>
        <w:t>区政协“</w:t>
      </w:r>
      <w:r>
        <w:rPr>
          <w:rFonts w:hint="eastAsia" w:ascii="宋体" w:hAnsi="宋体" w:eastAsia="宋体" w:cs="宋体"/>
          <w:color w:val="auto"/>
          <w:sz w:val="24"/>
          <w:szCs w:val="24"/>
          <w:highlight w:val="none"/>
          <w:lang w:val="en-US" w:eastAsia="zh-CN"/>
        </w:rPr>
        <w:t>委员视察活动经费</w:t>
      </w:r>
      <w:r>
        <w:rPr>
          <w:rFonts w:hint="eastAsia" w:asciiTheme="majorEastAsia" w:hAnsiTheme="majorEastAsia" w:eastAsiaTheme="majorEastAsia" w:cstheme="majorEastAsia"/>
          <w:color w:val="auto"/>
          <w:kern w:val="2"/>
          <w:sz w:val="24"/>
          <w:szCs w:val="24"/>
          <w:highlight w:val="none"/>
          <w:u w:val="none"/>
          <w:lang w:val="zh-CN" w:eastAsia="zh-CN" w:bidi="ar-SA"/>
        </w:rPr>
        <w:t>”项目预算批复的年初预算收支</w:t>
      </w:r>
      <w:r>
        <w:rPr>
          <w:rFonts w:hint="eastAsia" w:asciiTheme="majorEastAsia" w:hAnsiTheme="majorEastAsia" w:eastAsiaTheme="majorEastAsia" w:cstheme="majorEastAsia"/>
          <w:color w:val="auto"/>
          <w:kern w:val="2"/>
          <w:sz w:val="24"/>
          <w:szCs w:val="24"/>
          <w:highlight w:val="none"/>
          <w:u w:val="none"/>
          <w:lang w:val="en-US" w:eastAsia="zh-CN" w:bidi="ar-SA"/>
        </w:rPr>
        <w:t>54.6万</w:t>
      </w:r>
      <w:r>
        <w:rPr>
          <w:rFonts w:hint="eastAsia" w:asciiTheme="majorEastAsia" w:hAnsiTheme="majorEastAsia" w:eastAsiaTheme="majorEastAsia" w:cstheme="majorEastAsia"/>
          <w:color w:val="auto"/>
          <w:kern w:val="2"/>
          <w:sz w:val="24"/>
          <w:szCs w:val="24"/>
          <w:highlight w:val="none"/>
          <w:u w:val="none"/>
          <w:lang w:val="zh-CN" w:eastAsia="zh-CN" w:bidi="ar-SA"/>
        </w:rPr>
        <w:t>元，</w:t>
      </w:r>
      <w:r>
        <w:rPr>
          <w:rFonts w:hint="eastAsia" w:asciiTheme="majorEastAsia" w:hAnsiTheme="majorEastAsia" w:eastAsiaTheme="majorEastAsia" w:cstheme="majorEastAsia"/>
          <w:b w:val="0"/>
          <w:bCs/>
          <w:color w:val="auto"/>
          <w:sz w:val="24"/>
          <w:szCs w:val="24"/>
          <w:lang w:val="en-US" w:eastAsia="zh-CN"/>
        </w:rPr>
        <w:t>到位54.6万，资金到位率100%。</w:t>
      </w:r>
    </w:p>
    <w:tbl>
      <w:tblPr>
        <w:tblStyle w:val="15"/>
        <w:tblW w:w="921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04"/>
        <w:gridCol w:w="1752"/>
        <w:gridCol w:w="1683"/>
        <w:gridCol w:w="1535"/>
        <w:gridCol w:w="1694"/>
        <w:gridCol w:w="20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219" w:type="dxa"/>
            <w:gridSpan w:val="6"/>
            <w:vAlign w:val="center"/>
          </w:tcPr>
          <w:p>
            <w:pPr>
              <w:keepNext w:val="0"/>
              <w:keepLines w:val="0"/>
              <w:widowControl/>
              <w:suppressLineNumbers w:val="0"/>
              <w:jc w:val="both"/>
              <w:textAlignment w:val="center"/>
              <w:rPr>
                <w:rFonts w:hint="eastAsia" w:ascii="宋体" w:hAnsi="宋体" w:cs="宋体"/>
                <w:b/>
                <w:i w:val="0"/>
                <w:color w:val="auto"/>
                <w:kern w:val="0"/>
                <w:sz w:val="22"/>
                <w:szCs w:val="22"/>
                <w:highlight w:val="none"/>
                <w:u w:val="none"/>
                <w:lang w:val="en-US" w:eastAsia="zh-CN" w:bidi="ar"/>
              </w:rPr>
            </w:pPr>
            <w:r>
              <w:rPr>
                <w:rFonts w:hint="eastAsia" w:ascii="宋体" w:hAnsi="宋体" w:cs="宋体"/>
                <w:b/>
                <w:i w:val="0"/>
                <w:color w:val="auto"/>
                <w:kern w:val="0"/>
                <w:sz w:val="22"/>
                <w:szCs w:val="22"/>
                <w:highlight w:val="none"/>
                <w:u w:val="none"/>
                <w:lang w:val="en-US" w:eastAsia="zh-CN" w:bidi="ar"/>
              </w:rPr>
              <w:t xml:space="preserve"> 表3            武昌区</w:t>
            </w:r>
            <w:r>
              <w:rPr>
                <w:rFonts w:hint="eastAsia" w:ascii="宋体" w:hAnsi="宋体" w:eastAsia="宋体" w:cs="宋体"/>
                <w:b/>
                <w:i w:val="0"/>
                <w:color w:val="auto"/>
                <w:kern w:val="0"/>
                <w:sz w:val="24"/>
                <w:szCs w:val="24"/>
                <w:highlight w:val="none"/>
                <w:u w:val="none"/>
                <w:lang w:val="en-US" w:eastAsia="zh-CN" w:bidi="ar"/>
              </w:rPr>
              <w:t>2017年度</w:t>
            </w:r>
            <w:r>
              <w:rPr>
                <w:rFonts w:hint="eastAsia" w:ascii="宋体" w:hAnsi="宋体" w:cs="宋体"/>
                <w:b/>
                <w:i w:val="0"/>
                <w:color w:val="auto"/>
                <w:kern w:val="0"/>
                <w:sz w:val="22"/>
                <w:szCs w:val="22"/>
                <w:highlight w:val="none"/>
                <w:u w:val="none"/>
                <w:lang w:val="en-US" w:eastAsia="zh-CN" w:bidi="ar"/>
              </w:rPr>
              <w:t>政协界别街道联络委工作经费来源</w:t>
            </w:r>
            <w:r>
              <w:rPr>
                <w:rFonts w:hint="eastAsia" w:ascii="宋体" w:hAnsi="宋体" w:eastAsia="宋体" w:cs="宋体"/>
                <w:b/>
                <w:i w:val="0"/>
                <w:color w:val="auto"/>
                <w:kern w:val="0"/>
                <w:sz w:val="24"/>
                <w:szCs w:val="24"/>
                <w:highlight w:val="none"/>
                <w:u w:val="none"/>
                <w:lang w:val="en-US" w:eastAsia="zh-CN" w:bidi="ar"/>
              </w:rPr>
              <w:t xml:space="preserve">明细表 </w:t>
            </w:r>
            <w:r>
              <w:rPr>
                <w:rFonts w:hint="eastAsia" w:ascii="宋体" w:hAnsi="宋体" w:eastAsia="宋体" w:cs="宋体"/>
                <w:b/>
                <w:i w:val="0"/>
                <w:color w:val="auto"/>
                <w:kern w:val="0"/>
                <w:sz w:val="22"/>
                <w:szCs w:val="22"/>
                <w:highlight w:val="none"/>
                <w:u w:val="none"/>
                <w:lang w:val="en-US" w:eastAsia="zh-CN" w:bidi="ar"/>
              </w:rPr>
              <w:t xml:space="preserve">     </w:t>
            </w:r>
            <w:r>
              <w:rPr>
                <w:rFonts w:hint="eastAsia" w:ascii="宋体" w:hAnsi="宋体" w:cs="宋体"/>
                <w:b/>
                <w:i w:val="0"/>
                <w:color w:val="auto"/>
                <w:kern w:val="0"/>
                <w:sz w:val="22"/>
                <w:szCs w:val="22"/>
                <w:highlight w:val="none"/>
                <w:u w:val="none"/>
                <w:lang w:val="en-US" w:eastAsia="zh-CN" w:bidi="ar"/>
              </w:rPr>
              <w:t xml:space="preserve">   </w:t>
            </w:r>
          </w:p>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cs="宋体"/>
                <w:b/>
                <w:i w:val="0"/>
                <w:color w:val="auto"/>
                <w:kern w:val="0"/>
                <w:sz w:val="22"/>
                <w:szCs w:val="22"/>
                <w:highlight w:val="none"/>
                <w:u w:val="none"/>
                <w:lang w:val="en-US" w:eastAsia="zh-CN" w:bidi="ar"/>
              </w:rPr>
              <w:t xml:space="preserve">                                                                      </w:t>
            </w:r>
            <w:r>
              <w:rPr>
                <w:rFonts w:hint="eastAsia" w:ascii="宋体" w:hAnsi="宋体" w:eastAsia="宋体" w:cs="宋体"/>
                <w:b w:val="0"/>
                <w:bCs/>
                <w:i w:val="0"/>
                <w:color w:val="auto"/>
                <w:kern w:val="0"/>
                <w:sz w:val="21"/>
                <w:szCs w:val="21"/>
                <w:highlight w:val="none"/>
                <w:u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504" w:type="dxa"/>
            <w:tcBorders>
              <w:top w:val="single" w:color="000000" w:sz="12" w:space="0"/>
              <w:left w:val="single" w:color="000000" w:sz="12"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序号</w:t>
            </w:r>
          </w:p>
        </w:tc>
        <w:tc>
          <w:tcPr>
            <w:tcW w:w="1752" w:type="dxa"/>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来源渠道</w:t>
            </w:r>
          </w:p>
        </w:tc>
        <w:tc>
          <w:tcPr>
            <w:tcW w:w="1683" w:type="dxa"/>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预算金额（万元）</w:t>
            </w:r>
          </w:p>
        </w:tc>
        <w:tc>
          <w:tcPr>
            <w:tcW w:w="1535" w:type="dxa"/>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u w:val="none"/>
                <w:lang w:val="en-US" w:eastAsia="zh-CN" w:bidi="ar"/>
              </w:rPr>
              <w:t>到位金额（万元）</w:t>
            </w:r>
          </w:p>
        </w:tc>
        <w:tc>
          <w:tcPr>
            <w:tcW w:w="1694" w:type="dxa"/>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到位率</w:t>
            </w:r>
          </w:p>
        </w:tc>
        <w:tc>
          <w:tcPr>
            <w:tcW w:w="2051" w:type="dxa"/>
            <w:tcBorders>
              <w:top w:val="single" w:color="000000" w:sz="12"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预算比例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504"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1</w:t>
            </w:r>
          </w:p>
        </w:tc>
        <w:tc>
          <w:tcPr>
            <w:tcW w:w="17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中央财政资金</w:t>
            </w:r>
          </w:p>
        </w:tc>
        <w:tc>
          <w:tcPr>
            <w:tcW w:w="16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val="en-US" w:eastAsia="zh-CN"/>
              </w:rPr>
            </w:pPr>
            <w:r>
              <w:rPr>
                <w:rFonts w:hint="eastAsia" w:ascii="宋体" w:hAnsi="宋体" w:cs="宋体"/>
                <w:i w:val="0"/>
                <w:color w:val="auto"/>
                <w:sz w:val="20"/>
                <w:szCs w:val="20"/>
                <w:highlight w:val="none"/>
                <w:u w:val="none"/>
                <w:lang w:val="en-US" w:eastAsia="zh-CN"/>
              </w:rPr>
              <w:t>0</w:t>
            </w:r>
          </w:p>
        </w:tc>
        <w:tc>
          <w:tcPr>
            <w:tcW w:w="15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0</w:t>
            </w:r>
          </w:p>
        </w:tc>
        <w:tc>
          <w:tcPr>
            <w:tcW w:w="16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18"/>
                <w:szCs w:val="18"/>
                <w:highlight w:val="none"/>
                <w:u w:val="none"/>
                <w:lang w:val="en-US" w:eastAsia="zh-CN" w:bidi="ar"/>
              </w:rPr>
              <w:t>0</w:t>
            </w:r>
            <w:r>
              <w:rPr>
                <w:rFonts w:hint="eastAsia" w:ascii="宋体" w:hAnsi="宋体" w:eastAsia="宋体" w:cs="宋体"/>
                <w:i w:val="0"/>
                <w:color w:val="auto"/>
                <w:kern w:val="0"/>
                <w:sz w:val="18"/>
                <w:szCs w:val="18"/>
                <w:highlight w:val="none"/>
                <w:u w:val="none"/>
                <w:lang w:val="en-US" w:eastAsia="zh-CN" w:bidi="ar"/>
              </w:rPr>
              <w:t>.00%</w:t>
            </w:r>
          </w:p>
        </w:tc>
        <w:tc>
          <w:tcPr>
            <w:tcW w:w="205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18"/>
                <w:szCs w:val="18"/>
                <w:u w:val="none"/>
                <w:lang w:val="en-US" w:eastAsia="zh-CN" w:bidi="ar"/>
              </w:rPr>
              <w:t>0</w:t>
            </w:r>
            <w:r>
              <w:rPr>
                <w:rFonts w:hint="eastAsia" w:ascii="宋体" w:hAnsi="宋体" w:eastAsia="宋体" w:cs="宋体"/>
                <w:i w:val="0"/>
                <w:color w:val="auto"/>
                <w:kern w:val="0"/>
                <w:sz w:val="18"/>
                <w:szCs w:val="18"/>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504"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2</w:t>
            </w:r>
          </w:p>
        </w:tc>
        <w:tc>
          <w:tcPr>
            <w:tcW w:w="17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18"/>
                <w:szCs w:val="18"/>
                <w:u w:val="none"/>
                <w:lang w:val="en-US" w:eastAsia="zh-CN" w:bidi="ar"/>
              </w:rPr>
              <w:t>省</w:t>
            </w:r>
            <w:r>
              <w:rPr>
                <w:rFonts w:hint="eastAsia" w:ascii="宋体" w:hAnsi="宋体" w:eastAsia="宋体" w:cs="宋体"/>
                <w:i w:val="0"/>
                <w:color w:val="auto"/>
                <w:kern w:val="0"/>
                <w:sz w:val="18"/>
                <w:szCs w:val="18"/>
                <w:u w:val="none"/>
                <w:lang w:val="en-US" w:eastAsia="zh-CN" w:bidi="ar"/>
              </w:rPr>
              <w:t>级财政资金</w:t>
            </w:r>
          </w:p>
        </w:tc>
        <w:tc>
          <w:tcPr>
            <w:tcW w:w="16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18"/>
                <w:szCs w:val="18"/>
                <w:u w:val="none"/>
                <w:lang w:val="en-US" w:eastAsia="zh-CN" w:bidi="ar"/>
              </w:rPr>
              <w:t>0</w:t>
            </w:r>
          </w:p>
        </w:tc>
        <w:tc>
          <w:tcPr>
            <w:tcW w:w="15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cs="宋体"/>
                <w:i w:val="0"/>
                <w:color w:val="auto"/>
                <w:kern w:val="0"/>
                <w:sz w:val="18"/>
                <w:szCs w:val="18"/>
                <w:u w:val="none"/>
                <w:lang w:val="en-US" w:eastAsia="zh-CN" w:bidi="ar"/>
              </w:rPr>
              <w:t>0</w:t>
            </w:r>
          </w:p>
        </w:tc>
        <w:tc>
          <w:tcPr>
            <w:tcW w:w="16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18"/>
                <w:szCs w:val="18"/>
                <w:highlight w:val="none"/>
                <w:u w:val="none"/>
                <w:lang w:val="en-US" w:eastAsia="zh-CN" w:bidi="ar"/>
              </w:rPr>
              <w:t>0</w:t>
            </w:r>
            <w:r>
              <w:rPr>
                <w:rFonts w:hint="eastAsia" w:ascii="宋体" w:hAnsi="宋体" w:eastAsia="宋体" w:cs="宋体"/>
                <w:i w:val="0"/>
                <w:color w:val="auto"/>
                <w:kern w:val="0"/>
                <w:sz w:val="18"/>
                <w:szCs w:val="18"/>
                <w:highlight w:val="none"/>
                <w:u w:val="none"/>
                <w:lang w:val="en-US" w:eastAsia="zh-CN" w:bidi="ar"/>
              </w:rPr>
              <w:t>.00%</w:t>
            </w:r>
          </w:p>
        </w:tc>
        <w:tc>
          <w:tcPr>
            <w:tcW w:w="205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504"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u w:val="none"/>
                <w:lang w:val="en-US" w:eastAsia="zh-CN" w:bidi="ar"/>
              </w:rPr>
              <w:t>3</w:t>
            </w:r>
          </w:p>
        </w:tc>
        <w:tc>
          <w:tcPr>
            <w:tcW w:w="17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18"/>
                <w:szCs w:val="18"/>
                <w:u w:val="none"/>
                <w:lang w:val="en-US" w:eastAsia="zh-CN" w:bidi="ar"/>
              </w:rPr>
              <w:t>区级财政资金</w:t>
            </w:r>
          </w:p>
        </w:tc>
        <w:tc>
          <w:tcPr>
            <w:tcW w:w="16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54.6</w:t>
            </w:r>
          </w:p>
        </w:tc>
        <w:tc>
          <w:tcPr>
            <w:tcW w:w="15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54.6</w:t>
            </w:r>
          </w:p>
        </w:tc>
        <w:tc>
          <w:tcPr>
            <w:tcW w:w="16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100.00%</w:t>
            </w:r>
          </w:p>
        </w:tc>
        <w:tc>
          <w:tcPr>
            <w:tcW w:w="205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18"/>
                <w:szCs w:val="18"/>
                <w:u w:val="none"/>
                <w:lang w:val="en-US" w:eastAsia="zh-CN" w:bidi="ar"/>
              </w:rPr>
              <w:t>10</w:t>
            </w:r>
            <w:r>
              <w:rPr>
                <w:rFonts w:hint="eastAsia" w:ascii="宋体" w:hAnsi="宋体" w:eastAsia="宋体" w:cs="宋体"/>
                <w:i w:val="0"/>
                <w:color w:val="auto"/>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504" w:type="dxa"/>
            <w:tcBorders>
              <w:top w:val="single" w:color="000000" w:sz="4" w:space="0"/>
              <w:left w:val="single" w:color="000000" w:sz="12" w:space="0"/>
              <w:bottom w:val="single" w:color="000000" w:sz="12" w:space="0"/>
              <w:right w:val="single" w:color="000000" w:sz="4" w:space="0"/>
            </w:tcBorders>
            <w:vAlign w:val="center"/>
          </w:tcPr>
          <w:p>
            <w:pPr>
              <w:jc w:val="center"/>
              <w:rPr>
                <w:rFonts w:hint="eastAsia" w:ascii="宋体" w:hAnsi="宋体" w:eastAsia="宋体" w:cs="宋体"/>
                <w:i w:val="0"/>
                <w:color w:val="auto"/>
                <w:sz w:val="20"/>
                <w:szCs w:val="20"/>
                <w:highlight w:val="none"/>
                <w:u w:val="none"/>
              </w:rPr>
            </w:pPr>
          </w:p>
        </w:tc>
        <w:tc>
          <w:tcPr>
            <w:tcW w:w="1752" w:type="dxa"/>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小计</w:t>
            </w:r>
          </w:p>
        </w:tc>
        <w:tc>
          <w:tcPr>
            <w:tcW w:w="1683" w:type="dxa"/>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lang w:val="en-US" w:eastAsia="zh-CN"/>
              </w:rPr>
            </w:pPr>
            <w:r>
              <w:rPr>
                <w:rFonts w:hint="eastAsia" w:ascii="宋体" w:hAnsi="宋体" w:cs="宋体"/>
                <w:b/>
                <w:i w:val="0"/>
                <w:color w:val="auto"/>
                <w:sz w:val="20"/>
                <w:szCs w:val="20"/>
                <w:highlight w:val="none"/>
                <w:u w:val="none"/>
                <w:lang w:val="en-US" w:eastAsia="zh-CN"/>
              </w:rPr>
              <w:t>54.6</w:t>
            </w:r>
          </w:p>
        </w:tc>
        <w:tc>
          <w:tcPr>
            <w:tcW w:w="1535" w:type="dxa"/>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kern w:val="0"/>
                <w:sz w:val="20"/>
                <w:szCs w:val="20"/>
                <w:highlight w:val="none"/>
                <w:u w:val="none"/>
                <w:lang w:val="en-US" w:eastAsia="zh-CN" w:bidi="ar"/>
              </w:rPr>
            </w:pPr>
            <w:r>
              <w:rPr>
                <w:rFonts w:hint="eastAsia" w:ascii="宋体" w:hAnsi="宋体" w:cs="宋体"/>
                <w:b/>
                <w:i w:val="0"/>
                <w:color w:val="auto"/>
                <w:kern w:val="0"/>
                <w:sz w:val="20"/>
                <w:szCs w:val="20"/>
                <w:highlight w:val="none"/>
                <w:u w:val="none"/>
                <w:lang w:val="en-US" w:eastAsia="zh-CN" w:bidi="ar"/>
              </w:rPr>
              <w:t>54.6</w:t>
            </w:r>
          </w:p>
        </w:tc>
        <w:tc>
          <w:tcPr>
            <w:tcW w:w="1694" w:type="dxa"/>
            <w:tcBorders>
              <w:top w:val="single" w:color="000000" w:sz="4" w:space="0"/>
              <w:left w:val="single" w:color="000000" w:sz="4" w:space="0"/>
              <w:bottom w:val="single" w:color="000000" w:sz="12" w:space="0"/>
              <w:right w:val="single" w:color="000000" w:sz="4" w:space="0"/>
            </w:tcBorders>
            <w:vAlign w:val="center"/>
          </w:tcPr>
          <w:p>
            <w:pPr>
              <w:jc w:val="center"/>
              <w:rPr>
                <w:rFonts w:hint="eastAsia" w:ascii="宋体" w:hAnsi="宋体" w:eastAsia="宋体" w:cs="宋体"/>
                <w:i w:val="0"/>
                <w:color w:val="auto"/>
                <w:sz w:val="20"/>
                <w:szCs w:val="20"/>
                <w:highlight w:val="none"/>
                <w:u w:val="none"/>
              </w:rPr>
            </w:pPr>
          </w:p>
        </w:tc>
        <w:tc>
          <w:tcPr>
            <w:tcW w:w="2051" w:type="dxa"/>
            <w:tcBorders>
              <w:top w:val="single" w:color="000000" w:sz="4" w:space="0"/>
              <w:left w:val="single" w:color="000000" w:sz="4"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highlight w:val="none"/>
                <w:u w:val="none"/>
              </w:rPr>
            </w:pP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Theme="majorEastAsia" w:hAnsiTheme="majorEastAsia" w:eastAsiaTheme="majorEastAsia" w:cstheme="majorEastAsia"/>
          <w:b w:val="0"/>
          <w:bCs/>
          <w:color w:val="auto"/>
          <w:sz w:val="24"/>
          <w:szCs w:val="24"/>
          <w:lang w:val="en-US" w:eastAsia="zh-CN"/>
        </w:rPr>
      </w:pPr>
    </w:p>
    <w:p>
      <w:pPr>
        <w:keepNext/>
        <w:keepLines/>
        <w:pageBreakBefore w:val="0"/>
        <w:widowControl w:val="0"/>
        <w:kinsoku/>
        <w:wordWrap/>
        <w:overflowPunct/>
        <w:topLinePunct w:val="0"/>
        <w:autoSpaceDE/>
        <w:autoSpaceDN/>
        <w:bidi w:val="0"/>
        <w:adjustRightInd/>
        <w:snapToGrid/>
        <w:spacing w:before="0" w:after="0" w:line="360" w:lineRule="auto"/>
        <w:ind w:left="0" w:leftChars="0" w:firstLine="482" w:firstLineChars="200"/>
        <w:jc w:val="left"/>
        <w:textAlignment w:val="auto"/>
        <w:outlineLvl w:val="9"/>
        <w:rPr>
          <w:rFonts w:hint="eastAsia" w:asciiTheme="majorEastAsia" w:hAnsiTheme="majorEastAsia" w:eastAsiaTheme="majorEastAsia" w:cstheme="majorEastAsia"/>
          <w:b/>
          <w:bCs/>
          <w:color w:val="auto"/>
          <w:sz w:val="24"/>
          <w:szCs w:val="24"/>
          <w:lang w:val="en-US" w:eastAsia="zh-CN"/>
        </w:rPr>
      </w:pPr>
      <w:bookmarkStart w:id="27" w:name="_Toc14535"/>
      <w:r>
        <w:rPr>
          <w:rFonts w:hint="eastAsia" w:asciiTheme="majorEastAsia" w:hAnsiTheme="majorEastAsia" w:eastAsiaTheme="majorEastAsia" w:cstheme="majorEastAsia"/>
          <w:b/>
          <w:bCs/>
          <w:color w:val="auto"/>
          <w:sz w:val="24"/>
          <w:szCs w:val="24"/>
          <w:lang w:val="en-US" w:eastAsia="zh-CN"/>
        </w:rPr>
        <w:t>2、项目资金使用情况分析</w:t>
      </w:r>
      <w:bookmarkEnd w:id="2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b/>
          <w:bCs/>
          <w:color w:val="auto"/>
          <w:sz w:val="24"/>
          <w:szCs w:val="24"/>
          <w:highlight w:val="none"/>
          <w:shd w:val="clear" w:color="auto" w:fill="auto"/>
          <w:lang w:val="en-US" w:eastAsia="zh-CN"/>
        </w:rPr>
      </w:pPr>
      <w:r>
        <w:rPr>
          <w:rFonts w:hint="eastAsia" w:ascii="宋体" w:hAnsi="宋体" w:eastAsia="宋体" w:cs="宋体"/>
          <w:color w:val="auto"/>
          <w:sz w:val="24"/>
          <w:szCs w:val="24"/>
          <w:highlight w:val="none"/>
          <w:lang w:val="en-US" w:eastAsia="zh-CN"/>
        </w:rPr>
        <w:t>经费</w:t>
      </w:r>
      <w:r>
        <w:rPr>
          <w:rFonts w:hint="eastAsia" w:ascii="宋体" w:hAnsi="宋体" w:cs="宋体"/>
          <w:color w:val="auto"/>
          <w:sz w:val="24"/>
          <w:szCs w:val="24"/>
          <w:highlight w:val="none"/>
          <w:lang w:val="en-US" w:eastAsia="zh-CN"/>
        </w:rPr>
        <w:t>项目</w:t>
      </w:r>
      <w:r>
        <w:rPr>
          <w:rFonts w:hint="eastAsia" w:asciiTheme="majorEastAsia" w:hAnsiTheme="majorEastAsia" w:eastAsiaTheme="majorEastAsia" w:cstheme="majorEastAsia"/>
          <w:color w:val="auto"/>
          <w:sz w:val="24"/>
          <w:szCs w:val="24"/>
          <w:highlight w:val="none"/>
          <w:shd w:val="clear" w:color="auto" w:fill="auto"/>
          <w:lang w:val="en-US" w:eastAsia="zh-CN"/>
        </w:rPr>
        <w:t>资金54.6万元，实际使用54.2万元。</w:t>
      </w:r>
      <w:r>
        <w:rPr>
          <w:rFonts w:hint="eastAsia" w:asciiTheme="majorEastAsia" w:hAnsiTheme="majorEastAsia" w:eastAsiaTheme="majorEastAsia" w:cstheme="majorEastAsia"/>
          <w:color w:val="auto"/>
          <w:kern w:val="2"/>
          <w:sz w:val="24"/>
          <w:szCs w:val="24"/>
          <w:highlight w:val="none"/>
          <w:u w:val="none"/>
          <w:lang w:val="en-US" w:eastAsia="zh-CN" w:bidi="ar-SA"/>
        </w:rPr>
        <w:t>资金主要用于课题研究经费、开展界别活动、发放聘用人员工资、购买办公用品、看望政协委员及供在职人员外出培训等。资金支出均围绕项目主题进行，资金使用情况较为合理，</w:t>
      </w:r>
      <w:r>
        <w:rPr>
          <w:rFonts w:hint="eastAsia" w:asciiTheme="majorEastAsia" w:hAnsiTheme="majorEastAsia" w:eastAsiaTheme="majorEastAsia" w:cstheme="majorEastAsia"/>
          <w:color w:val="auto"/>
          <w:sz w:val="24"/>
          <w:szCs w:val="24"/>
          <w:highlight w:val="none"/>
          <w:shd w:val="clear" w:color="auto" w:fill="auto"/>
          <w:lang w:val="en-US" w:eastAsia="zh-CN"/>
        </w:rPr>
        <w:t>完善了委员学习培训体系，健全走访联系委员及所在单位常态化机制，激发委员双岗建功的热情和潜力，提升政协组织的凝聚力和影响力。</w:t>
      </w:r>
    </w:p>
    <w:p>
      <w:pPr>
        <w:keepNext/>
        <w:keepLines/>
        <w:pageBreakBefore w:val="0"/>
        <w:widowControl w:val="0"/>
        <w:kinsoku/>
        <w:wordWrap/>
        <w:overflowPunct/>
        <w:topLinePunct w:val="0"/>
        <w:autoSpaceDE/>
        <w:autoSpaceDN/>
        <w:bidi w:val="0"/>
        <w:adjustRightInd/>
        <w:snapToGrid/>
        <w:spacing w:before="0" w:after="0" w:line="360" w:lineRule="auto"/>
        <w:ind w:left="0" w:leftChars="0" w:firstLine="482" w:firstLineChars="200"/>
        <w:jc w:val="left"/>
        <w:textAlignment w:val="auto"/>
        <w:outlineLvl w:val="9"/>
        <w:rPr>
          <w:rFonts w:hint="eastAsia" w:asciiTheme="majorEastAsia" w:hAnsiTheme="majorEastAsia" w:eastAsiaTheme="majorEastAsia" w:cstheme="majorEastAsia"/>
          <w:b/>
          <w:bCs/>
          <w:color w:val="auto"/>
          <w:sz w:val="24"/>
          <w:szCs w:val="24"/>
          <w:lang w:val="en-US" w:eastAsia="zh-CN"/>
        </w:rPr>
      </w:pPr>
      <w:r>
        <w:rPr>
          <w:rFonts w:hint="eastAsia" w:asciiTheme="majorEastAsia" w:hAnsiTheme="majorEastAsia" w:eastAsiaTheme="majorEastAsia" w:cstheme="majorEastAsia"/>
          <w:b/>
          <w:bCs/>
          <w:color w:val="auto"/>
          <w:sz w:val="24"/>
          <w:szCs w:val="24"/>
          <w:lang w:val="en-US" w:eastAsia="zh-CN"/>
        </w:rPr>
        <w:t>3、项目资金管理情况分析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color w:val="FF0000"/>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项目资金执行《武昌区政协机关财务管理制度》。符合国家财经法规和财务管理制度以及有关专项资金管理办法的规定，资金的拨付有完整的审批程序和手续，项目的重大开支有经过评估认证，符合项目预算批复用途，未存在截留、挤占、挪用和虚列支出等情况项目，资金管理情况良好，但存在项目资金用途太泛，与批复用途有一定差别的情况。</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1"/>
        <w:rPr>
          <w:rFonts w:hint="eastAsia" w:asciiTheme="majorEastAsia" w:hAnsiTheme="majorEastAsia" w:eastAsiaTheme="majorEastAsia" w:cstheme="majorEastAsia"/>
          <w:color w:val="auto"/>
          <w:sz w:val="30"/>
          <w:szCs w:val="30"/>
          <w:lang w:val="en-US" w:eastAsia="zh-CN"/>
        </w:rPr>
      </w:pPr>
      <w:bookmarkStart w:id="28" w:name="_Toc30764"/>
      <w:r>
        <w:rPr>
          <w:rFonts w:hint="eastAsia" w:asciiTheme="majorEastAsia" w:hAnsiTheme="majorEastAsia" w:eastAsiaTheme="majorEastAsia" w:cstheme="majorEastAsia"/>
          <w:color w:val="auto"/>
          <w:sz w:val="30"/>
          <w:szCs w:val="30"/>
          <w:lang w:val="en-US" w:eastAsia="zh-CN"/>
        </w:rPr>
        <w:t>（二）项目绩效指标完成情况分析</w:t>
      </w:r>
      <w:bookmarkEnd w:id="28"/>
    </w:p>
    <w:p>
      <w:pPr>
        <w:pStyle w:val="4"/>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lang w:val="en-US" w:eastAsia="zh-CN"/>
        </w:rPr>
      </w:pPr>
      <w:bookmarkStart w:id="29" w:name="_Toc16032"/>
      <w:bookmarkStart w:id="30" w:name="_Toc2009"/>
      <w:r>
        <w:rPr>
          <w:rFonts w:hint="eastAsia" w:asciiTheme="majorEastAsia" w:hAnsiTheme="majorEastAsia" w:eastAsiaTheme="majorEastAsia" w:cstheme="majorEastAsia"/>
          <w:color w:val="auto"/>
          <w:sz w:val="24"/>
          <w:szCs w:val="24"/>
          <w:lang w:val="en-US" w:eastAsia="zh-CN"/>
        </w:rPr>
        <w:t>1、投入指标完成情况分析</w:t>
      </w:r>
      <w:bookmarkEnd w:id="29"/>
      <w:r>
        <w:rPr>
          <w:rFonts w:hint="eastAsia" w:asciiTheme="majorEastAsia" w:hAnsiTheme="majorEastAsia" w:eastAsiaTheme="majorEastAsia" w:cstheme="majorEastAsia"/>
          <w:color w:val="auto"/>
          <w:sz w:val="24"/>
          <w:szCs w:val="24"/>
          <w:lang w:val="en-US" w:eastAsia="zh-CN"/>
        </w:rPr>
        <w:t>（15分）</w:t>
      </w:r>
      <w:bookmarkEnd w:id="30"/>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 xml:space="preserve"> 根据评价原则，项目投入评价得分14分，评价结果为优。</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（1）项目立项（6分） </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1.1.项目立项规范性:项目严格按照规定的程序申请设立；所提交的文件、材料符合相关要求。满分2分，得分2分。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FF0000"/>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 xml:space="preserve"> 1.2.绩效目标合理性：符合国家相关法律法规、国民经济发展规划和党委政府决策；与项目实施单位职责密切相关；是促进事业发展所必需；项目预期产出效益和效果符合正常的业绩水平。满分2分，得分2分。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FF0000"/>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 xml:space="preserve"> 1.3.绩效指标明确性：无项目申报表，绩效指标不明确，不能清晰、可衡量的指标值反映。满分2分，得分1分。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FF0000"/>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 xml:space="preserve"> （2）资金落实（9分）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2.1.资金到位率：预算资金54.6万，资金全部到位；满分4分，得分4分。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FF0000"/>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2.2.到位及时率：预算资金54.6万，全部到位，到位及时率100%。满分5分，得分5分。</w:t>
      </w:r>
    </w:p>
    <w:p>
      <w:pPr>
        <w:pStyle w:val="4"/>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lang w:val="en-US" w:eastAsia="zh-CN"/>
        </w:rPr>
      </w:pPr>
      <w:bookmarkStart w:id="31" w:name="_Toc10824"/>
      <w:bookmarkStart w:id="32" w:name="_Toc29814"/>
      <w:r>
        <w:rPr>
          <w:rFonts w:hint="eastAsia" w:asciiTheme="majorEastAsia" w:hAnsiTheme="majorEastAsia" w:eastAsiaTheme="majorEastAsia" w:cstheme="majorEastAsia"/>
          <w:color w:val="auto"/>
          <w:sz w:val="24"/>
          <w:szCs w:val="24"/>
          <w:lang w:val="en-US" w:eastAsia="zh-CN"/>
        </w:rPr>
        <w:t>2、过程</w:t>
      </w:r>
      <w:r>
        <w:rPr>
          <w:rFonts w:hint="eastAsia" w:asciiTheme="majorEastAsia" w:hAnsiTheme="majorEastAsia" w:eastAsiaTheme="majorEastAsia" w:cstheme="majorEastAsia"/>
          <w:color w:val="auto"/>
          <w:sz w:val="24"/>
          <w:szCs w:val="24"/>
          <w:lang w:val="en-US" w:eastAsia="zh-CN"/>
        </w:rPr>
        <w:t>指标完成情况分析</w:t>
      </w:r>
      <w:bookmarkEnd w:id="31"/>
      <w:r>
        <w:rPr>
          <w:rFonts w:hint="eastAsia" w:asciiTheme="majorEastAsia" w:hAnsiTheme="majorEastAsia" w:eastAsiaTheme="majorEastAsia" w:cstheme="majorEastAsia"/>
          <w:color w:val="auto"/>
          <w:sz w:val="24"/>
          <w:szCs w:val="24"/>
          <w:lang w:val="en-US" w:eastAsia="zh-CN"/>
        </w:rPr>
        <w:t>（25分）</w:t>
      </w:r>
      <w:bookmarkEnd w:id="32"/>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color w:val="auto"/>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根据评价原则，项目过程评价得分为19分，评价结果为良。</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（1）业务管理（15分）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1.1.制度执行有效性：项目实施按无可行的具体制度，缺乏合理的安全程序依据，但项目执行合乎相关政策法规。满分5分，得分4分。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FF0000"/>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1.2.项目质量可控性:没有制定相应的项目质量要求或标准；因此缺乏相应的项目质量检查、验收等必需的控制措施或手段。满分6分，得分3分。</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1.3.管理制度健全性：制定了相应的项目资金管理办法，项目资金管理办法符合相关财务会计制度的规定，但执行过程中未严格按照制度执行；满分4分，得分2分。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FF0000"/>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 xml:space="preserve"> （2）财务管理(10分)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auto"/>
          <w:sz w:val="24"/>
          <w:szCs w:val="24"/>
          <w:highlight w:val="none"/>
          <w:lang w:val="en-US" w:eastAsia="zh-CN"/>
        </w:rPr>
        <w:t xml:space="preserve">    2.1.管理制度健全性：项目资金管理办法是否符合相关财务会计制度的规定。满分3分，得分</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3分。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FF0000"/>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 xml:space="preserve"> 2.2.资金使用合规性：符合国家财经法规和财务管理制度以及有关专项资金管理办法的规定，资金的拨付有完整的审批程序和手续，项目的重大开支有经过评估认证，符合项目预算批复用途，未存在截留、挤占、挪用和虚列支出等情况。满分4分，得分4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FF0000"/>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 xml:space="preserve">   2.3.财务监控有效性:项目执行过程中，严格按照管理办法执行，资金的使用均经办公会研究同意。满分3分，得分3分。</w:t>
      </w:r>
    </w:p>
    <w:p>
      <w:pPr>
        <w:pStyle w:val="4"/>
        <w:pageBreakBefore w:val="0"/>
        <w:kinsoku/>
        <w:wordWrap/>
        <w:overflowPunct/>
        <w:topLinePunct w:val="0"/>
        <w:autoSpaceDE/>
        <w:autoSpaceDN/>
        <w:bidi w:val="0"/>
        <w:adjustRightInd/>
        <w:snapToGrid/>
        <w:spacing w:line="360" w:lineRule="auto"/>
        <w:ind w:left="0" w:leftChars="0" w:firstLine="482" w:firstLineChars="200"/>
        <w:textAlignment w:val="auto"/>
        <w:rPr>
          <w:rFonts w:hint="eastAsia" w:asciiTheme="majorEastAsia" w:hAnsiTheme="majorEastAsia" w:eastAsiaTheme="majorEastAsia" w:cstheme="majorEastAsia"/>
          <w:color w:val="auto"/>
          <w:sz w:val="24"/>
          <w:szCs w:val="24"/>
          <w:lang w:val="en-US" w:eastAsia="zh-CN"/>
        </w:rPr>
      </w:pPr>
      <w:bookmarkStart w:id="33" w:name="_Toc3491"/>
      <w:r>
        <w:rPr>
          <w:rFonts w:hint="eastAsia" w:asciiTheme="majorEastAsia" w:hAnsiTheme="majorEastAsia" w:eastAsiaTheme="majorEastAsia" w:cstheme="majorEastAsia"/>
          <w:color w:val="auto"/>
          <w:sz w:val="24"/>
          <w:szCs w:val="24"/>
          <w:lang w:val="en-US" w:eastAsia="zh-CN"/>
        </w:rPr>
        <w:t>3、产出指标完成情况分析（25分）</w:t>
      </w:r>
      <w:bookmarkEnd w:id="33"/>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FF0000"/>
          <w:sz w:val="24"/>
          <w:szCs w:val="24"/>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 xml:space="preserve"> 根据评价原则，项目产出评价得分为22.9分，评价结果为优。</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FF0000"/>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（1）实际完成率：根据《中国人民政治协商会议全国委员会委员视察工作条例》中考核内容确定完成情况；满分6分，得分6分。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（2）完成及时率：计划完成时间2017年底，实际完成时间在2017年底前完成，及时完成目标。满分6分，得分6分。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FF0000"/>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 xml:space="preserve"> （3）质量达标率：根据《中国人民政治协商会议全国委员会委员视察工作条例》中考核内容确定完成情况，少数不达标。满分8分，得分6.4分。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（4）资金使用率：预算资金54.6万元，实际使用54.2万元，资金使用率为99.27%。满分5分，得分4.5分。</w:t>
      </w:r>
    </w:p>
    <w:p>
      <w:pPr>
        <w:pStyle w:val="4"/>
        <w:pageBreakBefore w:val="0"/>
        <w:kinsoku/>
        <w:wordWrap/>
        <w:overflowPunct/>
        <w:topLinePunct w:val="0"/>
        <w:autoSpaceDE/>
        <w:autoSpaceDN/>
        <w:bidi w:val="0"/>
        <w:adjustRightInd/>
        <w:snapToGrid/>
        <w:spacing w:line="360" w:lineRule="auto"/>
        <w:ind w:left="0" w:leftChars="0" w:firstLine="482" w:firstLineChars="200"/>
        <w:textAlignment w:val="auto"/>
        <w:rPr>
          <w:rFonts w:hint="eastAsia" w:asciiTheme="majorEastAsia" w:hAnsiTheme="majorEastAsia" w:eastAsiaTheme="majorEastAsia" w:cstheme="majorEastAsia"/>
          <w:color w:val="auto"/>
          <w:sz w:val="24"/>
          <w:szCs w:val="24"/>
          <w:lang w:val="en-US" w:eastAsia="zh-CN"/>
        </w:rPr>
      </w:pPr>
      <w:bookmarkStart w:id="34" w:name="_Toc13794"/>
      <w:bookmarkStart w:id="35" w:name="_Toc20287"/>
      <w:r>
        <w:rPr>
          <w:rFonts w:hint="eastAsia" w:asciiTheme="majorEastAsia" w:hAnsiTheme="majorEastAsia" w:eastAsiaTheme="majorEastAsia" w:cstheme="majorEastAsia"/>
          <w:color w:val="auto"/>
          <w:sz w:val="24"/>
          <w:szCs w:val="24"/>
          <w:lang w:val="en-US" w:eastAsia="zh-CN"/>
        </w:rPr>
        <w:t>4、效果指标完成情况分析</w:t>
      </w:r>
      <w:bookmarkEnd w:id="34"/>
      <w:r>
        <w:rPr>
          <w:rFonts w:hint="eastAsia" w:asciiTheme="majorEastAsia" w:hAnsiTheme="majorEastAsia" w:eastAsiaTheme="majorEastAsia" w:cstheme="majorEastAsia"/>
          <w:color w:val="auto"/>
          <w:sz w:val="24"/>
          <w:szCs w:val="24"/>
          <w:lang w:val="en-US" w:eastAsia="zh-CN"/>
        </w:rPr>
        <w:t>（35分）</w:t>
      </w:r>
      <w:bookmarkEnd w:id="35"/>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rPr>
      </w:pPr>
      <w:r>
        <w:rPr>
          <w:rFonts w:hint="eastAsia" w:asciiTheme="majorEastAsia" w:hAnsiTheme="majorEastAsia" w:eastAsiaTheme="majorEastAsia" w:cstheme="majorEastAsia"/>
          <w:color w:val="auto"/>
          <w:sz w:val="24"/>
          <w:szCs w:val="24"/>
          <w:highlight w:val="none"/>
        </w:rPr>
        <w:t xml:space="preserve">   </w:t>
      </w:r>
      <w:r>
        <w:rPr>
          <w:rFonts w:hint="eastAsia" w:asciiTheme="majorEastAsia" w:hAnsiTheme="majorEastAsia" w:eastAsiaTheme="majorEastAsia" w:cstheme="majorEastAsia"/>
          <w:color w:val="auto"/>
          <w:sz w:val="24"/>
          <w:szCs w:val="24"/>
          <w:lang w:val="en-US" w:eastAsia="zh-CN"/>
        </w:rPr>
        <w:t>根据评价原则，项目产出评价得分为33分，评价结果为优。</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FF0000"/>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（1）</w:t>
      </w:r>
      <w:bookmarkStart w:id="36" w:name="_Toc346109888"/>
      <w:bookmarkStart w:id="37" w:name="_Toc346110460"/>
      <w:bookmarkStart w:id="38" w:name="_Toc346109797"/>
      <w:r>
        <w:rPr>
          <w:rFonts w:hint="eastAsia" w:asciiTheme="majorEastAsia" w:hAnsiTheme="majorEastAsia" w:eastAsiaTheme="majorEastAsia" w:cstheme="majorEastAsia"/>
          <w:color w:val="auto"/>
          <w:sz w:val="24"/>
          <w:szCs w:val="24"/>
          <w:highlight w:val="none"/>
          <w:lang w:val="en-US" w:eastAsia="zh-CN"/>
        </w:rPr>
        <w:t xml:space="preserve">经济效益（5分）    </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完成考核目标，产生间接经济效益。</w:t>
      </w:r>
      <w:r>
        <w:rPr>
          <w:rFonts w:hint="eastAsia" w:asciiTheme="majorEastAsia" w:hAnsiTheme="majorEastAsia" w:eastAsiaTheme="majorEastAsia" w:cstheme="majorEastAsia"/>
          <w:color w:val="auto"/>
          <w:sz w:val="24"/>
          <w:szCs w:val="24"/>
          <w:lang w:val="en-US" w:eastAsia="zh-CN"/>
        </w:rPr>
        <w:t>满分5分，得分5分。</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FF0000"/>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w:t>
      </w:r>
      <w:bookmarkEnd w:id="36"/>
      <w:bookmarkEnd w:id="37"/>
      <w:bookmarkEnd w:id="38"/>
      <w:r>
        <w:rPr>
          <w:rFonts w:hint="eastAsia" w:asciiTheme="majorEastAsia" w:hAnsiTheme="majorEastAsia" w:eastAsiaTheme="majorEastAsia" w:cstheme="majorEastAsia"/>
          <w:color w:val="auto"/>
          <w:sz w:val="24"/>
          <w:szCs w:val="24"/>
          <w:lang w:val="en-US" w:eastAsia="zh-CN"/>
        </w:rPr>
        <w:t>社会效益（10分）</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加强人才流通</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增强公司活力，</w:t>
      </w:r>
      <w:r>
        <w:rPr>
          <w:rFonts w:hint="eastAsia" w:asciiTheme="majorEastAsia" w:hAnsiTheme="majorEastAsia" w:eastAsiaTheme="majorEastAsia" w:cstheme="majorEastAsia"/>
          <w:color w:val="auto"/>
          <w:sz w:val="24"/>
          <w:szCs w:val="24"/>
          <w:highlight w:val="none"/>
        </w:rPr>
        <w:t>产生良好的社会综合效益</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lang w:val="en-US" w:eastAsia="zh-CN"/>
        </w:rPr>
        <w:t>满分10分，得分10分。</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lang w:val="en-US" w:eastAsia="zh-CN"/>
        </w:rPr>
        <w:t>可持续影响（10分）</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激发人员工作热情，创造更多的价值回馈企业，回馈社会，有利于企业持续发展，社会长治久安。满分10分，得分10分。</w:t>
      </w:r>
    </w:p>
    <w:p>
      <w:pPr>
        <w:pStyle w:val="16"/>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80"/>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服务对象满意度（10分）</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向社会公众进行问卷调查，调查结果满意度90%。满分10分，得分8分。</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Theme="majorEastAsia" w:hAnsiTheme="majorEastAsia" w:eastAsiaTheme="majorEastAsia" w:cstheme="majorEastAsia"/>
          <w:b/>
          <w:bCs/>
          <w:color w:val="auto"/>
          <w:sz w:val="30"/>
          <w:szCs w:val="30"/>
          <w:highlight w:val="none"/>
          <w:lang w:eastAsia="zh-CN"/>
        </w:rPr>
      </w:pPr>
      <w:bookmarkStart w:id="39" w:name="_Toc9332"/>
      <w:r>
        <w:rPr>
          <w:rFonts w:hint="eastAsia" w:asciiTheme="majorEastAsia" w:hAnsiTheme="majorEastAsia" w:eastAsiaTheme="majorEastAsia" w:cstheme="majorEastAsia"/>
          <w:b/>
          <w:bCs/>
          <w:color w:val="auto"/>
          <w:sz w:val="30"/>
          <w:szCs w:val="30"/>
          <w:highlight w:val="none"/>
          <w:lang w:eastAsia="zh-CN"/>
        </w:rPr>
        <w:t>（</w:t>
      </w:r>
      <w:r>
        <w:rPr>
          <w:rFonts w:hint="eastAsia" w:asciiTheme="majorEastAsia" w:hAnsiTheme="majorEastAsia" w:eastAsiaTheme="majorEastAsia" w:cstheme="majorEastAsia"/>
          <w:b/>
          <w:bCs/>
          <w:color w:val="auto"/>
          <w:sz w:val="30"/>
          <w:szCs w:val="30"/>
          <w:highlight w:val="none"/>
          <w:lang w:val="en-US" w:eastAsia="zh-CN"/>
        </w:rPr>
        <w:t>三</w:t>
      </w:r>
      <w:r>
        <w:rPr>
          <w:rFonts w:hint="eastAsia" w:asciiTheme="majorEastAsia" w:hAnsiTheme="majorEastAsia" w:eastAsiaTheme="majorEastAsia" w:cstheme="majorEastAsia"/>
          <w:b/>
          <w:bCs/>
          <w:color w:val="auto"/>
          <w:sz w:val="30"/>
          <w:szCs w:val="30"/>
          <w:highlight w:val="none"/>
          <w:lang w:eastAsia="zh-CN"/>
        </w:rPr>
        <w:t>）评价结论</w:t>
      </w:r>
      <w:bookmarkEnd w:id="3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lang w:val="en-US" w:eastAsia="zh-CN"/>
        </w:rPr>
        <w:t>截止到2017年12月31日，武昌区2017年度</w:t>
      </w:r>
      <w:r>
        <w:rPr>
          <w:rFonts w:hint="eastAsia" w:ascii="宋体" w:hAnsi="宋体" w:eastAsia="宋体" w:cs="宋体"/>
          <w:color w:val="auto"/>
          <w:sz w:val="24"/>
          <w:szCs w:val="24"/>
          <w:highlight w:val="none"/>
          <w:lang w:val="en-US" w:eastAsia="zh-CN"/>
        </w:rPr>
        <w:t>政协委员视察活动经费项目</w:t>
      </w:r>
      <w:r>
        <w:rPr>
          <w:rFonts w:hint="eastAsia" w:ascii="宋体" w:hAnsi="宋体" w:cs="宋体"/>
          <w:color w:val="auto"/>
          <w:sz w:val="24"/>
          <w:szCs w:val="24"/>
          <w:highlight w:val="none"/>
          <w:lang w:val="en-US" w:eastAsia="zh-CN"/>
        </w:rPr>
        <w:t>年初预算为54.6万，实际使用54.2万，节余0.4万。</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通过对</w:t>
      </w:r>
      <w:r>
        <w:rPr>
          <w:rFonts w:hint="eastAsia" w:ascii="宋体" w:hAnsi="宋体" w:eastAsia="宋体" w:cs="宋体"/>
          <w:color w:val="auto"/>
          <w:sz w:val="24"/>
          <w:szCs w:val="24"/>
          <w:highlight w:val="none"/>
          <w:lang w:val="en-US" w:eastAsia="zh-CN"/>
        </w:rPr>
        <w:t>武昌区政协委员视察活动经费</w:t>
      </w:r>
      <w:r>
        <w:rPr>
          <w:rFonts w:hint="eastAsia" w:ascii="宋体" w:hAnsi="宋体" w:eastAsia="宋体" w:cs="宋体"/>
          <w:color w:val="auto"/>
          <w:sz w:val="24"/>
          <w:szCs w:val="24"/>
          <w:highlight w:val="none"/>
        </w:rPr>
        <w:t>项目在项目</w:t>
      </w:r>
      <w:r>
        <w:rPr>
          <w:rFonts w:hint="eastAsia" w:ascii="宋体" w:hAnsi="宋体" w:eastAsia="宋体" w:cs="宋体"/>
          <w:color w:val="auto"/>
          <w:sz w:val="24"/>
          <w:szCs w:val="24"/>
          <w:highlight w:val="none"/>
          <w:lang w:eastAsia="zh-CN"/>
        </w:rPr>
        <w:t>投入</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过程</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项目产出和</w:t>
      </w:r>
      <w:r>
        <w:rPr>
          <w:rFonts w:hint="eastAsia" w:ascii="宋体" w:hAnsi="宋体" w:eastAsia="宋体" w:cs="宋体"/>
          <w:color w:val="auto"/>
          <w:sz w:val="24"/>
          <w:szCs w:val="24"/>
          <w:highlight w:val="none"/>
        </w:rPr>
        <w:t>项目</w:t>
      </w:r>
      <w:r>
        <w:rPr>
          <w:rFonts w:hint="eastAsia" w:ascii="宋体" w:hAnsi="宋体" w:cs="宋体"/>
          <w:color w:val="auto"/>
          <w:sz w:val="24"/>
          <w:szCs w:val="24"/>
          <w:highlight w:val="none"/>
          <w:lang w:val="en-US" w:eastAsia="zh-CN"/>
        </w:rPr>
        <w:t>效益</w:t>
      </w:r>
      <w:r>
        <w:rPr>
          <w:rFonts w:hint="eastAsia" w:ascii="宋体" w:hAnsi="宋体" w:eastAsia="宋体" w:cs="宋体"/>
          <w:color w:val="auto"/>
          <w:sz w:val="24"/>
          <w:szCs w:val="24"/>
          <w:highlight w:val="none"/>
        </w:rPr>
        <w:t>等方面的综合评价，最后得出如下结论：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采用加权平均法得出综合绩效评分为：</w:t>
      </w:r>
      <w:r>
        <w:rPr>
          <w:rFonts w:hint="eastAsia" w:ascii="宋体" w:hAnsi="宋体" w:cs="宋体"/>
          <w:b/>
          <w:bCs/>
          <w:color w:val="auto"/>
          <w:sz w:val="24"/>
          <w:szCs w:val="24"/>
          <w:highlight w:val="none"/>
          <w:lang w:val="en-US" w:eastAsia="zh-CN"/>
        </w:rPr>
        <w:t>88.9</w:t>
      </w:r>
      <w:r>
        <w:rPr>
          <w:rFonts w:hint="eastAsia" w:ascii="宋体" w:hAnsi="宋体" w:eastAsia="宋体" w:cs="宋体"/>
          <w:b/>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评分结果级别为：</w:t>
      </w:r>
      <w:r>
        <w:rPr>
          <w:rFonts w:hint="eastAsia" w:ascii="宋体" w:hAnsi="宋体" w:cs="宋体"/>
          <w:b/>
          <w:bCs/>
          <w:color w:val="auto"/>
          <w:sz w:val="24"/>
          <w:szCs w:val="24"/>
          <w:highlight w:val="none"/>
          <w:lang w:val="en-US" w:eastAsia="zh-CN"/>
        </w:rPr>
        <w:t>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本次绩效评价力图科学、合理、真实、有效，强调规范性和可持续性原则，坚持以定量分析为主、定性分析为辅的原则，采用指标打分法对</w:t>
      </w:r>
      <w:r>
        <w:rPr>
          <w:rFonts w:hint="eastAsia" w:ascii="宋体" w:hAnsi="宋体" w:eastAsia="宋体" w:cs="宋体"/>
          <w:color w:val="auto"/>
          <w:sz w:val="24"/>
          <w:szCs w:val="24"/>
          <w:highlight w:val="none"/>
          <w:lang w:val="en-US" w:eastAsia="zh-CN"/>
        </w:rPr>
        <w:t>武昌区政协委员视察活动经费</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rPr>
        <w:t>进行绩效评价。绩效评价体系中，项目投入权重15%，项目过程权重25%，项目产出权重2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%，项目效果权重</w:t>
      </w:r>
      <w:r>
        <w:rPr>
          <w:rFonts w:hint="eastAsia" w:ascii="宋体" w:hAnsi="宋体" w:cs="宋体"/>
          <w:color w:val="auto"/>
          <w:sz w:val="24"/>
          <w:szCs w:val="24"/>
          <w:highlight w:val="none"/>
          <w:lang w:val="en-US" w:eastAsia="zh-CN"/>
        </w:rPr>
        <w:t>35</w:t>
      </w:r>
      <w:r>
        <w:rPr>
          <w:rFonts w:hint="eastAsia" w:ascii="宋体" w:hAnsi="宋体" w:eastAsia="宋体" w:cs="宋体"/>
          <w:color w:val="auto"/>
          <w:sz w:val="24"/>
          <w:szCs w:val="24"/>
          <w:highlight w:val="none"/>
        </w:rPr>
        <w:t>%。</w:t>
      </w:r>
    </w:p>
    <w:p>
      <w:pPr>
        <w:pStyle w:val="2"/>
        <w:keepNext/>
        <w:keepLines/>
        <w:pageBreakBefore w:val="0"/>
        <w:widowControl w:val="0"/>
        <w:numPr>
          <w:numId w:val="0"/>
        </w:numPr>
        <w:kinsoku/>
        <w:wordWrap/>
        <w:overflowPunct/>
        <w:topLinePunct w:val="0"/>
        <w:autoSpaceDE/>
        <w:autoSpaceDN/>
        <w:bidi w:val="0"/>
        <w:adjustRightInd/>
        <w:snapToGrid/>
        <w:spacing w:before="313" w:beforeLines="100" w:after="313" w:afterLines="100" w:line="360" w:lineRule="auto"/>
        <w:ind w:left="420" w:leftChars="0"/>
        <w:jc w:val="center"/>
        <w:textAlignment w:val="auto"/>
        <w:outlineLvl w:val="0"/>
        <w:rPr>
          <w:rFonts w:hint="eastAsia" w:asciiTheme="majorEastAsia" w:hAnsiTheme="majorEastAsia" w:eastAsiaTheme="majorEastAsia" w:cstheme="majorEastAsia"/>
          <w:color w:val="auto"/>
          <w:sz w:val="32"/>
          <w:szCs w:val="32"/>
          <w:highlight w:val="none"/>
          <w:lang w:val="en-US" w:eastAsia="zh-CN"/>
        </w:rPr>
      </w:pPr>
      <w:bookmarkStart w:id="40" w:name="_Toc12541"/>
      <w:bookmarkStart w:id="41" w:name="_Toc21092"/>
      <w:bookmarkStart w:id="42" w:name="_Toc2283"/>
      <w:r>
        <w:rPr>
          <w:rFonts w:hint="eastAsia" w:asciiTheme="majorEastAsia" w:hAnsiTheme="majorEastAsia" w:eastAsiaTheme="majorEastAsia" w:cstheme="majorEastAsia"/>
          <w:color w:val="auto"/>
          <w:sz w:val="32"/>
          <w:szCs w:val="32"/>
          <w:highlight w:val="none"/>
          <w:lang w:val="en-US" w:eastAsia="zh-CN"/>
        </w:rPr>
        <w:t>四、经验总结</w:t>
      </w:r>
      <w:bookmarkEnd w:id="40"/>
      <w:bookmarkEnd w:id="4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lang w:val="en-US" w:eastAsia="zh-CN"/>
        </w:rPr>
      </w:pPr>
      <w:r>
        <w:rPr>
          <w:rFonts w:hint="eastAsia"/>
          <w:color w:val="auto"/>
          <w:sz w:val="24"/>
          <w:szCs w:val="24"/>
          <w:lang w:val="en-US" w:eastAsia="zh-CN"/>
        </w:rPr>
        <w:t>在深圳举办了两期专题培训班，把课堂教学与实地体验相结合、专题研学与互动交流相融合，感悟创新理念、开阔履职视野，强化了委员服务武昌发展的责任担当，受到近百名参训委员一致好评。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lang w:val="en-US" w:eastAsia="zh-CN"/>
        </w:rPr>
      </w:pPr>
      <w:r>
        <w:rPr>
          <w:rFonts w:hint="eastAsia"/>
          <w:color w:val="auto"/>
          <w:sz w:val="24"/>
          <w:szCs w:val="24"/>
          <w:lang w:val="en-US" w:eastAsia="zh-CN"/>
        </w:rPr>
        <w:t>通过组织专题学习、政情通报，及时传达学习市、区党代会精神，准确把握发展战略和发展重点。围绕市、区中心任务,深入调研、积极建言，形成较高质量的调研文章27篇。在招商引资、项目推进、社会治理等重点工作中，政协委员发挥优势、主动作为，为落实区委决策部署营造了气场、凝聚了智慧、汇集了力量。</w:t>
      </w:r>
    </w:p>
    <w:p>
      <w:pPr>
        <w:rPr>
          <w:rFonts w:hint="eastAsia"/>
          <w:color w:val="auto"/>
          <w:lang w:val="en-US" w:eastAsia="zh-CN"/>
        </w:rPr>
      </w:pPr>
    </w:p>
    <w:p>
      <w:pPr>
        <w:pStyle w:val="2"/>
        <w:keepNext/>
        <w:keepLines/>
        <w:pageBreakBefore w:val="0"/>
        <w:widowControl w:val="0"/>
        <w:numPr>
          <w:numId w:val="0"/>
        </w:numPr>
        <w:kinsoku/>
        <w:wordWrap/>
        <w:overflowPunct/>
        <w:topLinePunct w:val="0"/>
        <w:autoSpaceDE/>
        <w:autoSpaceDN/>
        <w:bidi w:val="0"/>
        <w:adjustRightInd/>
        <w:snapToGrid/>
        <w:spacing w:before="313" w:beforeLines="100" w:after="313" w:afterLines="100" w:line="360" w:lineRule="auto"/>
        <w:ind w:left="420" w:leftChars="0"/>
        <w:jc w:val="center"/>
        <w:textAlignment w:val="auto"/>
        <w:outlineLvl w:val="0"/>
        <w:rPr>
          <w:rFonts w:hint="eastAsia" w:asciiTheme="majorEastAsia" w:hAnsiTheme="majorEastAsia" w:eastAsiaTheme="majorEastAsia" w:cstheme="majorEastAsia"/>
          <w:color w:val="auto"/>
          <w:sz w:val="32"/>
          <w:szCs w:val="32"/>
          <w:highlight w:val="none"/>
          <w:lang w:val="en-US" w:eastAsia="zh-CN"/>
        </w:rPr>
      </w:pPr>
      <w:bookmarkStart w:id="43" w:name="_Toc3288"/>
      <w:r>
        <w:rPr>
          <w:rFonts w:hint="eastAsia" w:asciiTheme="majorEastAsia" w:hAnsiTheme="majorEastAsia" w:eastAsiaTheme="majorEastAsia" w:cstheme="majorEastAsia"/>
          <w:color w:val="auto"/>
          <w:sz w:val="32"/>
          <w:szCs w:val="32"/>
          <w:highlight w:val="none"/>
          <w:lang w:val="en-US" w:eastAsia="zh-CN"/>
        </w:rPr>
        <w:t>五、问题</w:t>
      </w:r>
      <w:bookmarkEnd w:id="42"/>
      <w:bookmarkEnd w:id="43"/>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b/>
          <w:bCs/>
          <w:sz w:val="24"/>
          <w:szCs w:val="24"/>
          <w:lang w:eastAsia="zh-CN"/>
        </w:rPr>
      </w:pPr>
      <w:bookmarkStart w:id="44" w:name="_Toc27802"/>
      <w:r>
        <w:rPr>
          <w:rFonts w:hint="eastAsia"/>
          <w:b/>
          <w:bCs/>
          <w:sz w:val="24"/>
          <w:szCs w:val="24"/>
          <w:lang w:eastAsia="zh-CN"/>
        </w:rPr>
        <w:t>（一）存在的问题</w:t>
      </w:r>
      <w:bookmarkEnd w:id="44"/>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项目绩效指标</w:t>
      </w:r>
      <w:r>
        <w:rPr>
          <w:rFonts w:hint="eastAsia" w:ascii="宋体" w:hAnsi="宋体" w:eastAsia="宋体" w:cs="宋体"/>
          <w:b/>
          <w:bCs/>
          <w:color w:val="auto"/>
          <w:sz w:val="24"/>
          <w:szCs w:val="24"/>
          <w:highlight w:val="none"/>
          <w:lang w:val="en-US" w:eastAsia="zh-CN"/>
        </w:rPr>
        <w:t>予待</w:t>
      </w:r>
      <w:r>
        <w:rPr>
          <w:rFonts w:hint="eastAsia" w:ascii="宋体" w:hAnsi="宋体" w:eastAsia="宋体" w:cs="宋体"/>
          <w:b/>
          <w:bCs/>
          <w:color w:val="auto"/>
          <w:sz w:val="24"/>
          <w:szCs w:val="24"/>
          <w:highlight w:val="none"/>
          <w:lang w:eastAsia="zh-CN"/>
        </w:rPr>
        <w:t>完善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无《项目申报表》，目标不明确，无考核指标，不能</w:t>
      </w:r>
      <w:r>
        <w:rPr>
          <w:rFonts w:hint="eastAsia" w:ascii="宋体" w:hAnsi="宋体" w:eastAsia="宋体" w:cs="宋体"/>
          <w:color w:val="auto"/>
          <w:sz w:val="24"/>
          <w:szCs w:val="24"/>
          <w:highlight w:val="none"/>
          <w:lang w:eastAsia="zh-CN"/>
        </w:rPr>
        <w:t>量化，预算绩效管理</w:t>
      </w:r>
      <w:r>
        <w:rPr>
          <w:rFonts w:hint="eastAsia" w:ascii="宋体" w:hAnsi="宋体" w:eastAsia="宋体" w:cs="宋体"/>
          <w:color w:val="auto"/>
          <w:sz w:val="24"/>
          <w:szCs w:val="24"/>
          <w:highlight w:val="none"/>
          <w:lang w:val="en-US" w:eastAsia="zh-CN"/>
        </w:rPr>
        <w:t>予待加强。项目支出没有预算，资金用途太泛化，难以区分项目支出还是基本支出。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r>
        <w:rPr>
          <w:rFonts w:hint="eastAsia" w:ascii="宋体" w:hAnsi="宋体" w:cs="宋体"/>
          <w:b/>
          <w:bCs/>
          <w:color w:val="auto"/>
          <w:sz w:val="24"/>
          <w:szCs w:val="24"/>
          <w:highlight w:val="none"/>
          <w:lang w:val="en-US" w:eastAsia="zh-CN"/>
        </w:rPr>
        <w:t>政协委员成果需及时转化：</w:t>
      </w:r>
      <w:r>
        <w:rPr>
          <w:rFonts w:hint="eastAsia" w:ascii="宋体" w:hAnsi="宋体" w:eastAsia="宋体" w:cs="宋体"/>
          <w:color w:val="auto"/>
          <w:sz w:val="24"/>
          <w:szCs w:val="24"/>
          <w:highlight w:val="none"/>
          <w:lang w:val="en-US" w:eastAsia="zh-CN"/>
        </w:rPr>
        <w:t>调查研究不够深入，协商质量有待提升；民主监督系统性、针对性还不强，工作有待深化；成果转化落实机制还不完善，协商议政的实效性有待加强。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b/>
          <w:bCs/>
          <w:sz w:val="24"/>
          <w:szCs w:val="24"/>
          <w:lang w:val="en-US" w:eastAsia="zh-CN"/>
        </w:rPr>
      </w:pPr>
      <w:bookmarkStart w:id="45" w:name="_Toc7470"/>
      <w:bookmarkStart w:id="46" w:name="_Toc28484"/>
      <w:bookmarkStart w:id="47" w:name="_Toc31060"/>
      <w:r>
        <w:rPr>
          <w:rFonts w:hint="eastAsia"/>
          <w:b/>
          <w:bCs/>
          <w:sz w:val="24"/>
          <w:szCs w:val="24"/>
          <w:lang w:eastAsia="zh-CN"/>
        </w:rPr>
        <w:t>（二）</w:t>
      </w:r>
      <w:bookmarkEnd w:id="45"/>
      <w:bookmarkEnd w:id="46"/>
      <w:r>
        <w:rPr>
          <w:rFonts w:hint="eastAsia"/>
          <w:b/>
          <w:bCs/>
          <w:sz w:val="24"/>
          <w:szCs w:val="24"/>
          <w:lang w:val="en-US" w:eastAsia="zh-CN"/>
        </w:rPr>
        <w:t>问题分析</w:t>
      </w:r>
    </w:p>
    <w:bookmarkEnd w:id="47"/>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项目绩效指标</w:t>
      </w:r>
      <w:r>
        <w:rPr>
          <w:rFonts w:hint="eastAsia" w:ascii="宋体" w:hAnsi="宋体" w:eastAsia="宋体" w:cs="宋体"/>
          <w:color w:val="auto"/>
          <w:sz w:val="24"/>
          <w:szCs w:val="24"/>
          <w:highlight w:val="none"/>
          <w:lang w:val="en-US" w:eastAsia="zh-CN"/>
        </w:rPr>
        <w:t>没有专</w:t>
      </w:r>
      <w:r>
        <w:rPr>
          <w:rFonts w:hint="eastAsia" w:ascii="宋体" w:hAnsi="宋体" w:cs="宋体"/>
          <w:color w:val="auto"/>
          <w:sz w:val="24"/>
          <w:szCs w:val="24"/>
          <w:highlight w:val="none"/>
          <w:lang w:val="en-US" w:eastAsia="zh-CN"/>
        </w:rPr>
        <w:t>门</w:t>
      </w:r>
      <w:r>
        <w:rPr>
          <w:rFonts w:hint="eastAsia" w:ascii="宋体" w:hAnsi="宋体" w:eastAsia="宋体" w:cs="宋体"/>
          <w:color w:val="auto"/>
          <w:sz w:val="24"/>
          <w:szCs w:val="24"/>
          <w:highlight w:val="none"/>
          <w:lang w:val="en-US" w:eastAsia="zh-CN"/>
        </w:rPr>
        <w:t>财务人员，</w:t>
      </w:r>
      <w:r>
        <w:rPr>
          <w:rFonts w:hint="eastAsia" w:ascii="宋体" w:hAnsi="宋体" w:cs="宋体"/>
          <w:color w:val="auto"/>
          <w:sz w:val="24"/>
          <w:szCs w:val="24"/>
          <w:highlight w:val="none"/>
          <w:lang w:val="en-US" w:eastAsia="zh-CN"/>
        </w:rPr>
        <w:t>单位</w:t>
      </w:r>
      <w:r>
        <w:rPr>
          <w:rFonts w:hint="eastAsia" w:ascii="宋体" w:hAnsi="宋体" w:eastAsia="宋体" w:cs="宋体"/>
          <w:color w:val="auto"/>
          <w:sz w:val="24"/>
          <w:szCs w:val="24"/>
          <w:highlight w:val="none"/>
          <w:lang w:val="en-US" w:eastAsia="zh-CN"/>
        </w:rPr>
        <w:t>对</w:t>
      </w:r>
      <w:r>
        <w:rPr>
          <w:rFonts w:hint="eastAsia" w:ascii="宋体" w:hAnsi="宋体" w:eastAsia="宋体" w:cs="宋体"/>
          <w:color w:val="auto"/>
          <w:sz w:val="24"/>
          <w:szCs w:val="24"/>
          <w:highlight w:val="none"/>
          <w:lang w:eastAsia="zh-CN"/>
        </w:rPr>
        <w:t>预算绩效管理</w:t>
      </w:r>
      <w:r>
        <w:rPr>
          <w:rFonts w:hint="eastAsia" w:ascii="宋体" w:hAnsi="宋体" w:eastAsia="宋体" w:cs="宋体"/>
          <w:color w:val="auto"/>
          <w:sz w:val="24"/>
          <w:szCs w:val="24"/>
          <w:highlight w:val="none"/>
          <w:lang w:val="en-US" w:eastAsia="zh-CN"/>
        </w:rPr>
        <w:t>不重视。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2、政协委员的调查研</w:t>
      </w:r>
      <w:r>
        <w:rPr>
          <w:rFonts w:hint="eastAsia" w:ascii="宋体" w:hAnsi="宋体" w:eastAsia="宋体" w:cs="宋体"/>
          <w:color w:val="auto"/>
          <w:sz w:val="24"/>
          <w:szCs w:val="24"/>
          <w:highlight w:val="none"/>
          <w:lang w:val="en-US" w:eastAsia="zh-CN"/>
        </w:rPr>
        <w:t>究</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成果转化</w:t>
      </w:r>
      <w:r>
        <w:rPr>
          <w:rFonts w:hint="eastAsia" w:ascii="宋体" w:hAnsi="宋体" w:cs="宋体"/>
          <w:color w:val="auto"/>
          <w:sz w:val="24"/>
          <w:szCs w:val="24"/>
          <w:highlight w:val="none"/>
          <w:lang w:val="en-US" w:eastAsia="zh-CN"/>
        </w:rPr>
        <w:t>没有制订年度目标；探讨落实机制。</w:t>
      </w:r>
    </w:p>
    <w:p>
      <w:pPr>
        <w:pStyle w:val="2"/>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420" w:leftChars="0"/>
        <w:jc w:val="center"/>
        <w:textAlignment w:val="auto"/>
        <w:outlineLvl w:val="0"/>
        <w:rPr>
          <w:rFonts w:hint="eastAsia" w:asciiTheme="majorEastAsia" w:hAnsiTheme="majorEastAsia" w:eastAsiaTheme="majorEastAsia" w:cstheme="majorEastAsia"/>
          <w:color w:val="auto"/>
          <w:sz w:val="32"/>
          <w:szCs w:val="32"/>
          <w:highlight w:val="none"/>
          <w:lang w:val="en-US" w:eastAsia="zh-CN"/>
        </w:rPr>
      </w:pPr>
      <w:bookmarkStart w:id="48" w:name="_Toc32070"/>
      <w:bookmarkStart w:id="49" w:name="_Toc27104"/>
      <w:r>
        <w:rPr>
          <w:rFonts w:hint="eastAsia" w:asciiTheme="majorEastAsia" w:hAnsiTheme="majorEastAsia" w:eastAsiaTheme="majorEastAsia" w:cstheme="majorEastAsia"/>
          <w:color w:val="auto"/>
          <w:sz w:val="32"/>
          <w:szCs w:val="32"/>
          <w:highlight w:val="none"/>
          <w:lang w:val="en-US" w:eastAsia="zh-CN"/>
        </w:rPr>
        <w:t>六、建议</w:t>
      </w:r>
      <w:bookmarkEnd w:id="48"/>
      <w:bookmarkEnd w:id="49"/>
    </w:p>
    <w:p>
      <w:pPr>
        <w:keepNext w:val="0"/>
        <w:keepLines w:val="0"/>
        <w:pageBreakBefore w:val="0"/>
        <w:kinsoku/>
        <w:wordWrap/>
        <w:overflowPunct/>
        <w:topLinePunct w:val="0"/>
        <w:autoSpaceDE/>
        <w:autoSpaceDN/>
        <w:bidi w:val="0"/>
        <w:adjustRightInd/>
        <w:snapToGrid/>
        <w:spacing w:line="360" w:lineRule="auto"/>
        <w:ind w:right="0" w:rightChars="0" w:firstLine="482" w:firstLineChars="200"/>
        <w:jc w:val="left"/>
        <w:textAlignment w:val="auto"/>
        <w:outlineLvl w:val="1"/>
        <w:rPr>
          <w:rFonts w:hint="eastAsia" w:ascii="宋体" w:hAnsi="宋体" w:eastAsia="宋体" w:cs="宋体"/>
          <w:b/>
          <w:color w:val="auto"/>
          <w:sz w:val="24"/>
          <w:szCs w:val="24"/>
          <w:highlight w:val="none"/>
          <w:lang w:eastAsia="zh-CN"/>
        </w:rPr>
      </w:pPr>
      <w:bookmarkStart w:id="50" w:name="_Toc16067"/>
      <w:bookmarkStart w:id="51" w:name="_Toc18783"/>
      <w:bookmarkStart w:id="52" w:name="_Toc25106"/>
      <w:r>
        <w:rPr>
          <w:rFonts w:hint="eastAsia" w:ascii="宋体" w:hAnsi="宋体" w:eastAsia="宋体" w:cs="宋体"/>
          <w:b/>
          <w:color w:val="auto"/>
          <w:sz w:val="24"/>
          <w:szCs w:val="24"/>
          <w:highlight w:val="none"/>
          <w:lang w:eastAsia="zh-CN"/>
        </w:rPr>
        <w:t>（一）政策性建议</w:t>
      </w:r>
      <w:bookmarkEnd w:id="50"/>
      <w:bookmarkEnd w:id="51"/>
      <w:bookmarkEnd w:id="5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lang w:val="en-US" w:eastAsia="zh-CN"/>
        </w:rPr>
      </w:pPr>
      <w:r>
        <w:rPr>
          <w:rFonts w:hint="eastAsia"/>
          <w:color w:val="auto"/>
          <w:sz w:val="24"/>
          <w:szCs w:val="24"/>
          <w:lang w:val="en-US" w:eastAsia="zh-CN"/>
        </w:rPr>
        <w:t>1、健全激励约束机制，强化委员纪律和规矩意识，开展优秀政协委员评选活动，增强委员的社会责任感和履职成就感。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lang w:val="en-US" w:eastAsia="zh-CN"/>
        </w:rPr>
      </w:pPr>
      <w:r>
        <w:rPr>
          <w:rFonts w:hint="eastAsia" w:ascii="仿宋_GB2312" w:hAnsi="仿宋" w:eastAsia="仿宋_GB2312" w:cs="仿宋"/>
          <w:color w:val="auto"/>
          <w:sz w:val="24"/>
          <w:szCs w:val="24"/>
          <w:highlight w:val="none"/>
          <w:lang w:val="en-US" w:eastAsia="zh-CN"/>
        </w:rPr>
        <w:t>2、</w:t>
      </w:r>
      <w:r>
        <w:rPr>
          <w:rFonts w:hint="eastAsia"/>
          <w:color w:val="auto"/>
          <w:sz w:val="24"/>
          <w:szCs w:val="24"/>
          <w:lang w:val="en-US" w:eastAsia="zh-CN"/>
        </w:rPr>
        <w:t>建立健全项目指标库，指导各单位编制绩效目标，细化指标体系，或通过购买第三方服务方式，逐年完善指标库。</w:t>
      </w:r>
    </w:p>
    <w:p>
      <w:pPr>
        <w:keepNext w:val="0"/>
        <w:keepLines w:val="0"/>
        <w:pageBreakBefore w:val="0"/>
        <w:kinsoku/>
        <w:wordWrap/>
        <w:overflowPunct/>
        <w:topLinePunct w:val="0"/>
        <w:autoSpaceDE/>
        <w:autoSpaceDN/>
        <w:bidi w:val="0"/>
        <w:adjustRightInd/>
        <w:snapToGrid/>
        <w:spacing w:line="360" w:lineRule="auto"/>
        <w:ind w:right="0" w:rightChars="0" w:firstLine="482" w:firstLineChars="200"/>
        <w:jc w:val="left"/>
        <w:textAlignment w:val="auto"/>
        <w:outlineLvl w:val="1"/>
        <w:rPr>
          <w:rFonts w:hint="eastAsia" w:ascii="宋体" w:hAnsi="宋体" w:eastAsia="宋体" w:cs="宋体"/>
          <w:b/>
          <w:color w:val="auto"/>
          <w:sz w:val="24"/>
          <w:szCs w:val="24"/>
          <w:highlight w:val="none"/>
          <w:lang w:val="en-US" w:eastAsia="zh-CN"/>
        </w:rPr>
      </w:pPr>
      <w:bookmarkStart w:id="53" w:name="_Toc28240"/>
      <w:r>
        <w:rPr>
          <w:rFonts w:hint="eastAsia" w:ascii="宋体" w:hAnsi="宋体" w:eastAsia="宋体" w:cs="宋体"/>
          <w:b/>
          <w:color w:val="auto"/>
          <w:sz w:val="24"/>
          <w:szCs w:val="24"/>
          <w:highlight w:val="none"/>
          <w:lang w:eastAsia="zh-CN"/>
        </w:rPr>
        <w:t>（二</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改进措施</w:t>
      </w:r>
      <w:bookmarkEnd w:id="5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lang w:val="en-US" w:eastAsia="zh-CN"/>
        </w:rPr>
      </w:pPr>
      <w:bookmarkStart w:id="54" w:name="_Toc2889"/>
      <w:r>
        <w:rPr>
          <w:rFonts w:hint="eastAsia"/>
          <w:color w:val="auto"/>
          <w:sz w:val="24"/>
          <w:szCs w:val="24"/>
          <w:lang w:val="en-US" w:eastAsia="zh-CN"/>
        </w:rPr>
        <w:t>1、对</w:t>
      </w:r>
      <w:r>
        <w:rPr>
          <w:rFonts w:hint="eastAsia"/>
          <w:color w:val="auto"/>
          <w:sz w:val="24"/>
          <w:szCs w:val="24"/>
          <w:lang w:eastAsia="zh-CN"/>
        </w:rPr>
        <w:t>预算绩效管理</w:t>
      </w:r>
      <w:r>
        <w:rPr>
          <w:rFonts w:hint="eastAsia"/>
          <w:color w:val="auto"/>
          <w:sz w:val="24"/>
          <w:szCs w:val="24"/>
          <w:lang w:val="en-US" w:eastAsia="zh-CN"/>
        </w:rPr>
        <w:t>加以重视：年初做好项目申报工作，</w:t>
      </w:r>
      <w:r>
        <w:rPr>
          <w:rFonts w:hint="eastAsia" w:ascii="宋体" w:hAnsi="宋体" w:cs="宋体"/>
          <w:color w:val="auto"/>
          <w:sz w:val="24"/>
          <w:szCs w:val="24"/>
          <w:highlight w:val="none"/>
          <w:lang w:val="en-US" w:eastAsia="zh-CN"/>
        </w:rPr>
        <w:t>制订年度目标，</w:t>
      </w:r>
      <w:r>
        <w:rPr>
          <w:rFonts w:hint="eastAsia"/>
          <w:color w:val="auto"/>
          <w:sz w:val="24"/>
          <w:szCs w:val="24"/>
          <w:lang w:val="en-US" w:eastAsia="zh-CN"/>
        </w:rPr>
        <w:t>细化指标。</w:t>
      </w:r>
    </w:p>
    <w:bookmarkEnd w:id="54"/>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lang w:val="en-US" w:eastAsia="zh-CN"/>
        </w:rPr>
      </w:pPr>
      <w:bookmarkStart w:id="55" w:name="_Toc15052"/>
      <w:r>
        <w:rPr>
          <w:rFonts w:hint="eastAsia"/>
          <w:color w:val="auto"/>
          <w:sz w:val="24"/>
          <w:szCs w:val="24"/>
          <w:lang w:val="en-US" w:eastAsia="zh-CN"/>
        </w:rPr>
        <w:t>2、创新委员学习培训机制，开辟“移动”课堂，以提升委员履职能力为重点，坚持联系委员机制，开展走访委员、交心谈心活动，尽力帮助委员所在单位排忧解难，提高委员的向心力和自豪感。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lang w:val="en-US" w:eastAsia="zh-CN"/>
        </w:rPr>
      </w:pPr>
      <w:r>
        <w:rPr>
          <w:rFonts w:hint="eastAsia"/>
          <w:color w:val="auto"/>
          <w:sz w:val="24"/>
          <w:szCs w:val="24"/>
          <w:lang w:val="en-US" w:eastAsia="zh-CN"/>
        </w:rPr>
        <w:t>3、丰富议政性协商，开展专题性咨政，打造“双月协商会”品牌，形成以政协全体会议为龙头，以专题议政性常委会、专题协商会为重点，以对口界别协商会、提案办理协商会为常态的协商议政格局，为党委、政府科学决策、推动工作提供有益参考。</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outlineLvl w:val="1"/>
        <w:rPr>
          <w:rFonts w:hint="eastAsia" w:ascii="宋体" w:hAnsi="宋体" w:eastAsia="宋体" w:cs="宋体"/>
          <w:b w:val="0"/>
          <w:bCs/>
          <w:color w:val="auto"/>
          <w:sz w:val="24"/>
          <w:szCs w:val="24"/>
          <w:highlight w:val="none"/>
          <w:lang w:val="en-US" w:eastAsia="zh-CN"/>
        </w:rPr>
      </w:pPr>
      <w:bookmarkStart w:id="56" w:name="_Toc10245"/>
      <w:bookmarkStart w:id="57" w:name="_Toc17158"/>
      <w:r>
        <w:rPr>
          <w:rFonts w:hint="eastAsia" w:ascii="宋体" w:hAnsi="宋体" w:eastAsia="宋体" w:cs="宋体"/>
          <w:b w:val="0"/>
          <w:bCs/>
          <w:color w:val="auto"/>
          <w:sz w:val="24"/>
          <w:szCs w:val="24"/>
          <w:highlight w:val="none"/>
          <w:lang w:eastAsia="zh-CN"/>
        </w:rPr>
        <w:t>（</w:t>
      </w:r>
      <w:r>
        <w:rPr>
          <w:rFonts w:hint="eastAsia" w:ascii="宋体" w:hAnsi="宋体" w:eastAsia="宋体" w:cs="宋体"/>
          <w:b/>
          <w:color w:val="auto"/>
          <w:sz w:val="24"/>
          <w:szCs w:val="24"/>
          <w:highlight w:val="none"/>
          <w:lang w:eastAsia="zh-CN"/>
        </w:rPr>
        <w:t>三）</w:t>
      </w:r>
      <w:r>
        <w:rPr>
          <w:rFonts w:hint="eastAsia" w:ascii="宋体" w:hAnsi="宋体" w:eastAsia="宋体" w:cs="宋体"/>
          <w:b/>
          <w:color w:val="auto"/>
          <w:sz w:val="24"/>
          <w:szCs w:val="24"/>
          <w:highlight w:val="none"/>
          <w:lang w:val="en-US" w:eastAsia="zh-CN"/>
        </w:rPr>
        <w:t>绩效目标改进建议</w:t>
      </w:r>
      <w:bookmarkEnd w:id="55"/>
      <w:bookmarkEnd w:id="56"/>
      <w:bookmarkEnd w:id="57"/>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eastAsia"/>
          <w:color w:val="auto"/>
          <w:sz w:val="24"/>
          <w:szCs w:val="24"/>
          <w:lang w:val="en-US" w:eastAsia="zh-CN"/>
        </w:rPr>
      </w:pPr>
      <w:r>
        <w:rPr>
          <w:rFonts w:hint="eastAsia"/>
          <w:color w:val="auto"/>
          <w:sz w:val="24"/>
          <w:szCs w:val="24"/>
          <w:lang w:val="en-US" w:eastAsia="zh-CN"/>
        </w:rPr>
        <w:t>1、年度目标：建立《项目申报表》，</w:t>
      </w:r>
      <w:r>
        <w:rPr>
          <w:rFonts w:hint="eastAsia"/>
          <w:color w:val="auto"/>
          <w:sz w:val="24"/>
          <w:szCs w:val="24"/>
          <w:lang w:val="en-US" w:eastAsia="zh-CN"/>
        </w:rPr>
        <w:t>细化指标体系，明确考核指标。</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eastAsia"/>
          <w:color w:val="auto"/>
          <w:sz w:val="24"/>
          <w:szCs w:val="24"/>
          <w:lang w:val="en-US" w:eastAsia="zh-CN"/>
        </w:rPr>
      </w:pPr>
      <w:r>
        <w:rPr>
          <w:rFonts w:hint="eastAsia"/>
          <w:color w:val="auto"/>
          <w:sz w:val="24"/>
          <w:szCs w:val="24"/>
          <w:lang w:val="en-US" w:eastAsia="zh-CN"/>
        </w:rPr>
        <w:t>2、效益指标：以服务委员为己任，充分运用信息化手段，提高工作效率、提升工作水平，为委员履职提供有力保障；可持续影响是促进档案信息化成果运用，推进工作转型升级、提质增效。</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eastAsia"/>
          <w:color w:val="auto"/>
          <w:sz w:val="24"/>
          <w:szCs w:val="24"/>
          <w:lang w:val="en-US" w:eastAsia="zh-CN"/>
        </w:rPr>
      </w:pPr>
      <w:r>
        <w:rPr>
          <w:rFonts w:hint="eastAsia"/>
          <w:color w:val="auto"/>
          <w:sz w:val="24"/>
          <w:szCs w:val="24"/>
          <w:lang w:val="en-US" w:eastAsia="zh-CN"/>
        </w:rPr>
        <w:t>3、满意度指标：设立政协委员满意度指标。</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ajorEastAsia" w:hAnsiTheme="majorEastAsia" w:eastAsiaTheme="majorEastAsia" w:cstheme="majorEastAsia"/>
          <w:b w:val="0"/>
          <w:bCs w:val="0"/>
          <w:color w:val="FF0000"/>
          <w:sz w:val="24"/>
          <w:szCs w:val="24"/>
          <w:highlight w:val="none"/>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FF0000"/>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lang w:val="en-US" w:eastAsia="zh-CN"/>
        </w:rPr>
      </w:pPr>
    </w:p>
    <w:bookmarkEnd w:id="0"/>
    <w:bookmarkEnd w:id="1"/>
    <w:bookmarkEnd w:id="2"/>
    <w:p>
      <w:pPr>
        <w:pStyle w:val="16"/>
        <w:pageBreakBefore w:val="0"/>
        <w:kinsoku/>
        <w:wordWrap/>
        <w:overflowPunct/>
        <w:topLinePunct w:val="0"/>
        <w:autoSpaceDE/>
        <w:autoSpaceDN/>
        <w:bidi w:val="0"/>
        <w:adjustRightInd/>
        <w:snapToGrid/>
        <w:spacing w:line="360" w:lineRule="auto"/>
        <w:ind w:firstLine="5340" w:firstLineChars="2225"/>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项目负责人：李怡民</w:t>
      </w:r>
    </w:p>
    <w:p>
      <w:pPr>
        <w:pStyle w:val="16"/>
        <w:pageBreakBefore w:val="0"/>
        <w:kinsoku/>
        <w:wordWrap/>
        <w:overflowPunct/>
        <w:topLinePunct w:val="0"/>
        <w:autoSpaceDE/>
        <w:autoSpaceDN/>
        <w:bidi w:val="0"/>
        <w:adjustRightInd/>
        <w:snapToGrid/>
        <w:spacing w:line="360" w:lineRule="auto"/>
        <w:ind w:firstLine="5520" w:firstLineChars="23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评</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价成员：</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 xml:space="preserve">李怡民  </w:t>
      </w:r>
    </w:p>
    <w:p>
      <w:pPr>
        <w:pStyle w:val="16"/>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w:t>
      </w:r>
      <w:r>
        <w:rPr>
          <w:rFonts w:hint="eastAsia" w:asciiTheme="majorEastAsia" w:hAnsiTheme="majorEastAsia" w:eastAsiaTheme="majorEastAsia" w:cstheme="majorEastAsia"/>
          <w:color w:val="auto"/>
          <w:sz w:val="24"/>
          <w:szCs w:val="24"/>
          <w:highlight w:val="none"/>
          <w:lang w:val="en-US" w:eastAsia="zh-CN"/>
        </w:rPr>
        <w:t xml:space="preserve">                                                    杜秀兰</w:t>
      </w:r>
      <w:r>
        <w:rPr>
          <w:rFonts w:hint="eastAsia" w:asciiTheme="majorEastAsia" w:hAnsiTheme="majorEastAsia" w:eastAsiaTheme="majorEastAsia" w:cstheme="majorEastAsia"/>
          <w:color w:val="auto"/>
          <w:sz w:val="24"/>
          <w:szCs w:val="24"/>
          <w:highlight w:val="none"/>
        </w:rPr>
        <w:t xml:space="preserve">       </w:t>
      </w:r>
    </w:p>
    <w:p>
      <w:pPr>
        <w:pStyle w:val="16"/>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p>
    <w:p>
      <w:pPr>
        <w:pageBreakBefore w:val="0"/>
        <w:kinsoku/>
        <w:wordWrap/>
        <w:overflowPunct/>
        <w:topLinePunct w:val="0"/>
        <w:autoSpaceDE/>
        <w:autoSpaceDN/>
        <w:bidi w:val="0"/>
        <w:adjustRightInd/>
        <w:snapToGrid/>
        <w:spacing w:line="360" w:lineRule="auto"/>
        <w:jc w:val="right"/>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湖北中天诚资产评估有限公司</w:t>
      </w:r>
    </w:p>
    <w:p>
      <w:pPr>
        <w:pageBreakBefore w:val="0"/>
        <w:kinsoku/>
        <w:wordWrap/>
        <w:overflowPunct/>
        <w:topLinePunct w:val="0"/>
        <w:autoSpaceDE/>
        <w:autoSpaceDN/>
        <w:bidi w:val="0"/>
        <w:adjustRightInd/>
        <w:snapToGrid/>
        <w:spacing w:line="360" w:lineRule="auto"/>
        <w:ind w:right="480"/>
        <w:jc w:val="right"/>
        <w:textAlignment w:val="auto"/>
        <w:rPr>
          <w:rFonts w:hint="eastAsia" w:asciiTheme="majorEastAsia" w:hAnsiTheme="majorEastAsia" w:eastAsiaTheme="majorEastAsia" w:cstheme="majorEastAsia"/>
          <w:color w:val="auto"/>
          <w:sz w:val="24"/>
          <w:szCs w:val="24"/>
          <w:highlight w:val="none"/>
        </w:rPr>
        <w:sectPr>
          <w:headerReference r:id="rId13" w:type="first"/>
          <w:footerReference r:id="rId15" w:type="first"/>
          <w:headerReference r:id="rId12" w:type="default"/>
          <w:footerReference r:id="rId14" w:type="default"/>
          <w:type w:val="continuous"/>
          <w:pgSz w:w="11906" w:h="16838"/>
          <w:pgMar w:top="1191" w:right="1191" w:bottom="1191" w:left="1191" w:header="851" w:footer="539" w:gutter="0"/>
          <w:pgNumType w:fmt="decimal"/>
          <w:cols w:space="0" w:num="1"/>
          <w:titlePg/>
          <w:rtlGutter w:val="0"/>
          <w:docGrid w:type="lines" w:linePitch="312" w:charSpace="0"/>
        </w:sectPr>
      </w:pPr>
      <w:r>
        <w:rPr>
          <w:rFonts w:hint="eastAsia" w:asciiTheme="majorEastAsia" w:hAnsiTheme="majorEastAsia" w:eastAsiaTheme="majorEastAsia" w:cstheme="majorEastAsia"/>
          <w:color w:val="auto"/>
          <w:sz w:val="24"/>
          <w:szCs w:val="24"/>
          <w:highlight w:val="none"/>
        </w:rPr>
        <w:t>201</w:t>
      </w:r>
      <w:r>
        <w:rPr>
          <w:rFonts w:hint="eastAsia" w:asciiTheme="majorEastAsia" w:hAnsiTheme="majorEastAsia" w:eastAsiaTheme="majorEastAsia" w:cstheme="majorEastAsia"/>
          <w:color w:val="auto"/>
          <w:sz w:val="24"/>
          <w:szCs w:val="24"/>
          <w:highlight w:val="none"/>
          <w:lang w:val="en-US" w:eastAsia="zh-CN"/>
        </w:rPr>
        <w:t>8</w:t>
      </w:r>
      <w:r>
        <w:rPr>
          <w:rFonts w:hint="eastAsia" w:asciiTheme="majorEastAsia" w:hAnsiTheme="majorEastAsia" w:eastAsiaTheme="majorEastAsia" w:cstheme="majorEastAsia"/>
          <w:color w:val="auto"/>
          <w:sz w:val="24"/>
          <w:szCs w:val="24"/>
          <w:highlight w:val="none"/>
        </w:rPr>
        <w:t>年</w:t>
      </w:r>
      <w:r>
        <w:rPr>
          <w:rFonts w:hint="eastAsia" w:asciiTheme="majorEastAsia" w:hAnsiTheme="majorEastAsia" w:eastAsiaTheme="majorEastAsia" w:cstheme="majorEastAsia"/>
          <w:color w:val="auto"/>
          <w:sz w:val="24"/>
          <w:szCs w:val="24"/>
          <w:highlight w:val="none"/>
          <w:lang w:val="en-US" w:eastAsia="zh-CN"/>
        </w:rPr>
        <w:t>6</w:t>
      </w:r>
      <w:r>
        <w:rPr>
          <w:rFonts w:hint="eastAsia" w:asciiTheme="majorEastAsia" w:hAnsiTheme="majorEastAsia" w:eastAsiaTheme="majorEastAsia" w:cstheme="majorEastAsia"/>
          <w:color w:val="auto"/>
          <w:sz w:val="24"/>
          <w:szCs w:val="24"/>
          <w:highlight w:val="none"/>
        </w:rPr>
        <w:t>月</w:t>
      </w:r>
      <w:r>
        <w:rPr>
          <w:rFonts w:hint="eastAsia" w:asciiTheme="majorEastAsia" w:hAnsiTheme="majorEastAsia" w:eastAsiaTheme="majorEastAsia" w:cstheme="majorEastAsia"/>
          <w:color w:val="auto"/>
          <w:sz w:val="24"/>
          <w:szCs w:val="24"/>
          <w:highlight w:val="none"/>
          <w:lang w:val="en-US" w:eastAsia="zh-CN"/>
        </w:rPr>
        <w:t>23</w:t>
      </w:r>
      <w:r>
        <w:rPr>
          <w:rFonts w:hint="eastAsia" w:asciiTheme="majorEastAsia" w:hAnsiTheme="majorEastAsia" w:eastAsiaTheme="majorEastAsia" w:cstheme="majorEastAsia"/>
          <w:color w:val="auto"/>
          <w:sz w:val="24"/>
          <w:szCs w:val="24"/>
          <w:highlight w:val="none"/>
        </w:rPr>
        <w:t>日</w:t>
      </w:r>
    </w:p>
    <w:p>
      <w:pPr>
        <w:pStyle w:val="16"/>
        <w:pageBreakBefore w:val="0"/>
        <w:kinsoku/>
        <w:wordWrap/>
        <w:overflowPunct/>
        <w:topLinePunct w:val="0"/>
        <w:autoSpaceDE/>
        <w:autoSpaceDN/>
        <w:bidi w:val="0"/>
        <w:adjustRightInd/>
        <w:snapToGrid/>
        <w:spacing w:line="360" w:lineRule="auto"/>
        <w:ind w:firstLine="482" w:firstLineChars="0"/>
        <w:jc w:val="left"/>
        <w:textAlignment w:val="auto"/>
        <w:rPr>
          <w:rFonts w:hint="eastAsia" w:asciiTheme="majorEastAsia" w:hAnsiTheme="majorEastAsia" w:eastAsiaTheme="majorEastAsia" w:cstheme="majorEastAsia"/>
          <w:color w:val="auto"/>
          <w:sz w:val="24"/>
          <w:szCs w:val="24"/>
        </w:rPr>
      </w:pP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0"/>
        <w:rPr>
          <w:rFonts w:hint="eastAsia" w:asciiTheme="majorEastAsia" w:hAnsiTheme="majorEastAsia" w:eastAsiaTheme="majorEastAsia" w:cstheme="majorEastAsia"/>
          <w:b/>
          <w:color w:val="auto"/>
          <w:sz w:val="24"/>
          <w:szCs w:val="24"/>
        </w:rPr>
      </w:pPr>
      <w:bookmarkStart w:id="58" w:name="_Toc31129"/>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0"/>
        <w:rPr>
          <w:rFonts w:hint="eastAsia" w:asciiTheme="majorEastAsia" w:hAnsiTheme="majorEastAsia" w:eastAsiaTheme="majorEastAsia" w:cstheme="majorEastAsia"/>
          <w:b/>
          <w:color w:val="auto"/>
          <w:sz w:val="24"/>
          <w:szCs w:val="24"/>
        </w:rPr>
      </w:pPr>
    </w:p>
    <w:p>
      <w:pPr>
        <w:rPr>
          <w:rFonts w:hint="eastAsia" w:asciiTheme="majorEastAsia" w:hAnsiTheme="majorEastAsia" w:eastAsiaTheme="majorEastAsia" w:cstheme="majorEastAsia"/>
          <w:b/>
          <w:color w:val="auto"/>
          <w:sz w:val="24"/>
          <w:szCs w:val="24"/>
        </w:rPr>
      </w:pPr>
    </w:p>
    <w:p>
      <w:pPr>
        <w:rPr>
          <w:rFonts w:hint="eastAsia" w:asciiTheme="majorEastAsia" w:hAnsiTheme="majorEastAsia" w:eastAsiaTheme="majorEastAsia" w:cstheme="majorEastAsia"/>
          <w:b/>
          <w:color w:val="auto"/>
          <w:sz w:val="24"/>
          <w:szCs w:val="24"/>
        </w:rPr>
      </w:pP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0"/>
        <w:rPr>
          <w:rFonts w:hint="eastAsia" w:asciiTheme="majorEastAsia" w:hAnsiTheme="majorEastAsia" w:eastAsiaTheme="majorEastAsia" w:cstheme="majorEastAsia"/>
          <w:b/>
          <w:color w:val="auto"/>
          <w:sz w:val="24"/>
          <w:szCs w:val="24"/>
        </w:rPr>
      </w:pP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0"/>
        <w:rPr>
          <w:rFonts w:hint="eastAsia" w:asciiTheme="majorEastAsia" w:hAnsiTheme="majorEastAsia" w:eastAsiaTheme="majorEastAsia" w:cstheme="majorEastAsia"/>
          <w:b/>
          <w:color w:val="auto"/>
          <w:sz w:val="24"/>
          <w:szCs w:val="24"/>
        </w:rPr>
      </w:pP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0"/>
        <w:rPr>
          <w:rFonts w:hint="eastAsia" w:asciiTheme="majorEastAsia" w:hAnsiTheme="majorEastAsia" w:eastAsiaTheme="majorEastAsia" w:cstheme="majorEastAsia"/>
          <w:b/>
          <w:color w:val="auto"/>
          <w:sz w:val="24"/>
          <w:szCs w:val="24"/>
        </w:rPr>
      </w:pPr>
      <w:bookmarkStart w:id="59" w:name="_Toc4291"/>
      <w:r>
        <w:rPr>
          <w:rFonts w:hint="eastAsia" w:asciiTheme="majorEastAsia" w:hAnsiTheme="majorEastAsia" w:eastAsiaTheme="majorEastAsia" w:cstheme="majorEastAsia"/>
          <w:b/>
          <w:color w:val="auto"/>
          <w:sz w:val="24"/>
          <w:szCs w:val="24"/>
        </w:rPr>
        <w:fldChar w:fldCharType="begin"/>
      </w:r>
      <w:r>
        <w:rPr>
          <w:rStyle w:val="14"/>
          <w:rFonts w:hint="eastAsia" w:asciiTheme="majorEastAsia" w:hAnsiTheme="majorEastAsia" w:eastAsiaTheme="majorEastAsia" w:cstheme="majorEastAsia"/>
          <w:b/>
          <w:color w:val="auto"/>
          <w:sz w:val="24"/>
          <w:szCs w:val="24"/>
          <w:u w:val="none"/>
        </w:rPr>
        <w:instrText xml:space="preserve"> </w:instrText>
      </w:r>
      <w:r>
        <w:rPr>
          <w:rFonts w:hint="eastAsia" w:asciiTheme="majorEastAsia" w:hAnsiTheme="majorEastAsia" w:eastAsiaTheme="majorEastAsia" w:cstheme="majorEastAsia"/>
          <w:b/>
          <w:color w:val="auto"/>
          <w:sz w:val="24"/>
          <w:szCs w:val="24"/>
        </w:rPr>
        <w:instrText xml:space="preserve">HYPERLINK \l "_Toc421610997"</w:instrText>
      </w:r>
      <w:r>
        <w:rPr>
          <w:rStyle w:val="14"/>
          <w:rFonts w:hint="eastAsia" w:asciiTheme="majorEastAsia" w:hAnsiTheme="majorEastAsia" w:eastAsiaTheme="majorEastAsia" w:cstheme="majorEastAsia"/>
          <w:b/>
          <w:color w:val="auto"/>
          <w:sz w:val="24"/>
          <w:szCs w:val="24"/>
          <w:u w:val="none"/>
        </w:rPr>
        <w:instrText xml:space="preserve"> </w:instrText>
      </w:r>
      <w:r>
        <w:rPr>
          <w:rFonts w:hint="eastAsia" w:asciiTheme="majorEastAsia" w:hAnsiTheme="majorEastAsia" w:eastAsiaTheme="majorEastAsia" w:cstheme="majorEastAsia"/>
          <w:b/>
          <w:color w:val="auto"/>
          <w:sz w:val="24"/>
          <w:szCs w:val="24"/>
        </w:rPr>
        <w:fldChar w:fldCharType="separate"/>
      </w:r>
      <w:r>
        <w:rPr>
          <w:rStyle w:val="14"/>
          <w:rFonts w:hint="eastAsia" w:asciiTheme="majorEastAsia" w:hAnsiTheme="majorEastAsia" w:eastAsiaTheme="majorEastAsia" w:cstheme="majorEastAsia"/>
          <w:b/>
          <w:color w:val="auto"/>
          <w:sz w:val="24"/>
          <w:szCs w:val="24"/>
          <w:u w:val="none"/>
        </w:rPr>
        <w:t>附件：</w:t>
      </w:r>
      <w:r>
        <w:rPr>
          <w:rFonts w:hint="eastAsia" w:asciiTheme="majorEastAsia" w:hAnsiTheme="majorEastAsia" w:eastAsiaTheme="majorEastAsia" w:cstheme="majorEastAsia"/>
          <w:b/>
          <w:color w:val="auto"/>
          <w:sz w:val="24"/>
          <w:szCs w:val="24"/>
        </w:rPr>
        <w:fldChar w:fldCharType="end"/>
      </w:r>
      <w:bookmarkEnd w:id="58"/>
      <w:bookmarkEnd w:id="59"/>
      <w:r>
        <w:rPr>
          <w:rFonts w:hint="eastAsia" w:asciiTheme="majorEastAsia" w:hAnsiTheme="majorEastAsia" w:eastAsiaTheme="majorEastAsia" w:cstheme="majorEastAsia"/>
          <w:b/>
          <w:color w:val="auto"/>
          <w:sz w:val="24"/>
          <w:szCs w:val="24"/>
        </w:rPr>
        <w:t xml:space="preserve"> </w:t>
      </w:r>
    </w:p>
    <w:p>
      <w:pPr>
        <w:pStyle w:val="16"/>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绩效评价评分明细表（分项目评分明细表和样本点评分明细汇总表）</w:t>
      </w:r>
    </w:p>
    <w:p>
      <w:pPr>
        <w:pStyle w:val="16"/>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绩效目标完成情况对比表</w:t>
      </w:r>
    </w:p>
    <w:p>
      <w:pPr>
        <w:pStyle w:val="16"/>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基础数据汇总表</w:t>
      </w:r>
    </w:p>
    <w:p>
      <w:pPr>
        <w:pStyle w:val="16"/>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访谈提纲及主要信息记录汇总</w:t>
      </w:r>
    </w:p>
    <w:p>
      <w:pPr>
        <w:pStyle w:val="16"/>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调查问卷主要信息汇总表</w:t>
      </w:r>
    </w:p>
    <w:p>
      <w:pPr>
        <w:pStyle w:val="16"/>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评价依据目录</w:t>
      </w:r>
    </w:p>
    <w:p>
      <w:pPr>
        <w:pageBreakBefore w:val="0"/>
        <w:kinsoku/>
        <w:wordWrap/>
        <w:overflowPunct/>
        <w:topLinePunct w:val="0"/>
        <w:autoSpaceDE/>
        <w:autoSpaceDN/>
        <w:bidi w:val="0"/>
        <w:adjustRightInd/>
        <w:snapToGrid/>
        <w:spacing w:line="360" w:lineRule="auto"/>
        <w:ind w:right="480"/>
        <w:jc w:val="left"/>
        <w:textAlignment w:val="auto"/>
        <w:rPr>
          <w:rFonts w:hint="eastAsia" w:asciiTheme="majorEastAsia" w:hAnsiTheme="majorEastAsia" w:eastAsiaTheme="majorEastAsia" w:cstheme="majorEastAsia"/>
          <w:color w:val="auto"/>
          <w:sz w:val="24"/>
          <w:szCs w:val="24"/>
          <w:highlight w:val="none"/>
        </w:rPr>
      </w:pPr>
    </w:p>
    <w:p>
      <w:pPr>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rPr>
      </w:pPr>
    </w:p>
    <w:sectPr>
      <w:type w:val="continuous"/>
      <w:pgSz w:w="11906" w:h="16838"/>
      <w:pgMar w:top="1191" w:right="1191" w:bottom="1191" w:left="1191" w:header="851" w:footer="539"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新宋体">
    <w:panose1 w:val="02010609030101010101"/>
    <w:charset w:val="86"/>
    <w:family w:val="modern"/>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18"/>
      </w:rPr>
    </w:pPr>
    <w:r>
      <w:rPr>
        <w:sz w:val="18"/>
      </w:rPr>
      <mc:AlternateContent>
        <mc:Choice Requires="wps">
          <w:drawing>
            <wp:anchor distT="0" distB="0" distL="114300" distR="114300" simplePos="0" relativeHeight="251664384" behindDoc="0" locked="0" layoutInCell="1" allowOverlap="1">
              <wp:simplePos x="0" y="0"/>
              <wp:positionH relativeFrom="margin">
                <wp:posOffset>5857240</wp:posOffset>
              </wp:positionH>
              <wp:positionV relativeFrom="paragraph">
                <wp:posOffset>0</wp:posOffset>
              </wp:positionV>
              <wp:extent cx="190500" cy="1828800"/>
              <wp:effectExtent l="0" t="0" r="0" b="0"/>
              <wp:wrapNone/>
              <wp:docPr id="19" name="文本框 4"/>
              <wp:cNvGraphicFramePr/>
              <a:graphic xmlns:a="http://schemas.openxmlformats.org/drawingml/2006/main">
                <a:graphicData uri="http://schemas.microsoft.com/office/word/2010/wordprocessingShape">
                  <wps:wsp>
                    <wps:cNvSpPr txBox="1"/>
                    <wps:spPr>
                      <a:xfrm>
                        <a:off x="0" y="0"/>
                        <a:ext cx="190500" cy="1828800"/>
                      </a:xfrm>
                      <a:prstGeom prst="rect">
                        <a:avLst/>
                      </a:prstGeom>
                      <a:noFill/>
                      <a:ln w="9525">
                        <a:noFill/>
                      </a:ln>
                    </wps:spPr>
                    <wps:txbx>
                      <w:txbxContent>
                        <w:p>
                          <w:pPr>
                            <w:rPr>
                              <w:rFonts w:hint="eastAsia"/>
                              <w:lang w:eastAsia="zh-CN"/>
                            </w:rPr>
                          </w:pPr>
                        </w:p>
                      </w:txbxContent>
                    </wps:txbx>
                    <wps:bodyPr wrap="square" lIns="0" tIns="0" rIns="0" bIns="0" upright="0">
                      <a:spAutoFit/>
                    </wps:bodyPr>
                  </wps:wsp>
                </a:graphicData>
              </a:graphic>
            </wp:anchor>
          </w:drawing>
        </mc:Choice>
        <mc:Fallback>
          <w:pict>
            <v:shape id="文本框 4" o:spid="_x0000_s1026" o:spt="202" type="#_x0000_t202" style="position:absolute;left:0pt;margin-left:461.2pt;margin-top:0pt;height:144pt;width:15pt;mso-position-horizontal-relative:margin;z-index:251664384;mso-width-relative:page;mso-height-relative:page;" filled="f" stroked="f" coordsize="21600,21600" o:gfxdata="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vYTnidQAAAAIAQAADwAAAAAAAAABACAAAAAiAAAAZHJzL2Rvd25yZXYueG1sUEsBAhQA&#10;FAAAAAgAh07iQPKxt1K9AQAAVgMAAA4AAAAAAAAAAQAgAAAAIwEAAGRycy9lMm9Eb2MueG1sUEsF&#10;BgAAAAAGAAYAWQEAAFIFA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thinThickSmallGap" w:color="622423" w:sz="24" w:space="1"/>
      </w:pBdr>
      <w:rPr>
        <w:rFonts w:hint="eastAsia"/>
      </w:rPr>
    </w:pPr>
    <w:r>
      <w:rPr>
        <w:sz w:val="18"/>
      </w:rPr>
      <mc:AlternateContent>
        <mc:Choice Requires="wps">
          <w:drawing>
            <wp:anchor distT="0" distB="0" distL="114300" distR="114300" simplePos="0" relativeHeight="251729920" behindDoc="0" locked="0" layoutInCell="1" allowOverlap="1">
              <wp:simplePos x="0" y="0"/>
              <wp:positionH relativeFrom="margin">
                <wp:align>right</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gaGYVAgAAFQQAAA4AAABkcnMvZTJvRG9jLnhtbK1Ty47TMBTdI/EP&#10;lvc0adG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EjgaGYVAgAAFQ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78720" behindDoc="0" locked="0" layoutInCell="1" allowOverlap="1">
              <wp:simplePos x="0" y="0"/>
              <wp:positionH relativeFrom="margin">
                <wp:posOffset>4995545</wp:posOffset>
              </wp:positionH>
              <wp:positionV relativeFrom="paragraph">
                <wp:posOffset>-635</wp:posOffset>
              </wp:positionV>
              <wp:extent cx="971550" cy="273050"/>
              <wp:effectExtent l="0" t="0" r="0" b="0"/>
              <wp:wrapNone/>
              <wp:docPr id="52" name="文本框 8"/>
              <wp:cNvGraphicFramePr/>
              <a:graphic xmlns:a="http://schemas.openxmlformats.org/drawingml/2006/main">
                <a:graphicData uri="http://schemas.microsoft.com/office/word/2010/wordprocessingShape">
                  <wps:wsp>
                    <wps:cNvSpPr txBox="1"/>
                    <wps:spPr>
                      <a:xfrm>
                        <a:off x="0" y="0"/>
                        <a:ext cx="971550" cy="27305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val="en-US" w:eastAsia="zh-CN"/>
                            </w:rPr>
                            <w:t>1</w:t>
                          </w:r>
                          <w:r>
                            <w:rPr>
                              <w:rFonts w:hint="eastAsia"/>
                              <w:sz w:val="18"/>
                              <w:lang w:eastAsia="zh-CN"/>
                            </w:rPr>
                            <w:t xml:space="preserve"> 页 共 </w:t>
                          </w:r>
                          <w:r>
                            <w:rPr>
                              <w:rFonts w:hint="eastAsia"/>
                              <w:sz w:val="18"/>
                              <w:lang w:val="en-US" w:eastAsia="zh-CN"/>
                            </w:rPr>
                            <w:t>21</w:t>
                          </w:r>
                          <w:r>
                            <w:rPr>
                              <w:rFonts w:hint="eastAsia"/>
                              <w:sz w:val="18"/>
                              <w:lang w:eastAsia="zh-CN"/>
                            </w:rPr>
                            <w:t>页</w:t>
                          </w:r>
                        </w:p>
                      </w:txbxContent>
                    </wps:txbx>
                    <wps:bodyPr lIns="0" tIns="0" rIns="0" bIns="0" upright="0"/>
                  </wps:wsp>
                </a:graphicData>
              </a:graphic>
            </wp:anchor>
          </w:drawing>
        </mc:Choice>
        <mc:Fallback>
          <w:pict>
            <v:shape id="文本框 8" o:spid="_x0000_s1026" o:spt="202" type="#_x0000_t202" style="position:absolute;left:0pt;margin-left:393.35pt;margin-top:-0.05pt;height:21.5pt;width:76.5pt;mso-position-horizontal-relative:margin;z-index:251678720;mso-width-relative:page;mso-height-relative:page;" filled="f" stroked="f" coordsize="21600,21600" o:gfxdata="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psj6TXAAAACAEAAA8A&#10;AAAAAAAAAQAgAAAAIgAAAGRycy9kb3ducmV2LnhtbFBLAQIUABQAAAAIAIdO4kBsvdXPpgEAAC0D&#10;AAAOAAAAAAAAAAEAIAAAACYBAABkcnMvZTJvRG9jLnhtbFBLBQYAAAAABgAGAFkBAAA+BQAAAAA=&#10;">
              <v:fill on="f" focussize="0,0"/>
              <v:stroke on="f"/>
              <v:imagedata o:title=""/>
              <o:lock v:ext="edit" aspectratio="f"/>
              <v:textbox inset="0mm,0mm,0mm,0mm">
                <w:txbxContent>
                  <w:p>
                    <w:pPr>
                      <w:snapToGrid w:val="0"/>
                      <w:rPr>
                        <w:rFonts w:hint="eastAsia" w:eastAsia="宋体"/>
                        <w:sz w:val="18"/>
                        <w:lang w:eastAsia="zh-CN"/>
                      </w:rPr>
                    </w:pPr>
                    <w:r>
                      <w:rPr>
                        <w:rFonts w:hint="eastAsia"/>
                        <w:sz w:val="18"/>
                        <w:lang w:eastAsia="zh-CN"/>
                      </w:rPr>
                      <w:t xml:space="preserve">第 </w:t>
                    </w:r>
                    <w:r>
                      <w:rPr>
                        <w:rFonts w:hint="eastAsia"/>
                        <w:sz w:val="18"/>
                        <w:lang w:val="en-US" w:eastAsia="zh-CN"/>
                      </w:rPr>
                      <w:t>1</w:t>
                    </w:r>
                    <w:r>
                      <w:rPr>
                        <w:rFonts w:hint="eastAsia"/>
                        <w:sz w:val="18"/>
                        <w:lang w:eastAsia="zh-CN"/>
                      </w:rPr>
                      <w:t xml:space="preserve"> 页 共 </w:t>
                    </w:r>
                    <w:r>
                      <w:rPr>
                        <w:rFonts w:hint="eastAsia"/>
                        <w:sz w:val="18"/>
                        <w:lang w:val="en-US" w:eastAsia="zh-CN"/>
                      </w:rPr>
                      <w:t>21</w:t>
                    </w:r>
                    <w:r>
                      <w:rPr>
                        <w:rFonts w:hint="eastAsia"/>
                        <w:sz w:val="18"/>
                        <w:lang w:eastAsia="zh-CN"/>
                      </w:rPr>
                      <w:t>页</w:t>
                    </w:r>
                  </w:p>
                </w:txbxContent>
              </v:textbox>
            </v:shape>
          </w:pict>
        </mc:Fallback>
      </mc:AlternateContent>
    </w:r>
    <w:r>
      <w:rPr>
        <w:rFonts w:hint="eastAsia"/>
      </w:rPr>
      <w:t xml:space="preserve">湖北中天诚资产评估有限公司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p>
  <w:p>
    <w:pPr>
      <w:pStyle w:val="8"/>
    </w:pPr>
  </w:p>
  <w:p>
    <w:pPr>
      <w:pStyle w:val="8"/>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rPr>
      <w:t xml:space="preserve">  </w:t>
    </w:r>
    <w:r>
      <w:rPr>
        <w:rFonts w:hint="eastAsia"/>
        <w:lang w:val="en-US" w:eastAsia="zh-CN"/>
      </w:rPr>
      <w:t xml:space="preserve">   </w:t>
    </w:r>
    <w:r>
      <w:rPr>
        <w:sz w:val="18"/>
      </w:rPr>
      <mc:AlternateContent>
        <mc:Choice Requires="wps">
          <w:drawing>
            <wp:anchor distT="0" distB="0" distL="114300" distR="114300" simplePos="0" relativeHeight="251679744" behindDoc="0" locked="0" layoutInCell="1" allowOverlap="1">
              <wp:simplePos x="0" y="0"/>
              <wp:positionH relativeFrom="margin">
                <wp:align>right</wp:align>
              </wp:positionH>
              <wp:positionV relativeFrom="paragraph">
                <wp:posOffset>0</wp:posOffset>
              </wp:positionV>
              <wp:extent cx="1828800" cy="1828800"/>
              <wp:effectExtent l="0" t="0" r="0" b="0"/>
              <wp:wrapNone/>
              <wp:docPr id="5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FVxTB7gBAABVAwAADgAAAAAAAAABACAAAAAeAQAAZHJzL2Uyb0RvYy54bWxQSwUGAAAAAAYABgBZ&#10;AQAASAU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thinThickSmallGap" w:color="622423" w:sz="24" w:space="1"/>
      </w:pBdr>
      <w:rPr>
        <w:rFonts w:hint="eastAsia"/>
      </w:rPr>
    </w:pPr>
    <w:r>
      <w:rPr>
        <w:sz w:val="18"/>
      </w:rPr>
      <mc:AlternateContent>
        <mc:Choice Requires="wps">
          <w:drawing>
            <wp:anchor distT="0" distB="0" distL="114300" distR="114300" simplePos="0" relativeHeight="251865088" behindDoc="0" locked="0" layoutInCell="1" allowOverlap="1">
              <wp:simplePos x="0" y="0"/>
              <wp:positionH relativeFrom="margin">
                <wp:align>right</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8650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7t3o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C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H7t3oVAgAAFQ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v:textbox>
            </v:shape>
          </w:pict>
        </mc:Fallback>
      </mc:AlternateContent>
    </w:r>
    <w:r>
      <w:rPr>
        <w:rFonts w:hint="eastAsia"/>
      </w:rPr>
      <w:t xml:space="preserve">湖北中天诚资产评估有限公司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p>
  <w:p>
    <w:pPr>
      <w:pStyle w:val="8"/>
    </w:pPr>
  </w:p>
  <w:p>
    <w:pPr>
      <w:pStyle w:val="8"/>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thinThickSmallGap" w:color="622423" w:sz="24" w:space="1"/>
      </w:pBdr>
      <w:jc w:val="both"/>
      <w:rPr>
        <w:rFonts w:hint="eastAsia"/>
      </w:rPr>
    </w:pPr>
    <w:r>
      <w:rPr>
        <w:sz w:val="18"/>
      </w:rPr>
      <mc:AlternateContent>
        <mc:Choice Requires="wps">
          <w:drawing>
            <wp:anchor distT="0" distB="0" distL="114300" distR="114300" simplePos="0" relativeHeight="251866112" behindDoc="0" locked="0" layoutInCell="1" allowOverlap="1">
              <wp:simplePos x="0" y="0"/>
              <wp:positionH relativeFrom="margin">
                <wp:align>right</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8661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5K3pfhcCAAAVBAAADgAAAAAA&#10;AAABACAAAAAfAQAAZHJzL2Uyb0RvYy54bWxQSwUGAAAAAAYABgBZAQAAqA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v:textbox>
            </v:shape>
          </w:pict>
        </mc:Fallback>
      </mc:AlternateContent>
    </w:r>
    <w:r>
      <w:rPr>
        <w:rFonts w:hint="eastAsia"/>
      </w:rPr>
      <w:t xml:space="preserve">湖北中天诚资产评估有限公司                 </w:t>
    </w:r>
    <w:r>
      <w:rPr>
        <w:rFonts w:hint="eastAsia"/>
        <w:lang w:val="en-US" w:eastAsia="zh-CN"/>
      </w:rPr>
      <w:t xml:space="preserve"> </w:t>
    </w:r>
  </w:p>
  <w:p>
    <w:pPr>
      <w:pStyle w:val="8"/>
      <w:tabs>
        <w:tab w:val="left" w:pos="3948"/>
        <w:tab w:val="center" w:pos="5047"/>
      </w:tabs>
      <w:jc w:val="left"/>
    </w:pPr>
    <w:r>
      <w:rPr>
        <w:rFonts w:hint="eastAsia"/>
        <w:lang w:eastAsia="zh-CN"/>
      </w:rPr>
      <w:tab/>
    </w:r>
    <w:r>
      <w:rPr>
        <w:rFonts w:hint="eastAsia"/>
        <w:lang w:eastAsia="zh-CN"/>
      </w:rPr>
      <w:tab/>
    </w:r>
    <w:r>
      <w:rPr>
        <w:rFonts w:hint="eastAsia"/>
      </w:rPr>
      <w:t xml:space="preserve">  </w:t>
    </w:r>
    <w:r>
      <w:rPr>
        <w:rFonts w:hint="eastAsia"/>
        <w:lang w:val="en-US" w:eastAsia="zh-CN"/>
      </w:rPr>
      <w:t xml:space="preserve">   </w:t>
    </w:r>
    <w:r>
      <w:rPr>
        <w:sz w:val="18"/>
      </w:rPr>
      <mc:AlternateContent>
        <mc:Choice Requires="wps">
          <w:drawing>
            <wp:anchor distT="0" distB="0" distL="114300" distR="114300" simplePos="0" relativeHeight="251828224" behindDoc="0" locked="0" layoutInCell="1" allowOverlap="1">
              <wp:simplePos x="0" y="0"/>
              <wp:positionH relativeFrom="margin">
                <wp:align>right</wp:align>
              </wp:positionH>
              <wp:positionV relativeFrom="paragraph">
                <wp:posOffset>0</wp:posOffset>
              </wp:positionV>
              <wp:extent cx="1828800" cy="1828800"/>
              <wp:effectExtent l="0" t="0" r="0" b="0"/>
              <wp:wrapNone/>
              <wp:docPr id="3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8282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PifHGe5AQAAVQMAAA4AAAAAAAAAAQAgAAAAHgEAAGRycy9lMm9Eb2MueG1sUEsFBgAAAAAGAAYA&#10;WQEAAEkFA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thinThickSmallGap" w:color="622423" w:sz="24" w:space="1"/>
      </w:pBd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-635</wp:posOffset>
              </wp:positionV>
              <wp:extent cx="1200150" cy="27305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200150" cy="27305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14</w:t>
                          </w:r>
                          <w:r>
                            <w:rPr>
                              <w:rFonts w:hint="eastAsia"/>
                              <w:sz w:val="18"/>
                              <w:lang w:eastAsia="zh-CN"/>
                            </w:rPr>
                            <w:fldChar w:fldCharType="end"/>
                          </w:r>
                          <w:r>
                            <w:rPr>
                              <w:rFonts w:hint="eastAsia"/>
                              <w:sz w:val="18"/>
                              <w:lang w:eastAsia="zh-CN"/>
                            </w:rPr>
                            <w:t xml:space="preserve"> 页</w:t>
                          </w:r>
                        </w:p>
                      </w:txbxContent>
                    </wps:txbx>
                    <wps:bodyPr lIns="0" tIns="0" rIns="0" bIns="0" upright="0"/>
                  </wps:wsp>
                </a:graphicData>
              </a:graphic>
            </wp:anchor>
          </w:drawing>
        </mc:Choice>
        <mc:Fallback>
          <w:pict>
            <v:shape id="文本框 8" o:spid="_x0000_s1026" o:spt="202" type="#_x0000_t202" style="position:absolute;left:0pt;margin-top:-0.05pt;height:21.5pt;width:94.5pt;mso-position-horizontal:right;mso-position-horizontal-relative:margin;z-index:251661312;mso-width-relative:page;mso-height-relative:page;" filled="f" stroked="f" coordsize="21600,21600" o:gfxdata="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DaBMrzXAAAACAEAAA8A&#10;AAAAAAAAAQAgAAAAIgAAAGRycy9kb3ducmV2LnhtbFBLAQIUABQAAAAIAIdO4kBunpGHpgEAAC0D&#10;AAAOAAAAAAAAAAEAIAAAACYBAABkcnMvZTJvRG9jLnhtbFBLBQYAAAAABgAGAFkBAAA+BQAAAAA=&#10;">
              <v:fill on="f" focussize="0,0"/>
              <v:stroke on="f"/>
              <v:imagedata o:title=""/>
              <o:lock v:ext="edit" aspectratio="f"/>
              <v:textbox inset="0mm,0mm,0mm,0mm">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14</w:t>
                    </w:r>
                    <w:r>
                      <w:rPr>
                        <w:rFonts w:hint="eastAsia"/>
                        <w:sz w:val="18"/>
                        <w:lang w:eastAsia="zh-CN"/>
                      </w:rPr>
                      <w:fldChar w:fldCharType="end"/>
                    </w:r>
                    <w:r>
                      <w:rPr>
                        <w:rFonts w:hint="eastAsia"/>
                        <w:sz w:val="18"/>
                        <w:lang w:eastAsia="zh-CN"/>
                      </w:rPr>
                      <w:t xml:space="preserve"> 页</w:t>
                    </w:r>
                  </w:p>
                </w:txbxContent>
              </v:textbox>
            </v:shape>
          </w:pict>
        </mc:Fallback>
      </mc:AlternateContent>
    </w:r>
    <w:r>
      <w:rPr>
        <w:rFonts w:hint="eastAsia"/>
      </w:rPr>
      <w:t xml:space="preserve">湖北中天诚资产评估有限公司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p>
  <w:p>
    <w:pPr>
      <w:pStyle w:val="8"/>
    </w:pPr>
  </w:p>
  <w:p>
    <w:pPr>
      <w:pStyle w:val="8"/>
      <w:ind w:right="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thinThickSmallGap" w:color="622423" w:sz="24" w:space="1"/>
      </w:pBdr>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-5715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14</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45pt;height:144pt;width:144pt;mso-position-horizontal:right;mso-position-horizontal-relative:margin;mso-wrap-style:none;z-index:251665408;mso-width-relative:page;mso-height-relative:page;" filled="f" stroked="f" coordsize="21600,21600" o:gfxdata="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K9&#10;QxnSAAAABgEAAA8AAAAAAAAAAQAgAAAAIgAAAGRycy9kb3ducmV2LnhtbFBLAQIUABQAAAAIAIdO&#10;4kBOEqiTtwEAAFQDAAAOAAAAAAAAAAEAIAAAACEBAABkcnMvZTJvRG9jLnhtbFBLBQYAAAAABgAG&#10;AFkBAABK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14</w:t>
                    </w:r>
                    <w:r>
                      <w:rPr>
                        <w:rFonts w:hint="eastAsia"/>
                        <w:sz w:val="18"/>
                        <w:lang w:eastAsia="zh-CN"/>
                      </w:rPr>
                      <w:fldChar w:fldCharType="end"/>
                    </w:r>
                    <w:r>
                      <w:rPr>
                        <w:rFonts w:hint="eastAsia"/>
                        <w:sz w:val="18"/>
                        <w:lang w:eastAsia="zh-CN"/>
                      </w:rPr>
                      <w:t xml:space="preserve"> 页</w:t>
                    </w:r>
                  </w:p>
                </w:txbxContent>
              </v:textbox>
            </v:shape>
          </w:pict>
        </mc:Fallback>
      </mc:AlternateContent>
    </w:r>
    <w:r>
      <w:rPr>
        <w:rFonts w:hint="eastAsia"/>
      </w:rPr>
      <w:t xml:space="preserve">湖北中天诚资产评估有限公司                 </w:t>
    </w:r>
    <w:r>
      <w:rPr>
        <w:rFonts w:hint="eastAsia"/>
        <w:lang w:val="en-US" w:eastAsia="zh-CN"/>
      </w:rPr>
      <w:t xml:space="preserve">             </w:t>
    </w:r>
    <w:r>
      <w:rPr>
        <w:rFonts w:hint="eastAsia"/>
      </w:rPr>
      <w:t xml:space="preserve">          </w:t>
    </w:r>
    <w:r>
      <w:rPr>
        <w:rFonts w:hint="eastAsia"/>
        <w:lang w:val="en-US" w:eastAsia="zh-CN"/>
      </w:rPr>
      <w:t xml:space="preserve">      </w:t>
    </w:r>
  </w:p>
  <w:p>
    <w:pPr>
      <w:pStyle w:val="8"/>
    </w:pPr>
  </w:p>
  <w:p>
    <w:pPr>
      <w:pStyle w:val="8"/>
      <w:jc w:val="cente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m&#10;o3cptwEAAFQDAAAOAAAAAAAAAAEAIAAAAB4BAABkcnMvZTJvRG9jLnhtbFBLBQYAAAAABgAGAFkB&#10;AABHBQ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ckThinSmallGap" w:color="622423" w:sz="24" w:space="1"/>
      </w:pBdr>
      <w:jc w:val="both"/>
      <w:rPr>
        <w:rFonts w:hint="eastAsia" w:ascii="宋体" w:hAnsi="宋体"/>
        <w:bCs/>
        <w:spacing w:val="-6"/>
        <w:sz w:val="21"/>
        <w:szCs w:val="21"/>
      </w:rPr>
    </w:pPr>
    <w:r>
      <w:rPr>
        <w:rFonts w:hint="eastAsia" w:ascii="宋体" w:hAnsi="宋体"/>
        <w:bCs/>
        <w:spacing w:val="-6"/>
        <w:sz w:val="21"/>
        <w:szCs w:val="21"/>
        <w:lang w:val="en-US" w:eastAsia="zh-CN"/>
      </w:rPr>
      <w:t>2017年武昌区政协委员视察活动经费项目</w:t>
    </w:r>
    <w:r>
      <w:rPr>
        <w:rFonts w:hint="eastAsia" w:ascii="宋体" w:hAnsi="宋体"/>
        <w:bCs/>
        <w:spacing w:val="-6"/>
        <w:sz w:val="21"/>
        <w:szCs w:val="21"/>
      </w:rPr>
      <w:t>绩效评</w:t>
    </w:r>
    <w:r>
      <w:rPr>
        <w:rFonts w:hint="eastAsia" w:ascii="宋体" w:hAnsi="宋体"/>
        <w:bCs/>
        <w:spacing w:val="-6"/>
        <w:sz w:val="21"/>
        <w:szCs w:val="21"/>
      </w:rPr>
      <w:drawing>
        <wp:anchor distT="0" distB="0" distL="114300" distR="114300" simplePos="0" relativeHeight="256252928" behindDoc="0" locked="0" layoutInCell="1" allowOverlap="1">
          <wp:simplePos x="0" y="0"/>
          <wp:positionH relativeFrom="column">
            <wp:posOffset>5848350</wp:posOffset>
          </wp:positionH>
          <wp:positionV relativeFrom="paragraph">
            <wp:posOffset>-163195</wp:posOffset>
          </wp:positionV>
          <wp:extent cx="377190" cy="359410"/>
          <wp:effectExtent l="0" t="0" r="3810" b="2540"/>
          <wp:wrapSquare wrapText="bothSides"/>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1"/>
                  <pic:cNvPicPr>
                    <a:picLocks noChangeAspect="1"/>
                  </pic:cNvPicPr>
                </pic:nvPicPr>
                <pic:blipFill>
                  <a:blip r:embed="rId1"/>
                  <a:stretch>
                    <a:fillRect/>
                  </a:stretch>
                </pic:blipFill>
                <pic:spPr>
                  <a:xfrm>
                    <a:off x="0" y="0"/>
                    <a:ext cx="377190" cy="359410"/>
                  </a:xfrm>
                  <a:prstGeom prst="rect">
                    <a:avLst/>
                  </a:prstGeom>
                  <a:noFill/>
                  <a:ln w="9525">
                    <a:noFill/>
                  </a:ln>
                </pic:spPr>
              </pic:pic>
            </a:graphicData>
          </a:graphic>
        </wp:anchor>
      </w:drawing>
    </w:r>
    <w:r>
      <w:rPr>
        <w:rFonts w:hint="eastAsia" w:ascii="宋体" w:hAnsi="宋体"/>
        <w:bCs/>
        <w:spacing w:val="-6"/>
        <w:sz w:val="21"/>
        <w:szCs w:val="21"/>
        <w:lang w:eastAsia="zh-CN"/>
      </w:rPr>
      <w:t>价报告</w:t>
    </w:r>
    <w:r>
      <w:rPr>
        <w:rFonts w:hint="eastAsia" w:ascii="宋体" w:hAnsi="宋体"/>
        <w:bCs/>
        <w:spacing w:val="-6"/>
        <w:sz w:val="21"/>
        <w:szCs w:val="21"/>
      </w:rPr>
      <w:drawing>
        <wp:anchor distT="0" distB="0" distL="114300" distR="114300" simplePos="0" relativeHeight="256228352" behindDoc="0" locked="0" layoutInCell="1" allowOverlap="1">
          <wp:simplePos x="0" y="0"/>
          <wp:positionH relativeFrom="column">
            <wp:posOffset>5848350</wp:posOffset>
          </wp:positionH>
          <wp:positionV relativeFrom="paragraph">
            <wp:posOffset>-163195</wp:posOffset>
          </wp:positionV>
          <wp:extent cx="377190" cy="359410"/>
          <wp:effectExtent l="0" t="0" r="3810" b="2540"/>
          <wp:wrapSquare wrapText="bothSides"/>
          <wp:docPr id="4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
                  <pic:cNvPicPr>
                    <a:picLocks noChangeAspect="1"/>
                  </pic:cNvPicPr>
                </pic:nvPicPr>
                <pic:blipFill>
                  <a:blip r:embed="rId1"/>
                  <a:stretch>
                    <a:fillRect/>
                  </a:stretch>
                </pic:blipFill>
                <pic:spPr>
                  <a:xfrm>
                    <a:off x="0" y="0"/>
                    <a:ext cx="377190" cy="359410"/>
                  </a:xfrm>
                  <a:prstGeom prst="rect">
                    <a:avLst/>
                  </a:prstGeom>
                  <a:noFill/>
                  <a:ln w="9525">
                    <a:noFill/>
                  </a:ln>
                </pic:spPr>
              </pic:pic>
            </a:graphicData>
          </a:graphic>
        </wp:anchor>
      </w:drawing>
    </w:r>
  </w:p>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ckThinSmallGap" w:color="622423" w:sz="24" w:space="1"/>
      </w:pBdr>
      <w:jc w:val="both"/>
      <w:rPr>
        <w:rFonts w:hint="eastAsia" w:ascii="宋体" w:hAnsi="宋体"/>
        <w:bCs/>
        <w:spacing w:val="-6"/>
        <w:sz w:val="21"/>
        <w:szCs w:val="21"/>
      </w:rPr>
    </w:pPr>
    <w:r>
      <w:rPr>
        <w:rFonts w:hint="eastAsia" w:ascii="宋体" w:hAnsi="宋体"/>
        <w:bCs/>
        <w:spacing w:val="-6"/>
        <w:sz w:val="21"/>
        <w:szCs w:val="21"/>
        <w:lang w:val="en-US" w:eastAsia="zh-CN"/>
      </w:rPr>
      <w:t>2017年武昌区政协委员视察活动经费项目</w:t>
    </w:r>
    <w:r>
      <w:rPr>
        <w:rFonts w:hint="eastAsia" w:ascii="宋体" w:hAnsi="宋体"/>
        <w:bCs/>
        <w:spacing w:val="-6"/>
        <w:sz w:val="21"/>
        <w:szCs w:val="21"/>
      </w:rPr>
      <w:t>绩效评</w:t>
    </w:r>
    <w:r>
      <w:rPr>
        <w:rFonts w:hint="eastAsia" w:ascii="宋体" w:hAnsi="宋体"/>
        <w:bCs/>
        <w:spacing w:val="-6"/>
        <w:sz w:val="21"/>
        <w:szCs w:val="21"/>
      </w:rPr>
      <w:drawing>
        <wp:anchor distT="0" distB="0" distL="114300" distR="114300" simplePos="0" relativeHeight="254721024" behindDoc="0" locked="0" layoutInCell="1" allowOverlap="1">
          <wp:simplePos x="0" y="0"/>
          <wp:positionH relativeFrom="column">
            <wp:posOffset>5848350</wp:posOffset>
          </wp:positionH>
          <wp:positionV relativeFrom="paragraph">
            <wp:posOffset>-163195</wp:posOffset>
          </wp:positionV>
          <wp:extent cx="377190" cy="359410"/>
          <wp:effectExtent l="0" t="0" r="3810" b="2540"/>
          <wp:wrapSquare wrapText="bothSides"/>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1"/>
                  <pic:cNvPicPr>
                    <a:picLocks noChangeAspect="1"/>
                  </pic:cNvPicPr>
                </pic:nvPicPr>
                <pic:blipFill>
                  <a:blip r:embed="rId1"/>
                  <a:stretch>
                    <a:fillRect/>
                  </a:stretch>
                </pic:blipFill>
                <pic:spPr>
                  <a:xfrm>
                    <a:off x="0" y="0"/>
                    <a:ext cx="377190" cy="359410"/>
                  </a:xfrm>
                  <a:prstGeom prst="rect">
                    <a:avLst/>
                  </a:prstGeom>
                  <a:noFill/>
                  <a:ln w="9525">
                    <a:noFill/>
                  </a:ln>
                </pic:spPr>
              </pic:pic>
            </a:graphicData>
          </a:graphic>
        </wp:anchor>
      </w:drawing>
    </w:r>
    <w:r>
      <w:rPr>
        <w:rFonts w:hint="eastAsia" w:ascii="宋体" w:hAnsi="宋体"/>
        <w:bCs/>
        <w:spacing w:val="-6"/>
        <w:sz w:val="21"/>
        <w:szCs w:val="21"/>
        <w:lang w:eastAsia="zh-CN"/>
      </w:rPr>
      <w:t>价报告</w:t>
    </w:r>
    <w:r>
      <w:rPr>
        <w:rFonts w:hint="eastAsia" w:ascii="宋体" w:hAnsi="宋体"/>
        <w:bCs/>
        <w:spacing w:val="-6"/>
        <w:sz w:val="21"/>
        <w:szCs w:val="21"/>
      </w:rPr>
      <w:drawing>
        <wp:anchor distT="0" distB="0" distL="114300" distR="114300" simplePos="0" relativeHeight="254696448" behindDoc="0" locked="0" layoutInCell="1" allowOverlap="1">
          <wp:simplePos x="0" y="0"/>
          <wp:positionH relativeFrom="column">
            <wp:posOffset>5848350</wp:posOffset>
          </wp:positionH>
          <wp:positionV relativeFrom="paragraph">
            <wp:posOffset>-163195</wp:posOffset>
          </wp:positionV>
          <wp:extent cx="377190" cy="359410"/>
          <wp:effectExtent l="0" t="0" r="3810" b="2540"/>
          <wp:wrapSquare wrapText="bothSides"/>
          <wp:docPr id="4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
                  <pic:cNvPicPr>
                    <a:picLocks noChangeAspect="1"/>
                  </pic:cNvPicPr>
                </pic:nvPicPr>
                <pic:blipFill>
                  <a:blip r:embed="rId1"/>
                  <a:stretch>
                    <a:fillRect/>
                  </a:stretch>
                </pic:blipFill>
                <pic:spPr>
                  <a:xfrm>
                    <a:off x="0" y="0"/>
                    <a:ext cx="377190" cy="359410"/>
                  </a:xfrm>
                  <a:prstGeom prst="rect">
                    <a:avLst/>
                  </a:prstGeom>
                  <a:noFill/>
                  <a:ln w="9525">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ckThinSmallGap" w:color="622423" w:sz="24" w:space="1"/>
      </w:pBdr>
      <w:jc w:val="both"/>
      <w:rPr>
        <w:rFonts w:hint="eastAsia" w:ascii="宋体" w:hAnsi="宋体"/>
        <w:bCs/>
        <w:spacing w:val="-6"/>
        <w:sz w:val="21"/>
        <w:szCs w:val="21"/>
      </w:rPr>
    </w:pPr>
    <w:r>
      <w:rPr>
        <w:rFonts w:hint="eastAsia" w:ascii="宋体" w:hAnsi="宋体"/>
        <w:bCs/>
        <w:spacing w:val="-6"/>
        <w:sz w:val="21"/>
        <w:szCs w:val="21"/>
        <w:lang w:val="en-US" w:eastAsia="zh-CN"/>
      </w:rPr>
      <w:t>2017年武昌区政协委员视察活动经费项目</w:t>
    </w:r>
    <w:r>
      <w:rPr>
        <w:rFonts w:hint="eastAsia" w:ascii="宋体" w:hAnsi="宋体"/>
        <w:bCs/>
        <w:spacing w:val="-6"/>
        <w:sz w:val="21"/>
        <w:szCs w:val="21"/>
      </w:rPr>
      <w:t>绩效评</w:t>
    </w:r>
    <w:r>
      <w:rPr>
        <w:rFonts w:hint="eastAsia" w:ascii="宋体" w:hAnsi="宋体"/>
        <w:bCs/>
        <w:spacing w:val="-6"/>
        <w:sz w:val="21"/>
        <w:szCs w:val="21"/>
      </w:rPr>
      <w:drawing>
        <wp:anchor distT="0" distB="0" distL="114300" distR="114300" simplePos="0" relativeHeight="252423168" behindDoc="0" locked="0" layoutInCell="1" allowOverlap="1">
          <wp:simplePos x="0" y="0"/>
          <wp:positionH relativeFrom="column">
            <wp:posOffset>5848350</wp:posOffset>
          </wp:positionH>
          <wp:positionV relativeFrom="paragraph">
            <wp:posOffset>-163195</wp:posOffset>
          </wp:positionV>
          <wp:extent cx="377190" cy="359410"/>
          <wp:effectExtent l="0" t="0" r="3810" b="2540"/>
          <wp:wrapSquare wrapText="bothSides"/>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
                  <pic:cNvPicPr>
                    <a:picLocks noChangeAspect="1"/>
                  </pic:cNvPicPr>
                </pic:nvPicPr>
                <pic:blipFill>
                  <a:blip r:embed="rId1"/>
                  <a:stretch>
                    <a:fillRect/>
                  </a:stretch>
                </pic:blipFill>
                <pic:spPr>
                  <a:xfrm>
                    <a:off x="0" y="0"/>
                    <a:ext cx="377190" cy="359410"/>
                  </a:xfrm>
                  <a:prstGeom prst="rect">
                    <a:avLst/>
                  </a:prstGeom>
                  <a:noFill/>
                  <a:ln w="9525">
                    <a:noFill/>
                  </a:ln>
                </pic:spPr>
              </pic:pic>
            </a:graphicData>
          </a:graphic>
        </wp:anchor>
      </w:drawing>
    </w:r>
    <w:r>
      <w:rPr>
        <w:rFonts w:hint="eastAsia" w:ascii="宋体" w:hAnsi="宋体"/>
        <w:bCs/>
        <w:spacing w:val="-6"/>
        <w:sz w:val="21"/>
        <w:szCs w:val="21"/>
        <w:lang w:eastAsia="zh-CN"/>
      </w:rPr>
      <w:t>价报告</w:t>
    </w:r>
    <w:r>
      <w:rPr>
        <w:rFonts w:hint="eastAsia" w:ascii="宋体" w:hAnsi="宋体"/>
        <w:bCs/>
        <w:spacing w:val="-6"/>
        <w:sz w:val="21"/>
        <w:szCs w:val="21"/>
      </w:rPr>
      <w:drawing>
        <wp:anchor distT="0" distB="0" distL="114300" distR="114300" simplePos="0" relativeHeight="252398592" behindDoc="0" locked="0" layoutInCell="1" allowOverlap="1">
          <wp:simplePos x="0" y="0"/>
          <wp:positionH relativeFrom="column">
            <wp:posOffset>5848350</wp:posOffset>
          </wp:positionH>
          <wp:positionV relativeFrom="paragraph">
            <wp:posOffset>-163195</wp:posOffset>
          </wp:positionV>
          <wp:extent cx="377190" cy="359410"/>
          <wp:effectExtent l="0" t="0" r="3810" b="2540"/>
          <wp:wrapSquare wrapText="bothSides"/>
          <wp:docPr id="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pic:cNvPicPr>
                    <a:picLocks noChangeAspect="1"/>
                  </pic:cNvPicPr>
                </pic:nvPicPr>
                <pic:blipFill>
                  <a:blip r:embed="rId1"/>
                  <a:stretch>
                    <a:fillRect/>
                  </a:stretch>
                </pic:blipFill>
                <pic:spPr>
                  <a:xfrm>
                    <a:off x="0" y="0"/>
                    <a:ext cx="377190" cy="359410"/>
                  </a:xfrm>
                  <a:prstGeom prst="rect">
                    <a:avLst/>
                  </a:prstGeom>
                  <a:noFill/>
                  <a:ln w="9525">
                    <a:noFill/>
                  </a:ln>
                </pic:spPr>
              </pic:pic>
            </a:graphicData>
          </a:graphic>
        </wp:anchor>
      </w:drawing>
    </w:r>
  </w:p>
  <w:p>
    <w:pPr>
      <w:pStyle w:val="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ckThinSmallGap" w:color="622423" w:sz="24" w:space="1"/>
      </w:pBdr>
      <w:jc w:val="both"/>
      <w:rPr>
        <w:rFonts w:hint="eastAsia" w:ascii="宋体" w:hAnsi="宋体"/>
        <w:bCs/>
        <w:spacing w:val="-6"/>
        <w:sz w:val="21"/>
        <w:szCs w:val="21"/>
      </w:rPr>
    </w:pPr>
    <w:r>
      <w:rPr>
        <w:rFonts w:hint="eastAsia" w:ascii="宋体" w:hAnsi="宋体"/>
        <w:bCs/>
        <w:spacing w:val="-6"/>
        <w:sz w:val="21"/>
        <w:szCs w:val="21"/>
        <w:lang w:val="en-US" w:eastAsia="zh-CN"/>
      </w:rPr>
      <w:t>2017年武昌区政协委员视察活动经费项目</w:t>
    </w:r>
    <w:r>
      <w:rPr>
        <w:rFonts w:hint="eastAsia" w:ascii="宋体" w:hAnsi="宋体"/>
        <w:bCs/>
        <w:spacing w:val="-6"/>
        <w:sz w:val="21"/>
        <w:szCs w:val="21"/>
      </w:rPr>
      <w:t>绩效评</w:t>
    </w:r>
    <w:r>
      <w:rPr>
        <w:rFonts w:hint="eastAsia" w:ascii="宋体" w:hAnsi="宋体"/>
        <w:bCs/>
        <w:spacing w:val="-6"/>
        <w:sz w:val="21"/>
        <w:szCs w:val="21"/>
      </w:rPr>
      <w:drawing>
        <wp:anchor distT="0" distB="0" distL="114300" distR="114300" simplePos="0" relativeHeight="252396544" behindDoc="0" locked="0" layoutInCell="1" allowOverlap="1">
          <wp:simplePos x="0" y="0"/>
          <wp:positionH relativeFrom="column">
            <wp:posOffset>5848350</wp:posOffset>
          </wp:positionH>
          <wp:positionV relativeFrom="paragraph">
            <wp:posOffset>-163195</wp:posOffset>
          </wp:positionV>
          <wp:extent cx="377190" cy="359410"/>
          <wp:effectExtent l="0" t="0" r="3810" b="254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1"/>
                  <a:stretch>
                    <a:fillRect/>
                  </a:stretch>
                </pic:blipFill>
                <pic:spPr>
                  <a:xfrm>
                    <a:off x="0" y="0"/>
                    <a:ext cx="377190" cy="359410"/>
                  </a:xfrm>
                  <a:prstGeom prst="rect">
                    <a:avLst/>
                  </a:prstGeom>
                  <a:noFill/>
                  <a:ln w="9525">
                    <a:noFill/>
                  </a:ln>
                </pic:spPr>
              </pic:pic>
            </a:graphicData>
          </a:graphic>
        </wp:anchor>
      </w:drawing>
    </w:r>
    <w:r>
      <w:rPr>
        <w:rFonts w:hint="eastAsia" w:ascii="宋体" w:hAnsi="宋体"/>
        <w:bCs/>
        <w:spacing w:val="-6"/>
        <w:sz w:val="21"/>
        <w:szCs w:val="21"/>
        <w:lang w:eastAsia="zh-CN"/>
      </w:rPr>
      <w:t>价报告</w:t>
    </w:r>
    <w:r>
      <w:rPr>
        <w:rFonts w:hint="eastAsia" w:ascii="宋体" w:hAnsi="宋体"/>
        <w:bCs/>
        <w:spacing w:val="-6"/>
        <w:sz w:val="21"/>
        <w:szCs w:val="21"/>
      </w:rPr>
      <w:drawing>
        <wp:anchor distT="0" distB="0" distL="114300" distR="114300" simplePos="0" relativeHeight="252371968" behindDoc="0" locked="0" layoutInCell="1" allowOverlap="1">
          <wp:simplePos x="0" y="0"/>
          <wp:positionH relativeFrom="column">
            <wp:posOffset>5848350</wp:posOffset>
          </wp:positionH>
          <wp:positionV relativeFrom="paragraph">
            <wp:posOffset>-163195</wp:posOffset>
          </wp:positionV>
          <wp:extent cx="377190" cy="359410"/>
          <wp:effectExtent l="0" t="0" r="3810" b="2540"/>
          <wp:wrapSquare wrapText="bothSides"/>
          <wp:docPr id="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pic:cNvPicPr>
                    <a:picLocks noChangeAspect="1"/>
                  </pic:cNvPicPr>
                </pic:nvPicPr>
                <pic:blipFill>
                  <a:blip r:embed="rId1"/>
                  <a:stretch>
                    <a:fillRect/>
                  </a:stretch>
                </pic:blipFill>
                <pic:spPr>
                  <a:xfrm>
                    <a:off x="0" y="0"/>
                    <a:ext cx="377190" cy="359410"/>
                  </a:xfrm>
                  <a:prstGeom prst="rect">
                    <a:avLst/>
                  </a:prstGeom>
                  <a:noFill/>
                  <a:ln w="9525">
                    <a:noFill/>
                  </a:ln>
                </pic:spPr>
              </pic:pic>
            </a:graphicData>
          </a:graphic>
        </wp:anchor>
      </w:drawing>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EA408"/>
    <w:multiLevelType w:val="singleLevel"/>
    <w:tmpl w:val="4DDEA408"/>
    <w:lvl w:ilvl="0" w:tentative="0">
      <w:start w:val="1"/>
      <w:numFmt w:val="decimal"/>
      <w:lvlText w:val="%1."/>
      <w:lvlJc w:val="left"/>
      <w:pPr>
        <w:tabs>
          <w:tab w:val="left" w:pos="312"/>
        </w:tabs>
      </w:pPr>
    </w:lvl>
  </w:abstractNum>
  <w:abstractNum w:abstractNumId="1">
    <w:nsid w:val="5B1748A9"/>
    <w:multiLevelType w:val="singleLevel"/>
    <w:tmpl w:val="5B1748A9"/>
    <w:lvl w:ilvl="0" w:tentative="0">
      <w:start w:val="4"/>
      <w:numFmt w:val="decimal"/>
      <w:suff w:val="nothing"/>
      <w:lvlText w:val="（%1）"/>
      <w:lvlJc w:val="left"/>
    </w:lvl>
  </w:abstractNum>
  <w:abstractNum w:abstractNumId="2">
    <w:nsid w:val="5DC8AFEB"/>
    <w:multiLevelType w:val="singleLevel"/>
    <w:tmpl w:val="5DC8AFEB"/>
    <w:lvl w:ilvl="0" w:tentative="0">
      <w:start w:val="2"/>
      <w:numFmt w:val="chineseCounting"/>
      <w:suff w:val="nothing"/>
      <w:lvlText w:val="%1、"/>
      <w:lvlJc w:val="left"/>
      <w:pPr>
        <w:ind w:left="0" w:firstLine="42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767708"/>
    <w:rsid w:val="009D6611"/>
    <w:rsid w:val="00AB0D0C"/>
    <w:rsid w:val="00B32F91"/>
    <w:rsid w:val="00B461C6"/>
    <w:rsid w:val="00C17E53"/>
    <w:rsid w:val="012144C1"/>
    <w:rsid w:val="015D1144"/>
    <w:rsid w:val="02131D4D"/>
    <w:rsid w:val="026D0E06"/>
    <w:rsid w:val="02805BD4"/>
    <w:rsid w:val="02E71E31"/>
    <w:rsid w:val="037526A5"/>
    <w:rsid w:val="037B0D20"/>
    <w:rsid w:val="03DB7AF1"/>
    <w:rsid w:val="04243B0D"/>
    <w:rsid w:val="046C5204"/>
    <w:rsid w:val="05890630"/>
    <w:rsid w:val="05A11999"/>
    <w:rsid w:val="05FB5227"/>
    <w:rsid w:val="06266906"/>
    <w:rsid w:val="07107C21"/>
    <w:rsid w:val="07305B6F"/>
    <w:rsid w:val="075E75C2"/>
    <w:rsid w:val="079D09CF"/>
    <w:rsid w:val="07A765F3"/>
    <w:rsid w:val="07A82D16"/>
    <w:rsid w:val="07EC2FA6"/>
    <w:rsid w:val="07F049C8"/>
    <w:rsid w:val="08D124A6"/>
    <w:rsid w:val="08DA7138"/>
    <w:rsid w:val="09077C0A"/>
    <w:rsid w:val="09586F58"/>
    <w:rsid w:val="0A0E5A48"/>
    <w:rsid w:val="0AB21EAC"/>
    <w:rsid w:val="0AD66FA3"/>
    <w:rsid w:val="0AF05A6A"/>
    <w:rsid w:val="0B175EA0"/>
    <w:rsid w:val="0BCB189A"/>
    <w:rsid w:val="0C4B5B28"/>
    <w:rsid w:val="0CDD11AA"/>
    <w:rsid w:val="0D0E13AC"/>
    <w:rsid w:val="0D1F3F4F"/>
    <w:rsid w:val="0D75288F"/>
    <w:rsid w:val="0DAA6E6C"/>
    <w:rsid w:val="0E221E05"/>
    <w:rsid w:val="0E8A6999"/>
    <w:rsid w:val="0EA0612E"/>
    <w:rsid w:val="0EAB76F7"/>
    <w:rsid w:val="0EEC5B91"/>
    <w:rsid w:val="0F051F09"/>
    <w:rsid w:val="0F256098"/>
    <w:rsid w:val="0FA9547D"/>
    <w:rsid w:val="0FC36F19"/>
    <w:rsid w:val="1030519A"/>
    <w:rsid w:val="105977C3"/>
    <w:rsid w:val="10752692"/>
    <w:rsid w:val="110E2A86"/>
    <w:rsid w:val="116B62E4"/>
    <w:rsid w:val="11BB0772"/>
    <w:rsid w:val="12341E31"/>
    <w:rsid w:val="12530AE4"/>
    <w:rsid w:val="126A4713"/>
    <w:rsid w:val="131833E1"/>
    <w:rsid w:val="13243B1F"/>
    <w:rsid w:val="14692417"/>
    <w:rsid w:val="146D3A76"/>
    <w:rsid w:val="14872A8D"/>
    <w:rsid w:val="148D3F0D"/>
    <w:rsid w:val="1504731F"/>
    <w:rsid w:val="15C24EC3"/>
    <w:rsid w:val="16472BFF"/>
    <w:rsid w:val="16541946"/>
    <w:rsid w:val="168020AE"/>
    <w:rsid w:val="169E1493"/>
    <w:rsid w:val="1740711E"/>
    <w:rsid w:val="189901CB"/>
    <w:rsid w:val="19364133"/>
    <w:rsid w:val="199911AC"/>
    <w:rsid w:val="19AC0CD3"/>
    <w:rsid w:val="19B65A43"/>
    <w:rsid w:val="1A117D62"/>
    <w:rsid w:val="1A1A792E"/>
    <w:rsid w:val="1A5729E2"/>
    <w:rsid w:val="1A762914"/>
    <w:rsid w:val="1ABA38E2"/>
    <w:rsid w:val="1AD21B96"/>
    <w:rsid w:val="1B5232B2"/>
    <w:rsid w:val="1B855DA0"/>
    <w:rsid w:val="1B9C6B93"/>
    <w:rsid w:val="1BBB5990"/>
    <w:rsid w:val="1C184F8E"/>
    <w:rsid w:val="1C7331F9"/>
    <w:rsid w:val="1CBD5E1F"/>
    <w:rsid w:val="1DFF0308"/>
    <w:rsid w:val="1E297CFB"/>
    <w:rsid w:val="1E7C3896"/>
    <w:rsid w:val="1E802B4F"/>
    <w:rsid w:val="1E873BDF"/>
    <w:rsid w:val="1F5D0A85"/>
    <w:rsid w:val="1F6D4FC3"/>
    <w:rsid w:val="1F96345D"/>
    <w:rsid w:val="1FBC723F"/>
    <w:rsid w:val="1FE15843"/>
    <w:rsid w:val="1FE675FD"/>
    <w:rsid w:val="203B30BF"/>
    <w:rsid w:val="20CB43A0"/>
    <w:rsid w:val="217E3BC2"/>
    <w:rsid w:val="22200C4E"/>
    <w:rsid w:val="223A417F"/>
    <w:rsid w:val="225126C1"/>
    <w:rsid w:val="226679D7"/>
    <w:rsid w:val="229A60BB"/>
    <w:rsid w:val="22CB3FEB"/>
    <w:rsid w:val="231370CD"/>
    <w:rsid w:val="234C1770"/>
    <w:rsid w:val="237D60A9"/>
    <w:rsid w:val="23F979A1"/>
    <w:rsid w:val="242D417C"/>
    <w:rsid w:val="248018AC"/>
    <w:rsid w:val="24F021FA"/>
    <w:rsid w:val="250F5ED6"/>
    <w:rsid w:val="25CF4162"/>
    <w:rsid w:val="25F837F4"/>
    <w:rsid w:val="264C26FC"/>
    <w:rsid w:val="26915DE3"/>
    <w:rsid w:val="26D22705"/>
    <w:rsid w:val="26E8320C"/>
    <w:rsid w:val="271E25E5"/>
    <w:rsid w:val="27724F4E"/>
    <w:rsid w:val="278E6B9E"/>
    <w:rsid w:val="27D15D53"/>
    <w:rsid w:val="27D209A5"/>
    <w:rsid w:val="284542AB"/>
    <w:rsid w:val="299751AC"/>
    <w:rsid w:val="2A0F3100"/>
    <w:rsid w:val="2B186B46"/>
    <w:rsid w:val="2B2F3E29"/>
    <w:rsid w:val="2C3B65A4"/>
    <w:rsid w:val="2C851909"/>
    <w:rsid w:val="2CB1091B"/>
    <w:rsid w:val="2D132DDD"/>
    <w:rsid w:val="2E22736E"/>
    <w:rsid w:val="2E23748C"/>
    <w:rsid w:val="2E754678"/>
    <w:rsid w:val="2E802760"/>
    <w:rsid w:val="2ECE7C17"/>
    <w:rsid w:val="2EEF41F2"/>
    <w:rsid w:val="2FAC1C7E"/>
    <w:rsid w:val="2FB55195"/>
    <w:rsid w:val="30203F57"/>
    <w:rsid w:val="302A3B02"/>
    <w:rsid w:val="309C07AA"/>
    <w:rsid w:val="30D07C8E"/>
    <w:rsid w:val="30F86E6B"/>
    <w:rsid w:val="31232D7F"/>
    <w:rsid w:val="318E6A2C"/>
    <w:rsid w:val="32160991"/>
    <w:rsid w:val="33601F84"/>
    <w:rsid w:val="34360F86"/>
    <w:rsid w:val="34600D34"/>
    <w:rsid w:val="353D0832"/>
    <w:rsid w:val="354F4CAF"/>
    <w:rsid w:val="35B0215C"/>
    <w:rsid w:val="35CD7916"/>
    <w:rsid w:val="365B1FB2"/>
    <w:rsid w:val="36932A7E"/>
    <w:rsid w:val="369704A2"/>
    <w:rsid w:val="369F100E"/>
    <w:rsid w:val="36AA6013"/>
    <w:rsid w:val="36AB3592"/>
    <w:rsid w:val="36FF14E0"/>
    <w:rsid w:val="370D27B7"/>
    <w:rsid w:val="372931D3"/>
    <w:rsid w:val="37DC3064"/>
    <w:rsid w:val="38D23867"/>
    <w:rsid w:val="39403262"/>
    <w:rsid w:val="39845E32"/>
    <w:rsid w:val="39EC5392"/>
    <w:rsid w:val="3A550093"/>
    <w:rsid w:val="3AE46F43"/>
    <w:rsid w:val="3BC45602"/>
    <w:rsid w:val="3BCA4ED2"/>
    <w:rsid w:val="3C080B94"/>
    <w:rsid w:val="3C10774D"/>
    <w:rsid w:val="3C4F08FD"/>
    <w:rsid w:val="3CA37757"/>
    <w:rsid w:val="3D972A7B"/>
    <w:rsid w:val="3DBF1909"/>
    <w:rsid w:val="3DE5050B"/>
    <w:rsid w:val="3E680D67"/>
    <w:rsid w:val="3EBA6596"/>
    <w:rsid w:val="3EDA31C3"/>
    <w:rsid w:val="3F082236"/>
    <w:rsid w:val="3F3A1437"/>
    <w:rsid w:val="3F720899"/>
    <w:rsid w:val="401C5B88"/>
    <w:rsid w:val="403401F3"/>
    <w:rsid w:val="40E819AB"/>
    <w:rsid w:val="413B1951"/>
    <w:rsid w:val="415C11CE"/>
    <w:rsid w:val="422E1A8A"/>
    <w:rsid w:val="42D44147"/>
    <w:rsid w:val="42E02585"/>
    <w:rsid w:val="43420EE0"/>
    <w:rsid w:val="43611524"/>
    <w:rsid w:val="43845C26"/>
    <w:rsid w:val="43A07DB3"/>
    <w:rsid w:val="43AB4FB3"/>
    <w:rsid w:val="44202DE8"/>
    <w:rsid w:val="454E1424"/>
    <w:rsid w:val="45FD46C4"/>
    <w:rsid w:val="46A27ED3"/>
    <w:rsid w:val="48156E45"/>
    <w:rsid w:val="48FA01B7"/>
    <w:rsid w:val="490267CF"/>
    <w:rsid w:val="492E62F9"/>
    <w:rsid w:val="49D144DC"/>
    <w:rsid w:val="4A1A45C2"/>
    <w:rsid w:val="4A392E47"/>
    <w:rsid w:val="4A7360DE"/>
    <w:rsid w:val="4AB3209E"/>
    <w:rsid w:val="4AB968A0"/>
    <w:rsid w:val="4AF94847"/>
    <w:rsid w:val="4B1A4EAA"/>
    <w:rsid w:val="4B83650C"/>
    <w:rsid w:val="4B9613A1"/>
    <w:rsid w:val="4C091BCE"/>
    <w:rsid w:val="4C2C08B6"/>
    <w:rsid w:val="4C5022C1"/>
    <w:rsid w:val="4C9B6616"/>
    <w:rsid w:val="4CA51D75"/>
    <w:rsid w:val="4CCB0746"/>
    <w:rsid w:val="4CEC7905"/>
    <w:rsid w:val="4CF041EA"/>
    <w:rsid w:val="4D0B36A6"/>
    <w:rsid w:val="4D594211"/>
    <w:rsid w:val="4D807DEB"/>
    <w:rsid w:val="4DA26D7D"/>
    <w:rsid w:val="4DB044D2"/>
    <w:rsid w:val="4E021D85"/>
    <w:rsid w:val="4E4C58DF"/>
    <w:rsid w:val="4EA63F69"/>
    <w:rsid w:val="4EAF2D88"/>
    <w:rsid w:val="4F09689E"/>
    <w:rsid w:val="4F5A607B"/>
    <w:rsid w:val="4F6F6D09"/>
    <w:rsid w:val="4FB27E39"/>
    <w:rsid w:val="503D20BC"/>
    <w:rsid w:val="50D100CC"/>
    <w:rsid w:val="50E96629"/>
    <w:rsid w:val="50F1784D"/>
    <w:rsid w:val="51DF4345"/>
    <w:rsid w:val="51E55E87"/>
    <w:rsid w:val="52467BAA"/>
    <w:rsid w:val="529369C2"/>
    <w:rsid w:val="53102BCD"/>
    <w:rsid w:val="53495593"/>
    <w:rsid w:val="53565DB4"/>
    <w:rsid w:val="53E616D7"/>
    <w:rsid w:val="54767708"/>
    <w:rsid w:val="54D40ECD"/>
    <w:rsid w:val="54EB46E2"/>
    <w:rsid w:val="55997986"/>
    <w:rsid w:val="55A01896"/>
    <w:rsid w:val="55C9793B"/>
    <w:rsid w:val="562A053B"/>
    <w:rsid w:val="563023B0"/>
    <w:rsid w:val="568160B3"/>
    <w:rsid w:val="569F736B"/>
    <w:rsid w:val="570723C1"/>
    <w:rsid w:val="570D65D0"/>
    <w:rsid w:val="57383664"/>
    <w:rsid w:val="57594626"/>
    <w:rsid w:val="577026E8"/>
    <w:rsid w:val="57814767"/>
    <w:rsid w:val="57D73A95"/>
    <w:rsid w:val="585175F3"/>
    <w:rsid w:val="59325A23"/>
    <w:rsid w:val="59934A2C"/>
    <w:rsid w:val="5AE51EB3"/>
    <w:rsid w:val="5AF33F1D"/>
    <w:rsid w:val="5AF3715D"/>
    <w:rsid w:val="5AF75CA2"/>
    <w:rsid w:val="5B826BCA"/>
    <w:rsid w:val="5BB00137"/>
    <w:rsid w:val="5BEC5805"/>
    <w:rsid w:val="5C2C0516"/>
    <w:rsid w:val="5C754E09"/>
    <w:rsid w:val="5CD75621"/>
    <w:rsid w:val="5D124FC5"/>
    <w:rsid w:val="5D517558"/>
    <w:rsid w:val="5D973F1B"/>
    <w:rsid w:val="5DB825FE"/>
    <w:rsid w:val="5E4B2B42"/>
    <w:rsid w:val="5E5C3C46"/>
    <w:rsid w:val="5E7146D8"/>
    <w:rsid w:val="5ED45B94"/>
    <w:rsid w:val="5EFB6C45"/>
    <w:rsid w:val="5F2123FC"/>
    <w:rsid w:val="5F373ED0"/>
    <w:rsid w:val="5F44159D"/>
    <w:rsid w:val="5F61739B"/>
    <w:rsid w:val="5F91162B"/>
    <w:rsid w:val="60254A40"/>
    <w:rsid w:val="60280491"/>
    <w:rsid w:val="603A5946"/>
    <w:rsid w:val="604C2380"/>
    <w:rsid w:val="607A1395"/>
    <w:rsid w:val="60CB0D31"/>
    <w:rsid w:val="60DF66C2"/>
    <w:rsid w:val="614E50BB"/>
    <w:rsid w:val="615463B5"/>
    <w:rsid w:val="6175086E"/>
    <w:rsid w:val="618904EB"/>
    <w:rsid w:val="61B0714A"/>
    <w:rsid w:val="620A4D81"/>
    <w:rsid w:val="628C7CB5"/>
    <w:rsid w:val="629A0F9C"/>
    <w:rsid w:val="62A635C5"/>
    <w:rsid w:val="62C4048F"/>
    <w:rsid w:val="62FD6ADF"/>
    <w:rsid w:val="63744336"/>
    <w:rsid w:val="63C7101C"/>
    <w:rsid w:val="64261C2F"/>
    <w:rsid w:val="64E05152"/>
    <w:rsid w:val="64FD20A0"/>
    <w:rsid w:val="65B8049A"/>
    <w:rsid w:val="65D64D5A"/>
    <w:rsid w:val="65FD7CA9"/>
    <w:rsid w:val="66120C0F"/>
    <w:rsid w:val="66B9543E"/>
    <w:rsid w:val="66BA2267"/>
    <w:rsid w:val="66D137C7"/>
    <w:rsid w:val="66F35271"/>
    <w:rsid w:val="674C36A0"/>
    <w:rsid w:val="675F1DEF"/>
    <w:rsid w:val="67827DA8"/>
    <w:rsid w:val="67B64F17"/>
    <w:rsid w:val="67CA13DE"/>
    <w:rsid w:val="67E75BFA"/>
    <w:rsid w:val="681526AA"/>
    <w:rsid w:val="68847BA1"/>
    <w:rsid w:val="68922F46"/>
    <w:rsid w:val="68F23630"/>
    <w:rsid w:val="68FF471D"/>
    <w:rsid w:val="690E5951"/>
    <w:rsid w:val="6ACE1D40"/>
    <w:rsid w:val="6ACF148C"/>
    <w:rsid w:val="6AF113B4"/>
    <w:rsid w:val="6AF37B6C"/>
    <w:rsid w:val="6AFE1011"/>
    <w:rsid w:val="6B1F6ACA"/>
    <w:rsid w:val="6B936DD9"/>
    <w:rsid w:val="6C1B4EF3"/>
    <w:rsid w:val="6C360024"/>
    <w:rsid w:val="6C675D6F"/>
    <w:rsid w:val="6CE11431"/>
    <w:rsid w:val="6D0D32FA"/>
    <w:rsid w:val="6D371F41"/>
    <w:rsid w:val="6D707097"/>
    <w:rsid w:val="6D8E1E50"/>
    <w:rsid w:val="6DDA0CB9"/>
    <w:rsid w:val="6E2D72CB"/>
    <w:rsid w:val="6EB03B7D"/>
    <w:rsid w:val="6ECE5E34"/>
    <w:rsid w:val="6EDE14AF"/>
    <w:rsid w:val="6F4748F8"/>
    <w:rsid w:val="6F474CA5"/>
    <w:rsid w:val="6F5D79C2"/>
    <w:rsid w:val="6F8F4FF6"/>
    <w:rsid w:val="6F9A2344"/>
    <w:rsid w:val="70002075"/>
    <w:rsid w:val="70132A6B"/>
    <w:rsid w:val="70696D75"/>
    <w:rsid w:val="70A6015B"/>
    <w:rsid w:val="70D74B65"/>
    <w:rsid w:val="70F268DA"/>
    <w:rsid w:val="71556406"/>
    <w:rsid w:val="726D0E25"/>
    <w:rsid w:val="72A33942"/>
    <w:rsid w:val="72AA7833"/>
    <w:rsid w:val="72F93C0A"/>
    <w:rsid w:val="73147C67"/>
    <w:rsid w:val="733E14BB"/>
    <w:rsid w:val="74217EA4"/>
    <w:rsid w:val="747C2F71"/>
    <w:rsid w:val="74C975E7"/>
    <w:rsid w:val="74F51AF1"/>
    <w:rsid w:val="75091B86"/>
    <w:rsid w:val="75413600"/>
    <w:rsid w:val="75D8590C"/>
    <w:rsid w:val="761A103B"/>
    <w:rsid w:val="76526D65"/>
    <w:rsid w:val="76627C48"/>
    <w:rsid w:val="7674124C"/>
    <w:rsid w:val="76CB35D0"/>
    <w:rsid w:val="76FF6907"/>
    <w:rsid w:val="77440C0A"/>
    <w:rsid w:val="776B7A36"/>
    <w:rsid w:val="779D419C"/>
    <w:rsid w:val="78E65A5B"/>
    <w:rsid w:val="79A22C7D"/>
    <w:rsid w:val="79D15701"/>
    <w:rsid w:val="79F929DA"/>
    <w:rsid w:val="7A294BC8"/>
    <w:rsid w:val="7A4E12D1"/>
    <w:rsid w:val="7AC16FC4"/>
    <w:rsid w:val="7ACE3B53"/>
    <w:rsid w:val="7ADE3333"/>
    <w:rsid w:val="7AE7717F"/>
    <w:rsid w:val="7B350E78"/>
    <w:rsid w:val="7C202D83"/>
    <w:rsid w:val="7CD04513"/>
    <w:rsid w:val="7CDC2326"/>
    <w:rsid w:val="7DBF5B09"/>
    <w:rsid w:val="7E221BA6"/>
    <w:rsid w:val="7EF672D4"/>
    <w:rsid w:val="7FA62E8F"/>
    <w:rsid w:val="7FC01BB3"/>
    <w:rsid w:val="7FF879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rFonts w:eastAsia="黑体"/>
      <w:b/>
      <w:bCs/>
      <w:kern w:val="44"/>
      <w:sz w:val="28"/>
      <w:szCs w:val="44"/>
    </w:rPr>
  </w:style>
  <w:style w:type="paragraph" w:styleId="3">
    <w:name w:val="heading 2"/>
    <w:basedOn w:val="1"/>
    <w:next w:val="1"/>
    <w:link w:val="18"/>
    <w:unhideWhenUsed/>
    <w:qFormat/>
    <w:uiPriority w:val="0"/>
    <w:pPr>
      <w:keepNext/>
      <w:keepLines/>
      <w:spacing w:line="413" w:lineRule="auto"/>
      <w:ind w:left="200" w:leftChars="200"/>
      <w:outlineLvl w:val="1"/>
    </w:pPr>
    <w:rPr>
      <w:rFonts w:ascii="Arial" w:hAnsi="Arial" w:eastAsia="仿宋"/>
      <w:b/>
      <w:bCs/>
      <w:kern w:val="2"/>
      <w:sz w:val="28"/>
      <w:szCs w:val="32"/>
    </w:rPr>
  </w:style>
  <w:style w:type="paragraph" w:styleId="4">
    <w:name w:val="heading 3"/>
    <w:basedOn w:val="1"/>
    <w:next w:val="1"/>
    <w:unhideWhenUsed/>
    <w:qFormat/>
    <w:uiPriority w:val="0"/>
    <w:pPr>
      <w:keepNext/>
      <w:keepLines/>
      <w:spacing w:line="413" w:lineRule="auto"/>
      <w:ind w:left="400" w:leftChars="400"/>
      <w:outlineLvl w:val="2"/>
    </w:pPr>
    <w:rPr>
      <w:rFonts w:eastAsia="仿宋"/>
      <w:b/>
      <w:bCs/>
      <w:kern w:val="2"/>
      <w:sz w:val="28"/>
      <w:szCs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rFonts w:cs="Times New Roman"/>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10">
    <w:name w:val="toc 1"/>
    <w:basedOn w:val="1"/>
    <w:next w:val="1"/>
    <w:qFormat/>
    <w:uiPriority w:val="0"/>
  </w:style>
  <w:style w:type="paragraph" w:styleId="11">
    <w:name w:val="toc 2"/>
    <w:basedOn w:val="1"/>
    <w:next w:val="1"/>
    <w:qFormat/>
    <w:uiPriority w:val="0"/>
    <w:pPr>
      <w:tabs>
        <w:tab w:val="right" w:leader="dot" w:pos="8296"/>
      </w:tabs>
      <w:ind w:left="420" w:leftChars="200"/>
    </w:p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4">
    <w:name w:val="Hyperlink"/>
    <w:qFormat/>
    <w:uiPriority w:val="0"/>
    <w:rPr>
      <w:color w:val="0563C1"/>
      <w:u w:val="single"/>
    </w:rPr>
  </w:style>
  <w:style w:type="paragraph" w:customStyle="1" w:styleId="16">
    <w:name w:val="List Paragraph"/>
    <w:basedOn w:val="1"/>
    <w:qFormat/>
    <w:uiPriority w:val="0"/>
    <w:pPr>
      <w:ind w:firstLine="420" w:firstLineChars="200"/>
    </w:pPr>
  </w:style>
  <w:style w:type="paragraph" w:customStyle="1" w:styleId="17">
    <w:name w:val="p0"/>
    <w:basedOn w:val="1"/>
    <w:qFormat/>
    <w:uiPriority w:val="0"/>
    <w:pPr>
      <w:widowControl/>
    </w:pPr>
    <w:rPr>
      <w:rFonts w:ascii="Calibri" w:hAnsi="Calibri" w:cs="宋体"/>
      <w:kern w:val="0"/>
      <w:szCs w:val="21"/>
    </w:rPr>
  </w:style>
  <w:style w:type="character" w:customStyle="1" w:styleId="18">
    <w:name w:val=" Char Char4"/>
    <w:link w:val="3"/>
    <w:qFormat/>
    <w:uiPriority w:val="0"/>
    <w:rPr>
      <w:rFonts w:ascii="Arial" w:hAnsi="Arial" w:eastAsia="仿宋"/>
      <w:b/>
      <w:bCs/>
      <w:kern w:val="2"/>
      <w:sz w:val="28"/>
      <w:szCs w:val="32"/>
    </w:rPr>
  </w:style>
  <w:style w:type="paragraph" w:customStyle="1" w:styleId="19">
    <w:name w:val="p16"/>
    <w:basedOn w:val="1"/>
    <w:qFormat/>
    <w:uiPriority w:val="0"/>
    <w:pPr>
      <w:widowControl/>
      <w:ind w:firstLine="420"/>
    </w:pPr>
    <w:rPr>
      <w:rFonts w:cs="宋体"/>
      <w:kern w:val="0"/>
      <w:szCs w:val="21"/>
    </w:rPr>
  </w:style>
  <w:style w:type="paragraph" w:customStyle="1" w:styleId="20">
    <w:name w:val="列出段落1"/>
    <w:basedOn w:val="1"/>
    <w:qFormat/>
    <w:uiPriority w:val="0"/>
    <w:pPr>
      <w:ind w:firstLine="420" w:firstLineChars="200"/>
    </w:pPr>
  </w:style>
  <w:style w:type="paragraph" w:customStyle="1" w:styleId="21">
    <w:name w:val="Body text|2"/>
    <w:basedOn w:val="1"/>
    <w:qFormat/>
    <w:uiPriority w:val="0"/>
    <w:pPr>
      <w:widowControl w:val="0"/>
      <w:shd w:val="clear" w:color="auto" w:fill="FFFFFF"/>
      <w:spacing w:line="540" w:lineRule="exact"/>
    </w:pPr>
    <w:rPr>
      <w:rFonts w:ascii="PMingLiU" w:hAnsi="PMingLiU" w:eastAsia="PMingLiU" w:cs="PMingLiU"/>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jpe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2017-11-13T05:36:00Z</dcterms:created>
  <dc:creator>Ryoma</dc:creator>
  <cp:lastModifiedBy>大唐雄风</cp:lastModifiedBy>
  <cp:lastPrinted>2018-05-24T01:17:00Z</cp:lastPrinted>
  <dcterms:modified xsi:type="dcterms:W3CDTF">2018-07-06T10:47:22Z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