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武昌区总工会职工活动费</w:t>
      </w:r>
      <w:r>
        <w:rPr>
          <w:rFonts w:hint="eastAsia" w:ascii="华文中宋" w:hAnsi="华文中宋" w:eastAsia="华文中宋" w:cs="华文中宋"/>
          <w:sz w:val="36"/>
          <w:szCs w:val="36"/>
        </w:rPr>
        <w:t>项目自评表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45"/>
        <w:gridCol w:w="1170"/>
        <w:gridCol w:w="942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职工活动费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武昌区总工会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区财政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专项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资金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预算执行情况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B/A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20分*执行率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25万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25万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年初目标值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实际完成值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数量指标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组织活动次数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≥2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质量指标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活动开展完成率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产出指标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时效指标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活动完成时效率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效益指标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社会效益指标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职工生活质量提高率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≥70%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服务对象满意度指标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  <w:t>具体指标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职工对活动开展满意度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≥80%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总分</w:t>
            </w:r>
          </w:p>
        </w:tc>
        <w:tc>
          <w:tcPr>
            <w:tcW w:w="8036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按时完成绩效目标无偏差。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091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为丰富职工精神文化生活，助推企业文化和职工文化建设，切实发挥先进文化对职工的宣传教育和引领作用。通过系列活动的开展，进一步提升了广大职工文化素养、思想品德、增强体魄，有效满足职工对美好生活的需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674E"/>
    <w:rsid w:val="28D55A57"/>
    <w:rsid w:val="65800451"/>
    <w:rsid w:val="70C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正文1"/>
    <w:basedOn w:val="6"/>
    <w:uiPriority w:val="0"/>
    <w:pPr>
      <w:widowControl/>
      <w:jc w:val="both"/>
    </w:pPr>
    <w:rPr>
      <w:rFonts w:ascii="Times New Roman" w:hAnsi="Times New Roman" w:eastAsia="Times New Roman"/>
      <w:sz w:val="21"/>
    </w:rPr>
  </w:style>
  <w:style w:type="paragraph" w:customStyle="1" w:styleId="6">
    <w:name w:val="[Normal]"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2021-11-04T07:15:00Z</dcterms:created>
  <dc:creator>Administrator</dc:creator>
  <cp:lastModifiedBy>Administrator</cp:lastModifiedBy>
  <dcterms:modified xsi:type="dcterms:W3CDTF">2021-11-04T08:25:48Z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