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DE23F">
      <w:pPr>
        <w:ind w:firstLine="883"/>
        <w:rPr>
          <w:rFonts w:ascii="宋体" w:hAnsi="宋体" w:eastAsia="宋体"/>
          <w:b/>
          <w:color w:val="000000"/>
          <w:sz w:val="44"/>
          <w:szCs w:val="44"/>
        </w:rPr>
      </w:pPr>
    </w:p>
    <w:p w14:paraId="38D54959">
      <w:pPr>
        <w:ind w:firstLine="883"/>
        <w:jc w:val="center"/>
        <w:rPr>
          <w:rFonts w:ascii="宋体" w:hAnsi="宋体" w:eastAsia="宋体"/>
          <w:b/>
          <w:color w:val="000000"/>
          <w:sz w:val="44"/>
          <w:szCs w:val="44"/>
        </w:rPr>
      </w:pPr>
    </w:p>
    <w:p w14:paraId="4AEFB6E5">
      <w:pPr>
        <w:ind w:firstLine="0" w:firstLineChars="0"/>
        <w:jc w:val="center"/>
        <w:rPr>
          <w:rFonts w:hint="eastAsia" w:ascii="宋体" w:hAnsi="宋体" w:eastAsia="宋体"/>
          <w:b/>
          <w:color w:val="000000"/>
          <w:sz w:val="44"/>
          <w:szCs w:val="44"/>
          <w:lang w:eastAsia="zh-CN"/>
        </w:rPr>
      </w:pPr>
      <w:r>
        <w:rPr>
          <w:rFonts w:hint="eastAsia" w:ascii="宋体" w:hAnsi="宋体" w:eastAsia="宋体"/>
          <w:b/>
          <w:color w:val="000000"/>
          <w:sz w:val="44"/>
          <w:szCs w:val="44"/>
          <w:lang w:eastAsia="zh-CN"/>
        </w:rPr>
        <w:t>中共</w:t>
      </w:r>
      <w:r>
        <w:rPr>
          <w:rFonts w:hint="eastAsia" w:ascii="宋体" w:hAnsi="宋体" w:eastAsia="宋体"/>
          <w:b/>
          <w:color w:val="000000"/>
          <w:sz w:val="44"/>
          <w:szCs w:val="44"/>
        </w:rPr>
        <w:t>武昌区</w:t>
      </w:r>
      <w:r>
        <w:rPr>
          <w:rFonts w:hint="eastAsia" w:ascii="宋体" w:hAnsi="宋体" w:eastAsia="宋体"/>
          <w:b/>
          <w:color w:val="000000"/>
          <w:sz w:val="44"/>
          <w:szCs w:val="44"/>
          <w:lang w:eastAsia="zh-CN"/>
        </w:rPr>
        <w:t>委统一战线工作部</w:t>
      </w:r>
    </w:p>
    <w:p w14:paraId="31480577">
      <w:pPr>
        <w:ind w:firstLine="0" w:firstLineChars="0"/>
        <w:jc w:val="center"/>
        <w:rPr>
          <w:rFonts w:ascii="宋体" w:hAnsi="宋体" w:eastAsia="宋体"/>
          <w:b/>
          <w:color w:val="000000"/>
          <w:sz w:val="44"/>
          <w:szCs w:val="44"/>
        </w:rPr>
      </w:pPr>
      <w:r>
        <w:rPr>
          <w:rFonts w:hint="eastAsia" w:ascii="宋体" w:hAnsi="宋体" w:eastAsia="宋体"/>
          <w:b/>
          <w:color w:val="000000"/>
          <w:sz w:val="44"/>
          <w:szCs w:val="44"/>
        </w:rPr>
        <w:t>201</w:t>
      </w:r>
      <w:r>
        <w:rPr>
          <w:rFonts w:hint="eastAsia" w:ascii="宋体" w:hAnsi="宋体" w:eastAsia="宋体"/>
          <w:b/>
          <w:color w:val="000000"/>
          <w:sz w:val="44"/>
          <w:szCs w:val="44"/>
          <w:lang w:val="en-US" w:eastAsia="zh-CN"/>
        </w:rPr>
        <w:t>8</w:t>
      </w:r>
      <w:r>
        <w:rPr>
          <w:rFonts w:hint="eastAsia" w:ascii="宋体" w:hAnsi="宋体" w:eastAsia="宋体"/>
          <w:b/>
          <w:color w:val="000000"/>
          <w:sz w:val="44"/>
          <w:szCs w:val="44"/>
        </w:rPr>
        <w:t>年度“</w:t>
      </w:r>
      <w:r>
        <w:rPr>
          <w:rFonts w:hint="eastAsia" w:ascii="宋体" w:hAnsi="宋体" w:eastAsia="宋体"/>
          <w:b/>
          <w:color w:val="000000"/>
          <w:sz w:val="44"/>
          <w:szCs w:val="44"/>
          <w:lang w:eastAsia="zh-CN"/>
        </w:rPr>
        <w:t>统战事务经</w:t>
      </w:r>
      <w:r>
        <w:rPr>
          <w:rFonts w:hint="eastAsia" w:ascii="宋体" w:hAnsi="宋体" w:eastAsia="宋体"/>
          <w:b/>
          <w:color w:val="000000"/>
          <w:sz w:val="44"/>
          <w:szCs w:val="44"/>
        </w:rPr>
        <w:t>费”项目</w:t>
      </w:r>
    </w:p>
    <w:p w14:paraId="1DCDBEA6">
      <w:pPr>
        <w:ind w:firstLine="0" w:firstLineChars="0"/>
        <w:jc w:val="center"/>
        <w:rPr>
          <w:rFonts w:ascii="宋体" w:hAnsi="宋体" w:eastAsia="宋体"/>
          <w:b/>
          <w:bCs/>
          <w:color w:val="000000"/>
          <w:sz w:val="44"/>
          <w:szCs w:val="44"/>
        </w:rPr>
      </w:pPr>
      <w:r>
        <w:rPr>
          <w:rFonts w:hint="eastAsia" w:ascii="宋体" w:hAnsi="宋体" w:eastAsia="宋体"/>
          <w:b/>
          <w:color w:val="000000"/>
          <w:sz w:val="44"/>
          <w:szCs w:val="44"/>
        </w:rPr>
        <w:t>绩效评价报告</w:t>
      </w:r>
    </w:p>
    <w:p w14:paraId="0D45BE66">
      <w:pPr>
        <w:ind w:firstLine="480"/>
        <w:rPr>
          <w:rFonts w:ascii="宋体" w:hAnsi="宋体" w:eastAsia="宋体"/>
        </w:rPr>
      </w:pPr>
    </w:p>
    <w:p w14:paraId="52AADFF0">
      <w:pPr>
        <w:ind w:firstLine="480"/>
        <w:rPr>
          <w:rFonts w:ascii="宋体" w:hAnsi="宋体" w:eastAsia="宋体"/>
        </w:rPr>
      </w:pPr>
    </w:p>
    <w:p w14:paraId="3DA27918">
      <w:pPr>
        <w:widowControl/>
        <w:spacing w:line="800" w:lineRule="exact"/>
        <w:ind w:firstLine="790" w:firstLineChars="246"/>
        <w:jc w:val="left"/>
        <w:rPr>
          <w:rFonts w:ascii="宋体" w:hAnsi="宋体" w:eastAsia="宋体"/>
          <w:b/>
          <w:bCs/>
          <w:kern w:val="32"/>
          <w:sz w:val="32"/>
        </w:rPr>
      </w:pPr>
    </w:p>
    <w:p w14:paraId="01641C81">
      <w:pPr>
        <w:widowControl/>
        <w:spacing w:line="800" w:lineRule="exact"/>
        <w:ind w:firstLine="790" w:firstLineChars="246"/>
        <w:jc w:val="left"/>
        <w:rPr>
          <w:rFonts w:ascii="宋体" w:hAnsi="宋体" w:eastAsia="宋体"/>
          <w:b/>
          <w:bCs/>
          <w:kern w:val="32"/>
          <w:sz w:val="32"/>
        </w:rPr>
      </w:pPr>
    </w:p>
    <w:p w14:paraId="7274E0D9">
      <w:pPr>
        <w:widowControl/>
        <w:spacing w:line="480" w:lineRule="auto"/>
        <w:ind w:right="-192" w:rightChars="-80" w:firstLine="790" w:firstLineChars="246"/>
        <w:jc w:val="left"/>
        <w:rPr>
          <w:rFonts w:ascii="宋体" w:hAnsi="宋体" w:eastAsia="宋体"/>
          <w:b/>
          <w:bCs/>
          <w:kern w:val="32"/>
          <w:sz w:val="32"/>
          <w:szCs w:val="32"/>
        </w:rPr>
      </w:pPr>
      <w:r>
        <w:rPr>
          <w:rFonts w:ascii="宋体" w:hAnsi="宋体" w:eastAsia="宋体"/>
          <w:b/>
          <w:bCs/>
          <w:kern w:val="32"/>
          <w:sz w:val="32"/>
        </w:rPr>
        <w:t>项目名称：</w:t>
      </w:r>
      <w:r>
        <w:rPr>
          <w:rFonts w:hint="eastAsia" w:ascii="宋体" w:hAnsi="宋体" w:eastAsia="宋体"/>
          <w:b/>
          <w:bCs/>
          <w:kern w:val="32"/>
          <w:sz w:val="32"/>
          <w:lang w:eastAsia="zh-CN"/>
        </w:rPr>
        <w:t>统战事务</w:t>
      </w:r>
      <w:r>
        <w:rPr>
          <w:rFonts w:hint="eastAsia" w:ascii="宋体" w:hAnsi="宋体" w:eastAsia="宋体"/>
          <w:b/>
          <w:bCs/>
          <w:sz w:val="32"/>
          <w:szCs w:val="32"/>
          <w:lang w:eastAsia="zh-CN"/>
        </w:rPr>
        <w:t>经</w:t>
      </w:r>
      <w:r>
        <w:rPr>
          <w:rFonts w:hint="eastAsia" w:ascii="宋体" w:hAnsi="宋体" w:eastAsia="宋体"/>
          <w:b/>
          <w:bCs/>
          <w:sz w:val="32"/>
          <w:szCs w:val="32"/>
        </w:rPr>
        <w:t>费</w:t>
      </w:r>
    </w:p>
    <w:p w14:paraId="5BAEAFF4">
      <w:pPr>
        <w:widowControl/>
        <w:spacing w:line="480" w:lineRule="auto"/>
        <w:ind w:firstLine="790" w:firstLineChars="246"/>
        <w:jc w:val="left"/>
        <w:rPr>
          <w:rFonts w:ascii="宋体" w:hAnsi="宋体" w:eastAsia="宋体"/>
          <w:b/>
          <w:bCs/>
          <w:sz w:val="32"/>
          <w:szCs w:val="32"/>
          <w:highlight w:val="none"/>
        </w:rPr>
      </w:pPr>
      <w:r>
        <w:rPr>
          <w:rFonts w:ascii="宋体" w:hAnsi="宋体" w:eastAsia="宋体"/>
          <w:b/>
          <w:bCs/>
          <w:kern w:val="32"/>
          <w:sz w:val="32"/>
        </w:rPr>
        <w:t>项目单位：</w:t>
      </w:r>
      <w:r>
        <w:rPr>
          <w:rFonts w:hint="eastAsia" w:ascii="宋体" w:hAnsi="宋体" w:eastAsia="宋体"/>
          <w:b/>
          <w:bCs/>
          <w:kern w:val="32"/>
          <w:sz w:val="32"/>
          <w:lang w:eastAsia="zh-CN"/>
        </w:rPr>
        <w:t>中共</w:t>
      </w:r>
      <w:r>
        <w:rPr>
          <w:rFonts w:hint="eastAsia" w:ascii="宋体" w:hAnsi="宋体" w:eastAsia="宋体"/>
          <w:b/>
          <w:bCs/>
          <w:kern w:val="32"/>
          <w:sz w:val="32"/>
          <w:highlight w:val="none"/>
        </w:rPr>
        <w:t>武昌区</w:t>
      </w:r>
      <w:r>
        <w:rPr>
          <w:rFonts w:hint="eastAsia" w:ascii="宋体" w:hAnsi="宋体" w:eastAsia="宋体"/>
          <w:b/>
          <w:bCs/>
          <w:kern w:val="32"/>
          <w:sz w:val="32"/>
          <w:highlight w:val="none"/>
          <w:lang w:eastAsia="zh-CN"/>
        </w:rPr>
        <w:t>委员会统一战线工作部</w:t>
      </w:r>
    </w:p>
    <w:p w14:paraId="05F79E26">
      <w:pPr>
        <w:widowControl/>
        <w:spacing w:line="480" w:lineRule="auto"/>
        <w:ind w:firstLine="790" w:firstLineChars="246"/>
        <w:jc w:val="left"/>
        <w:rPr>
          <w:rFonts w:ascii="宋体" w:hAnsi="宋体" w:eastAsia="宋体"/>
          <w:b/>
          <w:bCs/>
          <w:sz w:val="32"/>
          <w:szCs w:val="32"/>
          <w:highlight w:val="none"/>
        </w:rPr>
      </w:pPr>
      <w:r>
        <w:rPr>
          <w:rFonts w:ascii="宋体" w:hAnsi="宋体" w:eastAsia="宋体"/>
          <w:b/>
          <w:bCs/>
          <w:kern w:val="32"/>
          <w:sz w:val="32"/>
          <w:highlight w:val="none"/>
        </w:rPr>
        <w:t>主管部门：</w:t>
      </w:r>
      <w:r>
        <w:rPr>
          <w:rFonts w:hint="eastAsia" w:ascii="宋体" w:hAnsi="宋体" w:eastAsia="宋体"/>
          <w:b/>
          <w:bCs/>
          <w:kern w:val="32"/>
          <w:sz w:val="32"/>
          <w:highlight w:val="none"/>
          <w:lang w:eastAsia="zh-CN"/>
        </w:rPr>
        <w:t>中共</w:t>
      </w:r>
      <w:r>
        <w:rPr>
          <w:rFonts w:hint="eastAsia" w:ascii="宋体" w:hAnsi="宋体" w:eastAsia="宋体"/>
          <w:b/>
          <w:bCs/>
          <w:kern w:val="32"/>
          <w:sz w:val="32"/>
          <w:highlight w:val="none"/>
        </w:rPr>
        <w:t>武昌区</w:t>
      </w:r>
      <w:r>
        <w:rPr>
          <w:rFonts w:hint="eastAsia" w:ascii="宋体" w:hAnsi="宋体" w:eastAsia="宋体"/>
          <w:b/>
          <w:bCs/>
          <w:kern w:val="32"/>
          <w:sz w:val="32"/>
          <w:highlight w:val="none"/>
          <w:lang w:eastAsia="zh-CN"/>
        </w:rPr>
        <w:t>委员会统一战线工作部</w:t>
      </w:r>
    </w:p>
    <w:p w14:paraId="3F155C5A">
      <w:pPr>
        <w:spacing w:line="800" w:lineRule="exact"/>
        <w:ind w:firstLine="0" w:firstLineChars="0"/>
        <w:rPr>
          <w:rFonts w:ascii="宋体" w:hAnsi="宋体" w:eastAsia="宋体"/>
          <w:b/>
          <w:bCs/>
          <w:sz w:val="32"/>
          <w:szCs w:val="32"/>
        </w:rPr>
      </w:pPr>
    </w:p>
    <w:p w14:paraId="52D7100A">
      <w:pPr>
        <w:spacing w:line="800" w:lineRule="exact"/>
        <w:ind w:firstLine="0" w:firstLineChars="0"/>
        <w:jc w:val="center"/>
        <w:rPr>
          <w:rFonts w:ascii="宋体" w:hAnsi="宋体" w:eastAsia="宋体"/>
          <w:b/>
          <w:bCs/>
          <w:sz w:val="32"/>
          <w:szCs w:val="32"/>
        </w:rPr>
      </w:pPr>
      <w:r>
        <w:rPr>
          <w:rFonts w:ascii="宋体" w:hAnsi="宋体" w:eastAsia="宋体"/>
          <w:b/>
          <w:bCs/>
          <w:sz w:val="32"/>
          <w:szCs w:val="32"/>
        </w:rPr>
        <w:t>二〇</w:t>
      </w:r>
      <w:r>
        <w:rPr>
          <w:rFonts w:hint="eastAsia" w:ascii="宋体" w:hAnsi="宋体" w:eastAsia="宋体"/>
          <w:b/>
          <w:bCs/>
          <w:sz w:val="32"/>
          <w:szCs w:val="32"/>
        </w:rPr>
        <w:t>一</w:t>
      </w:r>
      <w:r>
        <w:rPr>
          <w:rFonts w:hint="eastAsia" w:ascii="宋体" w:hAnsi="宋体" w:eastAsia="宋体"/>
          <w:b/>
          <w:bCs/>
          <w:sz w:val="32"/>
          <w:szCs w:val="32"/>
          <w:lang w:eastAsia="zh-CN"/>
        </w:rPr>
        <w:t>九</w:t>
      </w:r>
      <w:r>
        <w:rPr>
          <w:rFonts w:ascii="宋体" w:hAnsi="宋体" w:eastAsia="宋体"/>
          <w:b/>
          <w:bCs/>
          <w:sz w:val="32"/>
          <w:szCs w:val="32"/>
        </w:rPr>
        <w:t>年</w:t>
      </w:r>
      <w:r>
        <w:rPr>
          <w:rFonts w:hint="eastAsia" w:ascii="宋体" w:hAnsi="宋体" w:eastAsia="宋体"/>
          <w:b/>
          <w:bCs/>
          <w:sz w:val="32"/>
          <w:szCs w:val="32"/>
          <w:lang w:eastAsia="zh-CN"/>
        </w:rPr>
        <w:t>五</w:t>
      </w:r>
      <w:r>
        <w:rPr>
          <w:rFonts w:ascii="宋体" w:hAnsi="宋体" w:eastAsia="宋体"/>
          <w:b/>
          <w:bCs/>
          <w:sz w:val="32"/>
          <w:szCs w:val="32"/>
        </w:rPr>
        <w:t>月</w:t>
      </w:r>
    </w:p>
    <w:p w14:paraId="32A05F93">
      <w:pPr>
        <w:spacing w:line="240" w:lineRule="auto"/>
        <w:ind w:firstLine="0" w:firstLineChars="0"/>
        <w:jc w:val="center"/>
        <w:rPr>
          <w:rFonts w:ascii="宋体" w:hAnsi="宋体" w:eastAsia="宋体"/>
          <w:b/>
          <w:bCs/>
          <w:sz w:val="30"/>
          <w:szCs w:val="30"/>
        </w:rPr>
      </w:pPr>
    </w:p>
    <w:p w14:paraId="36E46074">
      <w:pPr>
        <w:ind w:firstLine="0" w:firstLineChars="0"/>
        <w:jc w:val="center"/>
        <w:rPr>
          <w:rFonts w:ascii="宋体" w:hAnsi="宋体" w:eastAsia="宋体" w:cs="Arial Narrow"/>
          <w:b/>
          <w:sz w:val="44"/>
          <w:szCs w:val="44"/>
        </w:rPr>
      </w:pPr>
      <w:r>
        <w:rPr>
          <w:rFonts w:hint="eastAsia" w:ascii="宋体" w:hAnsi="宋体" w:eastAsia="宋体" w:cs="Arial Narrow"/>
          <w:b/>
          <w:sz w:val="44"/>
          <w:szCs w:val="44"/>
        </w:rPr>
        <w:t>摘   要</w:t>
      </w:r>
    </w:p>
    <w:p w14:paraId="7ADF3F11">
      <w:pPr>
        <w:ind w:firstLine="0" w:firstLineChars="0"/>
        <w:jc w:val="center"/>
        <w:rPr>
          <w:rFonts w:ascii="宋体" w:hAnsi="宋体" w:eastAsia="宋体" w:cs="Arial Narrow"/>
          <w:b/>
        </w:rPr>
      </w:pPr>
    </w:p>
    <w:p w14:paraId="0B2C586D">
      <w:pPr>
        <w:pStyle w:val="32"/>
        <w:numPr>
          <w:ilvl w:val="0"/>
          <w:numId w:val="1"/>
        </w:numPr>
        <w:ind w:firstLineChars="0"/>
        <w:jc w:val="left"/>
        <w:rPr>
          <w:rFonts w:ascii="宋体" w:hAnsi="宋体" w:eastAsia="宋体" w:cs="Arial Narrow"/>
          <w:b/>
        </w:rPr>
      </w:pPr>
      <w:r>
        <w:rPr>
          <w:rFonts w:hint="eastAsia" w:ascii="宋体" w:hAnsi="宋体" w:eastAsia="宋体" w:cs="Arial Narrow"/>
          <w:b/>
        </w:rPr>
        <w:t>项目名称：</w:t>
      </w:r>
      <w:r>
        <w:rPr>
          <w:rFonts w:hint="eastAsia" w:ascii="宋体" w:hAnsi="宋体" w:eastAsia="宋体" w:cs="Arial Narrow"/>
          <w:b/>
          <w:lang w:eastAsia="zh-CN"/>
        </w:rPr>
        <w:t>党派</w:t>
      </w:r>
      <w:r>
        <w:rPr>
          <w:rFonts w:hint="eastAsia" w:ascii="宋体" w:hAnsi="宋体" w:eastAsia="宋体" w:cs="Arial Narrow"/>
          <w:b/>
        </w:rPr>
        <w:t>工作</w:t>
      </w:r>
      <w:r>
        <w:rPr>
          <w:rFonts w:hint="eastAsia" w:ascii="宋体" w:hAnsi="宋体" w:eastAsia="宋体" w:cs="Arial Narrow"/>
          <w:b/>
          <w:lang w:eastAsia="zh-CN"/>
        </w:rPr>
        <w:t>经</w:t>
      </w:r>
      <w:r>
        <w:rPr>
          <w:rFonts w:hint="eastAsia" w:ascii="宋体" w:hAnsi="宋体" w:eastAsia="宋体" w:cs="Arial Narrow"/>
          <w:b/>
        </w:rPr>
        <w:t>费</w:t>
      </w:r>
    </w:p>
    <w:p w14:paraId="01D48DB6">
      <w:pPr>
        <w:pStyle w:val="32"/>
        <w:numPr>
          <w:ilvl w:val="0"/>
          <w:numId w:val="1"/>
        </w:numPr>
        <w:ind w:firstLineChars="0"/>
        <w:jc w:val="left"/>
        <w:rPr>
          <w:rFonts w:ascii="宋体" w:hAnsi="宋体" w:eastAsia="宋体" w:cs="Arial Narrow"/>
          <w:b/>
        </w:rPr>
      </w:pPr>
      <w:r>
        <w:rPr>
          <w:rFonts w:hint="eastAsia" w:ascii="宋体" w:hAnsi="宋体" w:eastAsia="宋体" w:cs="Arial Narrow"/>
          <w:b/>
        </w:rPr>
        <w:t>项目金额：</w:t>
      </w:r>
      <w:r>
        <w:rPr>
          <w:rFonts w:hint="eastAsia" w:ascii="宋体" w:hAnsi="宋体" w:eastAsia="宋体" w:cs="Arial Narrow"/>
          <w:b/>
          <w:lang w:val="en-US" w:eastAsia="zh-CN"/>
        </w:rPr>
        <w:t>271.83</w:t>
      </w:r>
      <w:r>
        <w:rPr>
          <w:rFonts w:hint="eastAsia" w:ascii="宋体" w:hAnsi="宋体" w:eastAsia="宋体" w:cs="Arial Narrow"/>
          <w:b/>
        </w:rPr>
        <w:t>.00万元</w:t>
      </w:r>
    </w:p>
    <w:p w14:paraId="69DE70EB">
      <w:pPr>
        <w:ind w:firstLine="0" w:firstLineChars="0"/>
        <w:jc w:val="left"/>
        <w:rPr>
          <w:rFonts w:ascii="宋体" w:hAnsi="宋体" w:eastAsia="宋体" w:cs="Arial Narrow"/>
          <w:b/>
        </w:rPr>
      </w:pPr>
      <w:r>
        <w:rPr>
          <w:rFonts w:hint="eastAsia" w:ascii="宋体" w:hAnsi="宋体" w:eastAsia="宋体" w:cs="Arial Narrow"/>
          <w:b/>
        </w:rPr>
        <w:t>三、</w:t>
      </w:r>
      <w:r>
        <w:rPr>
          <w:rFonts w:ascii="宋体" w:hAnsi="宋体" w:eastAsia="宋体" w:cs="Arial Narrow"/>
          <w:b/>
        </w:rPr>
        <w:t>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D0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14:paraId="2924A8E4">
            <w:pPr>
              <w:ind w:firstLine="480"/>
              <w:rPr>
                <w:rFonts w:ascii="宋体" w:hAnsi="宋体" w:eastAsia="宋体" w:cs="Arial Narrow"/>
              </w:rPr>
            </w:pPr>
            <w:r>
              <w:rPr>
                <w:rFonts w:ascii="宋体" w:hAnsi="宋体" w:eastAsia="宋体" w:cs="Arial Narrow"/>
              </w:rPr>
              <w:t>评价准则</w:t>
            </w:r>
          </w:p>
        </w:tc>
        <w:tc>
          <w:tcPr>
            <w:tcW w:w="2126" w:type="dxa"/>
            <w:tcBorders>
              <w:bottom w:val="single" w:color="008000" w:sz="6" w:space="0"/>
            </w:tcBorders>
            <w:vAlign w:val="center"/>
          </w:tcPr>
          <w:p w14:paraId="00E728D0">
            <w:pPr>
              <w:ind w:firstLine="480"/>
              <w:rPr>
                <w:rFonts w:ascii="宋体" w:hAnsi="宋体" w:eastAsia="宋体" w:cs="Arial Narrow"/>
              </w:rPr>
            </w:pPr>
            <w:r>
              <w:rPr>
                <w:rFonts w:ascii="宋体" w:hAnsi="宋体" w:eastAsia="宋体" w:cs="Arial Narrow"/>
              </w:rPr>
              <w:t>准则分值</w:t>
            </w:r>
          </w:p>
        </w:tc>
        <w:tc>
          <w:tcPr>
            <w:tcW w:w="2268" w:type="dxa"/>
            <w:tcBorders>
              <w:bottom w:val="single" w:color="008000" w:sz="6" w:space="0"/>
            </w:tcBorders>
            <w:vAlign w:val="center"/>
          </w:tcPr>
          <w:p w14:paraId="773B3DAD">
            <w:pPr>
              <w:ind w:left="183" w:firstLine="480"/>
              <w:rPr>
                <w:rFonts w:ascii="宋体" w:hAnsi="宋体" w:eastAsia="宋体" w:cs="Arial Narrow"/>
              </w:rPr>
            </w:pPr>
            <w:r>
              <w:rPr>
                <w:rFonts w:ascii="宋体" w:hAnsi="宋体" w:eastAsia="宋体" w:cs="Arial Narrow"/>
              </w:rPr>
              <w:t>评价得分</w:t>
            </w:r>
          </w:p>
        </w:tc>
        <w:tc>
          <w:tcPr>
            <w:tcW w:w="2126" w:type="dxa"/>
            <w:tcBorders>
              <w:bottom w:val="single" w:color="008000" w:sz="6" w:space="0"/>
            </w:tcBorders>
            <w:vAlign w:val="center"/>
          </w:tcPr>
          <w:p w14:paraId="34E04DB7">
            <w:pPr>
              <w:ind w:firstLine="480"/>
              <w:rPr>
                <w:rFonts w:ascii="宋体" w:hAnsi="宋体" w:eastAsia="宋体" w:cs="Arial Narrow"/>
              </w:rPr>
            </w:pPr>
            <w:r>
              <w:rPr>
                <w:rFonts w:ascii="宋体" w:hAnsi="宋体" w:eastAsia="宋体" w:cs="Arial Narrow"/>
              </w:rPr>
              <w:t>评价等级</w:t>
            </w:r>
          </w:p>
        </w:tc>
      </w:tr>
      <w:tr w14:paraId="2095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7052579F">
            <w:pPr>
              <w:ind w:firstLine="480"/>
              <w:rPr>
                <w:rFonts w:hint="eastAsia" w:ascii="宋体" w:hAnsi="宋体" w:eastAsia="宋体" w:cs="Arial Narrow"/>
                <w:lang w:val="en-US" w:eastAsia="zh-CN"/>
              </w:rPr>
            </w:pPr>
            <w:r>
              <w:rPr>
                <w:rFonts w:ascii="宋体" w:hAnsi="宋体" w:eastAsia="宋体" w:cs="Arial Narrow"/>
              </w:rPr>
              <w:t>项目</w:t>
            </w:r>
            <w:r>
              <w:rPr>
                <w:rFonts w:hint="eastAsia" w:ascii="宋体" w:hAnsi="宋体" w:eastAsia="宋体" w:cs="Arial Narrow"/>
                <w:lang w:eastAsia="zh-CN"/>
              </w:rPr>
              <w:t>投入</w:t>
            </w:r>
          </w:p>
        </w:tc>
        <w:tc>
          <w:tcPr>
            <w:tcW w:w="2126" w:type="dxa"/>
            <w:vAlign w:val="center"/>
          </w:tcPr>
          <w:p w14:paraId="29482A9A">
            <w:pPr>
              <w:ind w:firstLine="720" w:firstLineChars="300"/>
              <w:jc w:val="both"/>
              <w:rPr>
                <w:rFonts w:ascii="宋体" w:hAnsi="宋体" w:eastAsia="宋体" w:cs="Arial Narrow"/>
              </w:rPr>
            </w:pPr>
            <w:r>
              <w:rPr>
                <w:rFonts w:hint="eastAsia" w:ascii="宋体" w:hAnsi="宋体" w:eastAsia="宋体" w:cs="Arial Narrow"/>
                <w:lang w:val="en-US" w:eastAsia="zh-CN"/>
              </w:rPr>
              <w:t>15</w:t>
            </w:r>
            <w:r>
              <w:rPr>
                <w:rFonts w:hint="eastAsia" w:ascii="宋体" w:hAnsi="宋体" w:eastAsia="宋体" w:cs="Arial Narrow"/>
              </w:rPr>
              <w:t>分</w:t>
            </w:r>
          </w:p>
        </w:tc>
        <w:tc>
          <w:tcPr>
            <w:tcW w:w="2268" w:type="dxa"/>
            <w:vAlign w:val="center"/>
          </w:tcPr>
          <w:p w14:paraId="4C06D65F">
            <w:pPr>
              <w:ind w:left="0" w:leftChars="0" w:firstLine="0" w:firstLineChars="0"/>
              <w:jc w:val="center"/>
              <w:rPr>
                <w:rFonts w:ascii="宋体" w:hAnsi="宋体" w:eastAsia="宋体" w:cs="Arial Narrow"/>
                <w:highlight w:val="none"/>
              </w:rPr>
            </w:pPr>
            <w:r>
              <w:rPr>
                <w:rFonts w:hint="eastAsia" w:ascii="宋体" w:hAnsi="宋体" w:eastAsia="宋体" w:cs="Arial Narrow"/>
                <w:highlight w:val="none"/>
              </w:rPr>
              <w:t>1</w:t>
            </w:r>
            <w:r>
              <w:rPr>
                <w:rFonts w:hint="eastAsia" w:ascii="宋体" w:hAnsi="宋体" w:eastAsia="宋体" w:cs="Arial Narrow"/>
                <w:highlight w:val="none"/>
                <w:lang w:val="en-US" w:eastAsia="zh-CN"/>
              </w:rPr>
              <w:t>2</w:t>
            </w:r>
            <w:r>
              <w:rPr>
                <w:rFonts w:ascii="宋体" w:hAnsi="宋体" w:eastAsia="宋体" w:cs="Arial Narrow"/>
                <w:highlight w:val="none"/>
              </w:rPr>
              <w:t>分</w:t>
            </w:r>
          </w:p>
        </w:tc>
        <w:tc>
          <w:tcPr>
            <w:tcW w:w="2126" w:type="dxa"/>
            <w:vAlign w:val="center"/>
          </w:tcPr>
          <w:p w14:paraId="12E632FD">
            <w:pPr>
              <w:ind w:firstLine="0" w:firstLineChars="0"/>
              <w:jc w:val="center"/>
              <w:rPr>
                <w:rFonts w:hint="eastAsia" w:ascii="宋体" w:hAnsi="宋体" w:eastAsia="宋体" w:cs="Arial Narrow"/>
                <w:highlight w:val="none"/>
                <w:lang w:eastAsia="zh-CN"/>
              </w:rPr>
            </w:pPr>
            <w:r>
              <w:rPr>
                <w:rFonts w:hint="eastAsia" w:ascii="宋体" w:hAnsi="宋体" w:eastAsia="宋体" w:cs="Arial Narrow"/>
                <w:highlight w:val="none"/>
                <w:lang w:eastAsia="zh-CN"/>
              </w:rPr>
              <w:t>良</w:t>
            </w:r>
          </w:p>
        </w:tc>
      </w:tr>
      <w:tr w14:paraId="5550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5FDDAA0B">
            <w:pPr>
              <w:ind w:firstLine="480"/>
              <w:rPr>
                <w:rFonts w:hint="eastAsia" w:ascii="宋体" w:hAnsi="宋体" w:eastAsia="宋体" w:cs="Arial Narrow"/>
                <w:lang w:eastAsia="zh-CN"/>
              </w:rPr>
            </w:pPr>
            <w:r>
              <w:rPr>
                <w:rFonts w:ascii="宋体" w:hAnsi="宋体" w:eastAsia="宋体" w:cs="Arial Narrow"/>
              </w:rPr>
              <w:t>项目</w:t>
            </w:r>
            <w:r>
              <w:rPr>
                <w:rFonts w:hint="eastAsia" w:ascii="宋体" w:hAnsi="宋体" w:eastAsia="宋体" w:cs="Arial Narrow"/>
                <w:lang w:eastAsia="zh-CN"/>
              </w:rPr>
              <w:t>过程</w:t>
            </w:r>
          </w:p>
        </w:tc>
        <w:tc>
          <w:tcPr>
            <w:tcW w:w="2126" w:type="dxa"/>
            <w:vAlign w:val="center"/>
          </w:tcPr>
          <w:p w14:paraId="2A3B1120">
            <w:pPr>
              <w:ind w:firstLine="720" w:firstLineChars="300"/>
              <w:jc w:val="both"/>
              <w:rPr>
                <w:rFonts w:ascii="宋体" w:hAnsi="宋体" w:eastAsia="宋体" w:cs="Arial Narrow"/>
              </w:rPr>
            </w:pPr>
            <w:r>
              <w:rPr>
                <w:rFonts w:hint="eastAsia" w:ascii="宋体" w:hAnsi="宋体" w:eastAsia="宋体" w:cs="Arial Narrow"/>
              </w:rPr>
              <w:t>25分</w:t>
            </w:r>
          </w:p>
        </w:tc>
        <w:tc>
          <w:tcPr>
            <w:tcW w:w="2268" w:type="dxa"/>
            <w:vAlign w:val="center"/>
          </w:tcPr>
          <w:p w14:paraId="4D5AF690">
            <w:pPr>
              <w:ind w:left="0" w:leftChars="0" w:firstLine="0" w:firstLineChars="0"/>
              <w:jc w:val="center"/>
              <w:rPr>
                <w:rFonts w:ascii="宋体" w:hAnsi="宋体" w:eastAsia="宋体" w:cs="Arial Narrow"/>
                <w:highlight w:val="none"/>
              </w:rPr>
            </w:pPr>
            <w:r>
              <w:rPr>
                <w:rFonts w:hint="eastAsia" w:ascii="宋体" w:hAnsi="宋体" w:eastAsia="宋体" w:cs="Arial Narrow"/>
                <w:highlight w:val="none"/>
              </w:rPr>
              <w:t>2</w:t>
            </w:r>
            <w:r>
              <w:rPr>
                <w:rFonts w:hint="eastAsia" w:ascii="宋体" w:hAnsi="宋体" w:eastAsia="宋体" w:cs="Arial Narrow"/>
                <w:highlight w:val="none"/>
                <w:lang w:val="en-US" w:eastAsia="zh-CN"/>
              </w:rPr>
              <w:t>1</w:t>
            </w:r>
            <w:r>
              <w:rPr>
                <w:rFonts w:ascii="宋体" w:hAnsi="宋体" w:eastAsia="宋体" w:cs="Arial Narrow"/>
                <w:highlight w:val="none"/>
              </w:rPr>
              <w:t>分</w:t>
            </w:r>
          </w:p>
        </w:tc>
        <w:tc>
          <w:tcPr>
            <w:tcW w:w="2126" w:type="dxa"/>
            <w:vAlign w:val="center"/>
          </w:tcPr>
          <w:p w14:paraId="6E55FC1A">
            <w:pPr>
              <w:ind w:firstLine="0" w:firstLineChars="0"/>
              <w:jc w:val="center"/>
              <w:rPr>
                <w:rFonts w:hint="eastAsia" w:ascii="宋体" w:hAnsi="宋体" w:eastAsia="宋体" w:cs="Arial Narrow"/>
                <w:highlight w:val="none"/>
                <w:lang w:eastAsia="zh-CN"/>
              </w:rPr>
            </w:pPr>
            <w:r>
              <w:rPr>
                <w:rFonts w:hint="eastAsia" w:ascii="宋体" w:hAnsi="宋体" w:eastAsia="宋体" w:cs="Arial Narrow"/>
                <w:highlight w:val="none"/>
                <w:lang w:eastAsia="zh-CN"/>
              </w:rPr>
              <w:t>良</w:t>
            </w:r>
          </w:p>
        </w:tc>
      </w:tr>
      <w:tr w14:paraId="6C9B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57012E92">
            <w:pPr>
              <w:ind w:firstLine="480"/>
              <w:rPr>
                <w:rFonts w:hint="eastAsia" w:ascii="宋体" w:hAnsi="宋体" w:eastAsia="宋体" w:cs="Arial Narrow"/>
                <w:lang w:eastAsia="zh-CN"/>
              </w:rPr>
            </w:pPr>
            <w:r>
              <w:rPr>
                <w:rFonts w:hint="eastAsia" w:ascii="宋体" w:hAnsi="宋体" w:eastAsia="宋体" w:cs="Arial Narrow"/>
                <w:lang w:eastAsia="zh-CN"/>
              </w:rPr>
              <w:t>项目产出</w:t>
            </w:r>
          </w:p>
        </w:tc>
        <w:tc>
          <w:tcPr>
            <w:tcW w:w="2126" w:type="dxa"/>
            <w:vAlign w:val="center"/>
          </w:tcPr>
          <w:p w14:paraId="4612CBB5">
            <w:pPr>
              <w:ind w:firstLine="720" w:firstLineChars="300"/>
              <w:jc w:val="both"/>
              <w:textAlignment w:val="top"/>
              <w:rPr>
                <w:rFonts w:hint="eastAsia" w:ascii="宋体" w:hAnsi="宋体" w:eastAsia="宋体" w:cs="Arial Narrow"/>
                <w:lang w:val="en-US" w:eastAsia="zh-CN"/>
              </w:rPr>
            </w:pPr>
            <w:r>
              <w:rPr>
                <w:rFonts w:hint="eastAsia" w:ascii="宋体" w:hAnsi="宋体" w:eastAsia="宋体" w:cs="Arial Narrow"/>
                <w:lang w:val="en-US" w:eastAsia="zh-CN"/>
              </w:rPr>
              <w:t>25分</w:t>
            </w:r>
          </w:p>
        </w:tc>
        <w:tc>
          <w:tcPr>
            <w:tcW w:w="2268" w:type="dxa"/>
            <w:vAlign w:val="center"/>
          </w:tcPr>
          <w:p w14:paraId="3F86A4EA">
            <w:pPr>
              <w:ind w:left="0" w:leftChars="0" w:firstLine="0" w:firstLineChars="0"/>
              <w:jc w:val="center"/>
              <w:textAlignment w:val="top"/>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24分</w:t>
            </w:r>
          </w:p>
        </w:tc>
        <w:tc>
          <w:tcPr>
            <w:tcW w:w="2126" w:type="dxa"/>
            <w:vAlign w:val="center"/>
          </w:tcPr>
          <w:p w14:paraId="36071066">
            <w:pPr>
              <w:ind w:firstLine="0" w:firstLineChars="0"/>
              <w:jc w:val="center"/>
              <w:rPr>
                <w:rFonts w:hint="eastAsia" w:ascii="宋体" w:hAnsi="宋体" w:eastAsia="宋体" w:cs="Arial Narrow"/>
                <w:highlight w:val="none"/>
              </w:rPr>
            </w:pPr>
            <w:r>
              <w:rPr>
                <w:rFonts w:hint="eastAsia" w:ascii="宋体" w:hAnsi="宋体" w:eastAsia="宋体" w:cs="Arial Narrow"/>
                <w:highlight w:val="none"/>
              </w:rPr>
              <w:t>优</w:t>
            </w:r>
          </w:p>
        </w:tc>
      </w:tr>
      <w:tr w14:paraId="10A7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6A86D123">
            <w:pPr>
              <w:ind w:firstLine="480"/>
              <w:rPr>
                <w:rFonts w:hint="eastAsia" w:ascii="宋体" w:hAnsi="宋体" w:eastAsia="宋体" w:cs="Arial Narrow"/>
                <w:lang w:eastAsia="zh-CN"/>
              </w:rPr>
            </w:pPr>
            <w:r>
              <w:rPr>
                <w:rFonts w:hint="eastAsia" w:ascii="宋体" w:hAnsi="宋体" w:eastAsia="宋体" w:cs="Arial Narrow"/>
                <w:lang w:eastAsia="zh-CN"/>
              </w:rPr>
              <w:t>项目效果</w:t>
            </w:r>
          </w:p>
        </w:tc>
        <w:tc>
          <w:tcPr>
            <w:tcW w:w="2126" w:type="dxa"/>
            <w:vAlign w:val="center"/>
          </w:tcPr>
          <w:p w14:paraId="68F9BA42">
            <w:pPr>
              <w:ind w:firstLine="720" w:firstLineChars="300"/>
              <w:jc w:val="both"/>
              <w:textAlignment w:val="top"/>
              <w:rPr>
                <w:rFonts w:hint="eastAsia" w:ascii="宋体" w:hAnsi="宋体" w:eastAsia="宋体" w:cs="Arial Narrow"/>
                <w:lang w:val="en-US" w:eastAsia="zh-CN"/>
              </w:rPr>
            </w:pPr>
            <w:r>
              <w:rPr>
                <w:rFonts w:hint="eastAsia" w:ascii="宋体" w:hAnsi="宋体" w:eastAsia="宋体" w:cs="Arial Narrow"/>
                <w:lang w:val="en-US" w:eastAsia="zh-CN"/>
              </w:rPr>
              <w:t>35分</w:t>
            </w:r>
          </w:p>
        </w:tc>
        <w:tc>
          <w:tcPr>
            <w:tcW w:w="2268" w:type="dxa"/>
            <w:vAlign w:val="center"/>
          </w:tcPr>
          <w:p w14:paraId="38EF97E9">
            <w:pPr>
              <w:ind w:left="0" w:leftChars="0" w:firstLine="0" w:firstLineChars="0"/>
              <w:jc w:val="center"/>
              <w:textAlignment w:val="top"/>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35分</w:t>
            </w:r>
          </w:p>
        </w:tc>
        <w:tc>
          <w:tcPr>
            <w:tcW w:w="2126" w:type="dxa"/>
            <w:vAlign w:val="center"/>
          </w:tcPr>
          <w:p w14:paraId="13C382DB">
            <w:pPr>
              <w:ind w:firstLine="0" w:firstLineChars="0"/>
              <w:jc w:val="center"/>
              <w:rPr>
                <w:rFonts w:hint="eastAsia" w:ascii="宋体" w:hAnsi="宋体" w:eastAsia="宋体" w:cs="Arial Narrow"/>
                <w:highlight w:val="none"/>
              </w:rPr>
            </w:pPr>
            <w:r>
              <w:rPr>
                <w:rFonts w:hint="eastAsia" w:ascii="宋体" w:hAnsi="宋体" w:eastAsia="宋体" w:cs="Arial Narrow"/>
                <w:highlight w:val="none"/>
              </w:rPr>
              <w:t>优</w:t>
            </w:r>
          </w:p>
        </w:tc>
      </w:tr>
      <w:tr w14:paraId="5C74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14:paraId="17531080">
            <w:pPr>
              <w:ind w:firstLine="480"/>
              <w:rPr>
                <w:rFonts w:ascii="宋体" w:hAnsi="宋体" w:eastAsia="宋体" w:cs="Arial Narrow"/>
              </w:rPr>
            </w:pPr>
            <w:r>
              <w:rPr>
                <w:rFonts w:ascii="宋体" w:hAnsi="宋体" w:eastAsia="宋体" w:cs="Arial Narrow"/>
              </w:rPr>
              <w:t>综合绩效</w:t>
            </w:r>
          </w:p>
        </w:tc>
        <w:tc>
          <w:tcPr>
            <w:tcW w:w="2126" w:type="dxa"/>
            <w:tcBorders>
              <w:top w:val="single" w:color="008000" w:sz="6" w:space="0"/>
            </w:tcBorders>
            <w:vAlign w:val="center"/>
          </w:tcPr>
          <w:p w14:paraId="3633C758">
            <w:pPr>
              <w:ind w:firstLine="720" w:firstLineChars="300"/>
              <w:jc w:val="both"/>
              <w:rPr>
                <w:rFonts w:ascii="宋体" w:hAnsi="宋体" w:eastAsia="宋体" w:cs="Arial Narrow"/>
              </w:rPr>
            </w:pPr>
            <w:r>
              <w:rPr>
                <w:rFonts w:hint="eastAsia" w:ascii="宋体" w:hAnsi="宋体" w:eastAsia="宋体" w:cs="Arial Narrow"/>
              </w:rPr>
              <w:t>100分</w:t>
            </w:r>
          </w:p>
        </w:tc>
        <w:tc>
          <w:tcPr>
            <w:tcW w:w="2268" w:type="dxa"/>
            <w:tcBorders>
              <w:top w:val="single" w:color="008000" w:sz="6" w:space="0"/>
            </w:tcBorders>
            <w:vAlign w:val="center"/>
          </w:tcPr>
          <w:p w14:paraId="1F5B8A62">
            <w:pPr>
              <w:ind w:left="0" w:leftChars="0" w:firstLine="0" w:firstLineChars="0"/>
              <w:jc w:val="center"/>
              <w:rPr>
                <w:rFonts w:ascii="宋体" w:hAnsi="宋体" w:eastAsia="宋体" w:cs="Arial Narrow"/>
                <w:highlight w:val="none"/>
              </w:rPr>
            </w:pPr>
            <w:r>
              <w:rPr>
                <w:rFonts w:hint="eastAsia" w:ascii="宋体" w:hAnsi="宋体" w:eastAsia="宋体" w:cs="Arial Narrow"/>
                <w:highlight w:val="none"/>
              </w:rPr>
              <w:t>9</w:t>
            </w:r>
            <w:r>
              <w:rPr>
                <w:rFonts w:hint="eastAsia" w:ascii="宋体" w:hAnsi="宋体" w:eastAsia="宋体" w:cs="Arial Narrow"/>
                <w:highlight w:val="none"/>
                <w:lang w:val="en-US" w:eastAsia="zh-CN"/>
              </w:rPr>
              <w:t>2</w:t>
            </w:r>
            <w:r>
              <w:rPr>
                <w:rFonts w:ascii="宋体" w:hAnsi="宋体" w:eastAsia="宋体" w:cs="Arial Narrow"/>
                <w:highlight w:val="none"/>
              </w:rPr>
              <w:t>分</w:t>
            </w:r>
          </w:p>
        </w:tc>
        <w:tc>
          <w:tcPr>
            <w:tcW w:w="2126" w:type="dxa"/>
            <w:tcBorders>
              <w:top w:val="single" w:color="008000" w:sz="6" w:space="0"/>
            </w:tcBorders>
            <w:vAlign w:val="center"/>
          </w:tcPr>
          <w:p w14:paraId="5C513FF5">
            <w:pPr>
              <w:ind w:firstLine="0" w:firstLineChars="0"/>
              <w:jc w:val="center"/>
              <w:rPr>
                <w:rFonts w:ascii="宋体" w:hAnsi="宋体" w:eastAsia="宋体" w:cs="Arial Narrow"/>
                <w:highlight w:val="none"/>
              </w:rPr>
            </w:pPr>
            <w:r>
              <w:rPr>
                <w:rFonts w:hint="eastAsia" w:ascii="宋体" w:hAnsi="宋体" w:eastAsia="宋体" w:cs="Arial Narrow"/>
                <w:highlight w:val="none"/>
              </w:rPr>
              <w:t>优</w:t>
            </w:r>
          </w:p>
        </w:tc>
      </w:tr>
    </w:tbl>
    <w:p w14:paraId="5612C8DA">
      <w:pPr>
        <w:spacing w:line="600" w:lineRule="exact"/>
        <w:ind w:firstLine="0" w:firstLineChars="0"/>
        <w:rPr>
          <w:rFonts w:ascii="宋体" w:hAnsi="宋体" w:eastAsia="宋体" w:cs="Arial Narrow"/>
          <w:b/>
        </w:rPr>
      </w:pPr>
      <w:r>
        <w:rPr>
          <w:rFonts w:hint="eastAsia" w:ascii="宋体" w:hAnsi="宋体" w:eastAsia="宋体" w:cs="Arial Narrow"/>
          <w:b/>
        </w:rPr>
        <w:t>四、</w:t>
      </w:r>
      <w:r>
        <w:rPr>
          <w:rFonts w:ascii="宋体" w:hAnsi="宋体" w:eastAsia="宋体" w:cs="Arial Narrow"/>
          <w:b/>
        </w:rPr>
        <w:t>评价工作组</w:t>
      </w:r>
      <w:r>
        <w:rPr>
          <w:rFonts w:hint="eastAsia" w:ascii="宋体" w:hAnsi="宋体" w:eastAsia="宋体" w:cs="Arial Narrow"/>
          <w:b/>
        </w:rPr>
        <w:t>组成名单</w:t>
      </w:r>
    </w:p>
    <w:p w14:paraId="337E2E56">
      <w:pPr>
        <w:spacing w:line="600" w:lineRule="exact"/>
        <w:ind w:firstLine="0" w:firstLineChars="0"/>
        <w:rPr>
          <w:rFonts w:hint="eastAsia" w:ascii="宋体" w:hAnsi="宋体" w:eastAsia="宋体" w:cs="Arial Narrow"/>
          <w:lang w:eastAsia="zh-CN"/>
        </w:rPr>
      </w:pPr>
      <w:r>
        <w:rPr>
          <w:rFonts w:hint="eastAsia" w:ascii="宋体" w:hAnsi="宋体" w:eastAsia="宋体" w:cs="Arial Narrow"/>
        </w:rPr>
        <w:t>评价组负责人：</w:t>
      </w:r>
      <w:r>
        <w:rPr>
          <w:rFonts w:hint="eastAsia" w:ascii="宋体" w:hAnsi="宋体" w:eastAsia="宋体" w:cs="Arial Narrow"/>
          <w:lang w:eastAsia="zh-CN"/>
        </w:rPr>
        <w:t>于淑芳</w:t>
      </w:r>
    </w:p>
    <w:p w14:paraId="1ECDB222">
      <w:pPr>
        <w:spacing w:line="600" w:lineRule="exact"/>
        <w:ind w:firstLine="0" w:firstLineChars="0"/>
        <w:rPr>
          <w:rFonts w:ascii="宋体" w:hAnsi="宋体" w:eastAsia="宋体" w:cs="Arial Narrow"/>
        </w:rPr>
      </w:pPr>
      <w:r>
        <w:rPr>
          <w:rFonts w:hint="eastAsia" w:ascii="宋体" w:hAnsi="宋体" w:eastAsia="宋体" w:cs="Arial Narrow"/>
        </w:rPr>
        <w:t>复核人员：</w:t>
      </w:r>
      <w:r>
        <w:rPr>
          <w:rFonts w:hint="eastAsia" w:ascii="宋体" w:hAnsi="宋体" w:eastAsia="宋体" w:cs="Arial Narrow"/>
          <w:lang w:eastAsia="zh-CN"/>
        </w:rPr>
        <w:t>尹琦</w:t>
      </w:r>
    </w:p>
    <w:p w14:paraId="77730218">
      <w:pPr>
        <w:spacing w:line="600" w:lineRule="exact"/>
        <w:ind w:firstLine="0" w:firstLineChars="0"/>
        <w:rPr>
          <w:rFonts w:ascii="宋体" w:hAnsi="宋体" w:eastAsia="宋体" w:cs="Arial Narrow"/>
        </w:rPr>
      </w:pPr>
      <w:r>
        <w:rPr>
          <w:rFonts w:hint="eastAsia" w:ascii="宋体" w:hAnsi="宋体" w:eastAsia="宋体" w:cs="Arial Narrow"/>
        </w:rPr>
        <w:t>主审人员：</w:t>
      </w:r>
      <w:r>
        <w:rPr>
          <w:rFonts w:hint="eastAsia" w:ascii="宋体" w:hAnsi="宋体" w:eastAsia="宋体" w:cs="Arial Narrow"/>
          <w:lang w:eastAsia="zh-CN"/>
        </w:rPr>
        <w:t>刁慧卿</w:t>
      </w:r>
    </w:p>
    <w:p w14:paraId="503245FF">
      <w:pPr>
        <w:spacing w:line="600" w:lineRule="exact"/>
        <w:ind w:firstLine="0" w:firstLineChars="0"/>
        <w:rPr>
          <w:rFonts w:ascii="宋体" w:hAnsi="宋体" w:eastAsia="宋体" w:cs="Arial Narrow"/>
          <w:b/>
        </w:rPr>
      </w:pPr>
      <w:r>
        <w:rPr>
          <w:rFonts w:hint="eastAsia" w:ascii="宋体" w:hAnsi="宋体" w:eastAsia="宋体" w:cs="Arial Narrow"/>
          <w:b/>
        </w:rPr>
        <w:t>五、主要评价方法概述</w:t>
      </w:r>
    </w:p>
    <w:p w14:paraId="2C567DF0">
      <w:pPr>
        <w:spacing w:line="600" w:lineRule="exact"/>
        <w:ind w:firstLine="480"/>
        <w:rPr>
          <w:rFonts w:ascii="宋体" w:hAnsi="宋体" w:eastAsia="宋体" w:cs="Arial Narrow"/>
          <w:b/>
        </w:rPr>
      </w:pPr>
      <w:r>
        <w:rPr>
          <w:rFonts w:hint="eastAsia" w:ascii="宋体" w:hAnsi="宋体" w:eastAsia="宋体" w:cs="Arial Narrow"/>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14:paraId="2276792B">
      <w:pPr>
        <w:numPr>
          <w:ilvl w:val="0"/>
          <w:numId w:val="2"/>
        </w:numPr>
        <w:spacing w:line="600" w:lineRule="exact"/>
        <w:ind w:firstLine="0" w:firstLineChars="0"/>
        <w:rPr>
          <w:rFonts w:hint="eastAsia" w:ascii="宋体" w:hAnsi="宋体" w:eastAsia="宋体" w:cs="Arial Narrow"/>
          <w:b/>
        </w:rPr>
      </w:pPr>
      <w:r>
        <w:rPr>
          <w:rFonts w:hint="eastAsia" w:ascii="宋体" w:hAnsi="宋体" w:eastAsia="宋体" w:cs="Arial Narrow"/>
          <w:b/>
        </w:rPr>
        <w:t>存在的主要问题概述</w:t>
      </w:r>
    </w:p>
    <w:p w14:paraId="309F1E3D">
      <w:pPr>
        <w:numPr>
          <w:ilvl w:val="0"/>
          <w:numId w:val="0"/>
        </w:numPr>
        <w:spacing w:line="600" w:lineRule="exact"/>
        <w:ind w:firstLine="480" w:firstLineChars="200"/>
        <w:rPr>
          <w:rFonts w:hint="eastAsia" w:ascii="宋体" w:hAnsi="宋体" w:eastAsia="宋体" w:cs="Arial Narrow"/>
          <w:b/>
          <w:highlight w:val="none"/>
          <w:lang w:val="en-US" w:eastAsia="zh-CN"/>
        </w:rPr>
      </w:pPr>
      <w:r>
        <w:rPr>
          <w:rFonts w:hint="eastAsia" w:ascii="宋体" w:hAnsi="宋体" w:eastAsia="宋体" w:cs="Arial Narrow"/>
          <w:b w:val="0"/>
          <w:bCs/>
          <w:lang w:val="en-US" w:eastAsia="zh-CN"/>
        </w:rPr>
        <w:t xml:space="preserve"> 1、项目资金预算的预见性不强，项目年初预算</w:t>
      </w:r>
      <w:r>
        <w:rPr>
          <w:rFonts w:hint="eastAsia" w:ascii="宋体" w:hAnsi="宋体" w:eastAsia="宋体" w:cs="Arial Narrow"/>
          <w:b w:val="0"/>
          <w:bCs/>
          <w:highlight w:val="none"/>
          <w:lang w:val="en-US" w:eastAsia="zh-CN"/>
        </w:rPr>
        <w:t>296.00万元，实际支出经费271.83.16万元，实际支出经费占预算资金的91.83%，预决算差异率8.2%。执行率略低，未能最大限度的发挥财政资金的使用效率。结余的预算资金用于了新增的台湾民主自治同盟武昌区工委的经费。</w:t>
      </w:r>
    </w:p>
    <w:p w14:paraId="204AD446">
      <w:pPr>
        <w:spacing w:line="600" w:lineRule="exact"/>
        <w:ind w:firstLine="480"/>
        <w:rPr>
          <w:rFonts w:hint="eastAsia" w:ascii="宋体" w:hAnsi="宋体" w:eastAsia="宋体" w:cs="Arial Narrow"/>
          <w:b/>
          <w:highlight w:val="none"/>
        </w:rPr>
      </w:pPr>
      <w:r>
        <w:rPr>
          <w:rFonts w:hint="eastAsia" w:ascii="宋体" w:hAnsi="宋体" w:eastAsia="宋体" w:cs="Arial Narrow"/>
          <w:b/>
          <w:highlight w:val="none"/>
          <w:lang w:val="en-US" w:eastAsia="zh-CN"/>
        </w:rPr>
        <w:t xml:space="preserve">    </w:t>
      </w:r>
      <w:r>
        <w:rPr>
          <w:rFonts w:hint="eastAsia" w:ascii="宋体" w:hAnsi="宋体" w:eastAsia="宋体" w:cs="Arial Narrow"/>
          <w:b w:val="0"/>
          <w:bCs/>
          <w:highlight w:val="none"/>
          <w:lang w:val="en-US" w:eastAsia="zh-CN"/>
        </w:rPr>
        <w:t>2、</w:t>
      </w:r>
      <w:r>
        <w:rPr>
          <w:rFonts w:hint="eastAsia" w:ascii="宋体" w:hAnsi="宋体" w:eastAsia="宋体"/>
          <w:highlight w:val="none"/>
          <w:lang w:eastAsia="zh-CN"/>
        </w:rPr>
        <w:t>区统战部</w:t>
      </w:r>
      <w:r>
        <w:rPr>
          <w:rFonts w:hint="eastAsia" w:ascii="宋体" w:hAnsi="宋体" w:eastAsia="宋体"/>
          <w:highlight w:val="none"/>
        </w:rPr>
        <w:t>单位制定了《武昌区委统战部预算管理制度》</w:t>
      </w:r>
      <w:r>
        <w:rPr>
          <w:rFonts w:hint="eastAsia" w:ascii="宋体" w:hAnsi="宋体" w:eastAsia="宋体"/>
          <w:highlight w:val="none"/>
          <w:lang w:eastAsia="zh-CN"/>
        </w:rPr>
        <w:t>、</w:t>
      </w:r>
      <w:r>
        <w:rPr>
          <w:rFonts w:hint="eastAsia" w:ascii="宋体" w:hAnsi="宋体" w:eastAsia="宋体"/>
          <w:highlight w:val="none"/>
        </w:rPr>
        <w:t>《武昌区民主党派工作经费使用管理办法》</w:t>
      </w:r>
      <w:r>
        <w:rPr>
          <w:rFonts w:hint="eastAsia" w:ascii="宋体" w:hAnsi="宋体" w:eastAsia="宋体"/>
          <w:highlight w:val="none"/>
          <w:lang w:eastAsia="zh-CN"/>
        </w:rPr>
        <w:t>和“中共武昌区委员会统一战线工作部</w:t>
      </w:r>
      <w:r>
        <w:rPr>
          <w:rFonts w:hint="eastAsia" w:ascii="宋体" w:hAnsi="宋体" w:eastAsia="宋体"/>
          <w:highlight w:val="none"/>
          <w:lang w:val="en-US" w:eastAsia="zh-CN"/>
        </w:rPr>
        <w:t>2018年部门预算公开说明”</w:t>
      </w:r>
      <w:r>
        <w:rPr>
          <w:rFonts w:hint="eastAsia" w:ascii="宋体" w:hAnsi="宋体" w:eastAsia="宋体"/>
          <w:highlight w:val="none"/>
        </w:rPr>
        <w:t>，但未在管理制度中明确</w:t>
      </w:r>
      <w:r>
        <w:rPr>
          <w:rFonts w:hint="eastAsia" w:ascii="宋体" w:hAnsi="宋体" w:eastAsia="宋体"/>
          <w:highlight w:val="none"/>
          <w:lang w:eastAsia="zh-CN"/>
        </w:rPr>
        <w:t>“统战事务经费”</w:t>
      </w:r>
      <w:r>
        <w:rPr>
          <w:rFonts w:hint="eastAsia" w:ascii="宋体" w:hAnsi="宋体" w:eastAsia="宋体"/>
          <w:highlight w:val="none"/>
        </w:rPr>
        <w:t>资金分配办法</w:t>
      </w:r>
      <w:r>
        <w:rPr>
          <w:rFonts w:hint="eastAsia" w:ascii="宋体" w:hAnsi="宋体" w:eastAsia="宋体"/>
          <w:highlight w:val="none"/>
          <w:lang w:eastAsia="zh-CN"/>
        </w:rPr>
        <w:t>。</w:t>
      </w:r>
    </w:p>
    <w:p w14:paraId="329A836E">
      <w:pPr>
        <w:spacing w:line="600" w:lineRule="exact"/>
        <w:ind w:firstLine="0" w:firstLineChars="0"/>
        <w:rPr>
          <w:rFonts w:hint="eastAsia" w:ascii="宋体" w:hAnsi="宋体" w:eastAsia="宋体" w:cs="Arial Narrow"/>
          <w:b/>
        </w:rPr>
      </w:pPr>
      <w:r>
        <w:rPr>
          <w:rFonts w:hint="eastAsia" w:ascii="宋体" w:hAnsi="宋体" w:eastAsia="宋体" w:cs="Arial Narrow"/>
          <w:b/>
        </w:rPr>
        <w:t>七、管理建议概述</w:t>
      </w:r>
    </w:p>
    <w:p w14:paraId="2F120A5C">
      <w:pPr>
        <w:spacing w:line="600" w:lineRule="exact"/>
        <w:ind w:firstLine="0" w:firstLineChars="0"/>
        <w:rPr>
          <w:rFonts w:hint="eastAsia" w:ascii="宋体" w:hAnsi="宋体" w:eastAsia="宋体" w:cs="Arial Narrow"/>
          <w:b/>
          <w:lang w:val="en-US" w:eastAsia="zh-CN"/>
        </w:rPr>
      </w:pPr>
      <w:r>
        <w:rPr>
          <w:rFonts w:hint="eastAsia" w:ascii="宋体" w:hAnsi="宋体" w:eastAsia="宋体" w:cs="Arial Narrow"/>
          <w:b/>
          <w:lang w:val="en-US" w:eastAsia="zh-CN"/>
        </w:rPr>
        <w:t xml:space="preserve">   </w:t>
      </w:r>
      <w:r>
        <w:rPr>
          <w:rFonts w:hint="eastAsia" w:ascii="宋体" w:hAnsi="宋体" w:eastAsia="宋体" w:cs="Arial Narrow"/>
          <w:b w:val="0"/>
          <w:bCs/>
          <w:lang w:val="en-US" w:eastAsia="zh-CN"/>
        </w:rPr>
        <w:t xml:space="preserve"> 1、提高年初绩效预算的编制质量，结合本次绩效评价的结果，在2019年的预算编制中进一步改进，科学合理的编制绩效预算，提高项目工作的预见性，增强预算的执行效率。</w:t>
      </w:r>
    </w:p>
    <w:p w14:paraId="728262FB">
      <w:pPr>
        <w:spacing w:line="600" w:lineRule="exact"/>
        <w:ind w:firstLine="480" w:firstLineChars="200"/>
        <w:rPr>
          <w:rFonts w:hint="eastAsia" w:ascii="宋体" w:hAnsi="宋体" w:eastAsia="宋体" w:cs="Arial Narrow"/>
          <w:b/>
          <w:highlight w:val="none"/>
          <w:lang w:val="en-US" w:eastAsia="zh-CN"/>
        </w:rPr>
      </w:pPr>
      <w:r>
        <w:rPr>
          <w:rFonts w:hint="eastAsia" w:ascii="宋体" w:hAnsi="宋体" w:eastAsia="宋体" w:cs="Arial Narrow"/>
          <w:b w:val="0"/>
          <w:bCs/>
          <w:highlight w:val="none"/>
          <w:lang w:val="en-US" w:eastAsia="zh-CN"/>
        </w:rPr>
        <w:t>2、“统战事务经费”在年初应制订详细的针对性的预算，便于考核预算完成情况。</w:t>
      </w:r>
    </w:p>
    <w:p w14:paraId="215CC547">
      <w:pPr>
        <w:spacing w:line="600" w:lineRule="exact"/>
        <w:ind w:firstLine="480" w:firstLineChars="200"/>
        <w:rPr>
          <w:rFonts w:ascii="宋体" w:hAnsi="宋体" w:eastAsia="宋体" w:cs="Arial Narrow"/>
          <w:b/>
          <w:sz w:val="32"/>
          <w:szCs w:val="32"/>
          <w:highlight w:val="none"/>
        </w:rPr>
      </w:pPr>
      <w:r>
        <w:rPr>
          <w:rFonts w:hint="eastAsia" w:ascii="宋体" w:hAnsi="宋体" w:eastAsia="宋体" w:cs="Arial Narrow"/>
          <w:b w:val="0"/>
          <w:bCs/>
          <w:highlight w:val="none"/>
          <w:lang w:val="en-US" w:eastAsia="zh-CN"/>
        </w:rPr>
        <w:t>3、</w:t>
      </w:r>
      <w:r>
        <w:rPr>
          <w:rFonts w:hint="eastAsia" w:ascii="宋体" w:hAnsi="宋体" w:eastAsia="宋体" w:cs="Arial Narrow"/>
          <w:highlight w:val="none"/>
        </w:rPr>
        <w:t>根据“</w:t>
      </w:r>
      <w:r>
        <w:rPr>
          <w:rFonts w:hint="eastAsia" w:ascii="宋体" w:hAnsi="宋体" w:eastAsia="宋体" w:cs="Arial Narrow"/>
          <w:highlight w:val="none"/>
          <w:lang w:eastAsia="zh-CN"/>
        </w:rPr>
        <w:t>统战事务经</w:t>
      </w:r>
      <w:r>
        <w:rPr>
          <w:rFonts w:hint="eastAsia" w:ascii="宋体" w:hAnsi="宋体" w:eastAsia="宋体" w:cs="Arial Narrow"/>
          <w:highlight w:val="none"/>
        </w:rPr>
        <w:t>费”</w:t>
      </w:r>
      <w:r>
        <w:rPr>
          <w:rFonts w:hint="eastAsia" w:ascii="宋体" w:hAnsi="宋体" w:eastAsia="宋体" w:cs="Arial Narrow"/>
          <w:highlight w:val="none"/>
          <w:lang w:eastAsia="zh-CN"/>
        </w:rPr>
        <w:t>项目</w:t>
      </w:r>
      <w:r>
        <w:rPr>
          <w:rFonts w:hint="eastAsia" w:ascii="宋体" w:hAnsi="宋体" w:eastAsia="宋体" w:cs="Arial Narrow"/>
          <w:highlight w:val="none"/>
        </w:rPr>
        <w:t>的内容和性质制定</w:t>
      </w:r>
      <w:r>
        <w:rPr>
          <w:rFonts w:hint="eastAsia" w:ascii="宋体" w:hAnsi="宋体" w:eastAsia="宋体" w:cs="Arial Narrow"/>
          <w:highlight w:val="none"/>
          <w:lang w:eastAsia="zh-CN"/>
        </w:rPr>
        <w:t>项目具体的资金</w:t>
      </w:r>
      <w:r>
        <w:rPr>
          <w:rFonts w:hint="eastAsia" w:ascii="宋体" w:hAnsi="宋体" w:eastAsia="宋体" w:cs="Arial Narrow"/>
          <w:highlight w:val="none"/>
        </w:rPr>
        <w:t>管理制度</w:t>
      </w:r>
      <w:r>
        <w:rPr>
          <w:rFonts w:hint="eastAsia" w:ascii="宋体" w:hAnsi="宋体" w:eastAsia="宋体" w:cs="Arial Narrow"/>
          <w:highlight w:val="none"/>
          <w:lang w:eastAsia="zh-CN"/>
        </w:rPr>
        <w:t>及项目资金的分配办法，</w:t>
      </w:r>
      <w:r>
        <w:rPr>
          <w:rFonts w:hint="eastAsia" w:ascii="宋体" w:hAnsi="宋体" w:eastAsia="宋体" w:cs="Arial Narrow"/>
          <w:highlight w:val="none"/>
        </w:rPr>
        <w:t>有利于今后项目的管理和执行。</w:t>
      </w:r>
      <w:r>
        <w:rPr>
          <w:rFonts w:ascii="宋体" w:hAnsi="宋体" w:eastAsia="宋体" w:cs="Arial Narrow"/>
          <w:b/>
          <w:sz w:val="32"/>
          <w:szCs w:val="32"/>
          <w:highlight w:val="none"/>
        </w:rPr>
        <w:br w:type="page"/>
      </w:r>
    </w:p>
    <w:p w14:paraId="1ED9917D">
      <w:pPr>
        <w:widowControl/>
        <w:spacing w:line="600" w:lineRule="exact"/>
        <w:ind w:firstLine="0" w:firstLineChars="0"/>
        <w:jc w:val="left"/>
        <w:rPr>
          <w:rFonts w:ascii="宋体" w:hAnsi="宋体" w:eastAsia="宋体" w:cs="Arial Narrow"/>
          <w:b/>
          <w:sz w:val="32"/>
          <w:szCs w:val="32"/>
          <w:highlight w:val="none"/>
        </w:rPr>
      </w:pPr>
    </w:p>
    <w:p w14:paraId="3DAB7677">
      <w:pPr>
        <w:spacing w:line="600" w:lineRule="exact"/>
        <w:ind w:firstLine="0" w:firstLineChars="0"/>
        <w:jc w:val="center"/>
        <w:rPr>
          <w:rFonts w:ascii="宋体" w:hAnsi="宋体" w:eastAsia="宋体" w:cs="Arial Narrow"/>
          <w:b/>
          <w:sz w:val="32"/>
          <w:szCs w:val="32"/>
          <w:highlight w:val="none"/>
        </w:rPr>
      </w:pPr>
    </w:p>
    <w:p w14:paraId="32FC6B8B">
      <w:pPr>
        <w:spacing w:line="600" w:lineRule="exact"/>
        <w:ind w:firstLine="0" w:firstLineChars="0"/>
        <w:jc w:val="center"/>
        <w:rPr>
          <w:rFonts w:ascii="宋体" w:hAnsi="宋体" w:eastAsia="宋体" w:cs="Arial Narrow"/>
          <w:b/>
          <w:sz w:val="32"/>
          <w:szCs w:val="32"/>
          <w:highlight w:val="none"/>
        </w:rPr>
      </w:pPr>
      <w:r>
        <w:rPr>
          <w:rFonts w:ascii="宋体" w:hAnsi="宋体" w:eastAsia="宋体" w:cs="Arial Narrow"/>
          <w:b/>
          <w:sz w:val="32"/>
          <w:szCs w:val="32"/>
          <w:highlight w:val="none"/>
        </w:rPr>
        <w:t>目  录</w:t>
      </w:r>
    </w:p>
    <w:p w14:paraId="3A50B343">
      <w:pPr>
        <w:spacing w:line="600" w:lineRule="exact"/>
        <w:ind w:firstLine="0" w:firstLineChars="0"/>
        <w:jc w:val="center"/>
        <w:rPr>
          <w:rFonts w:ascii="宋体" w:hAnsi="宋体" w:eastAsia="宋体" w:cs="Arial Narrow"/>
          <w:b/>
          <w:sz w:val="32"/>
          <w:szCs w:val="32"/>
          <w:highlight w:val="none"/>
        </w:rPr>
      </w:pPr>
    </w:p>
    <w:p w14:paraId="4CDFB1D5">
      <w:pPr>
        <w:pStyle w:val="14"/>
        <w:tabs>
          <w:tab w:val="right" w:leader="dot" w:pos="8693"/>
        </w:tabs>
        <w:spacing w:line="600" w:lineRule="exact"/>
        <w:ind w:firstLine="560"/>
        <w:rPr>
          <w:rFonts w:ascii="宋体" w:hAnsi="宋体" w:eastAsia="宋体" w:cs="黑体"/>
          <w:b w:val="0"/>
          <w:bCs w:val="0"/>
          <w:caps w:val="0"/>
          <w:sz w:val="21"/>
          <w:szCs w:val="22"/>
        </w:rPr>
      </w:pPr>
      <w:r>
        <w:rPr>
          <w:rFonts w:hint="eastAsia" w:ascii="宋体" w:hAnsi="宋体" w:eastAsia="宋体" w:cs="Arial Narrow"/>
          <w:b w:val="0"/>
          <w:szCs w:val="24"/>
        </w:rPr>
        <w:fldChar w:fldCharType="begin"/>
      </w:r>
      <w:r>
        <w:rPr>
          <w:rFonts w:hint="eastAsia" w:ascii="宋体" w:hAnsi="宋体" w:eastAsia="宋体" w:cs="Arial Narrow"/>
          <w:b w:val="0"/>
          <w:szCs w:val="24"/>
        </w:rPr>
        <w:instrText xml:space="preserve"> TOC \o "1-4" \h \z \u </w:instrText>
      </w:r>
      <w:r>
        <w:rPr>
          <w:rFonts w:hint="eastAsia" w:ascii="宋体" w:hAnsi="宋体" w:eastAsia="宋体" w:cs="Arial Narrow"/>
          <w:b w:val="0"/>
          <w:szCs w:val="24"/>
        </w:rPr>
        <w:fldChar w:fldCharType="separate"/>
      </w:r>
      <w:r>
        <w:fldChar w:fldCharType="begin"/>
      </w:r>
      <w:r>
        <w:instrText xml:space="preserve"> HYPERLINK \l "_Toc478396448" </w:instrText>
      </w:r>
      <w:r>
        <w:fldChar w:fldCharType="separate"/>
      </w:r>
      <w:r>
        <w:rPr>
          <w:rStyle w:val="26"/>
          <w:rFonts w:hint="eastAsia" w:ascii="宋体" w:hAnsi="宋体" w:eastAsia="宋体" w:cs="Arial Narrow"/>
          <w:b w:val="0"/>
        </w:rPr>
        <w:t>前  言</w:t>
      </w:r>
      <w:r>
        <w:rPr>
          <w:rFonts w:hint="eastAsia" w:ascii="宋体" w:hAnsi="宋体" w:eastAsia="宋体"/>
          <w:b w:val="0"/>
        </w:rPr>
        <w:tab/>
      </w:r>
      <w:r>
        <w:rPr>
          <w:rFonts w:hint="eastAsia" w:ascii="宋体" w:hAnsi="宋体" w:eastAsia="宋体"/>
          <w:b w:val="0"/>
        </w:rPr>
        <w:fldChar w:fldCharType="begin"/>
      </w:r>
      <w:r>
        <w:rPr>
          <w:rFonts w:hint="eastAsia" w:ascii="宋体" w:hAnsi="宋体" w:eastAsia="宋体"/>
          <w:b w:val="0"/>
        </w:rPr>
        <w:instrText xml:space="preserve"> PAGEREF _Toc478396448 \h </w:instrText>
      </w:r>
      <w:r>
        <w:rPr>
          <w:rFonts w:hint="eastAsia" w:ascii="宋体" w:hAnsi="宋体" w:eastAsia="宋体"/>
          <w:b w:val="0"/>
        </w:rPr>
        <w:fldChar w:fldCharType="separate"/>
      </w:r>
      <w:r>
        <w:rPr>
          <w:rFonts w:hint="eastAsia" w:ascii="宋体" w:hAnsi="宋体" w:eastAsia="宋体"/>
          <w:b w:val="0"/>
        </w:rPr>
        <w:t>1</w:t>
      </w:r>
      <w:r>
        <w:rPr>
          <w:rFonts w:hint="eastAsia" w:ascii="宋体" w:hAnsi="宋体" w:eastAsia="宋体"/>
          <w:b w:val="0"/>
        </w:rPr>
        <w:fldChar w:fldCharType="end"/>
      </w:r>
      <w:r>
        <w:rPr>
          <w:rFonts w:hint="eastAsia" w:ascii="宋体" w:hAnsi="宋体" w:eastAsia="宋体"/>
          <w:b w:val="0"/>
        </w:rPr>
        <w:fldChar w:fldCharType="end"/>
      </w:r>
    </w:p>
    <w:p w14:paraId="792139DE">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"_Toc478396449" </w:instrText>
      </w:r>
      <w:r>
        <w:fldChar w:fldCharType="separate"/>
      </w:r>
      <w:r>
        <w:rPr>
          <w:rStyle w:val="26"/>
          <w:rFonts w:hint="eastAsia" w:ascii="宋体" w:hAnsi="宋体" w:eastAsia="宋体" w:cs="Arial Narrow"/>
          <w:b w:val="0"/>
        </w:rPr>
        <w:t>一、项目基本情况</w:t>
      </w:r>
      <w:r>
        <w:rPr>
          <w:rFonts w:hint="eastAsia" w:ascii="宋体" w:hAnsi="宋体" w:eastAsia="宋体"/>
          <w:b w:val="0"/>
        </w:rPr>
        <w:tab/>
      </w:r>
      <w:r>
        <w:rPr>
          <w:rFonts w:hint="eastAsia" w:ascii="宋体" w:hAnsi="宋体" w:eastAsia="宋体"/>
          <w:b w:val="0"/>
        </w:rPr>
        <w:fldChar w:fldCharType="begin"/>
      </w:r>
      <w:r>
        <w:rPr>
          <w:rFonts w:hint="eastAsia" w:ascii="宋体" w:hAnsi="宋体" w:eastAsia="宋体"/>
          <w:b w:val="0"/>
        </w:rPr>
        <w:instrText xml:space="preserve"> PAGEREF _Toc478396449 \h </w:instrText>
      </w:r>
      <w:r>
        <w:rPr>
          <w:rFonts w:hint="eastAsia" w:ascii="宋体" w:hAnsi="宋体" w:eastAsia="宋体"/>
          <w:b w:val="0"/>
        </w:rPr>
        <w:fldChar w:fldCharType="separate"/>
      </w:r>
      <w:r>
        <w:rPr>
          <w:rFonts w:hint="eastAsia" w:ascii="宋体" w:hAnsi="宋体" w:eastAsia="宋体"/>
          <w:b w:val="0"/>
        </w:rPr>
        <w:t>2</w:t>
      </w:r>
      <w:r>
        <w:rPr>
          <w:rFonts w:hint="eastAsia" w:ascii="宋体" w:hAnsi="宋体" w:eastAsia="宋体"/>
          <w:b w:val="0"/>
        </w:rPr>
        <w:fldChar w:fldCharType="end"/>
      </w:r>
      <w:r>
        <w:rPr>
          <w:rFonts w:hint="eastAsia" w:ascii="宋体" w:hAnsi="宋体" w:eastAsia="宋体"/>
          <w:b w:val="0"/>
        </w:rPr>
        <w:fldChar w:fldCharType="end"/>
      </w:r>
    </w:p>
    <w:p w14:paraId="7C964444">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"_Toc478396450" </w:instrText>
      </w:r>
      <w:r>
        <w:fldChar w:fldCharType="separate"/>
      </w:r>
      <w:r>
        <w:rPr>
          <w:rStyle w:val="26"/>
          <w:rFonts w:hint="eastAsia" w:ascii="宋体" w:hAnsi="宋体" w:eastAsia="宋体" w:cs="Arial Narrow"/>
          <w:bCs/>
        </w:rPr>
        <w:t>（一）项目概况</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PAGEREF _Toc478396450 \h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22806B14">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"_Toc478396451" </w:instrText>
      </w:r>
      <w:r>
        <w:fldChar w:fldCharType="separate"/>
      </w:r>
      <w:r>
        <w:rPr>
          <w:rStyle w:val="26"/>
          <w:rFonts w:hint="eastAsia" w:ascii="宋体" w:hAnsi="宋体" w:eastAsia="宋体" w:cs="Arial Narrow"/>
          <w:bCs/>
        </w:rPr>
        <w:t>（二）项目绩效目标</w:t>
      </w:r>
      <w:r>
        <w:rPr>
          <w:rFonts w:hint="eastAsia" w:ascii="宋体" w:hAnsi="宋体" w:eastAsia="宋体"/>
        </w:rPr>
        <w:tab/>
      </w:r>
      <w:r>
        <w:rPr>
          <w:rFonts w:hint="eastAsia" w:ascii="宋体" w:hAnsi="宋体" w:eastAsia="宋体"/>
          <w:lang w:val="en-US" w:eastAsia="zh-CN"/>
        </w:rPr>
        <w:t>7</w:t>
      </w:r>
      <w:r>
        <w:rPr>
          <w:rFonts w:hint="eastAsia" w:ascii="宋体" w:hAnsi="宋体" w:eastAsia="宋体"/>
        </w:rPr>
        <w:fldChar w:fldCharType="end"/>
      </w:r>
    </w:p>
    <w:p w14:paraId="7E7AE4B0">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"_Toc478396452" </w:instrText>
      </w:r>
      <w:r>
        <w:fldChar w:fldCharType="separate"/>
      </w:r>
      <w:r>
        <w:rPr>
          <w:rStyle w:val="26"/>
          <w:rFonts w:hint="eastAsia" w:ascii="宋体" w:hAnsi="宋体" w:eastAsia="宋体" w:cs="Arial Narrow"/>
          <w:b w:val="0"/>
        </w:rPr>
        <w:t>二、绩效评价工作情况</w:t>
      </w:r>
      <w:r>
        <w:rPr>
          <w:rFonts w:hint="eastAsia" w:ascii="宋体" w:hAnsi="宋体" w:eastAsia="宋体"/>
          <w:b w:val="0"/>
        </w:rPr>
        <w:tab/>
      </w:r>
      <w:r>
        <w:rPr>
          <w:rFonts w:hint="eastAsia" w:ascii="宋体" w:hAnsi="宋体" w:eastAsia="宋体"/>
          <w:b w:val="0"/>
          <w:lang w:val="en-US" w:eastAsia="zh-CN"/>
        </w:rPr>
        <w:t>8</w:t>
      </w:r>
      <w:r>
        <w:rPr>
          <w:rFonts w:hint="eastAsia" w:ascii="宋体" w:hAnsi="宋体" w:eastAsia="宋体"/>
          <w:b w:val="0"/>
        </w:rPr>
        <w:fldChar w:fldCharType="end"/>
      </w:r>
    </w:p>
    <w:p w14:paraId="3D2622D2">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"_Toc478396453" </w:instrText>
      </w:r>
      <w:r>
        <w:fldChar w:fldCharType="separate"/>
      </w:r>
      <w:r>
        <w:rPr>
          <w:rStyle w:val="26"/>
          <w:rFonts w:hint="eastAsia" w:ascii="宋体" w:hAnsi="宋体" w:eastAsia="宋体" w:cs="Arial Narrow"/>
          <w:bCs/>
        </w:rPr>
        <w:t>（一）绩效评价目的</w:t>
      </w:r>
      <w:r>
        <w:rPr>
          <w:rFonts w:hint="eastAsia" w:ascii="宋体" w:hAnsi="宋体" w:eastAsia="宋体"/>
        </w:rPr>
        <w:tab/>
      </w:r>
      <w:r>
        <w:rPr>
          <w:rFonts w:hint="eastAsia" w:ascii="宋体" w:hAnsi="宋体" w:eastAsia="宋体"/>
          <w:lang w:val="en-US" w:eastAsia="zh-CN"/>
        </w:rPr>
        <w:t>8</w:t>
      </w:r>
      <w:r>
        <w:rPr>
          <w:rFonts w:hint="eastAsia" w:ascii="宋体" w:hAnsi="宋体" w:eastAsia="宋体"/>
        </w:rPr>
        <w:fldChar w:fldCharType="end"/>
      </w:r>
    </w:p>
    <w:p w14:paraId="404E82AA">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"_Toc478396454" </w:instrText>
      </w:r>
      <w:r>
        <w:fldChar w:fldCharType="separate"/>
      </w:r>
      <w:r>
        <w:rPr>
          <w:rStyle w:val="26"/>
          <w:rFonts w:hint="eastAsia" w:ascii="宋体" w:hAnsi="宋体" w:eastAsia="宋体" w:cs="Arial Narrow"/>
          <w:bCs/>
        </w:rPr>
        <w:t>（二）绩效评价工作过程</w:t>
      </w:r>
      <w:r>
        <w:rPr>
          <w:rFonts w:hint="eastAsia" w:ascii="宋体" w:hAnsi="宋体" w:eastAsia="宋体"/>
        </w:rPr>
        <w:tab/>
      </w:r>
      <w:r>
        <w:rPr>
          <w:rFonts w:hint="eastAsia" w:ascii="宋体" w:hAnsi="宋体" w:eastAsia="宋体"/>
          <w:lang w:val="en-US" w:eastAsia="zh-CN"/>
        </w:rPr>
        <w:t>9</w:t>
      </w:r>
      <w:r>
        <w:rPr>
          <w:rFonts w:hint="eastAsia" w:ascii="宋体" w:hAnsi="宋体" w:eastAsia="宋体"/>
        </w:rPr>
        <w:fldChar w:fldCharType="end"/>
      </w:r>
    </w:p>
    <w:p w14:paraId="19C7395D">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"_Toc478396455" </w:instrText>
      </w:r>
      <w:r>
        <w:fldChar w:fldCharType="separate"/>
      </w:r>
      <w:r>
        <w:rPr>
          <w:rStyle w:val="26"/>
          <w:rFonts w:hint="eastAsia" w:ascii="宋体" w:hAnsi="宋体" w:eastAsia="宋体" w:cs="Arial Narrow"/>
        </w:rPr>
        <w:t>（三）绩效评价框架</w:t>
      </w:r>
      <w:r>
        <w:rPr>
          <w:rFonts w:hint="eastAsia" w:ascii="宋体" w:hAnsi="宋体" w:eastAsia="宋体"/>
        </w:rPr>
        <w:tab/>
      </w:r>
      <w:r>
        <w:rPr>
          <w:rFonts w:hint="eastAsia" w:ascii="宋体" w:hAnsi="宋体" w:eastAsia="宋体"/>
          <w:lang w:val="en-US" w:eastAsia="zh-CN"/>
        </w:rPr>
        <w:t>9</w:t>
      </w:r>
      <w:r>
        <w:rPr>
          <w:rFonts w:hint="eastAsia" w:ascii="宋体" w:hAnsi="宋体" w:eastAsia="宋体"/>
        </w:rPr>
        <w:fldChar w:fldCharType="end"/>
      </w:r>
    </w:p>
    <w:p w14:paraId="00FF294A">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"_Toc478396456" </w:instrText>
      </w:r>
      <w:r>
        <w:fldChar w:fldCharType="separate"/>
      </w:r>
      <w:r>
        <w:rPr>
          <w:rStyle w:val="26"/>
          <w:rFonts w:hint="eastAsia" w:ascii="宋体" w:hAnsi="宋体" w:eastAsia="宋体" w:cs="Arial Narrow"/>
        </w:rPr>
        <w:t>（四）证据收集方式</w:t>
      </w:r>
      <w:r>
        <w:rPr>
          <w:rFonts w:hint="eastAsia" w:ascii="宋体" w:hAnsi="宋体" w:eastAsia="宋体"/>
        </w:rPr>
        <w:tab/>
      </w:r>
      <w:r>
        <w:rPr>
          <w:rFonts w:hint="eastAsia" w:ascii="宋体" w:hAnsi="宋体" w:eastAsia="宋体"/>
          <w:lang w:val="en-US" w:eastAsia="zh-CN"/>
        </w:rPr>
        <w:t>1</w:t>
      </w:r>
      <w:r>
        <w:rPr>
          <w:rFonts w:hint="eastAsia" w:ascii="宋体" w:hAnsi="宋体" w:eastAsia="宋体"/>
        </w:rPr>
        <w:fldChar w:fldCharType="end"/>
      </w:r>
      <w:r>
        <w:rPr>
          <w:rFonts w:hint="eastAsia" w:ascii="宋体" w:hAnsi="宋体" w:eastAsia="宋体"/>
          <w:lang w:val="en-US" w:eastAsia="zh-CN"/>
        </w:rPr>
        <w:t>5</w:t>
      </w:r>
    </w:p>
    <w:p w14:paraId="6E5FAFFA">
      <w:pPr>
        <w:pStyle w:val="14"/>
        <w:tabs>
          <w:tab w:val="right" w:leader="dot" w:pos="8693"/>
        </w:tabs>
        <w:spacing w:line="600" w:lineRule="exact"/>
        <w:ind w:firstLine="562"/>
        <w:rPr>
          <w:rFonts w:hint="eastAsia" w:ascii="宋体" w:hAnsi="宋体" w:eastAsia="宋体" w:cs="黑体"/>
          <w:b w:val="0"/>
          <w:bCs w:val="0"/>
          <w:caps w:val="0"/>
          <w:sz w:val="21"/>
          <w:szCs w:val="22"/>
          <w:lang w:val="en-US" w:eastAsia="zh-CN"/>
        </w:rPr>
      </w:pPr>
      <w:r>
        <w:fldChar w:fldCharType="begin"/>
      </w:r>
      <w:r>
        <w:instrText xml:space="preserve"> HYPERLINK \l "_Toc478396457" </w:instrText>
      </w:r>
      <w:r>
        <w:fldChar w:fldCharType="separate"/>
      </w:r>
      <w:r>
        <w:rPr>
          <w:rStyle w:val="26"/>
          <w:rFonts w:hint="eastAsia" w:ascii="宋体" w:hAnsi="宋体" w:eastAsia="宋体" w:cs="Arial Narrow"/>
          <w:b w:val="0"/>
        </w:rPr>
        <w:t>三、绩效分析</w:t>
      </w:r>
      <w:r>
        <w:rPr>
          <w:rFonts w:hint="eastAsia" w:ascii="宋体" w:hAnsi="宋体" w:eastAsia="宋体"/>
          <w:b w:val="0"/>
        </w:rPr>
        <w:tab/>
      </w:r>
      <w:r>
        <w:rPr>
          <w:rFonts w:hint="eastAsia" w:ascii="宋体" w:hAnsi="宋体" w:eastAsia="宋体"/>
          <w:b w:val="0"/>
          <w:lang w:val="en-US" w:eastAsia="zh-CN"/>
        </w:rPr>
        <w:t>1</w:t>
      </w:r>
      <w:r>
        <w:rPr>
          <w:rFonts w:hint="eastAsia" w:ascii="宋体" w:hAnsi="宋体" w:eastAsia="宋体"/>
          <w:b w:val="0"/>
        </w:rPr>
        <w:fldChar w:fldCharType="end"/>
      </w:r>
      <w:r>
        <w:rPr>
          <w:rFonts w:hint="eastAsia" w:ascii="宋体" w:hAnsi="宋体" w:eastAsia="宋体"/>
          <w:b w:val="0"/>
          <w:lang w:val="en-US" w:eastAsia="zh-CN"/>
        </w:rPr>
        <w:t>5</w:t>
      </w:r>
    </w:p>
    <w:p w14:paraId="699AB817">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"_Toc478396458" </w:instrText>
      </w:r>
      <w:r>
        <w:fldChar w:fldCharType="separate"/>
      </w:r>
      <w:r>
        <w:rPr>
          <w:rStyle w:val="26"/>
          <w:rFonts w:hint="eastAsia" w:ascii="宋体" w:hAnsi="宋体" w:eastAsia="宋体"/>
        </w:rPr>
        <w:t>（一）</w:t>
      </w:r>
      <w:r>
        <w:rPr>
          <w:rStyle w:val="26"/>
          <w:rFonts w:hint="eastAsia" w:ascii="宋体" w:hAnsi="宋体" w:eastAsia="宋体"/>
          <w:lang w:eastAsia="zh-CN"/>
        </w:rPr>
        <w:t>项目投入</w:t>
      </w:r>
      <w:r>
        <w:rPr>
          <w:rStyle w:val="26"/>
          <w:rFonts w:hint="eastAsia" w:ascii="宋体" w:hAnsi="宋体" w:eastAsia="宋体"/>
        </w:rPr>
        <w:t>（</w:t>
      </w:r>
      <w:r>
        <w:rPr>
          <w:rStyle w:val="26"/>
          <w:rFonts w:hint="eastAsia" w:ascii="宋体" w:hAnsi="宋体" w:eastAsia="宋体"/>
          <w:lang w:val="en-US" w:eastAsia="zh-CN"/>
        </w:rPr>
        <w:t>15</w:t>
      </w:r>
      <w:r>
        <w:rPr>
          <w:rStyle w:val="26"/>
          <w:rFonts w:hint="eastAsia" w:ascii="宋体" w:hAnsi="宋体" w:eastAsia="宋体"/>
        </w:rPr>
        <w:t>分）</w:t>
      </w:r>
      <w:r>
        <w:rPr>
          <w:rFonts w:hint="eastAsia" w:ascii="宋体" w:hAnsi="宋体" w:eastAsia="宋体"/>
        </w:rPr>
        <w:tab/>
      </w:r>
      <w:r>
        <w:rPr>
          <w:rFonts w:hint="eastAsia" w:ascii="宋体" w:hAnsi="宋体" w:eastAsia="宋体"/>
          <w:lang w:val="en-US" w:eastAsia="zh-CN"/>
        </w:rPr>
        <w:t>1</w:t>
      </w:r>
      <w:r>
        <w:rPr>
          <w:rFonts w:hint="eastAsia" w:ascii="宋体" w:hAnsi="宋体" w:eastAsia="宋体"/>
        </w:rPr>
        <w:fldChar w:fldCharType="end"/>
      </w:r>
      <w:r>
        <w:rPr>
          <w:rFonts w:hint="eastAsia" w:ascii="宋体" w:hAnsi="宋体" w:eastAsia="宋体"/>
          <w:lang w:val="en-US" w:eastAsia="zh-CN"/>
        </w:rPr>
        <w:t>5</w:t>
      </w:r>
    </w:p>
    <w:p w14:paraId="2CA3B2FC">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"_Toc478396459" </w:instrText>
      </w:r>
      <w:r>
        <w:fldChar w:fldCharType="separate"/>
      </w:r>
      <w:r>
        <w:rPr>
          <w:rStyle w:val="26"/>
          <w:rFonts w:hint="eastAsia" w:ascii="宋体" w:hAnsi="宋体" w:eastAsia="宋体"/>
        </w:rPr>
        <w:t>（二）项目</w:t>
      </w:r>
      <w:r>
        <w:rPr>
          <w:rStyle w:val="26"/>
          <w:rFonts w:hint="eastAsia" w:ascii="宋体" w:hAnsi="宋体" w:eastAsia="宋体"/>
          <w:lang w:eastAsia="zh-CN"/>
        </w:rPr>
        <w:t>过程</w:t>
      </w:r>
      <w:r>
        <w:rPr>
          <w:rStyle w:val="26"/>
          <w:rFonts w:hint="eastAsia" w:ascii="宋体" w:hAnsi="宋体" w:eastAsia="宋体"/>
        </w:rPr>
        <w:t>（25分）</w:t>
      </w:r>
      <w:r>
        <w:rPr>
          <w:rFonts w:hint="eastAsia" w:ascii="宋体" w:hAnsi="宋体" w:eastAsia="宋体"/>
        </w:rPr>
        <w:tab/>
      </w:r>
      <w:r>
        <w:rPr>
          <w:rFonts w:hint="eastAsia" w:ascii="宋体" w:hAnsi="宋体" w:eastAsia="宋体"/>
          <w:lang w:val="en-US" w:eastAsia="zh-CN"/>
        </w:rPr>
        <w:t>1</w:t>
      </w:r>
      <w:r>
        <w:rPr>
          <w:rFonts w:hint="eastAsia" w:ascii="宋体" w:hAnsi="宋体" w:eastAsia="宋体"/>
        </w:rPr>
        <w:fldChar w:fldCharType="end"/>
      </w:r>
      <w:r>
        <w:rPr>
          <w:rFonts w:hint="eastAsia" w:ascii="宋体" w:hAnsi="宋体" w:eastAsia="宋体"/>
          <w:lang w:val="en-US" w:eastAsia="zh-CN"/>
        </w:rPr>
        <w:t>6</w:t>
      </w:r>
    </w:p>
    <w:p w14:paraId="22D6C5FD">
      <w:pPr>
        <w:pStyle w:val="17"/>
        <w:tabs>
          <w:tab w:val="right" w:leader="dot" w:pos="8693"/>
        </w:tabs>
        <w:spacing w:line="600" w:lineRule="exact"/>
        <w:ind w:firstLine="560"/>
        <w:rPr>
          <w:rFonts w:hint="eastAsia" w:ascii="宋体" w:hAnsi="宋体" w:eastAsia="宋体"/>
          <w:lang w:val="en-US" w:eastAsia="zh-CN"/>
        </w:rPr>
      </w:pPr>
      <w:r>
        <w:fldChar w:fldCharType="begin"/>
      </w:r>
      <w:r>
        <w:instrText xml:space="preserve"> HYPERLINK \l "_Toc478396460" </w:instrText>
      </w:r>
      <w:r>
        <w:fldChar w:fldCharType="separate"/>
      </w:r>
      <w:r>
        <w:rPr>
          <w:rStyle w:val="26"/>
          <w:rFonts w:hint="eastAsia" w:ascii="宋体" w:hAnsi="宋体" w:eastAsia="宋体"/>
        </w:rPr>
        <w:t>（三）项目</w:t>
      </w:r>
      <w:r>
        <w:rPr>
          <w:rStyle w:val="26"/>
          <w:rFonts w:hint="eastAsia" w:ascii="宋体" w:hAnsi="宋体" w:eastAsia="宋体"/>
          <w:lang w:eastAsia="zh-CN"/>
        </w:rPr>
        <w:t>产出</w:t>
      </w:r>
      <w:r>
        <w:rPr>
          <w:rStyle w:val="26"/>
          <w:rFonts w:hint="eastAsia" w:ascii="宋体" w:hAnsi="宋体" w:eastAsia="宋体"/>
        </w:rPr>
        <w:t>（</w:t>
      </w:r>
      <w:r>
        <w:rPr>
          <w:rStyle w:val="26"/>
          <w:rFonts w:hint="eastAsia" w:ascii="宋体" w:hAnsi="宋体" w:eastAsia="宋体"/>
          <w:lang w:val="en-US" w:eastAsia="zh-CN"/>
        </w:rPr>
        <w:t>2</w:t>
      </w:r>
      <w:r>
        <w:rPr>
          <w:rStyle w:val="26"/>
          <w:rFonts w:hint="eastAsia" w:ascii="宋体" w:hAnsi="宋体" w:eastAsia="宋体"/>
        </w:rPr>
        <w:t>5分）</w:t>
      </w:r>
      <w:r>
        <w:rPr>
          <w:rFonts w:hint="eastAsia" w:ascii="宋体" w:hAnsi="宋体" w:eastAsia="宋体"/>
        </w:rPr>
        <w:tab/>
      </w:r>
      <w:r>
        <w:rPr>
          <w:rFonts w:hint="eastAsia" w:ascii="宋体" w:hAnsi="宋体" w:eastAsia="宋体"/>
          <w:lang w:val="en-US" w:eastAsia="zh-CN"/>
        </w:rPr>
        <w:t>1</w:t>
      </w:r>
      <w:r>
        <w:rPr>
          <w:rFonts w:hint="eastAsia" w:ascii="宋体" w:hAnsi="宋体" w:eastAsia="宋体"/>
        </w:rPr>
        <w:fldChar w:fldCharType="end"/>
      </w:r>
      <w:r>
        <w:rPr>
          <w:rFonts w:hint="eastAsia" w:ascii="宋体" w:hAnsi="宋体" w:eastAsia="宋体"/>
          <w:lang w:val="en-US" w:eastAsia="zh-CN"/>
        </w:rPr>
        <w:t>7</w:t>
      </w:r>
    </w:p>
    <w:p w14:paraId="753CE4A5">
      <w:pPr>
        <w:pStyle w:val="17"/>
        <w:tabs>
          <w:tab w:val="right" w:leader="dot" w:pos="8693"/>
        </w:tabs>
        <w:spacing w:line="600" w:lineRule="exact"/>
        <w:ind w:firstLine="560"/>
        <w:rPr>
          <w:rFonts w:hint="eastAsia" w:eastAsia="宋体"/>
          <w:lang w:val="en-US" w:eastAsia="zh-CN"/>
        </w:rPr>
      </w:pPr>
      <w:r>
        <w:fldChar w:fldCharType="begin"/>
      </w:r>
      <w:r>
        <w:instrText xml:space="preserve"> HYPERLINK \l "_Toc478396460" </w:instrText>
      </w:r>
      <w:r>
        <w:fldChar w:fldCharType="separate"/>
      </w:r>
      <w:r>
        <w:rPr>
          <w:rStyle w:val="26"/>
          <w:rFonts w:hint="eastAsia" w:ascii="宋体" w:hAnsi="宋体" w:eastAsia="宋体"/>
        </w:rPr>
        <w:t>（</w:t>
      </w:r>
      <w:r>
        <w:rPr>
          <w:rStyle w:val="26"/>
          <w:rFonts w:hint="eastAsia" w:ascii="宋体" w:hAnsi="宋体" w:eastAsia="宋体"/>
          <w:lang w:eastAsia="zh-CN"/>
        </w:rPr>
        <w:t>四</w:t>
      </w:r>
      <w:r>
        <w:rPr>
          <w:rStyle w:val="26"/>
          <w:rFonts w:hint="eastAsia" w:ascii="宋体" w:hAnsi="宋体" w:eastAsia="宋体"/>
        </w:rPr>
        <w:t>）项目</w:t>
      </w:r>
      <w:r>
        <w:rPr>
          <w:rStyle w:val="26"/>
          <w:rFonts w:hint="eastAsia" w:ascii="宋体" w:hAnsi="宋体" w:eastAsia="宋体"/>
          <w:lang w:eastAsia="zh-CN"/>
        </w:rPr>
        <w:t>效果</w:t>
      </w:r>
      <w:r>
        <w:rPr>
          <w:rStyle w:val="26"/>
          <w:rFonts w:hint="eastAsia" w:ascii="宋体" w:hAnsi="宋体" w:eastAsia="宋体"/>
        </w:rPr>
        <w:t>（</w:t>
      </w:r>
      <w:r>
        <w:rPr>
          <w:rStyle w:val="26"/>
          <w:rFonts w:hint="eastAsia" w:ascii="宋体" w:hAnsi="宋体" w:eastAsia="宋体"/>
          <w:lang w:val="en-US" w:eastAsia="zh-CN"/>
        </w:rPr>
        <w:t>3</w:t>
      </w:r>
      <w:r>
        <w:rPr>
          <w:rStyle w:val="26"/>
          <w:rFonts w:hint="eastAsia" w:ascii="宋体" w:hAnsi="宋体" w:eastAsia="宋体"/>
        </w:rPr>
        <w:t>5分）</w:t>
      </w:r>
      <w:r>
        <w:rPr>
          <w:rFonts w:hint="eastAsia" w:ascii="宋体" w:hAnsi="宋体" w:eastAsia="宋体"/>
        </w:rPr>
        <w:tab/>
      </w:r>
      <w:r>
        <w:rPr>
          <w:rFonts w:hint="eastAsia" w:ascii="宋体" w:hAnsi="宋体" w:eastAsia="宋体"/>
          <w:lang w:val="en-US" w:eastAsia="zh-CN"/>
        </w:rPr>
        <w:t>1</w:t>
      </w:r>
      <w:r>
        <w:rPr>
          <w:rFonts w:hint="eastAsia" w:ascii="宋体" w:hAnsi="宋体" w:eastAsia="宋体"/>
        </w:rPr>
        <w:fldChar w:fldCharType="end"/>
      </w:r>
      <w:r>
        <w:rPr>
          <w:rFonts w:hint="eastAsia" w:ascii="宋体" w:hAnsi="宋体" w:eastAsia="宋体"/>
          <w:lang w:val="en-US" w:eastAsia="zh-CN"/>
        </w:rPr>
        <w:t>9</w:t>
      </w:r>
    </w:p>
    <w:p w14:paraId="1B8FEA8A">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"_Toc478396461" </w:instrText>
      </w:r>
      <w:r>
        <w:fldChar w:fldCharType="separate"/>
      </w:r>
      <w:r>
        <w:rPr>
          <w:rStyle w:val="26"/>
          <w:rFonts w:hint="eastAsia" w:ascii="宋体" w:hAnsi="宋体" w:eastAsia="宋体" w:cs="Arial Narrow"/>
          <w:b w:val="0"/>
        </w:rPr>
        <w:t>四、评价结论</w:t>
      </w:r>
      <w:r>
        <w:rPr>
          <w:rFonts w:hint="eastAsia" w:ascii="宋体" w:hAnsi="宋体" w:eastAsia="宋体"/>
          <w:b w:val="0"/>
        </w:rPr>
        <w:tab/>
      </w:r>
      <w:r>
        <w:rPr>
          <w:rFonts w:hint="eastAsia" w:ascii="宋体" w:hAnsi="宋体" w:eastAsia="宋体"/>
          <w:b w:val="0"/>
          <w:lang w:val="en-US" w:eastAsia="zh-CN"/>
        </w:rPr>
        <w:t>2</w:t>
      </w:r>
      <w:r>
        <w:rPr>
          <w:rFonts w:hint="eastAsia" w:ascii="宋体" w:hAnsi="宋体" w:eastAsia="宋体"/>
          <w:b w:val="0"/>
        </w:rPr>
        <w:fldChar w:fldCharType="end"/>
      </w:r>
      <w:r>
        <w:rPr>
          <w:rFonts w:hint="eastAsia" w:ascii="宋体" w:hAnsi="宋体" w:eastAsia="宋体"/>
          <w:b w:val="0"/>
          <w:lang w:val="en-US" w:eastAsia="zh-CN"/>
        </w:rPr>
        <w:t>0</w:t>
      </w:r>
    </w:p>
    <w:p w14:paraId="2DB7C91F">
      <w:pPr>
        <w:pStyle w:val="14"/>
        <w:tabs>
          <w:tab w:val="right" w:leader="dot" w:pos="8693"/>
        </w:tabs>
        <w:spacing w:line="600" w:lineRule="exact"/>
        <w:ind w:firstLine="562"/>
        <w:rPr>
          <w:rFonts w:hint="eastAsia" w:ascii="宋体" w:hAnsi="宋体" w:eastAsia="宋体" w:cs="黑体"/>
          <w:b w:val="0"/>
          <w:bCs w:val="0"/>
          <w:caps w:val="0"/>
          <w:sz w:val="21"/>
          <w:szCs w:val="22"/>
          <w:lang w:val="en-US" w:eastAsia="zh-CN"/>
        </w:rPr>
      </w:pPr>
      <w:r>
        <w:fldChar w:fldCharType="begin"/>
      </w:r>
      <w:r>
        <w:instrText xml:space="preserve"> HYPERLINK \l "_Toc478396462" </w:instrText>
      </w:r>
      <w:r>
        <w:fldChar w:fldCharType="separate"/>
      </w:r>
      <w:r>
        <w:rPr>
          <w:rStyle w:val="26"/>
          <w:rFonts w:hint="eastAsia" w:ascii="宋体" w:hAnsi="宋体" w:eastAsia="宋体" w:cs="Arial Narrow"/>
          <w:b w:val="0"/>
        </w:rPr>
        <w:t>五、主要经验及做法、存在的问题和建议</w:t>
      </w:r>
      <w:r>
        <w:rPr>
          <w:rFonts w:hint="eastAsia" w:ascii="宋体" w:hAnsi="宋体" w:eastAsia="宋体"/>
          <w:b w:val="0"/>
        </w:rPr>
        <w:tab/>
      </w:r>
      <w:r>
        <w:rPr>
          <w:rFonts w:hint="eastAsia" w:ascii="宋体" w:hAnsi="宋体" w:eastAsia="宋体"/>
          <w:b w:val="0"/>
          <w:lang w:val="en-US" w:eastAsia="zh-CN"/>
        </w:rPr>
        <w:t>2</w:t>
      </w:r>
      <w:r>
        <w:rPr>
          <w:rFonts w:hint="eastAsia" w:ascii="宋体" w:hAnsi="宋体" w:eastAsia="宋体"/>
          <w:b w:val="0"/>
        </w:rPr>
        <w:fldChar w:fldCharType="end"/>
      </w:r>
      <w:r>
        <w:rPr>
          <w:rFonts w:hint="eastAsia" w:ascii="宋体" w:hAnsi="宋体" w:eastAsia="宋体"/>
          <w:b w:val="0"/>
          <w:lang w:val="en-US" w:eastAsia="zh-CN"/>
        </w:rPr>
        <w:t>1</w:t>
      </w:r>
    </w:p>
    <w:p w14:paraId="14033D50">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"_Toc478396463" </w:instrText>
      </w:r>
      <w:r>
        <w:fldChar w:fldCharType="separate"/>
      </w:r>
      <w:r>
        <w:rPr>
          <w:rStyle w:val="26"/>
          <w:rFonts w:hint="eastAsia" w:ascii="宋体" w:hAnsi="宋体" w:eastAsia="宋体" w:cs="Arial Narrow"/>
          <w:bCs/>
        </w:rPr>
        <w:t>（一）主要经验及做法</w:t>
      </w:r>
      <w:r>
        <w:rPr>
          <w:rFonts w:hint="eastAsia" w:ascii="宋体" w:hAnsi="宋体" w:eastAsia="宋体"/>
        </w:rPr>
        <w:tab/>
      </w:r>
      <w:r>
        <w:rPr>
          <w:rFonts w:hint="eastAsia" w:ascii="宋体" w:hAnsi="宋体" w:eastAsia="宋体"/>
          <w:lang w:val="en-US" w:eastAsia="zh-CN"/>
        </w:rPr>
        <w:t>2</w:t>
      </w:r>
      <w:r>
        <w:rPr>
          <w:rFonts w:hint="eastAsia" w:ascii="宋体" w:hAnsi="宋体" w:eastAsia="宋体"/>
        </w:rPr>
        <w:fldChar w:fldCharType="end"/>
      </w:r>
      <w:r>
        <w:rPr>
          <w:rFonts w:hint="eastAsia" w:ascii="宋体" w:hAnsi="宋体" w:eastAsia="宋体"/>
          <w:lang w:val="en-US" w:eastAsia="zh-CN"/>
        </w:rPr>
        <w:t>1</w:t>
      </w:r>
    </w:p>
    <w:p w14:paraId="72A6856E">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"_Toc478396464" </w:instrText>
      </w:r>
      <w:r>
        <w:fldChar w:fldCharType="separate"/>
      </w:r>
      <w:r>
        <w:rPr>
          <w:rStyle w:val="26"/>
          <w:rFonts w:hint="eastAsia" w:ascii="宋体" w:hAnsi="宋体" w:eastAsia="宋体" w:cs="Arial Narrow"/>
          <w:bCs/>
        </w:rPr>
        <w:t>（二）存在的问题</w:t>
      </w:r>
      <w:r>
        <w:rPr>
          <w:rFonts w:hint="eastAsia" w:ascii="宋体" w:hAnsi="宋体" w:eastAsia="宋体"/>
        </w:rPr>
        <w:tab/>
      </w:r>
      <w:r>
        <w:rPr>
          <w:rFonts w:hint="eastAsia" w:ascii="宋体" w:hAnsi="宋体" w:eastAsia="宋体"/>
          <w:lang w:val="en-US" w:eastAsia="zh-CN"/>
        </w:rPr>
        <w:t>2</w:t>
      </w:r>
      <w:r>
        <w:rPr>
          <w:rFonts w:hint="eastAsia" w:ascii="宋体" w:hAnsi="宋体" w:eastAsia="宋体"/>
        </w:rPr>
        <w:fldChar w:fldCharType="end"/>
      </w:r>
      <w:r>
        <w:rPr>
          <w:rFonts w:hint="eastAsia" w:ascii="宋体" w:hAnsi="宋体" w:eastAsia="宋体"/>
          <w:lang w:val="en-US" w:eastAsia="zh-CN"/>
        </w:rPr>
        <w:t>1</w:t>
      </w:r>
    </w:p>
    <w:p w14:paraId="5CC1647D">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"_Toc478396465" </w:instrText>
      </w:r>
      <w:r>
        <w:fldChar w:fldCharType="separate"/>
      </w:r>
      <w:r>
        <w:rPr>
          <w:rStyle w:val="26"/>
          <w:rFonts w:hint="eastAsia" w:ascii="宋体" w:hAnsi="宋体" w:eastAsia="宋体" w:cs="Arial Narrow"/>
          <w:bCs/>
        </w:rPr>
        <w:t>（三）建议</w:t>
      </w:r>
      <w:r>
        <w:rPr>
          <w:rFonts w:hint="eastAsia" w:ascii="宋体" w:hAnsi="宋体" w:eastAsia="宋体"/>
        </w:rPr>
        <w:tab/>
      </w:r>
      <w:r>
        <w:rPr>
          <w:rFonts w:hint="eastAsia" w:ascii="宋体" w:hAnsi="宋体" w:eastAsia="宋体"/>
          <w:lang w:val="en-US" w:eastAsia="zh-CN"/>
        </w:rPr>
        <w:t>2</w:t>
      </w:r>
      <w:r>
        <w:rPr>
          <w:rFonts w:hint="eastAsia" w:ascii="宋体" w:hAnsi="宋体" w:eastAsia="宋体"/>
        </w:rPr>
        <w:fldChar w:fldCharType="end"/>
      </w:r>
      <w:r>
        <w:rPr>
          <w:rFonts w:hint="eastAsia" w:ascii="宋体" w:hAnsi="宋体" w:eastAsia="宋体"/>
          <w:lang w:val="en-US" w:eastAsia="zh-CN"/>
        </w:rPr>
        <w:t>1</w:t>
      </w:r>
    </w:p>
    <w:p w14:paraId="4E7D1E31">
      <w:pPr>
        <w:pStyle w:val="14"/>
        <w:tabs>
          <w:tab w:val="right" w:leader="dot" w:pos="8693"/>
        </w:tabs>
        <w:spacing w:line="600" w:lineRule="exact"/>
        <w:ind w:firstLine="562"/>
        <w:rPr>
          <w:rFonts w:hint="eastAsia" w:ascii="宋体" w:hAnsi="宋体" w:eastAsia="宋体" w:cs="黑体"/>
          <w:b w:val="0"/>
          <w:bCs w:val="0"/>
          <w:caps w:val="0"/>
          <w:sz w:val="21"/>
          <w:szCs w:val="22"/>
          <w:lang w:val="en-US" w:eastAsia="zh-CN"/>
        </w:rPr>
      </w:pPr>
      <w:r>
        <w:fldChar w:fldCharType="begin"/>
      </w:r>
      <w:r>
        <w:instrText xml:space="preserve"> HYPERLINK \l "_Toc478396466" </w:instrText>
      </w:r>
      <w:r>
        <w:fldChar w:fldCharType="separate"/>
      </w:r>
      <w:r>
        <w:rPr>
          <w:rStyle w:val="26"/>
          <w:rFonts w:hint="eastAsia" w:ascii="宋体" w:hAnsi="宋体" w:eastAsia="宋体" w:cs="Arial Narrow"/>
          <w:b w:val="0"/>
        </w:rPr>
        <w:t>六、其他需说明的问题</w:t>
      </w:r>
      <w:r>
        <w:rPr>
          <w:rFonts w:hint="eastAsia" w:ascii="宋体" w:hAnsi="宋体" w:eastAsia="宋体"/>
          <w:b w:val="0"/>
        </w:rPr>
        <w:tab/>
      </w:r>
      <w:r>
        <w:rPr>
          <w:rFonts w:hint="eastAsia" w:ascii="宋体" w:hAnsi="宋体" w:eastAsia="宋体"/>
          <w:b w:val="0"/>
          <w:lang w:val="en-US" w:eastAsia="zh-CN"/>
        </w:rPr>
        <w:t>2</w:t>
      </w:r>
      <w:r>
        <w:rPr>
          <w:rFonts w:hint="eastAsia" w:ascii="宋体" w:hAnsi="宋体" w:eastAsia="宋体"/>
          <w:b w:val="0"/>
        </w:rPr>
        <w:fldChar w:fldCharType="end"/>
      </w:r>
      <w:r>
        <w:rPr>
          <w:rFonts w:hint="eastAsia" w:ascii="宋体" w:hAnsi="宋体" w:eastAsia="宋体"/>
          <w:b w:val="0"/>
          <w:lang w:val="en-US" w:eastAsia="zh-CN"/>
        </w:rPr>
        <w:t>2</w:t>
      </w:r>
    </w:p>
    <w:p w14:paraId="589BB53C">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"_Toc478396467" </w:instrText>
      </w:r>
      <w:r>
        <w:fldChar w:fldCharType="separate"/>
      </w:r>
      <w:r>
        <w:rPr>
          <w:rStyle w:val="26"/>
          <w:rFonts w:hint="eastAsia" w:ascii="宋体" w:hAnsi="宋体" w:eastAsia="宋体" w:cs="Arial Narrow"/>
        </w:rPr>
        <w:t>（一）关于评价责任的说明</w:t>
      </w:r>
      <w:r>
        <w:rPr>
          <w:rFonts w:hint="eastAsia" w:ascii="宋体" w:hAnsi="宋体" w:eastAsia="宋体"/>
        </w:rPr>
        <w:tab/>
      </w:r>
      <w:r>
        <w:rPr>
          <w:rFonts w:hint="eastAsia" w:ascii="宋体" w:hAnsi="宋体" w:eastAsia="宋体"/>
          <w:lang w:val="en-US" w:eastAsia="zh-CN"/>
        </w:rPr>
        <w:t>2</w:t>
      </w:r>
      <w:r>
        <w:rPr>
          <w:rFonts w:hint="eastAsia" w:ascii="宋体" w:hAnsi="宋体" w:eastAsia="宋体"/>
        </w:rPr>
        <w:fldChar w:fldCharType="end"/>
      </w:r>
      <w:r>
        <w:rPr>
          <w:rFonts w:hint="eastAsia" w:ascii="宋体" w:hAnsi="宋体" w:eastAsia="宋体"/>
          <w:lang w:val="en-US" w:eastAsia="zh-CN"/>
        </w:rPr>
        <w:t>2</w:t>
      </w:r>
    </w:p>
    <w:p w14:paraId="5A8B682D">
      <w:pPr>
        <w:pStyle w:val="17"/>
        <w:tabs>
          <w:tab w:val="right" w:leader="dot" w:pos="8693"/>
        </w:tabs>
        <w:spacing w:line="600" w:lineRule="exact"/>
        <w:ind w:firstLine="560"/>
        <w:rPr>
          <w:rFonts w:hint="eastAsia" w:ascii="宋体" w:hAnsi="宋体" w:eastAsia="宋体" w:cs="黑体"/>
          <w:smallCaps w:val="0"/>
          <w:sz w:val="21"/>
          <w:szCs w:val="22"/>
          <w:lang w:val="en-US" w:eastAsia="zh-CN"/>
        </w:rPr>
      </w:pPr>
      <w:r>
        <w:fldChar w:fldCharType="begin"/>
      </w:r>
      <w:r>
        <w:instrText xml:space="preserve"> HYPERLINK \l "_Toc478396468" </w:instrText>
      </w:r>
      <w:r>
        <w:fldChar w:fldCharType="separate"/>
      </w:r>
      <w:r>
        <w:rPr>
          <w:rStyle w:val="26"/>
          <w:rFonts w:hint="eastAsia" w:ascii="宋体" w:hAnsi="宋体" w:eastAsia="宋体" w:cs="Arial Narrow"/>
        </w:rPr>
        <w:t>（二）关于本项目评价中存在的局限性的说明</w:t>
      </w:r>
      <w:r>
        <w:rPr>
          <w:rFonts w:hint="eastAsia" w:ascii="宋体" w:hAnsi="宋体" w:eastAsia="宋体"/>
        </w:rPr>
        <w:tab/>
      </w:r>
      <w:r>
        <w:rPr>
          <w:rFonts w:hint="eastAsia" w:ascii="宋体" w:hAnsi="宋体" w:eastAsia="宋体"/>
          <w:lang w:val="en-US" w:eastAsia="zh-CN"/>
        </w:rPr>
        <w:t>2</w:t>
      </w:r>
      <w:r>
        <w:rPr>
          <w:rFonts w:hint="eastAsia" w:ascii="宋体" w:hAnsi="宋体" w:eastAsia="宋体"/>
        </w:rPr>
        <w:fldChar w:fldCharType="end"/>
      </w:r>
      <w:r>
        <w:rPr>
          <w:rFonts w:hint="eastAsia" w:ascii="宋体" w:hAnsi="宋体" w:eastAsia="宋体"/>
          <w:lang w:val="en-US" w:eastAsia="zh-CN"/>
        </w:rPr>
        <w:t>2</w:t>
      </w:r>
    </w:p>
    <w:p w14:paraId="1E917ACF">
      <w:pPr>
        <w:adjustRightInd w:val="0"/>
        <w:snapToGrid w:val="0"/>
        <w:spacing w:line="600" w:lineRule="exact"/>
        <w:ind w:firstLine="0" w:firstLineChars="0"/>
        <w:jc w:val="left"/>
        <w:rPr>
          <w:rFonts w:ascii="宋体" w:hAnsi="宋体" w:eastAsia="宋体" w:cs="Arial Narrow"/>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850" w:right="1871" w:bottom="1089" w:left="1871" w:header="1361" w:footer="992" w:gutter="0"/>
          <w:pgNumType w:start="0"/>
          <w:cols w:space="720" w:num="1"/>
          <w:rtlGutter w:val="0"/>
          <w:docGrid w:type="lines" w:linePitch="408" w:charSpace="0"/>
        </w:sectPr>
      </w:pPr>
      <w:r>
        <w:rPr>
          <w:rFonts w:hint="eastAsia" w:ascii="宋体" w:hAnsi="宋体" w:eastAsia="宋体" w:cs="Arial Narrow"/>
          <w:sz w:val="28"/>
        </w:rPr>
        <w:fldChar w:fldCharType="end"/>
      </w:r>
    </w:p>
    <w:p w14:paraId="10598FA5">
      <w:pPr>
        <w:snapToGrid w:val="0"/>
        <w:spacing w:line="600" w:lineRule="exact"/>
        <w:ind w:firstLine="0" w:firstLineChars="0"/>
        <w:jc w:val="center"/>
        <w:outlineLvl w:val="0"/>
        <w:rPr>
          <w:rFonts w:ascii="宋体" w:hAnsi="宋体" w:eastAsia="宋体" w:cs="Arial Narrow"/>
          <w:b/>
          <w:sz w:val="32"/>
          <w:szCs w:val="32"/>
        </w:rPr>
      </w:pPr>
      <w:bookmarkStart w:id="0" w:name="_Toc406666351"/>
      <w:bookmarkStart w:id="1" w:name="_Toc406668024"/>
      <w:bookmarkStart w:id="2" w:name="_Toc478396448"/>
      <w:r>
        <w:rPr>
          <w:rFonts w:ascii="宋体" w:hAnsi="宋体" w:eastAsia="宋体" w:cs="Arial Narrow"/>
          <w:b/>
          <w:sz w:val="32"/>
          <w:szCs w:val="32"/>
        </w:rPr>
        <w:t>前言</w:t>
      </w:r>
      <w:bookmarkEnd w:id="0"/>
      <w:bookmarkEnd w:id="1"/>
      <w:bookmarkEnd w:id="2"/>
    </w:p>
    <w:p w14:paraId="20A483CE">
      <w:pPr>
        <w:snapToGrid w:val="0"/>
        <w:spacing w:line="600" w:lineRule="exact"/>
        <w:ind w:firstLine="482"/>
        <w:jc w:val="left"/>
        <w:rPr>
          <w:rFonts w:ascii="宋体" w:hAnsi="宋体" w:eastAsia="宋体" w:cs="Arial Narrow"/>
          <w:b/>
        </w:rPr>
      </w:pPr>
      <w:r>
        <w:rPr>
          <w:rFonts w:hint="eastAsia" w:ascii="宋体" w:hAnsi="宋体" w:eastAsia="宋体" w:cs="Arial Narrow"/>
          <w:b/>
        </w:rPr>
        <w:t>开展绩效评价的背景</w:t>
      </w:r>
    </w:p>
    <w:p w14:paraId="7FBCF8CD">
      <w:pPr>
        <w:snapToGrid w:val="0"/>
        <w:spacing w:line="600" w:lineRule="exact"/>
        <w:ind w:firstLine="480"/>
        <w:jc w:val="left"/>
        <w:rPr>
          <w:rFonts w:ascii="宋体" w:hAnsi="宋体" w:eastAsia="宋体" w:cs="Arial Narrow"/>
        </w:rPr>
      </w:pPr>
      <w:r>
        <w:rPr>
          <w:rFonts w:hint="eastAsia" w:ascii="宋体" w:hAnsi="宋体" w:eastAsia="宋体" w:cs="Arial Narrow"/>
        </w:rPr>
        <w:t>财政支出绩效评价是指财政部门和预算部门（单位）根据设定的绩效目标，运用科学、合理的绩效评价指标、评价标准和评价方法，对财政支出的经济性、效率性和效益性进行客观、公正的评价。</w:t>
      </w:r>
    </w:p>
    <w:p w14:paraId="4B6BC460">
      <w:pPr>
        <w:snapToGrid w:val="0"/>
        <w:spacing w:line="600" w:lineRule="exact"/>
        <w:ind w:firstLine="480"/>
        <w:jc w:val="left"/>
        <w:rPr>
          <w:rFonts w:ascii="宋体" w:hAnsi="宋体" w:eastAsia="宋体" w:cs="Arial Narrow"/>
        </w:rPr>
      </w:pPr>
      <w:r>
        <w:rPr>
          <w:rFonts w:hint="eastAsia" w:ascii="宋体" w:hAnsi="宋体" w:eastAsia="宋体" w:cs="Arial Narrow"/>
        </w:rPr>
        <w:t xml:space="preserve">为加强财政支出管理，强化支出责任，建立科学、合理的财政支出绩效评价管理体系，提高财政资金使用效益，根据《中华人民共和国预算法》等国家有关规定，财政部出台了《财政支出绩效评价管理暂行办法》（财预〔2011〕285号）、湖北省财政厅印发《湖北省财政项目资金绩效评价操作指南》的通知（鄂财函[2014]376号）、市政府印发《关于推进预算绩效管理的意见》(武政[2013]95号)、市财政局印发《武汉市预算绩效管理工作方案(2014-2015年)》（武财绩[2014]218号）等有关法律法规和制度办法。武昌区财政局印发的《武昌区财政支出绩效评价暂行办法》为此次绩效评价的具体实施提供了指导，确保了绩效评价工作的顺利开展。 </w:t>
      </w:r>
    </w:p>
    <w:p w14:paraId="0D7DD36A">
      <w:pPr>
        <w:widowControl/>
        <w:spacing w:line="600" w:lineRule="exact"/>
        <w:ind w:firstLine="0" w:firstLineChars="0"/>
        <w:jc w:val="left"/>
        <w:rPr>
          <w:rFonts w:ascii="宋体" w:hAnsi="宋体" w:eastAsia="宋体" w:cs="Arial Narrow"/>
        </w:rPr>
      </w:pPr>
      <w:r>
        <w:rPr>
          <w:rFonts w:ascii="宋体" w:hAnsi="宋体" w:eastAsia="宋体" w:cs="Arial Narrow"/>
        </w:rPr>
        <w:br w:type="page"/>
      </w:r>
    </w:p>
    <w:p w14:paraId="12B821F7">
      <w:pPr>
        <w:snapToGrid w:val="0"/>
        <w:spacing w:line="600" w:lineRule="exact"/>
        <w:ind w:firstLine="482"/>
        <w:outlineLvl w:val="0"/>
        <w:rPr>
          <w:rFonts w:ascii="宋体" w:hAnsi="宋体" w:eastAsia="宋体" w:cs="Arial Narrow"/>
          <w:b/>
          <w:bCs/>
        </w:rPr>
      </w:pPr>
      <w:bookmarkStart w:id="3" w:name="_Toc478396449"/>
      <w:bookmarkStart w:id="4" w:name="_Toc361304672"/>
      <w:bookmarkStart w:id="5" w:name="_Toc387957799"/>
      <w:bookmarkStart w:id="6" w:name="_Toc361304673"/>
      <w:bookmarkStart w:id="7" w:name="_Toc387957800"/>
      <w:r>
        <w:rPr>
          <w:rFonts w:hint="eastAsia" w:ascii="宋体" w:hAnsi="宋体" w:eastAsia="宋体" w:cs="Arial Narrow"/>
          <w:b/>
          <w:bCs/>
        </w:rPr>
        <w:t>一、项目基本情况</w:t>
      </w:r>
      <w:bookmarkEnd w:id="3"/>
    </w:p>
    <w:p w14:paraId="256ADB0E">
      <w:pPr>
        <w:snapToGrid w:val="0"/>
        <w:spacing w:line="600" w:lineRule="exact"/>
        <w:ind w:firstLine="482"/>
        <w:outlineLvl w:val="1"/>
        <w:rPr>
          <w:rFonts w:ascii="宋体" w:hAnsi="宋体" w:eastAsia="宋体" w:cs="Arial Narrow"/>
          <w:b/>
          <w:bCs/>
        </w:rPr>
      </w:pPr>
      <w:bookmarkStart w:id="8" w:name="_Toc478396450"/>
      <w:r>
        <w:rPr>
          <w:rFonts w:hint="eastAsia" w:ascii="宋体" w:hAnsi="宋体" w:eastAsia="宋体" w:cs="Arial Narrow"/>
          <w:b/>
          <w:bCs/>
        </w:rPr>
        <w:t>（一）项目概况</w:t>
      </w:r>
      <w:bookmarkEnd w:id="8"/>
    </w:p>
    <w:p w14:paraId="2C74C294">
      <w:pPr>
        <w:snapToGrid w:val="0"/>
        <w:spacing w:line="600" w:lineRule="exact"/>
        <w:ind w:firstLine="482"/>
        <w:rPr>
          <w:rFonts w:ascii="宋体" w:hAnsi="宋体" w:eastAsia="宋体" w:cs="Arial Narrow"/>
          <w:b/>
          <w:bCs/>
        </w:rPr>
      </w:pPr>
      <w:r>
        <w:rPr>
          <w:rFonts w:hint="eastAsia" w:ascii="宋体" w:hAnsi="宋体" w:eastAsia="宋体" w:cs="Arial Narrow"/>
          <w:b/>
          <w:bCs/>
        </w:rPr>
        <w:t>1. 项目立项</w:t>
      </w:r>
      <w:r>
        <w:rPr>
          <w:rFonts w:ascii="宋体" w:hAnsi="宋体" w:eastAsia="宋体" w:cs="Arial Narrow"/>
          <w:b/>
          <w:bCs/>
        </w:rPr>
        <w:t>背景</w:t>
      </w:r>
      <w:bookmarkEnd w:id="4"/>
      <w:bookmarkEnd w:id="5"/>
    </w:p>
    <w:p w14:paraId="520808C6">
      <w:pPr>
        <w:snapToGrid w:val="0"/>
        <w:spacing w:line="600" w:lineRule="exact"/>
        <w:ind w:firstLine="482"/>
        <w:rPr>
          <w:rFonts w:hint="eastAsia" w:ascii="宋体" w:hAnsi="宋体" w:eastAsia="宋体" w:cs="宋体"/>
          <w:b w:val="0"/>
          <w:bCs w:val="0"/>
          <w:highlight w:val="none"/>
          <w:lang w:val="en-US" w:eastAsia="zh-CN"/>
        </w:rPr>
      </w:pPr>
      <w:r>
        <w:rPr>
          <w:rFonts w:hint="eastAsia" w:ascii="宋体" w:hAnsi="宋体" w:eastAsia="宋体" w:cs="Arial Narrow"/>
          <w:b w:val="0"/>
          <w:bCs w:val="0"/>
          <w:highlight w:val="none"/>
          <w:lang w:val="en-US" w:eastAsia="zh-CN"/>
        </w:rPr>
        <w:t xml:space="preserve"> </w:t>
      </w:r>
      <w:r>
        <w:rPr>
          <w:rFonts w:hint="eastAsia" w:ascii="宋体" w:hAnsi="宋体" w:eastAsia="宋体" w:cs="Arial Narrow"/>
          <w:b w:val="0"/>
          <w:bCs w:val="0"/>
          <w:highlight w:val="none"/>
          <w:lang w:eastAsia="zh-CN"/>
        </w:rPr>
        <w:t>根据“关于贯彻《中共中央关于进一步加强中国共产党领导的多党合作和政治协商制度建设的意见》的实施意见（武昌党字</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2006</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5号）</w:t>
      </w:r>
      <w:r>
        <w:rPr>
          <w:rFonts w:hint="default" w:ascii="宋体" w:hAnsi="宋体" w:eastAsia="宋体" w:cs="宋体"/>
          <w:b w:val="0"/>
          <w:bCs w:val="0"/>
          <w:highlight w:val="none"/>
          <w:lang w:val="en-US" w:eastAsia="zh-CN"/>
        </w:rPr>
        <w:t>”</w:t>
      </w:r>
      <w:r>
        <w:rPr>
          <w:rFonts w:hint="eastAsia" w:ascii="宋体" w:hAnsi="宋体" w:eastAsia="宋体" w:cs="宋体"/>
          <w:b w:val="0"/>
          <w:bCs w:val="0"/>
          <w:highlight w:val="none"/>
          <w:lang w:val="en-US" w:eastAsia="zh-CN"/>
        </w:rPr>
        <w:t>、“关于</w:t>
      </w:r>
      <w:r>
        <w:rPr>
          <w:rFonts w:hint="eastAsia" w:ascii="宋体" w:hAnsi="宋体" w:eastAsia="宋体" w:cs="Arial Narrow"/>
          <w:b w:val="0"/>
          <w:bCs w:val="0"/>
          <w:highlight w:val="none"/>
          <w:lang w:eastAsia="zh-CN"/>
        </w:rPr>
        <w:t>贯彻《中共中央关于巩固和壮大新世纪新阶段统一战线的意见》的实施意见（武昌党字</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2007</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8号）</w:t>
      </w:r>
      <w:r>
        <w:rPr>
          <w:rFonts w:hint="default" w:ascii="宋体" w:hAnsi="宋体" w:eastAsia="宋体" w:cs="宋体"/>
          <w:b w:val="0"/>
          <w:bCs w:val="0"/>
          <w:highlight w:val="none"/>
          <w:lang w:val="en-US" w:eastAsia="zh-CN"/>
        </w:rPr>
        <w:t>”</w:t>
      </w:r>
      <w:r>
        <w:rPr>
          <w:rFonts w:hint="eastAsia" w:ascii="宋体" w:hAnsi="宋体" w:eastAsia="宋体" w:cs="宋体"/>
          <w:b w:val="0"/>
          <w:bCs w:val="0"/>
          <w:highlight w:val="none"/>
          <w:lang w:val="en-US" w:eastAsia="zh-CN"/>
        </w:rPr>
        <w:t>、“关于进一步做好区委领导与党外人士交朋友工作的意见（武昌党办文[2007]21号)</w:t>
      </w:r>
      <w:r>
        <w:rPr>
          <w:rFonts w:hint="default" w:ascii="宋体" w:hAnsi="宋体" w:eastAsia="宋体" w:cs="宋体"/>
          <w:b w:val="0"/>
          <w:bCs w:val="0"/>
          <w:highlight w:val="none"/>
          <w:lang w:val="en-US" w:eastAsia="zh-CN"/>
        </w:rPr>
        <w:t>”</w:t>
      </w:r>
      <w:r>
        <w:rPr>
          <w:rFonts w:hint="eastAsia" w:ascii="宋体" w:hAnsi="宋体" w:eastAsia="宋体" w:cs="宋体"/>
          <w:b w:val="0"/>
          <w:bCs w:val="0"/>
          <w:highlight w:val="none"/>
          <w:lang w:val="en-US" w:eastAsia="zh-CN"/>
        </w:rPr>
        <w:t>，及“关于进一步规范区委召开民主协商座谈会制度的意见（武昌党办文[2007]22号）</w:t>
      </w:r>
      <w:r>
        <w:rPr>
          <w:rFonts w:hint="default" w:ascii="宋体" w:hAnsi="宋体" w:eastAsia="宋体" w:cs="宋体"/>
          <w:b w:val="0"/>
          <w:bCs w:val="0"/>
          <w:highlight w:val="none"/>
          <w:lang w:val="en-US" w:eastAsia="zh-CN"/>
        </w:rPr>
        <w:t>”</w:t>
      </w:r>
      <w:r>
        <w:rPr>
          <w:rFonts w:hint="eastAsia" w:ascii="宋体" w:hAnsi="宋体" w:eastAsia="宋体" w:cs="宋体"/>
          <w:b w:val="0"/>
          <w:bCs w:val="0"/>
          <w:highlight w:val="none"/>
          <w:lang w:val="en-US" w:eastAsia="zh-CN"/>
        </w:rPr>
        <w:t>文件的批示，设立该项目。</w:t>
      </w:r>
    </w:p>
    <w:p w14:paraId="3F33B44A">
      <w:pPr>
        <w:snapToGrid w:val="0"/>
        <w:spacing w:line="600" w:lineRule="exact"/>
        <w:ind w:firstLine="482"/>
        <w:rPr>
          <w:rFonts w:hint="eastAsia" w:ascii="宋体" w:hAnsi="宋体" w:eastAsia="宋体" w:cs="Arial Narrow"/>
          <w:b w:val="0"/>
          <w:bCs w:val="0"/>
          <w:highlight w:val="none"/>
          <w:lang w:eastAsia="zh-CN"/>
        </w:rPr>
      </w:pPr>
      <w:r>
        <w:rPr>
          <w:rFonts w:hint="eastAsia" w:ascii="宋体" w:hAnsi="宋体" w:eastAsia="宋体" w:cs="宋体"/>
          <w:b w:val="0"/>
          <w:bCs w:val="0"/>
          <w:highlight w:val="none"/>
          <w:lang w:val="en-US" w:eastAsia="zh-CN"/>
        </w:rPr>
        <w:t>中共武昌区委统一战线工作部</w:t>
      </w:r>
      <w:r>
        <w:rPr>
          <w:rFonts w:hint="eastAsia" w:ascii="宋体" w:hAnsi="宋体" w:eastAsia="宋体" w:cs="Arial Narrow"/>
          <w:b w:val="0"/>
          <w:bCs w:val="0"/>
          <w:highlight w:val="none"/>
          <w:lang w:eastAsia="zh-CN"/>
        </w:rPr>
        <w:t>为了支持民主党派按照中国特色社会主义参政党要求更好履行职能，发挥统战部在武昌经济社会发展中的作用，发挥统战部的凝聚力的法宝作用，紧紧围绕全区建设创建新型城区和国家中心城市核心区目标，统一思想、凝聚共识、积极谋划、扎实推进统战部各项工作，不断提高统战工作规范化、制度化、科学化水平，开创统战工作新局面，为推动武昌经济社会发展作出积极贡献。</w:t>
      </w:r>
    </w:p>
    <w:bookmarkEnd w:id="6"/>
    <w:bookmarkEnd w:id="7"/>
    <w:p w14:paraId="38D0B62E">
      <w:pPr>
        <w:snapToGrid w:val="0"/>
        <w:spacing w:line="600" w:lineRule="exact"/>
        <w:ind w:firstLine="482"/>
        <w:rPr>
          <w:rFonts w:ascii="宋体" w:hAnsi="宋体" w:eastAsia="宋体" w:cs="Arial Narrow"/>
          <w:b/>
          <w:bCs/>
        </w:rPr>
      </w:pPr>
      <w:r>
        <w:rPr>
          <w:rFonts w:hint="eastAsia" w:ascii="宋体" w:hAnsi="宋体" w:eastAsia="宋体" w:cs="Arial Narrow"/>
          <w:b/>
          <w:bCs/>
        </w:rPr>
        <w:t>2. 基准日及评价历时</w:t>
      </w:r>
    </w:p>
    <w:p w14:paraId="51C62EEC">
      <w:pPr>
        <w:tabs>
          <w:tab w:val="left" w:pos="7653"/>
        </w:tabs>
        <w:snapToGrid w:val="0"/>
        <w:spacing w:line="600" w:lineRule="exact"/>
        <w:ind w:firstLine="480"/>
        <w:rPr>
          <w:rFonts w:hint="eastAsia" w:ascii="宋体" w:hAnsi="宋体" w:eastAsia="宋体" w:cs="Arial Narrow"/>
          <w:lang w:val="en-US" w:eastAsia="zh-CN"/>
        </w:rPr>
      </w:pPr>
      <w:bookmarkStart w:id="9" w:name="_Toc361304674"/>
      <w:bookmarkStart w:id="10" w:name="_Toc406666352"/>
      <w:bookmarkStart w:id="11" w:name="_Toc406668025"/>
      <w:bookmarkStart w:id="12" w:name="_Toc387957801"/>
      <w:r>
        <w:rPr>
          <w:rFonts w:hint="eastAsia" w:ascii="宋体" w:hAnsi="宋体" w:eastAsia="宋体" w:cs="Arial Narrow"/>
        </w:rPr>
        <w:t>2.1 评价基准日：201</w:t>
      </w:r>
      <w:r>
        <w:rPr>
          <w:rFonts w:hint="eastAsia" w:ascii="宋体" w:hAnsi="宋体" w:eastAsia="宋体" w:cs="Arial Narrow"/>
          <w:lang w:val="en-US" w:eastAsia="zh-CN"/>
        </w:rPr>
        <w:t>8</w:t>
      </w:r>
      <w:r>
        <w:rPr>
          <w:rFonts w:hint="eastAsia" w:ascii="宋体" w:hAnsi="宋体" w:eastAsia="宋体" w:cs="Arial Narrow"/>
        </w:rPr>
        <w:t>年12月31日</w:t>
      </w:r>
      <w:r>
        <w:rPr>
          <w:rFonts w:hint="eastAsia" w:ascii="宋体" w:hAnsi="宋体" w:eastAsia="宋体" w:cs="Arial Narrow"/>
          <w:lang w:eastAsia="zh-CN"/>
        </w:rPr>
        <w:tab/>
      </w:r>
    </w:p>
    <w:p w14:paraId="1230A28C">
      <w:pPr>
        <w:snapToGrid w:val="0"/>
        <w:spacing w:line="600" w:lineRule="exact"/>
        <w:ind w:firstLine="480"/>
        <w:rPr>
          <w:rFonts w:ascii="宋体" w:hAnsi="宋体" w:eastAsia="宋体" w:cs="Arial Narrow"/>
          <w:color w:val="auto"/>
          <w:highlight w:val="none"/>
        </w:rPr>
      </w:pPr>
      <w:r>
        <w:rPr>
          <w:rFonts w:hint="eastAsia" w:ascii="宋体" w:hAnsi="宋体" w:eastAsia="宋体" w:cs="Arial Narrow"/>
        </w:rPr>
        <w:t>2.2 本次评价从</w:t>
      </w:r>
      <w:r>
        <w:rPr>
          <w:rFonts w:hint="eastAsia" w:ascii="宋体" w:hAnsi="宋体" w:eastAsia="宋体" w:cs="Arial Narrow"/>
          <w:color w:val="auto"/>
          <w:highlight w:val="none"/>
        </w:rPr>
        <w:t>201</w:t>
      </w:r>
      <w:r>
        <w:rPr>
          <w:rFonts w:hint="eastAsia" w:ascii="宋体" w:hAnsi="宋体" w:eastAsia="宋体" w:cs="Arial Narrow"/>
          <w:color w:val="auto"/>
          <w:highlight w:val="none"/>
          <w:lang w:val="en-US" w:eastAsia="zh-CN"/>
        </w:rPr>
        <w:t>9</w:t>
      </w:r>
      <w:r>
        <w:rPr>
          <w:rFonts w:hint="eastAsia" w:ascii="宋体" w:hAnsi="宋体" w:eastAsia="宋体" w:cs="Arial Narrow"/>
          <w:color w:val="auto"/>
          <w:highlight w:val="none"/>
        </w:rPr>
        <w:t>年</w:t>
      </w:r>
      <w:r>
        <w:rPr>
          <w:rFonts w:hint="eastAsia" w:ascii="宋体" w:hAnsi="宋体" w:eastAsia="宋体" w:cs="Arial Narrow"/>
          <w:color w:val="auto"/>
          <w:highlight w:val="none"/>
          <w:lang w:val="en-US" w:eastAsia="zh-CN"/>
        </w:rPr>
        <w:t>5</w:t>
      </w:r>
      <w:r>
        <w:rPr>
          <w:rFonts w:hint="eastAsia" w:ascii="宋体" w:hAnsi="宋体" w:eastAsia="宋体" w:cs="Arial Narrow"/>
          <w:color w:val="auto"/>
          <w:highlight w:val="none"/>
        </w:rPr>
        <w:t>月</w:t>
      </w:r>
      <w:r>
        <w:rPr>
          <w:rFonts w:hint="eastAsia" w:ascii="宋体" w:hAnsi="宋体" w:eastAsia="宋体" w:cs="Arial Narrow"/>
          <w:color w:val="auto"/>
          <w:highlight w:val="none"/>
          <w:lang w:val="en-US" w:eastAsia="zh-CN"/>
        </w:rPr>
        <w:t>8</w:t>
      </w:r>
      <w:r>
        <w:rPr>
          <w:rFonts w:hint="eastAsia" w:ascii="宋体" w:hAnsi="宋体" w:eastAsia="宋体" w:cs="Arial Narrow"/>
          <w:color w:val="auto"/>
          <w:highlight w:val="none"/>
        </w:rPr>
        <w:t>日——201</w:t>
      </w:r>
      <w:r>
        <w:rPr>
          <w:rFonts w:hint="eastAsia" w:ascii="宋体" w:hAnsi="宋体" w:eastAsia="宋体" w:cs="Arial Narrow"/>
          <w:color w:val="auto"/>
          <w:highlight w:val="none"/>
          <w:lang w:val="en-US" w:eastAsia="zh-CN"/>
        </w:rPr>
        <w:t>9</w:t>
      </w:r>
      <w:r>
        <w:rPr>
          <w:rFonts w:hint="eastAsia" w:ascii="宋体" w:hAnsi="宋体" w:eastAsia="宋体" w:cs="Arial Narrow"/>
          <w:color w:val="auto"/>
          <w:highlight w:val="none"/>
        </w:rPr>
        <w:t>年</w:t>
      </w:r>
      <w:r>
        <w:rPr>
          <w:rFonts w:hint="eastAsia" w:ascii="宋体" w:hAnsi="宋体" w:eastAsia="宋体" w:cs="Arial Narrow"/>
          <w:color w:val="auto"/>
          <w:highlight w:val="none"/>
          <w:lang w:val="en-US" w:eastAsia="zh-CN"/>
        </w:rPr>
        <w:t>5</w:t>
      </w:r>
      <w:r>
        <w:rPr>
          <w:rFonts w:hint="eastAsia" w:ascii="宋体" w:hAnsi="宋体" w:eastAsia="宋体" w:cs="Arial Narrow"/>
          <w:color w:val="auto"/>
          <w:highlight w:val="none"/>
        </w:rPr>
        <w:t>月</w:t>
      </w:r>
      <w:r>
        <w:rPr>
          <w:rFonts w:hint="eastAsia" w:ascii="宋体" w:hAnsi="宋体" w:eastAsia="宋体" w:cs="Arial Narrow"/>
          <w:color w:val="auto"/>
          <w:highlight w:val="none"/>
          <w:lang w:val="en-US" w:eastAsia="zh-CN"/>
        </w:rPr>
        <w:t>28</w:t>
      </w:r>
      <w:r>
        <w:rPr>
          <w:rFonts w:hint="eastAsia" w:ascii="宋体" w:hAnsi="宋体" w:eastAsia="宋体" w:cs="Arial Narrow"/>
          <w:color w:val="auto"/>
          <w:highlight w:val="none"/>
        </w:rPr>
        <w:t>日，历时</w:t>
      </w:r>
      <w:r>
        <w:rPr>
          <w:rFonts w:hint="eastAsia" w:ascii="宋体" w:hAnsi="宋体" w:eastAsia="宋体" w:cs="Arial Narrow"/>
          <w:color w:val="auto"/>
          <w:highlight w:val="none"/>
          <w:lang w:val="en-US" w:eastAsia="zh-CN"/>
        </w:rPr>
        <w:t>20</w:t>
      </w:r>
      <w:r>
        <w:rPr>
          <w:rFonts w:hint="eastAsia" w:ascii="宋体" w:hAnsi="宋体" w:eastAsia="宋体" w:cs="Arial Narrow"/>
          <w:color w:val="auto"/>
          <w:highlight w:val="none"/>
        </w:rPr>
        <w:t>天</w:t>
      </w:r>
      <w:r>
        <w:rPr>
          <w:rFonts w:hint="eastAsia" w:ascii="宋体" w:hAnsi="宋体" w:eastAsia="宋体" w:cs="Arial Narrow"/>
          <w:color w:val="auto"/>
          <w:highlight w:val="none"/>
          <w:lang w:eastAsia="zh-CN"/>
        </w:rPr>
        <w:t>。</w:t>
      </w:r>
    </w:p>
    <w:p w14:paraId="194D7512">
      <w:pPr>
        <w:snapToGrid w:val="0"/>
        <w:spacing w:line="600" w:lineRule="exact"/>
        <w:ind w:firstLine="482"/>
        <w:rPr>
          <w:rFonts w:ascii="宋体" w:hAnsi="宋体" w:eastAsia="宋体" w:cs="Arial Narrow"/>
          <w:b/>
          <w:color w:val="auto"/>
        </w:rPr>
      </w:pPr>
      <w:r>
        <w:rPr>
          <w:rFonts w:hint="eastAsia" w:ascii="宋体" w:hAnsi="宋体" w:eastAsia="宋体" w:cs="Arial Narrow"/>
          <w:b/>
          <w:color w:val="auto"/>
        </w:rPr>
        <w:t>3．项目实施情况</w:t>
      </w:r>
    </w:p>
    <w:p w14:paraId="28222042">
      <w:pPr>
        <w:snapToGrid w:val="0"/>
        <w:spacing w:line="600" w:lineRule="exact"/>
        <w:ind w:firstLine="480"/>
        <w:rPr>
          <w:rFonts w:ascii="宋体" w:hAnsi="宋体" w:eastAsia="宋体" w:cs="Arial Narrow"/>
        </w:rPr>
      </w:pPr>
      <w:r>
        <w:rPr>
          <w:rFonts w:hint="eastAsia" w:ascii="宋体" w:hAnsi="宋体" w:eastAsia="宋体" w:cs="Arial Narrow"/>
        </w:rPr>
        <w:t>3.1项目实施单位</w:t>
      </w:r>
    </w:p>
    <w:p w14:paraId="1136458A">
      <w:pPr>
        <w:snapToGrid w:val="0"/>
        <w:spacing w:line="600" w:lineRule="exact"/>
        <w:ind w:firstLine="480"/>
        <w:rPr>
          <w:rFonts w:hint="eastAsia" w:ascii="宋体" w:hAnsi="宋体" w:eastAsia="宋体" w:cs="Arial Narrow"/>
          <w:highlight w:val="none"/>
        </w:rPr>
      </w:pPr>
      <w:r>
        <w:rPr>
          <w:rFonts w:hint="eastAsia" w:ascii="宋体" w:hAnsi="宋体" w:eastAsia="宋体" w:cs="Arial Narrow"/>
          <w:highlight w:val="none"/>
          <w:lang w:eastAsia="zh-CN"/>
        </w:rPr>
        <w:t>中共</w:t>
      </w:r>
      <w:r>
        <w:rPr>
          <w:rFonts w:hint="eastAsia" w:ascii="宋体" w:hAnsi="宋体" w:eastAsia="宋体" w:cs="Arial Narrow"/>
          <w:highlight w:val="none"/>
        </w:rPr>
        <w:t>武昌区</w:t>
      </w:r>
      <w:r>
        <w:rPr>
          <w:rFonts w:hint="eastAsia" w:ascii="宋体" w:hAnsi="宋体" w:eastAsia="宋体" w:cs="Arial Narrow"/>
          <w:highlight w:val="none"/>
          <w:lang w:eastAsia="zh-CN"/>
        </w:rPr>
        <w:t>委员会统一战线工作部</w:t>
      </w:r>
      <w:r>
        <w:rPr>
          <w:rFonts w:hint="eastAsia" w:ascii="宋体" w:hAnsi="宋体" w:eastAsia="宋体" w:cs="Arial Narrow"/>
          <w:highlight w:val="none"/>
        </w:rPr>
        <w:t>是</w:t>
      </w:r>
      <w:r>
        <w:rPr>
          <w:rFonts w:hint="eastAsia" w:ascii="宋体" w:hAnsi="宋体" w:eastAsia="宋体" w:cs="Arial Narrow"/>
          <w:highlight w:val="none"/>
          <w:lang w:eastAsia="zh-CN"/>
        </w:rPr>
        <w:t>根据《中共武汉市武昌区委、武汉市武昌区人民政府关</w:t>
      </w:r>
      <w:r>
        <w:rPr>
          <w:rFonts w:hint="eastAsia" w:ascii="宋体" w:hAnsi="宋体" w:eastAsia="宋体" w:cs="Arial Narrow"/>
          <w:highlight w:val="none"/>
          <w:lang w:val="en-US" w:eastAsia="zh-CN"/>
        </w:rPr>
        <w:t>于</w:t>
      </w:r>
      <w:r>
        <w:rPr>
          <w:rFonts w:hint="eastAsia" w:ascii="宋体" w:hAnsi="宋体" w:eastAsia="宋体" w:cs="Arial Narrow"/>
          <w:highlight w:val="none"/>
          <w:lang w:eastAsia="zh-CN"/>
        </w:rPr>
        <w:t>印发</w:t>
      </w:r>
      <w:r>
        <w:rPr>
          <w:rFonts w:hint="eastAsia" w:ascii="宋体" w:hAnsi="宋体" w:eastAsia="宋体" w:cs="宋体"/>
          <w:highlight w:val="none"/>
          <w:lang w:eastAsia="zh-CN"/>
        </w:rPr>
        <w:t>〈武昌区机构改革方案〉和〈武昌区机构改革方案实施意见〉的通知》（武昌党字[</w:t>
      </w:r>
      <w:r>
        <w:rPr>
          <w:rFonts w:hint="eastAsia" w:ascii="宋体" w:hAnsi="宋体" w:eastAsia="宋体" w:cs="宋体"/>
          <w:highlight w:val="none"/>
          <w:lang w:val="en-US" w:eastAsia="zh-CN"/>
        </w:rPr>
        <w:t>2011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54号）精神，设置中共武汉市武昌区委统一战线工作部，中共武汉市武昌区委台湾工作办公室、武汉市武昌区人民政府台湾事务办公室（在下简称“区台办”）与区委统战部合署办公</w:t>
      </w:r>
      <w:r>
        <w:rPr>
          <w:rFonts w:hint="eastAsia" w:ascii="宋体" w:hAnsi="宋体" w:eastAsia="宋体" w:cs="Arial Narrow"/>
          <w:highlight w:val="none"/>
        </w:rPr>
        <w:t>。</w:t>
      </w:r>
      <w:r>
        <w:rPr>
          <w:rFonts w:hint="eastAsia" w:ascii="宋体" w:hAnsi="宋体" w:eastAsia="宋体" w:cs="Arial Narrow"/>
          <w:highlight w:val="none"/>
          <w:lang w:eastAsia="zh-CN"/>
        </w:rPr>
        <w:t>区委统战部是区委主管统一战线工作的职能部门。内设</w:t>
      </w:r>
      <w:r>
        <w:rPr>
          <w:rFonts w:hint="eastAsia" w:ascii="宋体" w:hAnsi="宋体" w:eastAsia="宋体" w:cs="Arial Narrow"/>
          <w:highlight w:val="none"/>
          <w:lang w:val="en-US" w:eastAsia="zh-CN"/>
        </w:rPr>
        <w:t>3个职能科（室）：综合科、党派工作科、台湾工作科</w:t>
      </w:r>
      <w:r>
        <w:rPr>
          <w:rFonts w:hint="eastAsia" w:ascii="宋体" w:hAnsi="宋体" w:eastAsia="宋体" w:cs="Arial Narrow"/>
          <w:highlight w:val="none"/>
        </w:rPr>
        <w:t>。</w:t>
      </w:r>
    </w:p>
    <w:p w14:paraId="6A7C963F">
      <w:pPr>
        <w:snapToGrid w:val="0"/>
        <w:spacing w:line="600" w:lineRule="exact"/>
        <w:ind w:firstLine="480"/>
        <w:rPr>
          <w:rFonts w:hint="eastAsia" w:ascii="宋体" w:hAnsi="宋体" w:eastAsia="宋体" w:cs="Arial Narrow"/>
          <w:color w:val="auto"/>
          <w:highlight w:val="none"/>
          <w:lang w:val="en-US" w:eastAsia="zh-CN"/>
        </w:rPr>
      </w:pPr>
      <w:r>
        <w:rPr>
          <w:rFonts w:hint="eastAsia" w:ascii="宋体" w:hAnsi="宋体" w:eastAsia="宋体" w:cs="Arial Narrow"/>
          <w:color w:val="auto"/>
          <w:highlight w:val="none"/>
          <w:lang w:eastAsia="zh-CN"/>
        </w:rPr>
        <w:t>区委统一战线工作部（区委台湾工作办公室、区政府台湾事务办公室）行政编制</w:t>
      </w:r>
      <w:r>
        <w:rPr>
          <w:rFonts w:hint="eastAsia" w:ascii="宋体" w:hAnsi="宋体" w:eastAsia="宋体" w:cs="Arial Narrow"/>
          <w:color w:val="auto"/>
          <w:highlight w:val="none"/>
          <w:lang w:val="en-US" w:eastAsia="zh-CN"/>
        </w:rPr>
        <w:t>9名，其中，部长1名，副部长2名（含1名副部长兼台办主任），助理调研员2名；正科级领导职数3名，副主任科员1名，科员1名。</w:t>
      </w:r>
    </w:p>
    <w:p w14:paraId="05518736">
      <w:pPr>
        <w:snapToGrid w:val="0"/>
        <w:spacing w:line="600" w:lineRule="exact"/>
        <w:ind w:firstLine="480"/>
        <w:rPr>
          <w:rFonts w:ascii="宋体" w:hAnsi="宋体" w:eastAsia="宋体" w:cs="Arial Narrow"/>
          <w:color w:val="auto"/>
          <w:highlight w:val="none"/>
        </w:rPr>
      </w:pPr>
      <w:r>
        <w:rPr>
          <w:rFonts w:hint="eastAsia" w:ascii="宋体" w:hAnsi="宋体" w:eastAsia="宋体" w:cs="Arial Narrow"/>
          <w:color w:val="auto"/>
          <w:highlight w:val="none"/>
        </w:rPr>
        <w:t>区</w:t>
      </w:r>
      <w:r>
        <w:rPr>
          <w:rFonts w:hint="eastAsia" w:ascii="宋体" w:hAnsi="宋体" w:eastAsia="宋体" w:cs="Arial Narrow"/>
          <w:color w:val="auto"/>
          <w:highlight w:val="none"/>
          <w:lang w:eastAsia="zh-CN"/>
        </w:rPr>
        <w:t>统战部</w:t>
      </w:r>
      <w:r>
        <w:rPr>
          <w:rFonts w:hint="eastAsia" w:ascii="宋体" w:hAnsi="宋体" w:eastAsia="宋体" w:cs="Arial Narrow"/>
          <w:color w:val="auto"/>
          <w:highlight w:val="none"/>
        </w:rPr>
        <w:t>的主要职能：</w:t>
      </w:r>
    </w:p>
    <w:p w14:paraId="2974BFF4">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1）</w:t>
      </w:r>
      <w:r>
        <w:rPr>
          <w:rFonts w:hint="eastAsia" w:ascii="宋体" w:hAnsi="宋体" w:eastAsia="宋体" w:cs="Arial Narrow"/>
          <w:color w:val="000000"/>
          <w:highlight w:val="none"/>
          <w:lang w:eastAsia="zh-CN"/>
        </w:rPr>
        <w:t>负责组织贯彻落实中央和省、市、区委关于统一战线工作的方针、政策；负责对全区统战工作的协调、监督和检查；负责统一战线理论和方针、政策的调查研究，了解情况，掌握政策，向市、区委反映情况，提出开展统战工作的意见和建议</w:t>
      </w:r>
      <w:r>
        <w:rPr>
          <w:rFonts w:hint="eastAsia" w:ascii="宋体" w:hAnsi="宋体" w:eastAsia="宋体" w:cs="Arial Narrow"/>
          <w:color w:val="000000"/>
          <w:highlight w:val="none"/>
        </w:rPr>
        <w:t>。</w:t>
      </w:r>
    </w:p>
    <w:p w14:paraId="6AD146DA">
      <w:pPr>
        <w:widowControl w:val="0"/>
        <w:numPr>
          <w:ilvl w:val="0"/>
          <w:numId w:val="0"/>
        </w:numPr>
        <w:wordWrap/>
        <w:adjustRightInd/>
        <w:snapToGrid w:val="0"/>
        <w:spacing w:line="600" w:lineRule="exact"/>
        <w:ind w:right="0" w:firstLine="480" w:firstLineChars="20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2）</w:t>
      </w:r>
      <w:r>
        <w:rPr>
          <w:rFonts w:hint="eastAsia" w:ascii="宋体" w:hAnsi="宋体" w:eastAsia="宋体" w:cs="Arial Narrow"/>
          <w:color w:val="000000"/>
          <w:highlight w:val="none"/>
          <w:lang w:eastAsia="zh-CN"/>
        </w:rPr>
        <w:t>负责协助区委同各民主党派和无党派代表人士保持密切联系，认真贯彻党领导的多党合作和政治协商制度及对民主党派的基本方针；协助区委组织召开民主党派工商联负责人和无党派代表人士民主协商会、双月座谈会、情况通报会；支持和推动各民主党派和无党派代表人士发</w:t>
      </w:r>
      <w:r>
        <w:rPr>
          <w:rFonts w:hint="eastAsia" w:ascii="宋体" w:hAnsi="宋体" w:eastAsia="宋体" w:cs="Arial Narrow"/>
          <w:color w:val="000000"/>
          <w:highlight w:val="none"/>
          <w:lang w:val="en-US" w:eastAsia="zh-CN"/>
        </w:rPr>
        <w:t>挥参政议政和民主监督作用，及时、准确地反映他们的意见、批评和建议；协助各民主党派加强自身建设，培养、选拔新一代代表人物</w:t>
      </w:r>
      <w:r>
        <w:rPr>
          <w:rFonts w:hint="eastAsia" w:ascii="宋体" w:hAnsi="宋体" w:eastAsia="宋体" w:cs="Arial Narrow"/>
          <w:color w:val="000000"/>
          <w:highlight w:val="none"/>
        </w:rPr>
        <w:t>。</w:t>
      </w:r>
    </w:p>
    <w:p w14:paraId="20BCCD56">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3）</w:t>
      </w:r>
      <w:r>
        <w:rPr>
          <w:rFonts w:hint="eastAsia" w:ascii="宋体" w:hAnsi="宋体" w:eastAsia="宋体" w:cs="Arial Narrow"/>
          <w:color w:val="000000"/>
          <w:highlight w:val="none"/>
          <w:lang w:eastAsia="zh-CN"/>
        </w:rPr>
        <w:t>负责党外人士的政治安排和实职安排</w:t>
      </w:r>
      <w:r>
        <w:rPr>
          <w:rFonts w:hint="eastAsia" w:ascii="宋体" w:hAnsi="宋体" w:eastAsia="宋体" w:cs="Arial Narrow"/>
          <w:color w:val="000000"/>
          <w:highlight w:val="none"/>
        </w:rPr>
        <w:t>。</w:t>
      </w:r>
      <w:r>
        <w:rPr>
          <w:rFonts w:hint="eastAsia" w:ascii="宋体" w:hAnsi="宋体" w:eastAsia="宋体" w:cs="Arial Narrow"/>
          <w:color w:val="000000"/>
          <w:highlight w:val="none"/>
          <w:lang w:eastAsia="zh-CN"/>
        </w:rPr>
        <w:t>负责推荐安排党外人士担任全国、省、市、区政协委员，会同有关部门做好全国、省、市人大</w:t>
      </w:r>
      <w:r>
        <w:rPr>
          <w:rFonts w:hint="eastAsia" w:ascii="宋体" w:hAnsi="宋体" w:eastAsia="宋体" w:cs="Arial Narrow"/>
          <w:color w:val="000000"/>
          <w:highlight w:val="none"/>
          <w:lang w:val="en-US" w:eastAsia="zh-CN"/>
        </w:rPr>
        <w:t>代</w:t>
      </w:r>
      <w:r>
        <w:rPr>
          <w:rFonts w:hint="eastAsia" w:ascii="宋体" w:hAnsi="宋体" w:eastAsia="宋体" w:cs="Arial Narrow"/>
          <w:color w:val="000000"/>
          <w:highlight w:val="none"/>
          <w:lang w:eastAsia="zh-CN"/>
        </w:rPr>
        <w:t>表及区人大党委候选人的提名工作；会同有关部门做好党外人士担任区政府和区政府有关职能部门及司法机关领导职务的培养、选拔和举荐工作；做好党外后备干部和新的代表人物的培养选拔工作。</w:t>
      </w:r>
    </w:p>
    <w:p w14:paraId="52AF1F0C">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4）</w:t>
      </w:r>
      <w:r>
        <w:rPr>
          <w:rFonts w:hint="eastAsia" w:ascii="宋体" w:hAnsi="宋体" w:eastAsia="宋体" w:cs="Arial Narrow"/>
          <w:color w:val="000000"/>
          <w:highlight w:val="none"/>
          <w:lang w:eastAsia="zh-CN"/>
        </w:rPr>
        <w:t>负责联系非公有制经济代表人士，反映非公有制经济代表人士的情况，协调关系，提出政策性建议；会同有关部门积极鼓励和促进非公有制经济健康发展，引导和促进非公有制经济人士参与国企改革、西部大开发和光彩事业；协助做好非公有制经济组织党、团和工会组织的建设；负责培养选拔拥护党的领导、坚持走建设有中国特色社会主义道路的非公有制经济代表人士的工作</w:t>
      </w:r>
      <w:r>
        <w:rPr>
          <w:rFonts w:hint="eastAsia" w:ascii="宋体" w:hAnsi="宋体" w:eastAsia="宋体" w:cs="Arial Narrow"/>
          <w:color w:val="000000"/>
          <w:highlight w:val="none"/>
        </w:rPr>
        <w:t>。</w:t>
      </w:r>
    </w:p>
    <w:p w14:paraId="2239093C">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5）</w:t>
      </w:r>
      <w:r>
        <w:rPr>
          <w:rFonts w:hint="eastAsia" w:ascii="宋体" w:hAnsi="宋体" w:eastAsia="宋体" w:cs="Arial Narrow"/>
          <w:color w:val="000000"/>
          <w:highlight w:val="none"/>
          <w:lang w:eastAsia="zh-CN"/>
        </w:rPr>
        <w:t>负责开展以“统一祖国、振兴中华”为重点的海外统战工作，加强与海外有关社团和港澳同胞、台湾同胞、海外侨胞及国外留学人员中代表人物的联系交往；会同和协助有关部门推动与港澳台及海外的经济、科技、文化等方面的交流与合作，做好“三引进”工作；归口管理台海在野党派、政治团体的来访工作，宏观指导台胞来我区定居工作中的方针、政策问题，做好台胞、台属的有关工作</w:t>
      </w:r>
      <w:r>
        <w:rPr>
          <w:rFonts w:hint="eastAsia" w:ascii="宋体" w:hAnsi="宋体" w:eastAsia="宋体" w:cs="Arial Narrow"/>
          <w:color w:val="000000"/>
          <w:highlight w:val="none"/>
        </w:rPr>
        <w:t>。</w:t>
      </w:r>
    </w:p>
    <w:p w14:paraId="22A57CC5">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6）</w:t>
      </w:r>
      <w:r>
        <w:rPr>
          <w:rFonts w:hint="eastAsia" w:ascii="宋体" w:hAnsi="宋体" w:eastAsia="宋体" w:cs="Arial Narrow"/>
          <w:color w:val="000000"/>
          <w:highlight w:val="none"/>
          <w:lang w:eastAsia="zh-CN"/>
        </w:rPr>
        <w:t>负责做好党外知识分子工作</w:t>
      </w:r>
      <w:r>
        <w:rPr>
          <w:rFonts w:hint="eastAsia" w:ascii="宋体" w:hAnsi="宋体" w:eastAsia="宋体" w:cs="Arial Narrow"/>
          <w:color w:val="000000"/>
          <w:highlight w:val="none"/>
        </w:rPr>
        <w:t>。</w:t>
      </w:r>
      <w:r>
        <w:rPr>
          <w:rFonts w:hint="eastAsia" w:ascii="宋体" w:hAnsi="宋体" w:eastAsia="宋体" w:cs="Arial Narrow"/>
          <w:color w:val="000000"/>
          <w:highlight w:val="none"/>
          <w:lang w:eastAsia="zh-CN"/>
        </w:rPr>
        <w:t>反映情况，掌握政策，协调关系，举荐人才，提出政策性建议；重点联系并培养有代表性、有影响的党外知识分子代表人物，听取他们的意见和建议，帮助他们在自己的专业领域和社会上发挥更大的作用。</w:t>
      </w:r>
    </w:p>
    <w:p w14:paraId="14027457">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7）</w:t>
      </w:r>
      <w:r>
        <w:rPr>
          <w:rFonts w:hint="eastAsia" w:ascii="宋体" w:hAnsi="宋体" w:eastAsia="宋体" w:cs="Arial Narrow"/>
          <w:color w:val="000000"/>
          <w:highlight w:val="none"/>
          <w:lang w:eastAsia="zh-CN"/>
        </w:rPr>
        <w:t>负责联系少数民族和宗教界代表人物，协助有关部门做好少数民族干部的培养、推荐工作，培养新一代爱国爱教人士；协同有关部门妥善处理影响民族关系及宗教界稳定的各种矛盾和问题</w:t>
      </w:r>
      <w:r>
        <w:rPr>
          <w:rFonts w:hint="eastAsia" w:ascii="宋体" w:hAnsi="宋体" w:eastAsia="宋体" w:cs="Arial Narrow"/>
          <w:color w:val="000000"/>
          <w:highlight w:val="none"/>
        </w:rPr>
        <w:t>。</w:t>
      </w:r>
    </w:p>
    <w:p w14:paraId="1AD7D98A">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8）</w:t>
      </w:r>
      <w:r>
        <w:rPr>
          <w:rFonts w:hint="eastAsia" w:ascii="宋体" w:hAnsi="宋体" w:eastAsia="宋体" w:cs="Arial Narrow"/>
          <w:color w:val="000000"/>
          <w:highlight w:val="none"/>
          <w:lang w:eastAsia="zh-CN"/>
        </w:rPr>
        <w:t>负责统战干部和党外干部的教育培训工作，组织开展全区统一战线的社会宣传工作</w:t>
      </w:r>
      <w:r>
        <w:rPr>
          <w:rFonts w:hint="eastAsia" w:ascii="宋体" w:hAnsi="宋体" w:eastAsia="宋体" w:cs="Arial Narrow"/>
          <w:color w:val="000000"/>
          <w:highlight w:val="none"/>
        </w:rPr>
        <w:t>。</w:t>
      </w:r>
    </w:p>
    <w:p w14:paraId="4066347E">
      <w:pPr>
        <w:widowControl w:val="0"/>
        <w:numPr>
          <w:ilvl w:val="0"/>
          <w:numId w:val="0"/>
        </w:numPr>
        <w:wordWrap/>
        <w:adjustRightInd/>
        <w:snapToGrid w:val="0"/>
        <w:spacing w:line="600" w:lineRule="exact"/>
        <w:ind w:right="0"/>
        <w:jc w:val="left"/>
        <w:textAlignment w:val="auto"/>
        <w:outlineLvl w:val="9"/>
        <w:rPr>
          <w:rFonts w:hint="eastAsia" w:ascii="宋体" w:hAnsi="宋体" w:eastAsia="宋体" w:cs="Arial Narrow"/>
          <w:color w:val="000000"/>
          <w:highlight w:val="yellow"/>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9）</w:t>
      </w:r>
      <w:r>
        <w:rPr>
          <w:rFonts w:hint="eastAsia" w:ascii="宋体" w:hAnsi="宋体" w:eastAsia="宋体" w:cs="Arial Narrow"/>
          <w:color w:val="000000"/>
          <w:highlight w:val="none"/>
          <w:lang w:eastAsia="zh-CN"/>
        </w:rPr>
        <w:t>负责牵头协调各街、区直统战系统在统战工作方针政策的贯彻落实、重大问题协调处理、重大活动的开展和班子成员的推荐管理等方面的工作；负责区直有关部门统战部部长任免征求意见工作；协助各民主党派区委会（工委会）搞好党派机关干部的管理工作。</w:t>
      </w:r>
    </w:p>
    <w:p w14:paraId="38BAC9A2">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lang w:eastAsia="zh-CN"/>
        </w:rPr>
        <w:t>（</w:t>
      </w:r>
      <w:r>
        <w:rPr>
          <w:rFonts w:hint="eastAsia" w:ascii="宋体" w:hAnsi="宋体" w:eastAsia="宋体" w:cs="Arial Narrow"/>
          <w:color w:val="000000"/>
          <w:highlight w:val="none"/>
          <w:lang w:val="en-US" w:eastAsia="zh-CN"/>
        </w:rPr>
        <w:t>10）</w:t>
      </w:r>
      <w:r>
        <w:rPr>
          <w:rFonts w:hint="eastAsia" w:ascii="宋体" w:hAnsi="宋体" w:eastAsia="宋体" w:cs="Arial Narrow"/>
          <w:color w:val="000000"/>
          <w:highlight w:val="none"/>
          <w:lang w:eastAsia="zh-CN"/>
        </w:rPr>
        <w:t>负责指导各街、区直有关部门党委统战工作；指导区工商联的工作；代管武昌区海外联谊会、武昌区光彩事业促进会、代管区台海同胞联谊会</w:t>
      </w:r>
      <w:r>
        <w:rPr>
          <w:rFonts w:hint="eastAsia" w:ascii="宋体" w:hAnsi="宋体" w:eastAsia="宋体" w:cs="Arial Narrow"/>
          <w:color w:val="000000"/>
          <w:highlight w:val="none"/>
        </w:rPr>
        <w:t>。</w:t>
      </w:r>
    </w:p>
    <w:p w14:paraId="628AFAF8">
      <w:pPr>
        <w:snapToGrid w:val="0"/>
        <w:spacing w:line="600" w:lineRule="exact"/>
        <w:ind w:firstLine="480"/>
        <w:rPr>
          <w:rFonts w:hint="eastAsia" w:ascii="宋体" w:hAnsi="宋体" w:eastAsia="宋体" w:cs="Arial Narrow"/>
        </w:rPr>
      </w:pPr>
      <w:r>
        <w:rPr>
          <w:rFonts w:hint="eastAsia" w:ascii="宋体" w:hAnsi="宋体" w:eastAsia="宋体" w:cs="Arial Narrow"/>
        </w:rPr>
        <w:t>3.2项目主要内容</w:t>
      </w:r>
    </w:p>
    <w:p w14:paraId="6DA46465">
      <w:pPr>
        <w:snapToGrid w:val="0"/>
        <w:spacing w:line="600" w:lineRule="exact"/>
        <w:ind w:firstLine="480"/>
        <w:rPr>
          <w:rFonts w:ascii="宋体" w:hAnsi="宋体" w:eastAsia="宋体" w:cs="Arial Narrow"/>
          <w:highlight w:val="yellow"/>
        </w:rPr>
      </w:pPr>
      <w:r>
        <w:rPr>
          <w:rFonts w:hint="eastAsia" w:ascii="宋体" w:hAnsi="宋体" w:eastAsia="宋体" w:cs="Arial Narrow"/>
          <w:lang w:eastAsia="zh-CN"/>
        </w:rPr>
        <w:t>负责联系</w:t>
      </w:r>
      <w:r>
        <w:rPr>
          <w:rFonts w:hint="eastAsia" w:ascii="宋体" w:hAnsi="宋体" w:eastAsia="宋体" w:cs="Arial Narrow"/>
          <w:lang w:val="en-US" w:eastAsia="zh-CN"/>
        </w:rPr>
        <w:t>7个民主党派和无党派人士，及时通报情况，反映他们的意见和建议；研究、贯彻党领导的多党合作和政治协商制度及对民主党派的方针、政策；落实中央关于发挥民主党派、无党派人士参政议政和民主监督作用的工作；支持、帮助各民主党派加强自身建设、选拔、培养新一代代表人物。</w:t>
      </w:r>
    </w:p>
    <w:p w14:paraId="3EA55B7C">
      <w:pPr>
        <w:numPr>
          <w:ilvl w:val="0"/>
          <w:numId w:val="0"/>
        </w:numPr>
        <w:snapToGrid w:val="0"/>
        <w:spacing w:line="600" w:lineRule="exact"/>
        <w:ind w:leftChars="0"/>
        <w:rPr>
          <w:rFonts w:hint="eastAsia"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3.3项目完成概况</w:t>
      </w:r>
    </w:p>
    <w:p w14:paraId="7DEC0ED1">
      <w:pPr>
        <w:numPr>
          <w:ilvl w:val="0"/>
          <w:numId w:val="3"/>
        </w:numPr>
        <w:snapToGrid w:val="0"/>
        <w:spacing w:line="600" w:lineRule="exact"/>
        <w:ind w:leftChars="0"/>
        <w:rPr>
          <w:rFonts w:hint="eastAsia" w:ascii="宋体" w:hAnsi="宋体" w:eastAsia="宋体" w:cs="Arial Narrow"/>
          <w:highlight w:val="none"/>
        </w:rPr>
      </w:pPr>
      <w:r>
        <w:rPr>
          <w:rFonts w:hint="eastAsia" w:ascii="宋体" w:hAnsi="宋体" w:eastAsia="宋体" w:cs="Arial Narrow"/>
          <w:highlight w:val="none"/>
        </w:rPr>
        <w:t>组织召开武昌区委统一战线工作领导小组会议；</w:t>
      </w:r>
    </w:p>
    <w:p w14:paraId="54773D03">
      <w:pPr>
        <w:numPr>
          <w:ilvl w:val="0"/>
          <w:numId w:val="3"/>
        </w:numPr>
        <w:snapToGrid w:val="0"/>
        <w:spacing w:line="600" w:lineRule="exact"/>
        <w:ind w:leftChars="0"/>
        <w:rPr>
          <w:rFonts w:hint="eastAsia" w:ascii="宋体" w:hAnsi="宋体" w:eastAsia="宋体" w:cs="Arial Narrow"/>
          <w:highlight w:val="none"/>
        </w:rPr>
      </w:pPr>
      <w:r>
        <w:rPr>
          <w:rFonts w:hint="eastAsia" w:ascii="宋体" w:hAnsi="宋体" w:eastAsia="宋体" w:cs="Arial Narrow"/>
          <w:highlight w:val="none"/>
        </w:rPr>
        <w:t>组织召开全区民主协商会议；</w:t>
      </w:r>
    </w:p>
    <w:p w14:paraId="558B097F">
      <w:pPr>
        <w:numPr>
          <w:ilvl w:val="0"/>
          <w:numId w:val="3"/>
        </w:numPr>
        <w:snapToGrid w:val="0"/>
        <w:spacing w:line="600" w:lineRule="exact"/>
        <w:ind w:leftChars="0"/>
        <w:rPr>
          <w:rFonts w:hint="eastAsia" w:ascii="宋体" w:hAnsi="宋体" w:eastAsia="宋体" w:cs="Arial Narrow"/>
          <w:highlight w:val="none"/>
        </w:rPr>
      </w:pPr>
      <w:r>
        <w:rPr>
          <w:rFonts w:hint="eastAsia" w:ascii="宋体" w:hAnsi="宋体" w:eastAsia="宋体" w:cs="Arial Narrow"/>
          <w:highlight w:val="none"/>
        </w:rPr>
        <w:t>调研成果被上级采用或指示不少于2件；</w:t>
      </w:r>
    </w:p>
    <w:p w14:paraId="118C4854">
      <w:pPr>
        <w:numPr>
          <w:ilvl w:val="0"/>
          <w:numId w:val="3"/>
        </w:numPr>
        <w:snapToGrid w:val="0"/>
        <w:spacing w:line="600" w:lineRule="exact"/>
        <w:ind w:left="0" w:leftChars="0" w:firstLine="480" w:firstLineChars="200"/>
        <w:rPr>
          <w:rFonts w:hint="eastAsia" w:ascii="宋体" w:hAnsi="宋体" w:eastAsia="宋体" w:cs="Arial Narrow"/>
          <w:highlight w:val="none"/>
        </w:rPr>
      </w:pPr>
      <w:r>
        <w:rPr>
          <w:rFonts w:hint="eastAsia" w:ascii="宋体" w:hAnsi="宋体" w:eastAsia="宋体" w:cs="Arial Narrow"/>
          <w:highlight w:val="none"/>
        </w:rPr>
        <w:t>完成区工商联换届；</w:t>
      </w:r>
    </w:p>
    <w:p w14:paraId="63A3DC88">
      <w:pPr>
        <w:numPr>
          <w:ilvl w:val="0"/>
          <w:numId w:val="3"/>
        </w:numPr>
        <w:snapToGrid w:val="0"/>
        <w:spacing w:line="600" w:lineRule="exact"/>
        <w:ind w:left="0" w:leftChars="0" w:firstLine="480" w:firstLineChars="200"/>
        <w:rPr>
          <w:rFonts w:hint="eastAsia" w:ascii="宋体" w:hAnsi="宋体" w:eastAsia="宋体" w:cs="Arial Narrow"/>
          <w:highlight w:val="none"/>
        </w:rPr>
      </w:pPr>
      <w:r>
        <w:rPr>
          <w:rFonts w:hint="eastAsia" w:ascii="宋体" w:hAnsi="宋体" w:eastAsia="宋体" w:cs="Arial Narrow"/>
          <w:highlight w:val="none"/>
        </w:rPr>
        <w:t>多党合作事业和党外代表人士队伍建设取得新成效；</w:t>
      </w:r>
    </w:p>
    <w:p w14:paraId="0090A679">
      <w:pPr>
        <w:numPr>
          <w:ilvl w:val="0"/>
          <w:numId w:val="3"/>
        </w:numPr>
        <w:snapToGrid w:val="0"/>
        <w:spacing w:line="600" w:lineRule="exact"/>
        <w:ind w:left="0" w:leftChars="0" w:firstLine="480" w:firstLineChars="200"/>
        <w:rPr>
          <w:rFonts w:hint="eastAsia" w:ascii="宋体" w:hAnsi="宋体" w:eastAsia="宋体" w:cs="Arial Narrow"/>
          <w:highlight w:val="none"/>
        </w:rPr>
      </w:pPr>
      <w:r>
        <w:rPr>
          <w:rFonts w:hint="eastAsia" w:ascii="宋体" w:hAnsi="宋体" w:eastAsia="宋体" w:cs="Arial Narrow"/>
          <w:highlight w:val="none"/>
        </w:rPr>
        <w:t>各民主党派开展”两学一</w:t>
      </w:r>
      <w:r>
        <w:rPr>
          <w:rFonts w:hint="eastAsia" w:ascii="宋体" w:hAnsi="宋体" w:eastAsia="宋体" w:cs="Arial Narrow"/>
          <w:highlight w:val="none"/>
          <w:lang w:val="en-US" w:eastAsia="zh-CN"/>
        </w:rPr>
        <w:t>做</w:t>
      </w:r>
      <w:r>
        <w:rPr>
          <w:rFonts w:hint="eastAsia" w:ascii="宋体" w:hAnsi="宋体" w:eastAsia="宋体" w:cs="Arial Narrow"/>
          <w:highlight w:val="none"/>
        </w:rPr>
        <w:t>”学习教育；</w:t>
      </w:r>
    </w:p>
    <w:p w14:paraId="773AF3C4">
      <w:pPr>
        <w:numPr>
          <w:ilvl w:val="0"/>
          <w:numId w:val="0"/>
        </w:numPr>
        <w:snapToGrid w:val="0"/>
        <w:spacing w:line="600" w:lineRule="exact"/>
        <w:rPr>
          <w:rFonts w:hint="eastAsia" w:ascii="宋体" w:hAnsi="宋体" w:eastAsia="宋体" w:cs="Arial Narrow"/>
          <w:highlight w:val="none"/>
        </w:rPr>
      </w:pPr>
      <w:r>
        <w:rPr>
          <w:rFonts w:hint="eastAsia" w:ascii="宋体" w:hAnsi="宋体" w:eastAsia="宋体" w:cs="Arial Narrow"/>
          <w:highlight w:val="none"/>
          <w:lang w:val="en-US" w:eastAsia="zh-CN"/>
        </w:rPr>
        <w:t xml:space="preserve">    （7）</w:t>
      </w:r>
      <w:r>
        <w:rPr>
          <w:rFonts w:hint="eastAsia" w:ascii="宋体" w:hAnsi="宋体" w:eastAsia="宋体" w:cs="Arial Narrow"/>
          <w:highlight w:val="none"/>
        </w:rPr>
        <w:t>开展“一号工程”政策解读、招商引资项目推介、党派工作座谈会、新的社会阶层党外人士理论培训、各界人士喜迎党的十九大暨国庆中秋文艺汇演活动；</w:t>
      </w:r>
    </w:p>
    <w:p w14:paraId="10A87DB5">
      <w:pPr>
        <w:numPr>
          <w:ilvl w:val="0"/>
          <w:numId w:val="0"/>
        </w:numPr>
        <w:snapToGrid w:val="0"/>
        <w:spacing w:line="600" w:lineRule="exact"/>
        <w:rPr>
          <w:rFonts w:hint="eastAsia"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w:t>
      </w:r>
      <w:r>
        <w:rPr>
          <w:rFonts w:hint="eastAsia" w:ascii="宋体" w:hAnsi="宋体" w:eastAsia="宋体" w:cs="Arial Narrow"/>
          <w:highlight w:val="none"/>
          <w:lang w:val="en-US" w:eastAsia="zh-CN"/>
        </w:rPr>
        <w:t>8</w:t>
      </w:r>
      <w:r>
        <w:rPr>
          <w:rFonts w:hint="eastAsia" w:ascii="宋体" w:hAnsi="宋体" w:eastAsia="宋体" w:cs="Arial Narrow"/>
          <w:highlight w:val="none"/>
        </w:rPr>
        <w:t>）筹备并成立“武昌区新的社会阶层人士联谊会。</w:t>
      </w:r>
    </w:p>
    <w:p w14:paraId="662A92EA">
      <w:pPr>
        <w:snapToGrid w:val="0"/>
        <w:spacing w:line="600" w:lineRule="exact"/>
        <w:ind w:firstLine="482"/>
        <w:rPr>
          <w:rFonts w:hint="eastAsia" w:ascii="宋体" w:hAnsi="宋体" w:eastAsia="宋体" w:cs="Arial Narrow"/>
          <w:b/>
        </w:rPr>
      </w:pPr>
      <w:r>
        <w:rPr>
          <w:rFonts w:hint="eastAsia" w:ascii="宋体" w:hAnsi="宋体" w:eastAsia="宋体" w:cs="Arial Narrow"/>
          <w:b/>
        </w:rPr>
        <w:t>4．项目经费来源和使用情况</w:t>
      </w:r>
    </w:p>
    <w:p w14:paraId="47D761B6">
      <w:pPr>
        <w:snapToGrid w:val="0"/>
        <w:spacing w:line="600" w:lineRule="exact"/>
        <w:ind w:firstLine="480"/>
        <w:rPr>
          <w:rFonts w:hint="eastAsia" w:ascii="宋体" w:hAnsi="宋体" w:eastAsia="宋体" w:cs="Arial Narrow"/>
        </w:rPr>
      </w:pPr>
      <w:r>
        <w:rPr>
          <w:rFonts w:hint="eastAsia" w:ascii="宋体" w:hAnsi="宋体" w:eastAsia="宋体" w:cs="Arial Narrow"/>
        </w:rPr>
        <w:t>4.1项目资金来源</w:t>
      </w:r>
    </w:p>
    <w:p w14:paraId="30F08CB0">
      <w:pPr>
        <w:snapToGrid w:val="0"/>
        <w:spacing w:line="600" w:lineRule="exact"/>
        <w:ind w:firstLine="480"/>
        <w:rPr>
          <w:rFonts w:hint="eastAsia" w:ascii="宋体" w:hAnsi="宋体" w:eastAsia="宋体" w:cs="Arial Narrow"/>
          <w:highlight w:val="none"/>
        </w:rPr>
      </w:pPr>
      <w:r>
        <w:rPr>
          <w:rFonts w:hint="eastAsia" w:ascii="宋体" w:hAnsi="宋体" w:eastAsia="宋体" w:cs="Arial Narrow"/>
        </w:rPr>
        <w:t>根据</w:t>
      </w:r>
      <w:r>
        <w:rPr>
          <w:rFonts w:hint="eastAsia" w:ascii="宋体" w:hAnsi="宋体" w:eastAsia="宋体" w:cs="Arial Narrow"/>
          <w:lang w:eastAsia="zh-CN"/>
        </w:rPr>
        <w:t>《</w:t>
      </w:r>
      <w:r>
        <w:rPr>
          <w:rFonts w:hint="eastAsia" w:ascii="宋体" w:hAnsi="宋体" w:eastAsia="宋体" w:cs="Arial Narrow"/>
        </w:rPr>
        <w:t>武昌区财政局关于中共武昌区委员会统一</w:t>
      </w:r>
      <w:r>
        <w:rPr>
          <w:rFonts w:hint="eastAsia" w:ascii="宋体" w:hAnsi="宋体" w:eastAsia="宋体" w:cs="Arial Narrow"/>
          <w:lang w:val="en-US" w:eastAsia="zh-CN"/>
        </w:rPr>
        <w:t>战线</w:t>
      </w:r>
      <w:r>
        <w:rPr>
          <w:rFonts w:hint="eastAsia" w:ascii="宋体" w:hAnsi="宋体" w:eastAsia="宋体" w:cs="Arial Narrow"/>
        </w:rPr>
        <w:t>工作部201</w:t>
      </w:r>
      <w:r>
        <w:rPr>
          <w:rFonts w:hint="eastAsia" w:ascii="宋体" w:hAnsi="宋体" w:eastAsia="宋体" w:cs="Arial Narrow"/>
          <w:lang w:val="en-US" w:eastAsia="zh-CN"/>
        </w:rPr>
        <w:t>8</w:t>
      </w:r>
      <w:r>
        <w:rPr>
          <w:rFonts w:hint="eastAsia" w:ascii="宋体" w:hAnsi="宋体" w:eastAsia="宋体" w:cs="Arial Narrow"/>
        </w:rPr>
        <w:t>年部门预算的批复</w:t>
      </w:r>
      <w:r>
        <w:rPr>
          <w:rFonts w:hint="eastAsia" w:ascii="宋体" w:hAnsi="宋体" w:eastAsia="宋体" w:cs="Arial Narrow"/>
          <w:lang w:eastAsia="zh-CN"/>
        </w:rPr>
        <w:t>》（</w:t>
      </w:r>
      <w:r>
        <w:rPr>
          <w:rFonts w:hint="eastAsia" w:ascii="宋体" w:hAnsi="宋体" w:eastAsia="宋体" w:cs="Arial Narrow"/>
        </w:rPr>
        <w:t>武昌财预[2016]249号</w:t>
      </w:r>
      <w:r>
        <w:rPr>
          <w:rFonts w:hint="eastAsia" w:ascii="宋体" w:hAnsi="宋体" w:eastAsia="宋体" w:cs="Arial Narrow"/>
          <w:lang w:eastAsia="zh-CN"/>
        </w:rPr>
        <w:t>）</w:t>
      </w:r>
      <w:r>
        <w:rPr>
          <w:rFonts w:hint="eastAsia" w:ascii="宋体" w:hAnsi="宋体" w:eastAsia="宋体" w:cs="Arial Narrow"/>
          <w:lang w:val="en-US" w:eastAsia="zh-CN"/>
        </w:rPr>
        <w:t>,区统战部2018年度“统战事务经费”项目预算批复的年初数为</w:t>
      </w:r>
      <w:r>
        <w:rPr>
          <w:rFonts w:hint="eastAsia" w:ascii="宋体" w:hAnsi="宋体" w:eastAsia="宋体" w:cs="Arial Narrow"/>
          <w:highlight w:val="none"/>
          <w:lang w:val="en-US" w:eastAsia="zh-CN"/>
        </w:rPr>
        <w:t>296万元，均系财政拨款。</w:t>
      </w:r>
    </w:p>
    <w:p w14:paraId="738E066C">
      <w:pPr>
        <w:snapToGrid w:val="0"/>
        <w:spacing w:line="600" w:lineRule="exact"/>
        <w:ind w:firstLine="480"/>
        <w:rPr>
          <w:rFonts w:ascii="宋体" w:hAnsi="宋体" w:eastAsia="宋体" w:cs="Arial Narrow"/>
          <w:highlight w:val="none"/>
        </w:rPr>
      </w:pPr>
      <w:r>
        <w:rPr>
          <w:rFonts w:hint="eastAsia" w:ascii="宋体" w:hAnsi="宋体" w:eastAsia="宋体" w:cs="Arial Narrow"/>
          <w:highlight w:val="none"/>
        </w:rPr>
        <w:t>4.2</w:t>
      </w:r>
      <w:bookmarkEnd w:id="9"/>
      <w:bookmarkEnd w:id="10"/>
      <w:bookmarkEnd w:id="11"/>
      <w:bookmarkEnd w:id="12"/>
      <w:bookmarkStart w:id="13" w:name="_Toc361303718"/>
      <w:bookmarkStart w:id="14" w:name="_Toc361304427"/>
      <w:bookmarkStart w:id="15" w:name="_Toc361302024"/>
      <w:bookmarkStart w:id="16" w:name="_Toc361304679"/>
      <w:bookmarkStart w:id="17" w:name="_Toc361304169"/>
      <w:r>
        <w:rPr>
          <w:rFonts w:hint="eastAsia" w:ascii="宋体" w:hAnsi="宋体" w:eastAsia="宋体" w:cs="Arial Narrow"/>
          <w:highlight w:val="none"/>
        </w:rPr>
        <w:t>项目资金使用概况</w:t>
      </w:r>
    </w:p>
    <w:p w14:paraId="63F46FCC">
      <w:pPr>
        <w:snapToGrid w:val="0"/>
        <w:spacing w:line="600" w:lineRule="exact"/>
        <w:ind w:firstLine="480"/>
        <w:rPr>
          <w:rFonts w:hint="eastAsia" w:ascii="宋体" w:hAnsi="宋体" w:eastAsia="宋体" w:cs="Arial Narrow"/>
          <w:bCs/>
          <w:highlight w:val="none"/>
        </w:rPr>
      </w:pPr>
      <w:r>
        <w:rPr>
          <w:rFonts w:hint="eastAsia" w:ascii="宋体" w:hAnsi="宋体" w:eastAsia="宋体" w:cs="Arial Narrow"/>
          <w:highlight w:val="none"/>
        </w:rPr>
        <w:t>区</w:t>
      </w:r>
      <w:r>
        <w:rPr>
          <w:rFonts w:hint="eastAsia" w:ascii="宋体" w:hAnsi="宋体" w:eastAsia="宋体" w:cs="Arial Narrow"/>
          <w:highlight w:val="none"/>
          <w:lang w:eastAsia="zh-CN"/>
        </w:rPr>
        <w:t>统战部</w:t>
      </w:r>
      <w:r>
        <w:rPr>
          <w:rFonts w:hint="eastAsia" w:ascii="宋体" w:hAnsi="宋体" w:eastAsia="宋体" w:cs="Arial Narrow"/>
          <w:highlight w:val="none"/>
          <w:lang w:val="en-US" w:eastAsia="zh-CN"/>
        </w:rPr>
        <w:t>2018年度</w:t>
      </w:r>
      <w:r>
        <w:rPr>
          <w:rFonts w:hint="eastAsia" w:ascii="宋体" w:hAnsi="宋体" w:eastAsia="宋体" w:cs="Arial Narrow"/>
          <w:highlight w:val="none"/>
          <w:lang w:eastAsia="zh-CN"/>
        </w:rPr>
        <w:t>“统战事务经费”</w:t>
      </w:r>
      <w:r>
        <w:rPr>
          <w:rFonts w:hint="eastAsia" w:ascii="宋体" w:hAnsi="宋体" w:eastAsia="宋体" w:cs="Arial Narrow"/>
          <w:bCs/>
          <w:highlight w:val="none"/>
        </w:rPr>
        <w:t>项目资金使用情况详见下表：</w:t>
      </w:r>
    </w:p>
    <w:tbl>
      <w:tblPr>
        <w:tblStyle w:val="23"/>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505"/>
        <w:gridCol w:w="4707"/>
      </w:tblGrid>
      <w:tr w14:paraId="3BE0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168" w:type="dxa"/>
            <w:vAlign w:val="center"/>
          </w:tcPr>
          <w:p w14:paraId="228D8B35">
            <w:pPr>
              <w:widowControl/>
              <w:ind w:left="0" w:leftChars="0" w:firstLine="0" w:firstLineChars="0"/>
              <w:jc w:val="center"/>
              <w:textAlignment w:val="top"/>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序号</w:t>
            </w:r>
          </w:p>
        </w:tc>
        <w:tc>
          <w:tcPr>
            <w:tcW w:w="2505" w:type="dxa"/>
            <w:vAlign w:val="center"/>
          </w:tcPr>
          <w:p w14:paraId="0B2ACB85">
            <w:pPr>
              <w:widowControl/>
              <w:ind w:left="0" w:leftChars="0" w:firstLine="0" w:firstLineChars="0"/>
              <w:jc w:val="center"/>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项目名称</w:t>
            </w:r>
          </w:p>
        </w:tc>
        <w:tc>
          <w:tcPr>
            <w:tcW w:w="4707" w:type="dxa"/>
            <w:vAlign w:val="center"/>
          </w:tcPr>
          <w:p w14:paraId="30D0829B">
            <w:pPr>
              <w:widowControl/>
              <w:ind w:firstLine="480" w:firstLineChars="200"/>
              <w:jc w:val="center"/>
              <w:textAlignment w:val="center"/>
              <w:rPr>
                <w:rFonts w:hint="eastAsia" w:ascii="宋体" w:hAnsi="宋体" w:eastAsia="宋体" w:cs="宋体"/>
                <w:i w:val="0"/>
                <w:color w:val="000000"/>
                <w:kern w:val="0"/>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金额</w:t>
            </w:r>
          </w:p>
        </w:tc>
      </w:tr>
      <w:tr w14:paraId="786A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77E4DED0">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1</w:t>
            </w:r>
          </w:p>
        </w:tc>
        <w:tc>
          <w:tcPr>
            <w:tcW w:w="2505" w:type="dxa"/>
            <w:vAlign w:val="bottom"/>
          </w:tcPr>
          <w:p w14:paraId="359DE935">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劳务费</w:t>
            </w:r>
          </w:p>
        </w:tc>
        <w:tc>
          <w:tcPr>
            <w:tcW w:w="4707" w:type="dxa"/>
            <w:vAlign w:val="center"/>
          </w:tcPr>
          <w:p w14:paraId="28C3CA85">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27,568.00</w:t>
            </w:r>
          </w:p>
        </w:tc>
      </w:tr>
      <w:tr w14:paraId="0BE8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01D53BC9">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2</w:t>
            </w:r>
          </w:p>
        </w:tc>
        <w:tc>
          <w:tcPr>
            <w:tcW w:w="2505" w:type="dxa"/>
            <w:vAlign w:val="bottom"/>
          </w:tcPr>
          <w:p w14:paraId="497C592A">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办公费</w:t>
            </w:r>
          </w:p>
        </w:tc>
        <w:tc>
          <w:tcPr>
            <w:tcW w:w="4707" w:type="dxa"/>
            <w:vAlign w:val="center"/>
          </w:tcPr>
          <w:p w14:paraId="46997FBC">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867,896.30</w:t>
            </w:r>
          </w:p>
        </w:tc>
      </w:tr>
      <w:tr w14:paraId="5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561F7F16">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3</w:t>
            </w:r>
          </w:p>
        </w:tc>
        <w:tc>
          <w:tcPr>
            <w:tcW w:w="2505" w:type="dxa"/>
            <w:vAlign w:val="bottom"/>
          </w:tcPr>
          <w:p w14:paraId="0797CCD6">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差旅费</w:t>
            </w:r>
          </w:p>
        </w:tc>
        <w:tc>
          <w:tcPr>
            <w:tcW w:w="4707" w:type="dxa"/>
            <w:vAlign w:val="center"/>
          </w:tcPr>
          <w:p w14:paraId="184A7C7B">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528,756.50</w:t>
            </w:r>
          </w:p>
        </w:tc>
      </w:tr>
      <w:tr w14:paraId="0BEC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6C848D46">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4</w:t>
            </w:r>
          </w:p>
        </w:tc>
        <w:tc>
          <w:tcPr>
            <w:tcW w:w="2505" w:type="dxa"/>
            <w:vAlign w:val="bottom"/>
          </w:tcPr>
          <w:p w14:paraId="3617459A">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会议费</w:t>
            </w:r>
          </w:p>
        </w:tc>
        <w:tc>
          <w:tcPr>
            <w:tcW w:w="4707" w:type="dxa"/>
            <w:vAlign w:val="center"/>
          </w:tcPr>
          <w:p w14:paraId="5BE6F6C4">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184,898.90</w:t>
            </w:r>
          </w:p>
        </w:tc>
      </w:tr>
      <w:tr w14:paraId="1987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5C8EA7E2">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5</w:t>
            </w:r>
          </w:p>
        </w:tc>
        <w:tc>
          <w:tcPr>
            <w:tcW w:w="2505" w:type="dxa"/>
            <w:vAlign w:val="bottom"/>
          </w:tcPr>
          <w:p w14:paraId="60E35676">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福利费</w:t>
            </w:r>
          </w:p>
        </w:tc>
        <w:tc>
          <w:tcPr>
            <w:tcW w:w="4707" w:type="dxa"/>
            <w:vAlign w:val="center"/>
          </w:tcPr>
          <w:p w14:paraId="13A8DA0D">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28,800.00</w:t>
            </w:r>
          </w:p>
        </w:tc>
      </w:tr>
      <w:tr w14:paraId="5479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2996E409">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6</w:t>
            </w:r>
          </w:p>
        </w:tc>
        <w:tc>
          <w:tcPr>
            <w:tcW w:w="2505" w:type="dxa"/>
            <w:vAlign w:val="bottom"/>
          </w:tcPr>
          <w:p w14:paraId="408A8882">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设备购置费</w:t>
            </w:r>
          </w:p>
        </w:tc>
        <w:tc>
          <w:tcPr>
            <w:tcW w:w="4707" w:type="dxa"/>
            <w:vAlign w:val="center"/>
          </w:tcPr>
          <w:p w14:paraId="5A054E19">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968,097.00</w:t>
            </w:r>
          </w:p>
        </w:tc>
      </w:tr>
      <w:tr w14:paraId="7FA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0DDB2D7B">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7</w:t>
            </w:r>
          </w:p>
        </w:tc>
        <w:tc>
          <w:tcPr>
            <w:tcW w:w="2505" w:type="dxa"/>
            <w:vAlign w:val="bottom"/>
          </w:tcPr>
          <w:p w14:paraId="78EF82A0">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装修费</w:t>
            </w:r>
          </w:p>
        </w:tc>
        <w:tc>
          <w:tcPr>
            <w:tcW w:w="4707" w:type="dxa"/>
            <w:vAlign w:val="center"/>
          </w:tcPr>
          <w:p w14:paraId="071E8DFF">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98,300.00</w:t>
            </w:r>
          </w:p>
        </w:tc>
      </w:tr>
      <w:tr w14:paraId="054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42E1DE64">
            <w:pPr>
              <w:widowControl/>
              <w:ind w:firstLine="480" w:firstLineChars="200"/>
              <w:jc w:val="left"/>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highlight w:val="none"/>
                <w:u w:val="none"/>
                <w:lang w:val="en-US" w:eastAsia="zh-CN" w:bidi="ar-SA"/>
              </w:rPr>
              <w:t>8</w:t>
            </w:r>
          </w:p>
        </w:tc>
        <w:tc>
          <w:tcPr>
            <w:tcW w:w="2505" w:type="dxa"/>
            <w:vAlign w:val="bottom"/>
          </w:tcPr>
          <w:p w14:paraId="4451758B">
            <w:pPr>
              <w:widowControl/>
              <w:ind w:firstLine="480" w:firstLineChars="200"/>
              <w:jc w:val="both"/>
              <w:textAlignment w:val="bottom"/>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 xml:space="preserve"> 慈善基金</w:t>
            </w:r>
          </w:p>
        </w:tc>
        <w:tc>
          <w:tcPr>
            <w:tcW w:w="4707" w:type="dxa"/>
            <w:vAlign w:val="center"/>
          </w:tcPr>
          <w:p w14:paraId="231F8EBE">
            <w:pPr>
              <w:keepNext w:val="0"/>
              <w:keepLines w:val="0"/>
              <w:widowControl/>
              <w:suppressLineNumbers w:val="0"/>
              <w:ind w:firstLine="480" w:firstLineChars="200"/>
              <w:jc w:val="center"/>
              <w:textAlignment w:val="center"/>
              <w:rPr>
                <w:rFonts w:hint="eastAsia" w:ascii="宋体" w:hAnsi="宋体" w:eastAsia="宋体" w:cs="Arial Narrow"/>
                <w:bCs/>
                <w:highlight w:val="none"/>
                <w:lang w:val="en-US" w:eastAsia="zh-CN"/>
              </w:rPr>
            </w:pPr>
            <w:r>
              <w:rPr>
                <w:rFonts w:hint="eastAsia" w:ascii="宋体" w:hAnsi="宋体" w:eastAsia="宋体" w:cs="宋体"/>
                <w:i w:val="0"/>
                <w:color w:val="000000"/>
                <w:kern w:val="0"/>
                <w:sz w:val="24"/>
                <w:szCs w:val="24"/>
                <w:u w:val="none"/>
                <w:lang w:val="en-US" w:eastAsia="zh-CN" w:bidi="ar"/>
              </w:rPr>
              <w:t>14,000.00</w:t>
            </w:r>
          </w:p>
        </w:tc>
      </w:tr>
      <w:tr w14:paraId="59FC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3" w:type="dxa"/>
            <w:gridSpan w:val="2"/>
            <w:vAlign w:val="center"/>
          </w:tcPr>
          <w:p w14:paraId="2F592C01">
            <w:pPr>
              <w:widowControl/>
              <w:ind w:firstLine="480" w:firstLineChars="200"/>
              <w:jc w:val="center"/>
              <w:textAlignment w:val="center"/>
              <w:rPr>
                <w:rFonts w:hint="eastAsia" w:ascii="宋体" w:hAnsi="宋体" w:eastAsia="宋体" w:cs="Arial Narrow"/>
                <w:bCs/>
                <w:highlight w:val="none"/>
                <w:lang w:eastAsia="zh-CN"/>
              </w:rPr>
            </w:pPr>
            <w:r>
              <w:rPr>
                <w:rFonts w:hint="eastAsia" w:ascii="宋体" w:hAnsi="宋体" w:eastAsia="宋体" w:cs="宋体"/>
                <w:i w:val="0"/>
                <w:color w:val="000000"/>
                <w:kern w:val="0"/>
                <w:sz w:val="24"/>
                <w:szCs w:val="24"/>
                <w:highlight w:val="none"/>
                <w:u w:val="none"/>
                <w:lang w:val="en-US" w:eastAsia="zh-CN" w:bidi="ar-SA"/>
              </w:rPr>
              <w:t>合计</w:t>
            </w:r>
          </w:p>
        </w:tc>
        <w:tc>
          <w:tcPr>
            <w:tcW w:w="4707" w:type="dxa"/>
            <w:vAlign w:val="center"/>
          </w:tcPr>
          <w:p w14:paraId="6320BDA8">
            <w:pPr>
              <w:widowControl/>
              <w:ind w:firstLine="480" w:firstLineChars="200"/>
              <w:jc w:val="center"/>
              <w:textAlignment w:val="center"/>
              <w:rPr>
                <w:rFonts w:hint="default" w:ascii="宋体" w:hAnsi="宋体" w:eastAsia="宋体" w:cs="Arial Narrow"/>
                <w:bCs/>
                <w:highlight w:val="none"/>
                <w:lang w:val="en-US" w:eastAsia="zh-CN"/>
              </w:rPr>
            </w:pPr>
            <w:r>
              <w:rPr>
                <w:rFonts w:hint="eastAsia" w:ascii="宋体" w:hAnsi="宋体" w:eastAsia="宋体" w:cs="Arial Narrow"/>
                <w:bCs/>
                <w:highlight w:val="none"/>
                <w:lang w:val="en-US" w:eastAsia="zh-CN"/>
              </w:rPr>
              <w:t>2718316</w:t>
            </w:r>
          </w:p>
        </w:tc>
      </w:tr>
    </w:tbl>
    <w:p w14:paraId="50CFC5BB">
      <w:pPr>
        <w:snapToGrid w:val="0"/>
        <w:spacing w:line="600" w:lineRule="exact"/>
        <w:ind w:firstLine="480"/>
        <w:rPr>
          <w:rFonts w:hint="eastAsia" w:ascii="宋体" w:hAnsi="宋体" w:eastAsia="宋体" w:cs="Arial Narrow"/>
          <w:bCs/>
        </w:rPr>
      </w:pPr>
    </w:p>
    <w:bookmarkEnd w:id="13"/>
    <w:bookmarkEnd w:id="14"/>
    <w:bookmarkEnd w:id="15"/>
    <w:bookmarkEnd w:id="16"/>
    <w:bookmarkEnd w:id="17"/>
    <w:p w14:paraId="67B003CF">
      <w:pPr>
        <w:snapToGrid w:val="0"/>
        <w:spacing w:line="600" w:lineRule="exact"/>
        <w:ind w:firstLine="480"/>
        <w:outlineLvl w:val="1"/>
        <w:rPr>
          <w:rFonts w:hint="eastAsia" w:ascii="宋体" w:hAnsi="宋体" w:eastAsia="宋体" w:cs="Arial Narrow"/>
          <w:color w:val="auto"/>
          <w:highlight w:val="none"/>
          <w:lang w:eastAsia="zh-CN"/>
        </w:rPr>
      </w:pPr>
      <w:bookmarkStart w:id="18" w:name="_Toc478396451"/>
      <w:bookmarkStart w:id="19" w:name="_Toc16351"/>
      <w:bookmarkStart w:id="20" w:name="_Toc406666356"/>
      <w:bookmarkStart w:id="21" w:name="_Toc406668030"/>
      <w:bookmarkStart w:id="22" w:name="_Toc361304680"/>
      <w:r>
        <w:rPr>
          <w:rFonts w:hint="eastAsia" w:ascii="宋体" w:hAnsi="宋体" w:eastAsia="宋体" w:cs="Arial Narrow"/>
          <w:bCs/>
          <w:color w:val="auto"/>
          <w:highlight w:val="none"/>
        </w:rPr>
        <w:t>注：201</w:t>
      </w:r>
      <w:r>
        <w:rPr>
          <w:rFonts w:hint="eastAsia" w:ascii="宋体" w:hAnsi="宋体" w:eastAsia="宋体" w:cs="Arial Narrow"/>
          <w:bCs/>
          <w:color w:val="auto"/>
          <w:highlight w:val="none"/>
          <w:lang w:val="en-US" w:eastAsia="zh-CN"/>
        </w:rPr>
        <w:t>8</w:t>
      </w:r>
      <w:r>
        <w:rPr>
          <w:rFonts w:hint="eastAsia" w:ascii="宋体" w:hAnsi="宋体" w:eastAsia="宋体" w:cs="Arial Narrow"/>
          <w:bCs/>
          <w:color w:val="auto"/>
          <w:highlight w:val="none"/>
        </w:rPr>
        <w:t>年度</w:t>
      </w:r>
      <w:r>
        <w:rPr>
          <w:rFonts w:hint="eastAsia" w:ascii="宋体" w:hAnsi="宋体" w:eastAsia="宋体" w:cs="Arial Narrow"/>
          <w:bCs/>
          <w:color w:val="auto"/>
          <w:highlight w:val="none"/>
          <w:lang w:eastAsia="zh-CN"/>
        </w:rPr>
        <w:t>“</w:t>
      </w:r>
      <w:r>
        <w:rPr>
          <w:rFonts w:hint="eastAsia" w:ascii="宋体" w:hAnsi="宋体" w:eastAsia="宋体" w:cs="Arial Narrow"/>
          <w:highlight w:val="none"/>
          <w:lang w:eastAsia="zh-CN"/>
        </w:rPr>
        <w:t>统战事务</w:t>
      </w:r>
      <w:r>
        <w:rPr>
          <w:rFonts w:hint="eastAsia" w:ascii="宋体" w:hAnsi="宋体" w:eastAsia="宋体" w:cs="Arial Narrow"/>
          <w:bCs/>
          <w:color w:val="auto"/>
          <w:highlight w:val="none"/>
          <w:lang w:eastAsia="zh-CN"/>
        </w:rPr>
        <w:t>经费”</w:t>
      </w:r>
      <w:r>
        <w:rPr>
          <w:rFonts w:hint="eastAsia" w:ascii="宋体" w:hAnsi="宋体" w:eastAsia="宋体" w:cs="Arial Narrow"/>
          <w:bCs/>
          <w:color w:val="auto"/>
          <w:highlight w:val="none"/>
        </w:rPr>
        <w:t>预算执行率为</w:t>
      </w:r>
      <w:r>
        <w:rPr>
          <w:rFonts w:hint="eastAsia" w:ascii="宋体" w:hAnsi="宋体" w:eastAsia="宋体" w:cs="Arial Narrow"/>
          <w:bCs/>
          <w:color w:val="auto"/>
          <w:highlight w:val="none"/>
          <w:lang w:val="en-US" w:eastAsia="zh-CN"/>
        </w:rPr>
        <w:t>91.83</w:t>
      </w:r>
      <w:r>
        <w:rPr>
          <w:rFonts w:hint="eastAsia" w:ascii="宋体" w:hAnsi="宋体" w:eastAsia="宋体" w:cs="Arial Narrow"/>
          <w:bCs/>
          <w:color w:val="auto"/>
          <w:highlight w:val="none"/>
        </w:rPr>
        <w:t>%，财政作为全年的工作经费来</w:t>
      </w:r>
      <w:r>
        <w:rPr>
          <w:rFonts w:hint="eastAsia" w:ascii="宋体" w:hAnsi="宋体" w:eastAsia="宋体" w:cs="Arial Narrow"/>
          <w:bCs/>
          <w:color w:val="auto"/>
          <w:highlight w:val="none"/>
          <w:lang w:eastAsia="zh-CN"/>
        </w:rPr>
        <w:t>源</w:t>
      </w:r>
      <w:r>
        <w:rPr>
          <w:rFonts w:hint="eastAsia" w:ascii="宋体" w:hAnsi="宋体" w:eastAsia="宋体" w:cs="Arial Narrow"/>
          <w:bCs/>
          <w:color w:val="auto"/>
          <w:highlight w:val="none"/>
        </w:rPr>
        <w:t>划拨</w:t>
      </w:r>
      <w:r>
        <w:rPr>
          <w:rFonts w:hint="eastAsia" w:ascii="宋体" w:hAnsi="宋体" w:eastAsia="宋体" w:cs="Arial Narrow"/>
          <w:bCs/>
          <w:color w:val="auto"/>
          <w:highlight w:val="none"/>
          <w:lang w:val="en-US" w:eastAsia="zh-CN"/>
        </w:rPr>
        <w:t>296</w:t>
      </w:r>
      <w:r>
        <w:rPr>
          <w:rFonts w:hint="eastAsia" w:ascii="宋体" w:hAnsi="宋体" w:eastAsia="宋体" w:cs="Arial Narrow"/>
          <w:bCs/>
          <w:color w:val="auto"/>
          <w:highlight w:val="none"/>
        </w:rPr>
        <w:t>万，</w:t>
      </w:r>
      <w:r>
        <w:rPr>
          <w:rFonts w:hint="eastAsia" w:ascii="宋体" w:hAnsi="宋体" w:eastAsia="宋体" w:cs="Arial Narrow"/>
          <w:bCs/>
          <w:color w:val="auto"/>
          <w:highlight w:val="none"/>
          <w:lang w:eastAsia="zh-CN"/>
        </w:rPr>
        <w:t>区统战部</w:t>
      </w:r>
      <w:r>
        <w:rPr>
          <w:rFonts w:hint="eastAsia" w:ascii="宋体" w:hAnsi="宋体" w:eastAsia="宋体" w:cs="Arial Narrow"/>
          <w:color w:val="auto"/>
          <w:highlight w:val="none"/>
        </w:rPr>
        <w:t>按</w:t>
      </w:r>
      <w:r>
        <w:rPr>
          <w:rFonts w:hint="eastAsia" w:ascii="宋体" w:hAnsi="宋体" w:eastAsia="宋体" w:cs="Arial Narrow"/>
          <w:color w:val="auto"/>
          <w:highlight w:val="none"/>
          <w:lang w:eastAsia="zh-CN"/>
        </w:rPr>
        <w:t>党派</w:t>
      </w:r>
      <w:r>
        <w:rPr>
          <w:rFonts w:hint="eastAsia" w:ascii="宋体" w:hAnsi="宋体" w:eastAsia="宋体" w:cs="Arial Narrow"/>
          <w:color w:val="auto"/>
          <w:highlight w:val="none"/>
        </w:rPr>
        <w:t>工作</w:t>
      </w:r>
      <w:r>
        <w:rPr>
          <w:rFonts w:hint="eastAsia" w:ascii="宋体" w:hAnsi="宋体" w:eastAsia="宋体" w:cs="Arial Narrow"/>
          <w:color w:val="auto"/>
          <w:highlight w:val="none"/>
          <w:lang w:eastAsia="zh-CN"/>
        </w:rPr>
        <w:t>经</w:t>
      </w:r>
      <w:r>
        <w:rPr>
          <w:rFonts w:hint="eastAsia" w:ascii="宋体" w:hAnsi="宋体" w:eastAsia="宋体" w:cs="Arial Narrow"/>
          <w:color w:val="auto"/>
          <w:highlight w:val="none"/>
        </w:rPr>
        <w:t>费来核算绩效，年末结余财</w:t>
      </w:r>
      <w:r>
        <w:rPr>
          <w:rFonts w:hint="eastAsia" w:ascii="宋体" w:hAnsi="宋体" w:eastAsia="宋体" w:cs="Arial Narrow"/>
          <w:color w:val="auto"/>
          <w:highlight w:val="none"/>
          <w:lang w:eastAsia="zh-CN"/>
        </w:rPr>
        <w:t>政资金用于新增的“台湾民主自治同盟武昌区工委”项目</w:t>
      </w:r>
    </w:p>
    <w:p w14:paraId="082D96D0">
      <w:pPr>
        <w:snapToGrid w:val="0"/>
        <w:spacing w:line="600" w:lineRule="exact"/>
        <w:ind w:firstLine="482"/>
        <w:outlineLvl w:val="1"/>
        <w:rPr>
          <w:rFonts w:ascii="宋体" w:hAnsi="宋体" w:eastAsia="宋体" w:cs="Arial Narrow"/>
          <w:b/>
          <w:bCs/>
        </w:rPr>
      </w:pPr>
      <w:r>
        <w:rPr>
          <w:rFonts w:hint="eastAsia" w:ascii="宋体" w:hAnsi="宋体" w:eastAsia="宋体" w:cs="Arial Narrow"/>
          <w:b/>
          <w:bCs/>
        </w:rPr>
        <w:t>（二）项目绩效目标</w:t>
      </w:r>
      <w:bookmarkEnd w:id="18"/>
    </w:p>
    <w:p w14:paraId="06C5E28E">
      <w:pPr>
        <w:snapToGrid w:val="0"/>
        <w:spacing w:line="600" w:lineRule="exact"/>
        <w:ind w:firstLine="482"/>
        <w:rPr>
          <w:rFonts w:ascii="宋体" w:hAnsi="宋体" w:eastAsia="宋体" w:cs="Arial Narrow"/>
          <w:b/>
          <w:bCs/>
        </w:rPr>
      </w:pPr>
      <w:r>
        <w:rPr>
          <w:rFonts w:hint="eastAsia" w:ascii="宋体" w:hAnsi="宋体" w:eastAsia="宋体" w:cs="Arial Narrow"/>
          <w:b/>
          <w:bCs/>
        </w:rPr>
        <w:t>1.</w:t>
      </w:r>
      <w:r>
        <w:rPr>
          <w:rFonts w:ascii="宋体" w:hAnsi="宋体" w:eastAsia="宋体" w:cs="Arial Narrow"/>
          <w:b/>
          <w:bCs/>
        </w:rPr>
        <w:t>项目绩效目标</w:t>
      </w:r>
      <w:bookmarkEnd w:id="19"/>
      <w:bookmarkEnd w:id="20"/>
      <w:bookmarkEnd w:id="21"/>
      <w:bookmarkEnd w:id="22"/>
    </w:p>
    <w:p w14:paraId="4CF82F68">
      <w:pPr>
        <w:snapToGrid w:val="0"/>
        <w:spacing w:line="600" w:lineRule="exact"/>
        <w:ind w:firstLine="480"/>
        <w:rPr>
          <w:rFonts w:hint="eastAsia" w:ascii="宋体" w:hAnsi="宋体" w:eastAsia="宋体" w:cs="Arial Narrow"/>
          <w:bCs/>
        </w:rPr>
      </w:pPr>
      <w:r>
        <w:rPr>
          <w:rFonts w:hint="eastAsia" w:ascii="宋体" w:hAnsi="宋体" w:eastAsia="宋体" w:cs="Arial Narrow"/>
          <w:bCs/>
        </w:rPr>
        <w:t>1.1项目立项设定绩效目标</w:t>
      </w:r>
    </w:p>
    <w:p w14:paraId="544132C3">
      <w:pPr>
        <w:snapToGrid w:val="0"/>
        <w:spacing w:line="600" w:lineRule="exact"/>
        <w:ind w:firstLine="480"/>
        <w:rPr>
          <w:rFonts w:ascii="宋体" w:hAnsi="宋体" w:eastAsia="宋体" w:cs="Arial Narrow"/>
          <w:highlight w:val="yellow"/>
        </w:rPr>
      </w:pPr>
      <w:r>
        <w:rPr>
          <w:rFonts w:hint="eastAsia" w:ascii="宋体" w:hAnsi="宋体" w:eastAsia="宋体" w:cs="Arial Narrow"/>
          <w:lang w:eastAsia="zh-CN"/>
        </w:rPr>
        <w:t>负责联系</w:t>
      </w:r>
      <w:r>
        <w:rPr>
          <w:rFonts w:hint="eastAsia" w:ascii="宋体" w:hAnsi="宋体" w:eastAsia="宋体" w:cs="Arial Narrow"/>
          <w:lang w:val="en-US" w:eastAsia="zh-CN"/>
        </w:rPr>
        <w:t>7个民主党派和无党派人士，及时通报情况，反映他们的意见和建议；研究、贯彻党领导的多党合作和政治协商制度及对民主党派的方针、政策；落实中央关于发挥民主党派、无党派人士参政议政和民主监督作用的工作；支持、帮助各民主党派加强自身建设、选拔、培养新一代代表人物。</w:t>
      </w:r>
    </w:p>
    <w:p w14:paraId="1E6A9D33">
      <w:pPr>
        <w:snapToGrid w:val="0"/>
        <w:spacing w:line="600" w:lineRule="exact"/>
        <w:ind w:firstLine="480"/>
        <w:rPr>
          <w:rFonts w:ascii="宋体" w:hAnsi="宋体" w:eastAsia="宋体" w:cs="Arial Narrow"/>
        </w:rPr>
      </w:pPr>
      <w:r>
        <w:rPr>
          <w:rFonts w:hint="eastAsia" w:ascii="宋体" w:hAnsi="宋体" w:eastAsia="宋体" w:cs="Arial Narrow"/>
          <w:bCs/>
        </w:rPr>
        <w:t>1.2</w:t>
      </w:r>
      <w:bookmarkStart w:id="23" w:name="_Toc3631"/>
      <w:bookmarkStart w:id="24" w:name="_Toc361304681"/>
      <w:bookmarkStart w:id="25" w:name="_Toc387957806"/>
      <w:r>
        <w:rPr>
          <w:rFonts w:ascii="宋体" w:hAnsi="宋体" w:eastAsia="宋体" w:cs="Arial Narrow"/>
        </w:rPr>
        <w:t>绩效目标完成情况</w:t>
      </w:r>
      <w:bookmarkEnd w:id="23"/>
    </w:p>
    <w:p w14:paraId="074FFBD3">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(1)组织召开武昌区委统一战线工作领导小组会议；</w:t>
      </w:r>
    </w:p>
    <w:p w14:paraId="0DE231AC">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(2)构架筹建全区党外代表人士信息库，确立重点培养名单并提拔党外干部4人，安排党外干部15人，在10个委办局领导班子中配备党外干部12人；</w:t>
      </w:r>
    </w:p>
    <w:p w14:paraId="7963CBAD">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(3)落实往届人大、政协党外领导同志的待遇；</w:t>
      </w:r>
    </w:p>
    <w:p w14:paraId="1F5454D4">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(4)举办全区统一战线骨干成员党的十九大精神培训班；</w:t>
      </w:r>
    </w:p>
    <w:p w14:paraId="10F27619">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(5)组织召开全区民主协商会4次；</w:t>
      </w:r>
    </w:p>
    <w:p w14:paraId="7854F49F">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(6)按照调研要求，形成涉及四水共治、社会治理创新、基础设施建设、文化产业建设等方面的调研成果8篇；</w:t>
      </w:r>
    </w:p>
    <w:p w14:paraId="534FC8CC">
      <w:pPr>
        <w:numPr>
          <w:ilvl w:val="0"/>
          <w:numId w:val="0"/>
        </w:numPr>
        <w:snapToGrid w:val="0"/>
        <w:spacing w:line="600" w:lineRule="exact"/>
        <w:ind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7）九三学社的《关于运用“大湖+”思维，加快湖泊功能区规划建设的建议》、无党派界别的《关于加强住宅小区电梯安全监管的建议》和工商联界别的《关于加强新民营经济发展的建议》，被列为十四届政协二次会议的建议案预案；</w:t>
      </w:r>
    </w:p>
    <w:p w14:paraId="464047CC">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（8）九三学社社员余丹主动配合区商务局，为美灵宝和神州易桥两家上市公司落户武昌穿针引线，受到区政协通报表彰；</w:t>
      </w:r>
    </w:p>
    <w:p w14:paraId="5E310A9E">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（9）指导区工商联顺利完成第13届执委会换届；</w:t>
      </w:r>
    </w:p>
    <w:p w14:paraId="126E17EC">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（10）依托社区网络，建立新的社会阶层骨干分子信息库；</w:t>
      </w:r>
    </w:p>
    <w:p w14:paraId="104377EF">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（11）指导各民主党派深入开展“两学一做”学习教育，各党派以学习交流、现场感受、革命传统教育等形式开展活动7次；</w:t>
      </w:r>
    </w:p>
    <w:p w14:paraId="445CDA82">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（12）开展“一号工程”政策解读、招商引资项目推介、党派工作座谈会、新的社会阶层党外人士理论培训、各界人士喜迎党的十九大暨国庆中秋文艺汇演活动8次；</w:t>
      </w:r>
    </w:p>
    <w:p w14:paraId="1736BE32">
      <w:pPr>
        <w:numPr>
          <w:ilvl w:val="0"/>
          <w:numId w:val="0"/>
        </w:numPr>
        <w:snapToGrid w:val="0"/>
        <w:spacing w:line="600" w:lineRule="exact"/>
        <w:ind w:leftChars="0"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（13）筹备并成立“武昌区新的社会阶层人士联谊会</w:t>
      </w:r>
      <w:bookmarkStart w:id="26" w:name="_Toc406668031"/>
      <w:bookmarkStart w:id="27" w:name="_Toc14372"/>
      <w:bookmarkStart w:id="28" w:name="_Toc406666357"/>
      <w:r>
        <w:rPr>
          <w:rFonts w:hint="eastAsia" w:ascii="宋体" w:hAnsi="宋体" w:eastAsia="宋体" w:cs="Arial Narrow"/>
          <w:highlight w:val="none"/>
          <w:lang w:val="en-US" w:eastAsia="zh-CN"/>
        </w:rPr>
        <w:t xml:space="preserve"> 。</w:t>
      </w:r>
    </w:p>
    <w:p w14:paraId="4BB451FD">
      <w:pPr>
        <w:numPr>
          <w:ilvl w:val="0"/>
          <w:numId w:val="0"/>
        </w:numPr>
        <w:snapToGrid w:val="0"/>
        <w:spacing w:line="600" w:lineRule="exact"/>
        <w:ind w:leftChars="0" w:firstLine="480" w:firstLineChars="200"/>
        <w:rPr>
          <w:rFonts w:ascii="宋体" w:hAnsi="宋体" w:eastAsia="宋体" w:cs="Arial Narrow"/>
        </w:rPr>
      </w:pPr>
      <w:r>
        <w:rPr>
          <w:rFonts w:hint="eastAsia" w:ascii="宋体" w:hAnsi="宋体" w:eastAsia="宋体" w:cs="Arial Narrow"/>
          <w:bCs/>
          <w:highlight w:val="none"/>
          <w:lang w:val="en-US" w:eastAsia="zh-CN"/>
        </w:rPr>
        <w:t>2018年度区统战部已</w:t>
      </w:r>
      <w:r>
        <w:rPr>
          <w:rFonts w:hint="eastAsia" w:ascii="宋体" w:hAnsi="宋体" w:eastAsia="宋体" w:cs="Arial Narrow"/>
          <w:bCs/>
          <w:highlight w:val="none"/>
        </w:rPr>
        <w:t>达到了</w:t>
      </w:r>
      <w:r>
        <w:rPr>
          <w:rFonts w:hint="eastAsia" w:ascii="宋体" w:hAnsi="宋体" w:eastAsia="宋体" w:cs="Arial Narrow"/>
          <w:bCs/>
          <w:highlight w:val="none"/>
          <w:lang w:eastAsia="zh-CN"/>
        </w:rPr>
        <w:t>“</w:t>
      </w:r>
      <w:r>
        <w:rPr>
          <w:rFonts w:hint="eastAsia" w:ascii="宋体" w:hAnsi="宋体" w:eastAsia="宋体" w:cs="Arial Narrow"/>
          <w:highlight w:val="none"/>
          <w:lang w:eastAsia="zh-CN"/>
        </w:rPr>
        <w:t>统战事务</w:t>
      </w:r>
      <w:r>
        <w:rPr>
          <w:rFonts w:hint="eastAsia" w:ascii="宋体" w:hAnsi="宋体" w:eastAsia="宋体" w:cs="Arial Narrow"/>
          <w:bCs/>
          <w:highlight w:val="none"/>
          <w:lang w:eastAsia="zh-CN"/>
        </w:rPr>
        <w:t>经费”</w:t>
      </w:r>
      <w:r>
        <w:rPr>
          <w:rFonts w:hint="eastAsia" w:ascii="宋体" w:hAnsi="宋体" w:eastAsia="宋体" w:cs="Arial Narrow"/>
          <w:bCs/>
          <w:highlight w:val="none"/>
        </w:rPr>
        <w:t>项目的绩效</w:t>
      </w:r>
      <w:r>
        <w:rPr>
          <w:rFonts w:hint="eastAsia" w:ascii="宋体" w:hAnsi="宋体" w:eastAsia="宋体" w:cs="Arial Narrow"/>
          <w:bCs/>
        </w:rPr>
        <w:t>目标。</w:t>
      </w:r>
    </w:p>
    <w:p w14:paraId="3C634078">
      <w:pPr>
        <w:snapToGrid w:val="0"/>
        <w:spacing w:line="600" w:lineRule="exact"/>
        <w:ind w:firstLine="482"/>
        <w:outlineLvl w:val="0"/>
        <w:rPr>
          <w:rFonts w:ascii="宋体" w:hAnsi="宋体" w:eastAsia="宋体" w:cs="Arial Narrow"/>
          <w:b/>
        </w:rPr>
      </w:pPr>
      <w:bookmarkStart w:id="29" w:name="_Toc478396452"/>
      <w:r>
        <w:rPr>
          <w:rFonts w:ascii="宋体" w:hAnsi="宋体" w:eastAsia="宋体" w:cs="Arial Narrow"/>
          <w:b/>
        </w:rPr>
        <w:t>二、绩效评价工作情况</w:t>
      </w:r>
      <w:bookmarkEnd w:id="24"/>
      <w:bookmarkEnd w:id="25"/>
      <w:bookmarkEnd w:id="26"/>
      <w:bookmarkEnd w:id="27"/>
      <w:bookmarkEnd w:id="28"/>
      <w:bookmarkEnd w:id="29"/>
      <w:bookmarkStart w:id="30" w:name="_Toc361304682"/>
    </w:p>
    <w:p w14:paraId="58B41746">
      <w:pPr>
        <w:snapToGrid w:val="0"/>
        <w:spacing w:line="600" w:lineRule="exact"/>
        <w:ind w:firstLine="482"/>
        <w:outlineLvl w:val="1"/>
        <w:rPr>
          <w:rFonts w:ascii="宋体" w:hAnsi="宋体" w:eastAsia="宋体" w:cs="Arial Narrow"/>
          <w:b/>
          <w:bCs/>
        </w:rPr>
      </w:pPr>
      <w:bookmarkStart w:id="31" w:name="_Toc387957807"/>
      <w:bookmarkStart w:id="32" w:name="_Toc29064"/>
      <w:bookmarkStart w:id="33" w:name="_Toc478396453"/>
      <w:bookmarkStart w:id="34" w:name="_Toc406668032"/>
      <w:bookmarkStart w:id="35" w:name="_Toc406666358"/>
      <w:r>
        <w:rPr>
          <w:rFonts w:ascii="宋体" w:hAnsi="宋体" w:eastAsia="宋体" w:cs="Arial Narrow"/>
          <w:b/>
          <w:bCs/>
        </w:rPr>
        <w:t>（一）绩效评价目</w:t>
      </w:r>
      <w:bookmarkEnd w:id="30"/>
      <w:bookmarkEnd w:id="31"/>
      <w:r>
        <w:rPr>
          <w:rFonts w:ascii="宋体" w:hAnsi="宋体" w:eastAsia="宋体" w:cs="Arial Narrow"/>
          <w:b/>
          <w:bCs/>
        </w:rPr>
        <w:t>的</w:t>
      </w:r>
      <w:bookmarkEnd w:id="32"/>
      <w:bookmarkEnd w:id="33"/>
      <w:bookmarkEnd w:id="34"/>
      <w:bookmarkEnd w:id="35"/>
    </w:p>
    <w:p w14:paraId="00AE3FD7">
      <w:pPr>
        <w:snapToGrid w:val="0"/>
        <w:spacing w:line="600" w:lineRule="exact"/>
        <w:ind w:firstLine="480"/>
        <w:rPr>
          <w:rFonts w:ascii="宋体" w:hAnsi="宋体" w:eastAsia="宋体" w:cs="Arial Narrow"/>
          <w:b/>
          <w:bCs/>
        </w:rPr>
      </w:pPr>
      <w:r>
        <w:rPr>
          <w:rFonts w:hint="eastAsia" w:ascii="宋体" w:hAnsi="宋体" w:eastAsia="宋体" w:cs="Arial Narrow"/>
          <w:bCs/>
        </w:rPr>
        <w:t>本次绩效评价的目的是通过对财政专项资金支出的“追踪问效”，考核、评价财政预算中由</w:t>
      </w:r>
      <w:r>
        <w:rPr>
          <w:rFonts w:hint="eastAsia" w:ascii="宋体" w:hAnsi="宋体" w:eastAsia="宋体" w:cs="Arial Narrow"/>
          <w:bCs/>
          <w:highlight w:val="none"/>
        </w:rPr>
        <w:t>区</w:t>
      </w:r>
      <w:r>
        <w:rPr>
          <w:rFonts w:hint="eastAsia" w:ascii="宋体" w:hAnsi="宋体" w:eastAsia="宋体" w:cs="Arial Narrow"/>
          <w:bCs/>
          <w:highlight w:val="none"/>
          <w:lang w:eastAsia="zh-CN"/>
        </w:rPr>
        <w:t>统战部</w:t>
      </w:r>
      <w:r>
        <w:rPr>
          <w:rFonts w:hint="eastAsia" w:ascii="宋体" w:hAnsi="宋体" w:eastAsia="宋体" w:cs="Arial Narrow"/>
          <w:bCs/>
        </w:rPr>
        <w:t>承担的201</w:t>
      </w:r>
      <w:r>
        <w:rPr>
          <w:rFonts w:hint="eastAsia" w:ascii="宋体" w:hAnsi="宋体" w:eastAsia="宋体" w:cs="Arial Narrow"/>
          <w:bCs/>
          <w:lang w:val="en-US" w:eastAsia="zh-CN"/>
        </w:rPr>
        <w:t>8</w:t>
      </w:r>
      <w:r>
        <w:rPr>
          <w:rFonts w:hint="eastAsia" w:ascii="宋体" w:hAnsi="宋体" w:eastAsia="宋体" w:cs="Arial Narrow"/>
          <w:bCs/>
        </w:rPr>
        <w:t>年度“</w:t>
      </w:r>
      <w:r>
        <w:rPr>
          <w:rFonts w:hint="eastAsia" w:ascii="宋体" w:hAnsi="宋体" w:eastAsia="宋体" w:cs="Arial Narrow"/>
          <w:highlight w:val="none"/>
          <w:lang w:eastAsia="zh-CN"/>
        </w:rPr>
        <w:t>统战事务</w:t>
      </w:r>
      <w:r>
        <w:rPr>
          <w:rFonts w:hint="eastAsia" w:ascii="宋体" w:hAnsi="宋体" w:eastAsia="宋体" w:cs="Arial Narrow"/>
          <w:bCs/>
          <w:lang w:eastAsia="zh-CN"/>
        </w:rPr>
        <w:t>经</w:t>
      </w:r>
      <w:r>
        <w:rPr>
          <w:rFonts w:hint="eastAsia" w:ascii="宋体" w:hAnsi="宋体" w:eastAsia="宋体" w:cs="Arial Narrow"/>
          <w:bCs/>
        </w:rPr>
        <w:t>费”项目专项支出的实施和运作情况，检验项目支出是否达到预期目标，以提高部门的绩效意识，为规范预算编制管理，优化支出结构，合理配置资源，提高财政资金使用效率和效益提供参考依据。</w:t>
      </w:r>
    </w:p>
    <w:p w14:paraId="41796AAC">
      <w:pPr>
        <w:snapToGrid w:val="0"/>
        <w:spacing w:line="600" w:lineRule="exact"/>
        <w:ind w:firstLine="482"/>
        <w:jc w:val="left"/>
        <w:outlineLvl w:val="1"/>
        <w:rPr>
          <w:rFonts w:ascii="宋体" w:hAnsi="宋体" w:eastAsia="宋体" w:cs="Arial Narrow"/>
          <w:b/>
          <w:bCs/>
        </w:rPr>
      </w:pPr>
      <w:bookmarkStart w:id="36" w:name="_Toc478396454"/>
      <w:bookmarkStart w:id="37" w:name="_Toc32197"/>
      <w:bookmarkStart w:id="38" w:name="_Toc387957809"/>
      <w:bookmarkStart w:id="39" w:name="_Toc406668033"/>
      <w:bookmarkStart w:id="40" w:name="_Toc361304684"/>
      <w:bookmarkStart w:id="41" w:name="_Toc406666359"/>
      <w:bookmarkStart w:id="42" w:name="_Toc361302025"/>
      <w:r>
        <w:rPr>
          <w:rFonts w:ascii="宋体" w:hAnsi="宋体" w:eastAsia="宋体" w:cs="Arial Narrow"/>
          <w:b/>
          <w:bCs/>
        </w:rPr>
        <w:t>（二）绩效评价</w:t>
      </w:r>
      <w:r>
        <w:rPr>
          <w:rFonts w:hint="eastAsia" w:ascii="宋体" w:hAnsi="宋体" w:eastAsia="宋体" w:cs="Arial Narrow"/>
          <w:b/>
          <w:bCs/>
        </w:rPr>
        <w:t>工作</w:t>
      </w:r>
      <w:r>
        <w:rPr>
          <w:rFonts w:ascii="宋体" w:hAnsi="宋体" w:eastAsia="宋体" w:cs="Arial Narrow"/>
          <w:b/>
          <w:bCs/>
        </w:rPr>
        <w:t>过程</w:t>
      </w:r>
      <w:bookmarkEnd w:id="36"/>
      <w:bookmarkEnd w:id="37"/>
    </w:p>
    <w:p w14:paraId="5AFB5A62">
      <w:pPr>
        <w:snapToGrid w:val="0"/>
        <w:spacing w:line="600" w:lineRule="exact"/>
        <w:ind w:firstLine="480"/>
        <w:jc w:val="left"/>
        <w:rPr>
          <w:rFonts w:ascii="宋体" w:hAnsi="宋体" w:eastAsia="宋体" w:cs="Arial Narrow"/>
          <w:bCs/>
        </w:rPr>
      </w:pPr>
      <w:r>
        <w:rPr>
          <w:rFonts w:hint="eastAsia" w:ascii="宋体" w:hAnsi="宋体" w:eastAsia="宋体" w:cs="Arial Narrow"/>
          <w:bCs/>
        </w:rPr>
        <w:t>1. 绩效评价准备阶段</w:t>
      </w:r>
    </w:p>
    <w:p w14:paraId="1C02A4FE">
      <w:pPr>
        <w:snapToGrid w:val="0"/>
        <w:spacing w:line="600" w:lineRule="exact"/>
        <w:ind w:firstLine="480"/>
        <w:jc w:val="left"/>
        <w:rPr>
          <w:rFonts w:ascii="宋体" w:hAnsi="宋体" w:eastAsia="宋体" w:cs="Arial Narrow"/>
          <w:bCs/>
        </w:rPr>
      </w:pPr>
      <w:r>
        <w:rPr>
          <w:rFonts w:hint="eastAsia" w:ascii="宋体" w:hAnsi="宋体" w:eastAsia="宋体" w:cs="Arial Narrow"/>
          <w:bCs/>
        </w:rPr>
        <w:t>确定评价对象。根据下达的绩效评价通知书，制订绩效评价工作方案。</w:t>
      </w:r>
    </w:p>
    <w:p w14:paraId="2EC047ED">
      <w:pPr>
        <w:snapToGrid w:val="0"/>
        <w:spacing w:line="600" w:lineRule="exact"/>
        <w:ind w:firstLine="480"/>
        <w:jc w:val="left"/>
        <w:rPr>
          <w:rFonts w:ascii="宋体" w:hAnsi="宋体" w:eastAsia="宋体" w:cs="Arial Narrow"/>
          <w:bCs/>
        </w:rPr>
      </w:pPr>
      <w:r>
        <w:rPr>
          <w:rFonts w:hint="eastAsia" w:ascii="宋体" w:hAnsi="宋体" w:eastAsia="宋体" w:cs="Arial Narrow"/>
          <w:bCs/>
        </w:rPr>
        <w:t>2. 绩效评价实施阶段</w:t>
      </w:r>
    </w:p>
    <w:p w14:paraId="56FFAB4F">
      <w:pPr>
        <w:snapToGrid w:val="0"/>
        <w:spacing w:line="600" w:lineRule="exact"/>
        <w:ind w:firstLine="480"/>
        <w:jc w:val="left"/>
        <w:rPr>
          <w:rFonts w:ascii="宋体" w:hAnsi="宋体" w:eastAsia="宋体" w:cs="Arial Narrow"/>
          <w:bCs/>
        </w:rPr>
      </w:pPr>
      <w:r>
        <w:rPr>
          <w:rFonts w:hint="eastAsia" w:ascii="宋体" w:hAnsi="宋体" w:eastAsia="宋体" w:cs="Arial Narrow"/>
          <w:bCs/>
        </w:rPr>
        <w:t>（1）拟定评价工作方案；</w:t>
      </w:r>
    </w:p>
    <w:p w14:paraId="7C190E4D">
      <w:pPr>
        <w:snapToGrid w:val="0"/>
        <w:spacing w:line="600" w:lineRule="exact"/>
        <w:ind w:firstLine="480"/>
        <w:jc w:val="left"/>
        <w:rPr>
          <w:rFonts w:ascii="宋体" w:hAnsi="宋体" w:eastAsia="宋体" w:cs="Arial Narrow"/>
          <w:bCs/>
        </w:rPr>
      </w:pPr>
      <w:r>
        <w:rPr>
          <w:rFonts w:hint="eastAsia" w:ascii="宋体" w:hAnsi="宋体" w:eastAsia="宋体" w:cs="Arial Narrow"/>
          <w:bCs/>
        </w:rPr>
        <w:t>（2）资料审核；</w:t>
      </w:r>
    </w:p>
    <w:p w14:paraId="6C99D012">
      <w:pPr>
        <w:snapToGrid w:val="0"/>
        <w:spacing w:line="600" w:lineRule="exact"/>
        <w:ind w:firstLine="480"/>
        <w:jc w:val="left"/>
        <w:rPr>
          <w:rFonts w:ascii="宋体" w:hAnsi="宋体" w:eastAsia="宋体" w:cs="Arial Narrow"/>
          <w:bCs/>
        </w:rPr>
      </w:pPr>
      <w:r>
        <w:rPr>
          <w:rFonts w:hint="eastAsia" w:ascii="宋体" w:hAnsi="宋体" w:eastAsia="宋体" w:cs="Arial Narrow"/>
          <w:bCs/>
        </w:rPr>
        <w:t>（3）撰写绩效报告；</w:t>
      </w:r>
    </w:p>
    <w:p w14:paraId="3743CF78">
      <w:pPr>
        <w:snapToGrid w:val="0"/>
        <w:spacing w:line="600" w:lineRule="exact"/>
        <w:ind w:firstLine="480"/>
        <w:jc w:val="left"/>
        <w:rPr>
          <w:rFonts w:ascii="宋体" w:hAnsi="宋体" w:eastAsia="宋体" w:cs="Arial Narrow"/>
          <w:bCs/>
        </w:rPr>
      </w:pPr>
      <w:r>
        <w:rPr>
          <w:rFonts w:hint="eastAsia" w:ascii="宋体" w:hAnsi="宋体" w:eastAsia="宋体" w:cs="Arial Narrow"/>
          <w:bCs/>
        </w:rPr>
        <w:t>（4）实施绩效评价。</w:t>
      </w:r>
    </w:p>
    <w:p w14:paraId="0EE74D05">
      <w:pPr>
        <w:snapToGrid w:val="0"/>
        <w:spacing w:line="600" w:lineRule="exact"/>
        <w:ind w:firstLine="480"/>
        <w:jc w:val="left"/>
        <w:rPr>
          <w:rFonts w:ascii="宋体" w:hAnsi="宋体" w:eastAsia="宋体" w:cs="Arial Narrow"/>
          <w:bCs/>
        </w:rPr>
      </w:pPr>
      <w:r>
        <w:rPr>
          <w:rFonts w:hint="eastAsia" w:ascii="宋体" w:hAnsi="宋体" w:eastAsia="宋体" w:cs="Arial Narrow"/>
          <w:bCs/>
        </w:rPr>
        <w:t>3. 绩效评价总结阶段</w:t>
      </w:r>
    </w:p>
    <w:p w14:paraId="76790FEA">
      <w:pPr>
        <w:snapToGrid w:val="0"/>
        <w:spacing w:line="600" w:lineRule="exact"/>
        <w:ind w:firstLine="480"/>
        <w:jc w:val="left"/>
        <w:rPr>
          <w:rFonts w:ascii="宋体" w:hAnsi="宋体" w:eastAsia="宋体" w:cs="Arial Narrow"/>
          <w:bCs/>
        </w:rPr>
      </w:pPr>
      <w:r>
        <w:rPr>
          <w:rFonts w:hint="eastAsia" w:ascii="宋体" w:hAnsi="宋体" w:eastAsia="宋体" w:cs="Arial Narrow"/>
          <w:bCs/>
        </w:rPr>
        <w:t>（1）撰写报告；</w:t>
      </w:r>
    </w:p>
    <w:p w14:paraId="7EB16D67">
      <w:pPr>
        <w:snapToGrid w:val="0"/>
        <w:spacing w:line="600" w:lineRule="exact"/>
        <w:ind w:firstLine="480"/>
        <w:jc w:val="left"/>
        <w:rPr>
          <w:rFonts w:ascii="宋体" w:hAnsi="宋体" w:eastAsia="宋体" w:cs="Arial Narrow"/>
          <w:bCs/>
        </w:rPr>
      </w:pPr>
      <w:r>
        <w:rPr>
          <w:rFonts w:hint="eastAsia" w:ascii="宋体" w:hAnsi="宋体" w:eastAsia="宋体" w:cs="Arial Narrow"/>
          <w:bCs/>
        </w:rPr>
        <w:t>（2）提交报告。</w:t>
      </w:r>
    </w:p>
    <w:p w14:paraId="153E6021">
      <w:pPr>
        <w:snapToGrid w:val="0"/>
        <w:spacing w:line="600" w:lineRule="exact"/>
        <w:ind w:firstLine="482"/>
        <w:jc w:val="left"/>
        <w:outlineLvl w:val="1"/>
        <w:rPr>
          <w:rFonts w:ascii="宋体" w:hAnsi="宋体" w:eastAsia="宋体" w:cs="Arial Narrow"/>
          <w:b/>
        </w:rPr>
      </w:pPr>
      <w:bookmarkStart w:id="43" w:name="_Toc478396455"/>
      <w:r>
        <w:rPr>
          <w:rFonts w:hint="eastAsia" w:ascii="宋体" w:hAnsi="宋体" w:eastAsia="宋体" w:cs="Arial Narrow"/>
          <w:b/>
        </w:rPr>
        <w:t>（三）绩效评价框架</w:t>
      </w:r>
      <w:bookmarkEnd w:id="43"/>
    </w:p>
    <w:p w14:paraId="332EA030">
      <w:pPr>
        <w:snapToGrid w:val="0"/>
        <w:spacing w:line="600" w:lineRule="exact"/>
        <w:ind w:firstLine="482"/>
        <w:jc w:val="left"/>
        <w:rPr>
          <w:rFonts w:ascii="宋体" w:hAnsi="宋体" w:eastAsia="宋体" w:cs="Arial Narrow"/>
          <w:b/>
        </w:rPr>
      </w:pPr>
      <w:r>
        <w:rPr>
          <w:rFonts w:hint="eastAsia" w:ascii="宋体" w:hAnsi="宋体" w:eastAsia="宋体" w:cs="Arial Narrow"/>
          <w:b/>
        </w:rPr>
        <w:t>1.评价原则</w:t>
      </w:r>
    </w:p>
    <w:p w14:paraId="4332E7C0">
      <w:pPr>
        <w:snapToGrid w:val="0"/>
        <w:spacing w:line="600" w:lineRule="exact"/>
        <w:ind w:firstLine="480"/>
        <w:jc w:val="left"/>
        <w:rPr>
          <w:rFonts w:hint="eastAsia" w:ascii="宋体" w:hAnsi="宋体" w:eastAsia="宋体" w:cs="Arial Narrow"/>
        </w:rPr>
      </w:pPr>
      <w:r>
        <w:rPr>
          <w:rFonts w:hint="eastAsia" w:ascii="宋体" w:hAnsi="宋体" w:eastAsia="宋体" w:cs="Arial Narrow"/>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14:paraId="73E8BC6C">
      <w:pPr>
        <w:snapToGrid w:val="0"/>
        <w:spacing w:line="600" w:lineRule="exact"/>
        <w:ind w:firstLine="480"/>
        <w:jc w:val="left"/>
        <w:rPr>
          <w:rFonts w:hint="eastAsia" w:ascii="宋体" w:hAnsi="宋体" w:eastAsia="宋体" w:cs="Arial Narrow"/>
        </w:rPr>
      </w:pPr>
    </w:p>
    <w:p w14:paraId="016CF4E7">
      <w:pPr>
        <w:snapToGrid w:val="0"/>
        <w:spacing w:line="600" w:lineRule="exact"/>
        <w:ind w:firstLine="482"/>
        <w:jc w:val="left"/>
        <w:rPr>
          <w:rFonts w:ascii="宋体" w:hAnsi="宋体" w:eastAsia="宋体" w:cs="Arial Narrow"/>
          <w:b/>
          <w:highlight w:val="yellow"/>
        </w:rPr>
      </w:pPr>
      <w:r>
        <w:rPr>
          <w:rFonts w:hint="eastAsia" w:ascii="宋体" w:hAnsi="宋体" w:eastAsia="宋体" w:cs="Arial Narrow"/>
          <w:b/>
        </w:rPr>
        <w:t>2.</w:t>
      </w:r>
      <w:r>
        <w:rPr>
          <w:rFonts w:hint="eastAsia" w:ascii="宋体" w:hAnsi="宋体" w:eastAsia="宋体" w:cs="Arial Narrow"/>
          <w:b/>
          <w:highlight w:val="none"/>
        </w:rPr>
        <w:t>评价依据</w:t>
      </w:r>
    </w:p>
    <w:p w14:paraId="7BB357CB">
      <w:pPr>
        <w:snapToGrid w:val="0"/>
        <w:spacing w:line="600" w:lineRule="exact"/>
        <w:ind w:firstLine="480"/>
        <w:jc w:val="left"/>
        <w:rPr>
          <w:rFonts w:ascii="宋体" w:hAnsi="宋体" w:eastAsia="宋体" w:cs="Arial Narrow"/>
        </w:rPr>
      </w:pPr>
      <w:r>
        <w:rPr>
          <w:rFonts w:hint="eastAsia" w:ascii="宋体" w:hAnsi="宋体" w:eastAsia="宋体" w:cs="Arial Narrow"/>
        </w:rPr>
        <w:t>1.《中华人民共和国预算法》；</w:t>
      </w:r>
    </w:p>
    <w:p w14:paraId="1AD4D294">
      <w:pPr>
        <w:snapToGrid w:val="0"/>
        <w:spacing w:line="600" w:lineRule="exact"/>
        <w:ind w:firstLine="480"/>
        <w:jc w:val="left"/>
        <w:rPr>
          <w:rFonts w:ascii="宋体" w:hAnsi="宋体" w:eastAsia="宋体" w:cs="Arial Narrow"/>
        </w:rPr>
      </w:pPr>
      <w:r>
        <w:rPr>
          <w:rFonts w:hint="eastAsia" w:ascii="宋体" w:hAnsi="宋体" w:eastAsia="宋体" w:cs="Arial Narrow"/>
        </w:rPr>
        <w:t>2.《财政支出绩效评价管理暂行办法》（财预[2011]285号）；</w:t>
      </w:r>
    </w:p>
    <w:p w14:paraId="51981790">
      <w:pPr>
        <w:snapToGrid w:val="0"/>
        <w:spacing w:line="600" w:lineRule="exact"/>
        <w:ind w:firstLine="480"/>
        <w:jc w:val="left"/>
        <w:rPr>
          <w:rFonts w:ascii="宋体" w:hAnsi="宋体" w:eastAsia="宋体" w:cs="Arial Narrow"/>
        </w:rPr>
      </w:pPr>
      <w:r>
        <w:rPr>
          <w:rFonts w:hint="eastAsia" w:ascii="宋体" w:hAnsi="宋体" w:eastAsia="宋体" w:cs="Arial Narrow"/>
        </w:rPr>
        <w:t>3.《财政部关于推进预算绩效管理的指导意见》（财预[2011]416号）；</w:t>
      </w:r>
    </w:p>
    <w:p w14:paraId="3FF37894">
      <w:pPr>
        <w:snapToGrid w:val="0"/>
        <w:spacing w:line="600" w:lineRule="exact"/>
        <w:ind w:firstLine="480"/>
        <w:jc w:val="left"/>
        <w:rPr>
          <w:rFonts w:ascii="宋体" w:hAnsi="宋体" w:eastAsia="宋体" w:cs="Arial Narrow"/>
        </w:rPr>
      </w:pPr>
      <w:r>
        <w:rPr>
          <w:rFonts w:hint="eastAsia" w:ascii="宋体" w:hAnsi="宋体" w:eastAsia="宋体" w:cs="Arial Narrow"/>
        </w:rPr>
        <w:t>4.《湖北省省级财政项目资金绩效评价实施暂行办法》（鄂财绩发</w:t>
      </w:r>
      <w:r>
        <w:rPr>
          <w:rFonts w:ascii="宋体" w:hAnsi="宋体" w:eastAsia="宋体" w:cs="Arial Narrow"/>
        </w:rPr>
        <w:t>[</w:t>
      </w:r>
      <w:r>
        <w:rPr>
          <w:rFonts w:hint="eastAsia" w:ascii="宋体" w:hAnsi="宋体" w:eastAsia="宋体" w:cs="Arial Narrow"/>
        </w:rPr>
        <w:t>2012</w:t>
      </w:r>
      <w:r>
        <w:rPr>
          <w:rFonts w:ascii="宋体" w:hAnsi="宋体" w:eastAsia="宋体" w:cs="Arial Narrow"/>
        </w:rPr>
        <w:t>]</w:t>
      </w:r>
      <w:r>
        <w:rPr>
          <w:rFonts w:hint="eastAsia" w:ascii="宋体" w:hAnsi="宋体" w:eastAsia="宋体" w:cs="Arial Narrow"/>
        </w:rPr>
        <w:t>5号）；</w:t>
      </w:r>
    </w:p>
    <w:p w14:paraId="4177A70C">
      <w:pPr>
        <w:snapToGrid w:val="0"/>
        <w:spacing w:line="600" w:lineRule="exact"/>
        <w:ind w:firstLine="480"/>
        <w:jc w:val="left"/>
        <w:rPr>
          <w:rFonts w:ascii="宋体" w:hAnsi="宋体" w:eastAsia="宋体" w:cs="Arial Narrow"/>
        </w:rPr>
      </w:pPr>
      <w:r>
        <w:rPr>
          <w:rFonts w:hint="eastAsia" w:ascii="宋体" w:hAnsi="宋体" w:eastAsia="宋体" w:cs="Arial Narrow"/>
        </w:rPr>
        <w:t>5.《关于推进预算绩效管理的意见》(武政[2013]95号)；</w:t>
      </w:r>
    </w:p>
    <w:p w14:paraId="32533540">
      <w:pPr>
        <w:snapToGrid w:val="0"/>
        <w:spacing w:line="600" w:lineRule="exact"/>
        <w:ind w:firstLine="480"/>
        <w:jc w:val="left"/>
        <w:rPr>
          <w:rFonts w:ascii="宋体" w:hAnsi="宋体" w:eastAsia="宋体" w:cs="Arial Narrow"/>
        </w:rPr>
      </w:pPr>
      <w:r>
        <w:rPr>
          <w:rFonts w:hint="eastAsia" w:ascii="宋体" w:hAnsi="宋体" w:eastAsia="宋体" w:cs="Arial Narrow"/>
        </w:rPr>
        <w:t>6.《武汉市预算绩效管理工作方案(2014-2015年)》；</w:t>
      </w:r>
    </w:p>
    <w:p w14:paraId="25842958">
      <w:pPr>
        <w:snapToGrid w:val="0"/>
        <w:spacing w:line="600" w:lineRule="exact"/>
        <w:ind w:firstLine="480"/>
        <w:jc w:val="left"/>
        <w:rPr>
          <w:rFonts w:ascii="宋体" w:hAnsi="宋体" w:eastAsia="宋体" w:cs="Arial Narrow"/>
        </w:rPr>
      </w:pPr>
      <w:r>
        <w:rPr>
          <w:rFonts w:hint="eastAsia" w:ascii="宋体" w:hAnsi="宋体" w:eastAsia="宋体" w:cs="Arial Narrow"/>
        </w:rPr>
        <w:t>7.《武昌区财政支出绩效评价管理暂行办法》；</w:t>
      </w:r>
    </w:p>
    <w:p w14:paraId="6FF6D9E5">
      <w:pPr>
        <w:snapToGrid w:val="0"/>
        <w:spacing w:line="600" w:lineRule="exact"/>
        <w:ind w:firstLine="480"/>
        <w:jc w:val="left"/>
        <w:rPr>
          <w:rFonts w:ascii="宋体" w:hAnsi="宋体" w:eastAsia="宋体" w:cs="Arial Narrow"/>
        </w:rPr>
      </w:pPr>
      <w:r>
        <w:rPr>
          <w:rFonts w:hint="eastAsia" w:ascii="宋体" w:hAnsi="宋体" w:eastAsia="宋体" w:cs="Arial Narrow"/>
        </w:rPr>
        <w:t>8.《武昌区财政局关于中共武昌区委员会统一</w:t>
      </w:r>
      <w:r>
        <w:rPr>
          <w:rFonts w:hint="eastAsia" w:ascii="宋体" w:hAnsi="宋体" w:eastAsia="宋体" w:cs="Arial Narrow"/>
          <w:lang w:val="en-US" w:eastAsia="zh-CN"/>
        </w:rPr>
        <w:t>战线</w:t>
      </w:r>
      <w:r>
        <w:rPr>
          <w:rFonts w:hint="eastAsia" w:ascii="宋体" w:hAnsi="宋体" w:eastAsia="宋体" w:cs="Arial Narrow"/>
        </w:rPr>
        <w:t>工作部201</w:t>
      </w:r>
      <w:r>
        <w:rPr>
          <w:rFonts w:hint="eastAsia" w:ascii="宋体" w:hAnsi="宋体" w:eastAsia="宋体" w:cs="Arial Narrow"/>
          <w:lang w:val="en-US" w:eastAsia="zh-CN"/>
        </w:rPr>
        <w:t>8</w:t>
      </w:r>
      <w:r>
        <w:rPr>
          <w:rFonts w:hint="eastAsia" w:ascii="宋体" w:hAnsi="宋体" w:eastAsia="宋体" w:cs="Arial Narrow"/>
        </w:rPr>
        <w:t>年部门预算的批复</w:t>
      </w:r>
      <w:r>
        <w:rPr>
          <w:rFonts w:hint="eastAsia" w:ascii="宋体" w:hAnsi="宋体" w:eastAsia="宋体" w:cs="Arial Narrow"/>
          <w:lang w:eastAsia="zh-CN"/>
        </w:rPr>
        <w:t>》（</w:t>
      </w:r>
      <w:r>
        <w:rPr>
          <w:rFonts w:hint="eastAsia" w:ascii="宋体" w:hAnsi="宋体" w:eastAsia="宋体" w:cs="Arial Narrow"/>
        </w:rPr>
        <w:t>武昌财预[2016]249号</w:t>
      </w:r>
      <w:r>
        <w:rPr>
          <w:rFonts w:hint="eastAsia" w:ascii="宋体" w:hAnsi="宋体" w:eastAsia="宋体" w:cs="Arial Narrow"/>
          <w:lang w:eastAsia="zh-CN"/>
        </w:rPr>
        <w:t>）</w:t>
      </w:r>
      <w:r>
        <w:rPr>
          <w:rFonts w:hint="eastAsia" w:ascii="宋体" w:hAnsi="宋体" w:eastAsia="宋体" w:cs="Arial Narrow"/>
        </w:rPr>
        <w:t>；</w:t>
      </w:r>
    </w:p>
    <w:p w14:paraId="0059DA54">
      <w:pPr>
        <w:snapToGrid w:val="0"/>
        <w:spacing w:line="600" w:lineRule="exact"/>
        <w:ind w:firstLine="480"/>
        <w:jc w:val="left"/>
        <w:rPr>
          <w:rFonts w:ascii="宋体" w:hAnsi="宋体" w:eastAsia="宋体" w:cs="Arial Narrow"/>
        </w:rPr>
      </w:pPr>
      <w:r>
        <w:rPr>
          <w:rFonts w:hint="eastAsia" w:ascii="宋体" w:hAnsi="宋体" w:eastAsia="宋体" w:cs="Arial Narrow"/>
        </w:rPr>
        <w:t>9.项目资金使用明细表、与项目相关的财务账等资料；</w:t>
      </w:r>
    </w:p>
    <w:p w14:paraId="081AA7E8">
      <w:pPr>
        <w:snapToGrid w:val="0"/>
        <w:spacing w:line="600" w:lineRule="exact"/>
        <w:ind w:firstLine="480"/>
        <w:jc w:val="left"/>
        <w:rPr>
          <w:rFonts w:hint="eastAsia" w:ascii="宋体" w:hAnsi="宋体" w:eastAsia="宋体" w:cs="Arial Narrow"/>
        </w:rPr>
      </w:pPr>
      <w:r>
        <w:rPr>
          <w:rFonts w:hint="eastAsia" w:ascii="宋体" w:hAnsi="宋体" w:eastAsia="宋体" w:cs="Arial Narrow"/>
        </w:rPr>
        <w:t>1</w:t>
      </w:r>
      <w:r>
        <w:rPr>
          <w:rFonts w:hint="eastAsia" w:ascii="宋体" w:hAnsi="宋体" w:eastAsia="宋体" w:cs="Arial Narrow"/>
          <w:lang w:val="en-US" w:eastAsia="zh-CN"/>
        </w:rPr>
        <w:t>0</w:t>
      </w:r>
      <w:r>
        <w:rPr>
          <w:rFonts w:hint="eastAsia" w:ascii="宋体" w:hAnsi="宋体" w:eastAsia="宋体" w:cs="Arial Narrow"/>
        </w:rPr>
        <w:t>.其他与项目评价相关的资料。</w:t>
      </w:r>
    </w:p>
    <w:p w14:paraId="005DAA4D">
      <w:pPr>
        <w:numPr>
          <w:ilvl w:val="0"/>
          <w:numId w:val="4"/>
        </w:numPr>
        <w:snapToGrid w:val="0"/>
        <w:spacing w:line="600" w:lineRule="exact"/>
        <w:ind w:firstLine="482"/>
        <w:jc w:val="left"/>
        <w:rPr>
          <w:rFonts w:hint="eastAsia" w:ascii="宋体" w:hAnsi="宋体" w:eastAsia="宋体" w:cs="Arial Narrow"/>
          <w:b/>
        </w:rPr>
      </w:pPr>
      <w:r>
        <w:rPr>
          <w:rFonts w:hint="eastAsia" w:ascii="宋体" w:hAnsi="宋体" w:eastAsia="宋体" w:cs="Arial Narrow"/>
          <w:b/>
        </w:rPr>
        <w:t>评价指标体系</w:t>
      </w:r>
    </w:p>
    <w:tbl>
      <w:tblPr>
        <w:tblStyle w:val="22"/>
        <w:tblW w:w="87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2"/>
        <w:gridCol w:w="276"/>
        <w:gridCol w:w="495"/>
        <w:gridCol w:w="432"/>
        <w:gridCol w:w="2888"/>
        <w:gridCol w:w="4005"/>
      </w:tblGrid>
      <w:tr w14:paraId="2225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0025D">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一级</w:t>
            </w:r>
          </w:p>
          <w:p w14:paraId="5F78CA96">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指标</w:t>
            </w:r>
          </w:p>
        </w:tc>
        <w:tc>
          <w:tcPr>
            <w:tcW w:w="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A22F9">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二级</w:t>
            </w:r>
          </w:p>
          <w:p w14:paraId="293EEA98">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指标</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8A19">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三级</w:t>
            </w:r>
          </w:p>
          <w:p w14:paraId="0B5FE9D1">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28CB">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权重</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86E0">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指标解释</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A4752">
            <w:pPr>
              <w:widowControl/>
              <w:wordWrap/>
              <w:adjustRightInd/>
              <w:snapToGrid/>
              <w:spacing w:line="240" w:lineRule="atLeast"/>
              <w:ind w:firstLine="0" w:firstLineChars="0"/>
              <w:jc w:val="center"/>
              <w:textAlignment w:val="auto"/>
              <w:outlineLvl w:val="9"/>
              <w:rPr>
                <w:rFonts w:hint="default" w:ascii="宋体" w:hAnsi="宋体" w:eastAsia="宋体" w:cs="宋体"/>
                <w:b/>
                <w:bCs/>
                <w:kern w:val="0"/>
                <w:sz w:val="20"/>
                <w:szCs w:val="20"/>
                <w:lang w:val="en-US" w:eastAsia="zh-CN"/>
              </w:rPr>
            </w:pPr>
            <w:r>
              <w:rPr>
                <w:rFonts w:hint="default" w:ascii="宋体" w:hAnsi="宋体" w:eastAsia="宋体" w:cs="宋体"/>
                <w:b/>
                <w:bCs/>
                <w:kern w:val="0"/>
                <w:sz w:val="20"/>
                <w:szCs w:val="20"/>
                <w:lang w:val="en-US" w:eastAsia="zh-CN"/>
              </w:rPr>
              <w:t>指标说明</w:t>
            </w:r>
          </w:p>
        </w:tc>
      </w:tr>
      <w:tr w14:paraId="2181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9A9A66C">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投   入</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0F1D1">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项目</w:t>
            </w:r>
          </w:p>
          <w:p w14:paraId="05AD565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立项</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69F3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项目立项规范性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76EE">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0BE4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项目的申请、设立过程是否符合相关要求，用以反映和考核项目立项的规范情况。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380">
            <w:pPr>
              <w:widowControl/>
              <w:wordWrap/>
              <w:adjustRightInd/>
              <w:snapToGrid/>
              <w:spacing w:line="240" w:lineRule="atLeast"/>
              <w:ind w:firstLine="0" w:firstLineChars="0"/>
              <w:textAlignment w:val="auto"/>
              <w:outlineLvl w:val="9"/>
              <w:rPr>
                <w:rFonts w:hint="eastAsia"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r>
              <w:rPr>
                <w:rFonts w:hint="eastAsia" w:ascii="宋体" w:hAnsi="宋体" w:eastAsia="宋体" w:cs="宋体"/>
                <w:b w:val="0"/>
                <w:bCs w:val="0"/>
                <w:kern w:val="0"/>
                <w:sz w:val="20"/>
                <w:szCs w:val="20"/>
                <w:lang w:val="en-US" w:eastAsia="zh-CN"/>
              </w:rPr>
              <w:t>：</w:t>
            </w:r>
          </w:p>
          <w:p w14:paraId="3196C969">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总项目：</w:t>
            </w:r>
          </w:p>
          <w:p w14:paraId="72FCC49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①是否有规划；</w:t>
            </w:r>
          </w:p>
          <w:p w14:paraId="4FC22F5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②是否按管理办法和分配办法分配资金。</w:t>
            </w:r>
          </w:p>
          <w:p w14:paraId="46CF850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具体项目：</w:t>
            </w:r>
          </w:p>
          <w:p w14:paraId="143799F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①是否有规划；</w:t>
            </w:r>
          </w:p>
          <w:p w14:paraId="1768176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②项目是否按照规定的程序申请设立；</w:t>
            </w:r>
          </w:p>
          <w:p w14:paraId="59EBF6D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③所提交的文件、材料是否符合相关要求；</w:t>
            </w:r>
          </w:p>
          <w:p w14:paraId="3D46AB6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④事前是否已经过必要的可行性研究、专家论证、风险评估、集体决策等；</w:t>
            </w:r>
          </w:p>
          <w:p w14:paraId="609E081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⑤项目执行时是否发生重大调整。</w:t>
            </w:r>
          </w:p>
        </w:tc>
      </w:tr>
      <w:tr w14:paraId="33D7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073367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F03D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D785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绩效目标合理性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84FB">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D46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项目是否设定绩效目标和绩效指标，所设定的绩效目标和指标是否符合实际，用以反映和考核项目绩效目标与项目实施的相符情况。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992B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0D8A2B6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①是否设定长期目标、年度目标和绩效指标；</w:t>
            </w:r>
          </w:p>
          <w:p w14:paraId="48DBF8B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②目标和指标的设计是否符合目标管理规范；</w:t>
            </w:r>
          </w:p>
          <w:p w14:paraId="4FE0581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③根据绩效目标和完成情况的对比考核目标设立的合理性；</w:t>
            </w:r>
          </w:p>
          <w:p w14:paraId="37E5077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④绩效指标是否具有可测性。</w:t>
            </w:r>
          </w:p>
        </w:tc>
      </w:tr>
      <w:tr w14:paraId="1998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313216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A0691">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资金</w:t>
            </w:r>
          </w:p>
          <w:p w14:paraId="71C6324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落实</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C2D0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资金到位率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17672">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C398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实际到位资金与计划投入资金的比率，用以反映和考核资金落实情况对项目实施的总体保障程度。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F93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资金到位率=（实际到位资金/计划投入资金）×100%。</w:t>
            </w:r>
          </w:p>
          <w:p w14:paraId="7D0A105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实际到位资金：一定时期（本年度或项目期）内实际落实到具体项目的资金。</w:t>
            </w:r>
          </w:p>
          <w:p w14:paraId="5EBD3DF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计划投入资金：一定时期（本年度或项目期）内计划投入到具体项目的资金。（注：分预算资金、配套资金、自筹资金评价）</w:t>
            </w:r>
          </w:p>
        </w:tc>
      </w:tr>
      <w:tr w14:paraId="33A8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4E6142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5DA6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69C24">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到位及时率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3B266">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7093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及时到位资金与应到位资金的比率，用以反映和考核项目资金落实的及时性程度。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3F5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到位及时率=（及时到位资金/应到位资金）×100%。</w:t>
            </w:r>
          </w:p>
          <w:p w14:paraId="4F72538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及时到位资金：截至规定时点实际落实到具体项目的资金。</w:t>
            </w:r>
          </w:p>
          <w:p w14:paraId="4BF8385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应到位资金：按照合同或项目进度要求截至规定时点应落实到具体项目的资金。（注：分预算资金、配套资金、自筹资金评价）</w:t>
            </w:r>
          </w:p>
        </w:tc>
      </w:tr>
      <w:tr w14:paraId="77DA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654328E">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过   程</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0A3F24">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项目</w:t>
            </w:r>
          </w:p>
          <w:p w14:paraId="4D73C9D1">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管理</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3314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管理制度健全性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2890">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E952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项目管理制度是否健全，用以反映和考核项目管理制度对项目顺利实施的保障情况。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528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0D2AC5C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总项目：</w:t>
            </w:r>
          </w:p>
          <w:p w14:paraId="567E31A4">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①是否制定项目管理制度；</w:t>
            </w:r>
          </w:p>
          <w:p w14:paraId="2C6DD25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②项目管理制度是否合法、合规、完整；</w:t>
            </w:r>
          </w:p>
          <w:p w14:paraId="7BA42F3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具体项目：</w:t>
            </w:r>
          </w:p>
          <w:p w14:paraId="43CD8B81">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①是否已制定或具有相应的项目管理制度；</w:t>
            </w:r>
          </w:p>
          <w:p w14:paraId="6C7E3E6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②项目管理制度是否合法、合规、完整。</w:t>
            </w:r>
          </w:p>
        </w:tc>
      </w:tr>
      <w:tr w14:paraId="633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56F56A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7DE7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FBF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制度执行有效性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EAE">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AC08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项目实施是否符合相关项目管理规定，用以反映和考核项目管理制度的有效执行情况。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6DB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284CC3B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总项目：</w:t>
            </w:r>
          </w:p>
          <w:p w14:paraId="6198E29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①是否按项目管理制度进行管理；</w:t>
            </w:r>
          </w:p>
          <w:p w14:paraId="6755F3E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具体项目：</w:t>
            </w:r>
          </w:p>
          <w:p w14:paraId="597AB39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①是否遵守相关法律法规和项目管理规定；</w:t>
            </w:r>
          </w:p>
          <w:p w14:paraId="5463681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②项目调整及支出调整手续是否完备；</w:t>
            </w:r>
          </w:p>
          <w:p w14:paraId="15745A0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③是否严格执行项目管理程序及招投标制、监理制、合同制、项目公示制、政府采购等（针对具体项目对应评价）；</w:t>
            </w:r>
          </w:p>
          <w:p w14:paraId="69EBD0E9">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④项目合同书、验收报告、技术鉴定等资料是否齐全并及时归档；</w:t>
            </w:r>
          </w:p>
          <w:p w14:paraId="2F0EBF6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⑤项目实施的人员条件、场地设备、信息支撑等是否落实到位。</w:t>
            </w:r>
          </w:p>
        </w:tc>
      </w:tr>
      <w:tr w14:paraId="585A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F6C41E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A646A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B80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项目质量可控性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C80">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BE27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项目实施单位是否为达到项目质量要求而采取了必需的措施,用以反映和考核项目实施单位对项目质量的控制情况。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0B47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6E3AA95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①是否已制定或具有相应的项目质量要求或标准；</w:t>
            </w:r>
          </w:p>
          <w:p w14:paraId="5858E1D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②是否采取了相应的项目质量检查、验收等必需的控制措施或手段。</w:t>
            </w:r>
          </w:p>
        </w:tc>
      </w:tr>
      <w:tr w14:paraId="3C3C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92AC67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过   程</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D03C5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财务</w:t>
            </w:r>
          </w:p>
          <w:p w14:paraId="5AE20B2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管理</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E3A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管理制度健全性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EE280">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680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项目实施单位的财务制度是否健全，用以反映和考核财务管理制度对资金规范、安全运行的保障情况。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DE70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442ABA1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①是否已制定或具有相应的项目资金管理办法；</w:t>
            </w:r>
          </w:p>
          <w:p w14:paraId="18DD47C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②项目资金管理办法是否符合相关财务会计制度的规定。</w:t>
            </w:r>
          </w:p>
        </w:tc>
      </w:tr>
      <w:tr w14:paraId="5F0B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002CA6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7E2F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4803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资金使用合规性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BC15">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B7FB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项目资金使用是否符合相关的财务管理制度规定，用以反映和考核项目资金的规范运行情况。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78944">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367E5C9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①是否符合国家财经法规和财务管理制度以及有关专项资金管理办法的规定；</w:t>
            </w:r>
          </w:p>
          <w:p w14:paraId="28FA442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②资金的拨付是否有完整的审批程序和手续；</w:t>
            </w:r>
          </w:p>
          <w:p w14:paraId="442764D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③项目的重大开支是否经过评估认证；</w:t>
            </w:r>
          </w:p>
          <w:p w14:paraId="318F48A9">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④是否符合项目预算批复或合同规定的用途；</w:t>
            </w:r>
          </w:p>
          <w:p w14:paraId="0BC157F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⑤是否存在截留、挤占、挪用、虚列支出等情况。</w:t>
            </w:r>
          </w:p>
        </w:tc>
      </w:tr>
      <w:tr w14:paraId="378E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48C6AD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BC49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62E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财务监控有效性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CA079">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9C4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项目实施单位是否为保障资金的安全、规范运行而采取了必要的监控措施，用以反映和考核项目实施单位对资金运行的控制情况。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7A2B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评价要点：</w:t>
            </w:r>
          </w:p>
          <w:p w14:paraId="08E35C6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①是否已制定或具有相应的监控机制；</w:t>
            </w:r>
          </w:p>
          <w:p w14:paraId="6A77BD5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②是否采取了相应的财务检查等必要的监控措施或手段。</w:t>
            </w:r>
          </w:p>
        </w:tc>
      </w:tr>
      <w:tr w14:paraId="7A4A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536F92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产   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3AE15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项目</w:t>
            </w:r>
          </w:p>
          <w:p w14:paraId="7438ECF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产出</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5D91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实际完成率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DFA52">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8%</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B487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项目实施的实际产出数与计划产出数的比率，用以反映和考核项目产出数量目标的实现程度。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559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实际完成率=（实际产出数/计划产出数）×100%。</w:t>
            </w:r>
          </w:p>
          <w:p w14:paraId="1D92E93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实际产出数：一定时期（本年度或项目期）内项目实际产出的产品或提供的服务数量。</w:t>
            </w:r>
          </w:p>
          <w:p w14:paraId="7DE07FC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计划产出数：项目绩效目标确定的在一定时期（本年度或项目期）内计划产出的产品或提供的服务数量。</w:t>
            </w:r>
          </w:p>
        </w:tc>
      </w:tr>
      <w:tr w14:paraId="3DEC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3CD210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F270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9D4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完成及时率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454EF">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705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项目实际提前完成时间与计划完成时间的比率，用以反映和考核项目产出时效目标的实现程度。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73B3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完成及时率=[（计划完成时间-实际完成时间）/计划完成时间]×100%。</w:t>
            </w:r>
          </w:p>
          <w:p w14:paraId="6A7E6D1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实际完成时间：项目实施单位完成该项目实际所耗用的时间。</w:t>
            </w:r>
          </w:p>
          <w:p w14:paraId="2B020E34">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计划完成时间：按照项目实施计划或相关规定完成该项目所需的时间。</w:t>
            </w:r>
          </w:p>
        </w:tc>
      </w:tr>
      <w:tr w14:paraId="29C7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78B7D9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08911">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88F9">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质量达标率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5E823">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8%</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1BBA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项目完成的质量达标产出数与实际产出数的比率，用以反映和考核项目产出质量目标的实现程度。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DC3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质量达标率=（质量达标产出数/实际产出数）×100%。</w:t>
            </w:r>
          </w:p>
          <w:p w14:paraId="359276C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质量达标产出数：一定时期（本年度或项目期）内实际达到既定质量标准的产品或服务数量。</w:t>
            </w:r>
          </w:p>
          <w:p w14:paraId="642ACBA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既定质量标准是指项目实施单位设立绩效目标时依据计划标准、行业标准、历史标准或其他标准而设定的绩效指标值。</w:t>
            </w:r>
          </w:p>
        </w:tc>
      </w:tr>
      <w:tr w14:paraId="49D1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8244E7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D8E0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896B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资金使用率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6A7B">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C0D1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项目实际支出与项目到位资金的比率，用以反映和考核项目资金使用情况。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130D">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资金使用率=项目实际支出/项目到位资金×100%。</w:t>
            </w:r>
          </w:p>
          <w:p w14:paraId="7D39E3A5">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实际支出：项目实施单位为完成既定工作目标一定时期（本年度或项目期）内实际所耗费的支出。</w:t>
            </w:r>
          </w:p>
          <w:p w14:paraId="481095C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到位资金：一定时期（本年度或项目期）内实际落实到具体项目的资金。</w:t>
            </w:r>
          </w:p>
        </w:tc>
      </w:tr>
      <w:tr w14:paraId="74A7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39E72A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效   果</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0765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项目</w:t>
            </w:r>
          </w:p>
          <w:p w14:paraId="0411260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效益</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C31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经济效益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64F1B">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5</w:t>
            </w:r>
            <w:r>
              <w:rPr>
                <w:rFonts w:hint="default" w:ascii="宋体" w:hAnsi="宋体" w:eastAsia="宋体" w:cs="宋体"/>
                <w:b w:val="0"/>
                <w:bCs w:val="0"/>
                <w:kern w:val="0"/>
                <w:sz w:val="20"/>
                <w:szCs w:val="20"/>
                <w:lang w:val="en-US"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150D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项目实施对经济发展所带来的直接或间接影响情况。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F9F08">
            <w:pPr>
              <w:widowControl/>
              <w:wordWrap/>
              <w:adjustRightInd/>
              <w:snapToGrid/>
              <w:spacing w:line="240" w:lineRule="atLeast"/>
              <w:ind w:firstLine="0" w:firstLineChars="0"/>
              <w:textAlignment w:val="auto"/>
              <w:outlineLvl w:val="9"/>
              <w:rPr>
                <w:rFonts w:hint="eastAsia" w:ascii="宋体" w:hAnsi="宋体" w:eastAsia="宋体" w:cs="宋体"/>
                <w:b w:val="0"/>
                <w:bCs w:val="0"/>
                <w:kern w:val="0"/>
                <w:sz w:val="20"/>
                <w:szCs w:val="20"/>
                <w:lang w:val="en-US" w:eastAsia="zh-CN"/>
              </w:rPr>
            </w:pPr>
            <w:r>
              <w:rPr>
                <w:rFonts w:hint="default" w:ascii="宋体" w:hAnsi="宋体" w:eastAsia="宋体" w:cs="宋体"/>
                <w:b w:val="0"/>
                <w:bCs w:val="0"/>
                <w:kern w:val="0"/>
                <w:sz w:val="20"/>
                <w:szCs w:val="20"/>
                <w:lang w:val="en-US" w:eastAsia="zh-CN"/>
              </w:rPr>
              <w:t>“</w:t>
            </w:r>
            <w:r>
              <w:rPr>
                <w:rFonts w:hint="eastAsia" w:ascii="宋体" w:hAnsi="宋体" w:eastAsia="宋体" w:cs="宋体"/>
                <w:b w:val="0"/>
                <w:bCs w:val="0"/>
                <w:kern w:val="0"/>
                <w:sz w:val="20"/>
                <w:szCs w:val="20"/>
                <w:lang w:val="en-US" w:eastAsia="zh-CN"/>
              </w:rPr>
              <w:t>党派工作经费”项目</w:t>
            </w:r>
            <w:r>
              <w:rPr>
                <w:rFonts w:hint="default" w:ascii="宋体" w:hAnsi="宋体" w:eastAsia="宋体" w:cs="宋体"/>
                <w:b w:val="0"/>
                <w:bCs w:val="0"/>
                <w:kern w:val="0"/>
                <w:sz w:val="20"/>
                <w:szCs w:val="20"/>
                <w:lang w:val="en-US" w:eastAsia="zh-CN"/>
              </w:rPr>
              <w:t>实施对经济发展所带来的直接或间接影响情况。</w:t>
            </w:r>
          </w:p>
        </w:tc>
      </w:tr>
      <w:tr w14:paraId="2443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1330A9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BB6E6">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B771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社会效益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99F3">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10</w:t>
            </w:r>
            <w:r>
              <w:rPr>
                <w:rFonts w:hint="default" w:ascii="宋体" w:hAnsi="宋体" w:eastAsia="宋体" w:cs="宋体"/>
                <w:b w:val="0"/>
                <w:bCs w:val="0"/>
                <w:kern w:val="0"/>
                <w:sz w:val="20"/>
                <w:szCs w:val="20"/>
                <w:lang w:val="en-US"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E5291">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项目实施对社会发展所带来的直接或间接影响情况。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23A6A">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w:t>
            </w:r>
            <w:r>
              <w:rPr>
                <w:rFonts w:hint="eastAsia" w:ascii="宋体" w:hAnsi="宋体" w:eastAsia="宋体" w:cs="宋体"/>
                <w:b w:val="0"/>
                <w:bCs w:val="0"/>
                <w:kern w:val="0"/>
                <w:sz w:val="20"/>
                <w:szCs w:val="20"/>
                <w:lang w:val="en-US" w:eastAsia="zh-CN"/>
              </w:rPr>
              <w:t>党派工作经费”</w:t>
            </w:r>
            <w:r>
              <w:rPr>
                <w:rFonts w:hint="default" w:ascii="宋体" w:hAnsi="宋体" w:eastAsia="宋体" w:cs="宋体"/>
                <w:b w:val="0"/>
                <w:bCs w:val="0"/>
                <w:kern w:val="0"/>
                <w:sz w:val="20"/>
                <w:szCs w:val="20"/>
                <w:lang w:val="en-US" w:eastAsia="zh-CN"/>
              </w:rPr>
              <w:t>项目实施对社会发展所带来的直接或间接影响情况。</w:t>
            </w:r>
          </w:p>
        </w:tc>
      </w:tr>
      <w:tr w14:paraId="51DA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62BD72B">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C52CAF">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D0AD0">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可持续影响</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D1D89">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10</w:t>
            </w:r>
            <w:r>
              <w:rPr>
                <w:rFonts w:hint="default" w:ascii="宋体" w:hAnsi="宋体" w:eastAsia="宋体" w:cs="宋体"/>
                <w:b w:val="0"/>
                <w:bCs w:val="0"/>
                <w:kern w:val="0"/>
                <w:sz w:val="20"/>
                <w:szCs w:val="20"/>
                <w:lang w:val="en-US"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2126E">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项目后续运行及成效发挥的可持续影响情况。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A547">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w:t>
            </w:r>
            <w:r>
              <w:rPr>
                <w:rFonts w:hint="eastAsia" w:ascii="宋体" w:hAnsi="宋体" w:eastAsia="宋体" w:cs="宋体"/>
                <w:b w:val="0"/>
                <w:bCs w:val="0"/>
                <w:kern w:val="0"/>
                <w:sz w:val="20"/>
                <w:szCs w:val="20"/>
                <w:lang w:val="en-US" w:eastAsia="zh-CN"/>
              </w:rPr>
              <w:t>党派工作经费”</w:t>
            </w:r>
            <w:r>
              <w:rPr>
                <w:rFonts w:hint="default" w:ascii="宋体" w:hAnsi="宋体" w:eastAsia="宋体" w:cs="宋体"/>
                <w:b w:val="0"/>
                <w:bCs w:val="0"/>
                <w:kern w:val="0"/>
                <w:sz w:val="20"/>
                <w:szCs w:val="20"/>
                <w:lang w:val="en-US" w:eastAsia="zh-CN"/>
              </w:rPr>
              <w:t>项目实施对社会发展所带来的直接或间接影响情况。</w:t>
            </w:r>
          </w:p>
        </w:tc>
      </w:tr>
      <w:tr w14:paraId="72FE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0827353">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DBC92">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3709">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服务对象满意度</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4A7A">
            <w:pPr>
              <w:widowControl/>
              <w:wordWrap/>
              <w:adjustRightInd/>
              <w:snapToGrid/>
              <w:spacing w:line="240" w:lineRule="atLeast"/>
              <w:ind w:firstLine="0" w:firstLineChars="0"/>
              <w:jc w:val="center"/>
              <w:textAlignment w:val="auto"/>
              <w:outlineLvl w:val="9"/>
              <w:rPr>
                <w:rFonts w:hint="default"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10</w:t>
            </w:r>
            <w:r>
              <w:rPr>
                <w:rFonts w:hint="default" w:ascii="宋体" w:hAnsi="宋体" w:eastAsia="宋体" w:cs="宋体"/>
                <w:b w:val="0"/>
                <w:bCs w:val="0"/>
                <w:kern w:val="0"/>
                <w:sz w:val="20"/>
                <w:szCs w:val="20"/>
                <w:lang w:val="en-US"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44EC">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社会公众或服务对象对项目实施效果的满意程度。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2CEF8">
            <w:pPr>
              <w:widowControl/>
              <w:wordWrap/>
              <w:adjustRightInd/>
              <w:snapToGrid/>
              <w:spacing w:line="240" w:lineRule="atLeast"/>
              <w:ind w:firstLine="0" w:firstLineChars="0"/>
              <w:textAlignment w:val="auto"/>
              <w:outlineLvl w:val="9"/>
              <w:rPr>
                <w:rFonts w:hint="default" w:ascii="宋体" w:hAnsi="宋体" w:eastAsia="宋体" w:cs="宋体"/>
                <w:b w:val="0"/>
                <w:bCs w:val="0"/>
                <w:kern w:val="0"/>
                <w:sz w:val="20"/>
                <w:szCs w:val="20"/>
              </w:rPr>
            </w:pPr>
            <w:r>
              <w:rPr>
                <w:rFonts w:hint="default" w:ascii="宋体" w:hAnsi="宋体" w:eastAsia="宋体" w:cs="宋体"/>
                <w:b w:val="0"/>
                <w:bCs w:val="0"/>
                <w:kern w:val="0"/>
                <w:sz w:val="20"/>
                <w:szCs w:val="20"/>
                <w:lang w:val="en-US" w:eastAsia="zh-CN"/>
              </w:rPr>
              <w:t>社会公众或服务对象是指因该项目实施而受到影响的部门（单位）、群体或个人。一般采取社会调查的方式。</w:t>
            </w:r>
          </w:p>
        </w:tc>
      </w:tr>
    </w:tbl>
    <w:p w14:paraId="602FA73C">
      <w:pPr>
        <w:snapToGrid w:val="0"/>
        <w:spacing w:line="600" w:lineRule="exact"/>
        <w:ind w:firstLine="482"/>
        <w:jc w:val="left"/>
        <w:rPr>
          <w:rFonts w:ascii="宋体" w:hAnsi="宋体" w:eastAsia="宋体" w:cs="Arial Narrow"/>
          <w:b/>
        </w:rPr>
      </w:pPr>
      <w:r>
        <w:rPr>
          <w:rFonts w:hint="eastAsia" w:ascii="宋体" w:hAnsi="宋体" w:eastAsia="宋体" w:cs="Arial Narrow"/>
          <w:b/>
        </w:rPr>
        <w:t>4.评价方法</w:t>
      </w:r>
    </w:p>
    <w:p w14:paraId="02B22E0A">
      <w:pPr>
        <w:snapToGrid w:val="0"/>
        <w:spacing w:line="600" w:lineRule="exact"/>
        <w:ind w:firstLine="480"/>
        <w:jc w:val="left"/>
        <w:rPr>
          <w:rFonts w:ascii="宋体" w:hAnsi="宋体" w:eastAsia="宋体" w:cs="Arial Narrow"/>
        </w:rPr>
      </w:pPr>
      <w:r>
        <w:rPr>
          <w:rFonts w:hint="eastAsia" w:ascii="宋体" w:hAnsi="宋体" w:eastAsia="宋体" w:cs="Arial Narrow"/>
        </w:rPr>
        <w:t>主要采用成本效益分析法、比较法、因素分析法、最低成本法、公众评判法等。</w:t>
      </w:r>
    </w:p>
    <w:p w14:paraId="1124233C">
      <w:pPr>
        <w:snapToGrid w:val="0"/>
        <w:spacing w:line="600" w:lineRule="exact"/>
        <w:ind w:firstLine="480"/>
        <w:jc w:val="left"/>
        <w:rPr>
          <w:rFonts w:ascii="宋体" w:hAnsi="宋体" w:eastAsia="宋体" w:cs="Arial Narrow"/>
        </w:rPr>
      </w:pPr>
      <w:r>
        <w:rPr>
          <w:rFonts w:hint="eastAsia" w:ascii="宋体" w:hAnsi="宋体" w:eastAsia="宋体" w:cs="Arial Narrow"/>
        </w:rPr>
        <w:t>（1）成本效益分析法。是指将一定时期内的支出与效益进行对比分析，以评价绩效目标实现程度。</w:t>
      </w:r>
    </w:p>
    <w:p w14:paraId="0DF51381">
      <w:pPr>
        <w:snapToGrid w:val="0"/>
        <w:spacing w:line="600" w:lineRule="exact"/>
        <w:ind w:firstLine="480"/>
        <w:jc w:val="left"/>
        <w:rPr>
          <w:rFonts w:ascii="宋体" w:hAnsi="宋体" w:eastAsia="宋体" w:cs="Arial Narrow"/>
        </w:rPr>
      </w:pPr>
      <w:r>
        <w:rPr>
          <w:rFonts w:hint="eastAsia" w:ascii="宋体" w:hAnsi="宋体" w:eastAsia="宋体" w:cs="Arial Narrow"/>
        </w:rPr>
        <w:t>（2）比较法。是指通过对绩效目标与实施效果、历史与当期情况、不同部门和地区同类支出的比较，综合分析绩效目标实现程度。</w:t>
      </w:r>
    </w:p>
    <w:p w14:paraId="5D9F2084">
      <w:pPr>
        <w:snapToGrid w:val="0"/>
        <w:spacing w:line="600" w:lineRule="exact"/>
        <w:ind w:firstLine="480"/>
        <w:jc w:val="left"/>
        <w:rPr>
          <w:rFonts w:ascii="宋体" w:hAnsi="宋体" w:eastAsia="宋体" w:cs="Arial Narrow"/>
        </w:rPr>
      </w:pPr>
      <w:r>
        <w:rPr>
          <w:rFonts w:hint="eastAsia" w:ascii="宋体" w:hAnsi="宋体" w:eastAsia="宋体" w:cs="Arial Narrow"/>
        </w:rPr>
        <w:t>（3）因素分析法。是指通过综合分析影响绩效目标实现、实施效果的内外因素，评价绩效目标实现程度。</w:t>
      </w:r>
    </w:p>
    <w:p w14:paraId="55083364">
      <w:pPr>
        <w:snapToGrid w:val="0"/>
        <w:spacing w:line="600" w:lineRule="exact"/>
        <w:ind w:firstLine="480"/>
        <w:jc w:val="left"/>
        <w:rPr>
          <w:rFonts w:ascii="宋体" w:hAnsi="宋体" w:eastAsia="宋体" w:cs="Arial Narrow"/>
        </w:rPr>
      </w:pPr>
      <w:r>
        <w:rPr>
          <w:rFonts w:hint="eastAsia" w:ascii="宋体" w:hAnsi="宋体" w:eastAsia="宋体" w:cs="Arial Narrow"/>
        </w:rPr>
        <w:t>（4）最低成本法。是指对效益确定却不易计量的多个同类对象的实施成本进行比较，评价绩效目标实现程度。</w:t>
      </w:r>
    </w:p>
    <w:p w14:paraId="7E98A26D">
      <w:pPr>
        <w:snapToGrid w:val="0"/>
        <w:spacing w:line="600" w:lineRule="exact"/>
        <w:ind w:firstLine="480"/>
        <w:jc w:val="left"/>
        <w:rPr>
          <w:rFonts w:ascii="宋体" w:hAnsi="宋体" w:eastAsia="宋体" w:cs="Arial Narrow"/>
        </w:rPr>
      </w:pPr>
      <w:r>
        <w:rPr>
          <w:rFonts w:hint="eastAsia" w:ascii="宋体" w:hAnsi="宋体" w:eastAsia="宋体" w:cs="Arial Narrow"/>
        </w:rPr>
        <w:t>（5）公众评判法。是指通过专家评估、公众问卷及抽样调查等对财政支出效果进行评判，评价绩效目标实现程度。</w:t>
      </w:r>
    </w:p>
    <w:p w14:paraId="022482C1">
      <w:pPr>
        <w:snapToGrid w:val="0"/>
        <w:spacing w:line="600" w:lineRule="exact"/>
        <w:ind w:firstLine="482"/>
        <w:jc w:val="left"/>
        <w:outlineLvl w:val="1"/>
        <w:rPr>
          <w:rFonts w:ascii="宋体" w:hAnsi="宋体" w:eastAsia="宋体" w:cs="Arial Narrow"/>
          <w:b/>
        </w:rPr>
      </w:pPr>
      <w:bookmarkStart w:id="44" w:name="_Toc478396456"/>
      <w:r>
        <w:rPr>
          <w:rFonts w:hint="eastAsia" w:ascii="宋体" w:hAnsi="宋体" w:eastAsia="宋体" w:cs="Arial Narrow"/>
          <w:b/>
        </w:rPr>
        <w:t>（四）证据收集方式</w:t>
      </w:r>
      <w:bookmarkEnd w:id="44"/>
    </w:p>
    <w:p w14:paraId="3B121155">
      <w:pPr>
        <w:snapToGrid w:val="0"/>
        <w:spacing w:line="600" w:lineRule="exact"/>
        <w:ind w:firstLine="480"/>
        <w:jc w:val="left"/>
        <w:rPr>
          <w:rFonts w:hint="eastAsia" w:ascii="宋体" w:hAnsi="宋体" w:eastAsia="宋体" w:cs="Arial Narrow"/>
        </w:rPr>
      </w:pPr>
      <w:r>
        <w:rPr>
          <w:rFonts w:hint="eastAsia" w:ascii="宋体" w:hAnsi="宋体" w:eastAsia="宋体" w:cs="Arial Narrow"/>
        </w:rPr>
        <w:t>“</w:t>
      </w:r>
      <w:r>
        <w:rPr>
          <w:rFonts w:hint="eastAsia" w:ascii="宋体" w:hAnsi="宋体" w:eastAsia="宋体" w:cs="Arial Narrow"/>
          <w:highlight w:val="none"/>
          <w:lang w:eastAsia="zh-CN"/>
        </w:rPr>
        <w:t>统战事务</w:t>
      </w:r>
      <w:r>
        <w:rPr>
          <w:rFonts w:hint="eastAsia" w:ascii="宋体" w:hAnsi="宋体" w:eastAsia="宋体" w:cs="Arial Narrow"/>
          <w:lang w:eastAsia="zh-CN"/>
        </w:rPr>
        <w:t>经</w:t>
      </w:r>
      <w:r>
        <w:rPr>
          <w:rFonts w:hint="eastAsia" w:ascii="宋体" w:hAnsi="宋体" w:eastAsia="宋体" w:cs="Arial Narrow"/>
        </w:rPr>
        <w:t>费”项目绩效评价计划采取深入项目单位实地察看、面访、座谈、查阅相关资料、核查财务凭证等证据收集方法，并从上级主管部门及各基层部门获取大量高质量和准确可靠的数据信息，同时对项目实施相关人员进行访谈，收集绩效评价所需的基础性资料。</w:t>
      </w:r>
    </w:p>
    <w:bookmarkEnd w:id="38"/>
    <w:bookmarkEnd w:id="39"/>
    <w:bookmarkEnd w:id="40"/>
    <w:bookmarkEnd w:id="41"/>
    <w:bookmarkEnd w:id="42"/>
    <w:p w14:paraId="60B0C83B">
      <w:pPr>
        <w:snapToGrid w:val="0"/>
        <w:spacing w:line="600" w:lineRule="exact"/>
        <w:ind w:firstLine="482"/>
        <w:outlineLvl w:val="0"/>
        <w:rPr>
          <w:rFonts w:ascii="宋体" w:hAnsi="宋体" w:eastAsia="宋体" w:cs="Arial Narrow"/>
          <w:b/>
        </w:rPr>
      </w:pPr>
      <w:bookmarkStart w:id="45" w:name="_Toc406668044"/>
      <w:bookmarkStart w:id="46" w:name="_Toc18443"/>
      <w:bookmarkStart w:id="47" w:name="_Toc361304693"/>
      <w:bookmarkStart w:id="48" w:name="_Toc406666370"/>
      <w:bookmarkStart w:id="49" w:name="_Toc387957819"/>
      <w:bookmarkStart w:id="50" w:name="_Toc478396457"/>
      <w:r>
        <w:rPr>
          <w:rFonts w:ascii="宋体" w:hAnsi="宋体" w:eastAsia="宋体" w:cs="Arial Narrow"/>
          <w:b/>
        </w:rPr>
        <w:t>三、绩效分析</w:t>
      </w:r>
      <w:bookmarkEnd w:id="45"/>
      <w:bookmarkEnd w:id="46"/>
      <w:bookmarkEnd w:id="47"/>
      <w:bookmarkEnd w:id="48"/>
      <w:bookmarkEnd w:id="49"/>
      <w:bookmarkEnd w:id="50"/>
    </w:p>
    <w:p w14:paraId="194336CC">
      <w:pPr>
        <w:spacing w:line="600" w:lineRule="exact"/>
        <w:ind w:firstLine="482"/>
        <w:outlineLvl w:val="1"/>
        <w:rPr>
          <w:rFonts w:ascii="宋体" w:hAnsi="宋体" w:eastAsia="宋体"/>
          <w:b/>
        </w:rPr>
      </w:pPr>
      <w:bookmarkStart w:id="51" w:name="_Toc2992"/>
      <w:bookmarkStart w:id="52" w:name="_Toc478396458"/>
      <w:bookmarkStart w:id="53" w:name="_Toc406666373"/>
      <w:bookmarkStart w:id="54" w:name="_Toc361304697"/>
      <w:bookmarkStart w:id="55" w:name="_Toc387957822"/>
      <w:bookmarkStart w:id="56" w:name="_Toc361302034"/>
      <w:bookmarkStart w:id="57" w:name="_Toc406668047"/>
      <w:r>
        <w:rPr>
          <w:rFonts w:hint="eastAsia" w:ascii="宋体" w:hAnsi="宋体" w:eastAsia="宋体"/>
          <w:b/>
        </w:rPr>
        <w:t>（一）</w:t>
      </w:r>
      <w:r>
        <w:rPr>
          <w:rFonts w:ascii="宋体" w:hAnsi="宋体" w:eastAsia="宋体"/>
          <w:b/>
        </w:rPr>
        <w:t>项目</w:t>
      </w:r>
      <w:bookmarkStart w:id="58" w:name="_Toc394181010"/>
      <w:r>
        <w:rPr>
          <w:rFonts w:hint="eastAsia" w:ascii="宋体" w:hAnsi="宋体" w:eastAsia="宋体"/>
          <w:b/>
          <w:lang w:eastAsia="zh-CN"/>
        </w:rPr>
        <w:t>投入</w:t>
      </w:r>
      <w:r>
        <w:rPr>
          <w:rFonts w:ascii="宋体" w:hAnsi="宋体" w:eastAsia="宋体"/>
          <w:b/>
        </w:rPr>
        <w:t>（</w:t>
      </w:r>
      <w:r>
        <w:rPr>
          <w:rFonts w:hint="eastAsia" w:ascii="宋体" w:hAnsi="宋体" w:eastAsia="宋体"/>
          <w:b/>
          <w:lang w:val="en-US" w:eastAsia="zh-CN"/>
        </w:rPr>
        <w:t>15</w:t>
      </w:r>
      <w:r>
        <w:rPr>
          <w:rFonts w:ascii="宋体" w:hAnsi="宋体" w:eastAsia="宋体"/>
          <w:b/>
        </w:rPr>
        <w:t>分）</w:t>
      </w:r>
      <w:bookmarkEnd w:id="51"/>
      <w:bookmarkEnd w:id="52"/>
      <w:bookmarkEnd w:id="58"/>
    </w:p>
    <w:p w14:paraId="50E55DF8">
      <w:pPr>
        <w:snapToGrid w:val="0"/>
        <w:spacing w:line="600" w:lineRule="exact"/>
        <w:ind w:firstLine="480"/>
        <w:rPr>
          <w:rFonts w:ascii="宋体" w:hAnsi="宋体" w:eastAsia="宋体" w:cs="Arial Narrow"/>
        </w:rPr>
      </w:pPr>
      <w:bookmarkStart w:id="59" w:name="_Toc394490596"/>
      <w:bookmarkStart w:id="60" w:name="_Toc394181009"/>
      <w:r>
        <w:rPr>
          <w:rFonts w:ascii="宋体" w:hAnsi="宋体" w:eastAsia="宋体" w:cs="Arial Narrow"/>
        </w:rPr>
        <w:t>根据评价原则，项目</w:t>
      </w:r>
      <w:r>
        <w:rPr>
          <w:rFonts w:hint="eastAsia" w:ascii="宋体" w:hAnsi="宋体" w:eastAsia="宋体" w:cs="Arial Narrow"/>
          <w:lang w:eastAsia="zh-CN"/>
        </w:rPr>
        <w:t>投入</w:t>
      </w:r>
      <w:r>
        <w:rPr>
          <w:rFonts w:ascii="宋体" w:hAnsi="宋体" w:eastAsia="宋体" w:cs="Arial Narrow"/>
        </w:rPr>
        <w:t>评价得分为</w:t>
      </w:r>
      <w:r>
        <w:rPr>
          <w:rFonts w:hint="eastAsia" w:ascii="宋体" w:hAnsi="宋体" w:eastAsia="宋体" w:cs="Arial Narrow"/>
          <w:highlight w:val="none"/>
        </w:rPr>
        <w:t>1</w:t>
      </w:r>
      <w:r>
        <w:rPr>
          <w:rFonts w:hint="eastAsia" w:ascii="宋体" w:hAnsi="宋体" w:eastAsia="宋体" w:cs="Arial Narrow"/>
          <w:highlight w:val="none"/>
          <w:lang w:val="en-US" w:eastAsia="zh-CN"/>
        </w:rPr>
        <w:t>2</w:t>
      </w:r>
      <w:r>
        <w:rPr>
          <w:rFonts w:ascii="宋体" w:hAnsi="宋体" w:eastAsia="宋体" w:cs="Arial Narrow"/>
          <w:highlight w:val="none"/>
        </w:rPr>
        <w:t>分，评价结果为</w:t>
      </w:r>
      <w:r>
        <w:rPr>
          <w:rFonts w:hint="eastAsia" w:ascii="宋体" w:hAnsi="宋体" w:eastAsia="宋体" w:cs="Arial Narrow"/>
          <w:highlight w:val="none"/>
          <w:lang w:eastAsia="zh-CN"/>
        </w:rPr>
        <w:t>良</w:t>
      </w:r>
      <w:r>
        <w:rPr>
          <w:rFonts w:ascii="宋体" w:hAnsi="宋体" w:eastAsia="宋体" w:cs="Arial Narrow"/>
          <w:highlight w:val="none"/>
        </w:rPr>
        <w:t>。</w:t>
      </w:r>
      <w:bookmarkEnd w:id="59"/>
      <w:bookmarkEnd w:id="60"/>
      <w:bookmarkStart w:id="61" w:name="_Toc394490597"/>
    </w:p>
    <w:bookmarkEnd w:id="61"/>
    <w:p w14:paraId="6215C328">
      <w:pPr>
        <w:numPr>
          <w:ilvl w:val="0"/>
          <w:numId w:val="5"/>
        </w:numPr>
        <w:snapToGrid w:val="0"/>
        <w:spacing w:line="600" w:lineRule="exact"/>
        <w:ind w:firstLine="482"/>
        <w:rPr>
          <w:rFonts w:ascii="宋体" w:hAnsi="宋体" w:eastAsia="宋体" w:cs="Arial Narrow"/>
          <w:b/>
          <w:bCs/>
        </w:rPr>
      </w:pPr>
      <w:r>
        <w:rPr>
          <w:rFonts w:ascii="宋体" w:hAnsi="宋体" w:eastAsia="宋体" w:cs="Arial Narrow"/>
          <w:b/>
          <w:bCs/>
        </w:rPr>
        <w:t>项目</w:t>
      </w:r>
      <w:r>
        <w:rPr>
          <w:rFonts w:hint="eastAsia" w:ascii="宋体" w:hAnsi="宋体" w:eastAsia="宋体" w:cs="Arial Narrow"/>
          <w:b/>
          <w:bCs/>
          <w:lang w:eastAsia="zh-CN"/>
        </w:rPr>
        <w:t>立项</w:t>
      </w:r>
      <w:r>
        <w:rPr>
          <w:rFonts w:ascii="宋体" w:hAnsi="宋体" w:eastAsia="宋体" w:cs="Arial Narrow"/>
          <w:b/>
          <w:bCs/>
        </w:rPr>
        <w:t>（</w:t>
      </w:r>
      <w:r>
        <w:rPr>
          <w:rFonts w:hint="eastAsia" w:ascii="宋体" w:hAnsi="宋体" w:eastAsia="宋体" w:cs="Arial Narrow"/>
          <w:b/>
          <w:bCs/>
          <w:lang w:val="en-US" w:eastAsia="zh-CN"/>
        </w:rPr>
        <w:t>6</w:t>
      </w:r>
      <w:r>
        <w:rPr>
          <w:rFonts w:ascii="宋体" w:hAnsi="宋体" w:eastAsia="宋体" w:cs="Arial Narrow"/>
          <w:b/>
          <w:bCs/>
        </w:rPr>
        <w:t>分）</w:t>
      </w:r>
    </w:p>
    <w:p w14:paraId="74CB5E28">
      <w:pPr>
        <w:numPr>
          <w:ilvl w:val="0"/>
          <w:numId w:val="6"/>
        </w:numPr>
        <w:snapToGrid w:val="0"/>
        <w:spacing w:line="600" w:lineRule="exact"/>
        <w:ind w:firstLine="480"/>
        <w:rPr>
          <w:rFonts w:hint="eastAsia" w:ascii="宋体" w:hAnsi="宋体" w:eastAsia="宋体" w:cs="Arial Narrow"/>
        </w:rPr>
      </w:pPr>
      <w:r>
        <w:rPr>
          <w:rFonts w:hint="eastAsia" w:ascii="宋体" w:hAnsi="宋体" w:eastAsia="宋体" w:cs="Arial Narrow"/>
          <w:lang w:eastAsia="zh-CN"/>
        </w:rPr>
        <w:t>项目立项规范性</w:t>
      </w:r>
      <w:r>
        <w:rPr>
          <w:rFonts w:hint="eastAsia" w:ascii="宋体" w:hAnsi="宋体" w:eastAsia="宋体" w:cs="Arial Narrow"/>
        </w:rPr>
        <w:t>：满分</w:t>
      </w:r>
      <w:r>
        <w:rPr>
          <w:rFonts w:hint="eastAsia" w:ascii="宋体" w:hAnsi="宋体" w:eastAsia="宋体" w:cs="Arial Narrow"/>
          <w:lang w:val="en-US" w:eastAsia="zh-CN"/>
        </w:rPr>
        <w:t>3</w:t>
      </w:r>
      <w:r>
        <w:rPr>
          <w:rFonts w:hint="eastAsia" w:ascii="宋体" w:hAnsi="宋体" w:eastAsia="宋体" w:cs="Arial Narrow"/>
        </w:rPr>
        <w:t>分，</w:t>
      </w:r>
      <w:r>
        <w:rPr>
          <w:rFonts w:hint="eastAsia" w:ascii="宋体" w:hAnsi="宋体" w:eastAsia="宋体" w:cs="Arial Narrow"/>
          <w:highlight w:val="none"/>
        </w:rPr>
        <w:t>得分</w:t>
      </w:r>
      <w:r>
        <w:rPr>
          <w:rFonts w:hint="eastAsia" w:ascii="宋体" w:hAnsi="宋体" w:eastAsia="宋体" w:cs="Arial Narrow"/>
          <w:highlight w:val="none"/>
          <w:lang w:val="en-US" w:eastAsia="zh-CN"/>
        </w:rPr>
        <w:t>2</w:t>
      </w:r>
      <w:r>
        <w:rPr>
          <w:rFonts w:hint="eastAsia" w:ascii="宋体" w:hAnsi="宋体" w:eastAsia="宋体" w:cs="Arial Narrow"/>
          <w:highlight w:val="none"/>
        </w:rPr>
        <w:t>分</w:t>
      </w:r>
      <w:r>
        <w:rPr>
          <w:rFonts w:hint="eastAsia" w:ascii="宋体" w:hAnsi="宋体" w:eastAsia="宋体" w:cs="Arial Narrow"/>
        </w:rPr>
        <w:t>。</w:t>
      </w:r>
    </w:p>
    <w:p w14:paraId="464A2CDC">
      <w:pPr>
        <w:numPr>
          <w:ilvl w:val="0"/>
          <w:numId w:val="0"/>
        </w:numPr>
        <w:snapToGrid w:val="0"/>
        <w:spacing w:line="600" w:lineRule="exact"/>
        <w:ind w:firstLine="480" w:firstLineChars="200"/>
        <w:rPr>
          <w:rFonts w:hint="eastAsia" w:ascii="宋体" w:hAnsi="宋体" w:eastAsia="宋体" w:cs="Arial Narrow"/>
          <w:highlight w:val="none"/>
        </w:rPr>
      </w:pPr>
      <w:r>
        <w:rPr>
          <w:rFonts w:hint="eastAsia" w:ascii="宋体" w:hAnsi="宋体" w:eastAsia="宋体" w:cs="Arial Narrow"/>
        </w:rPr>
        <w:t>项目符合经济社会发展规划和年度部门计划，单位制定了年度实施计划；项目是根据</w:t>
      </w:r>
      <w:r>
        <w:rPr>
          <w:rFonts w:hint="eastAsia" w:ascii="宋体" w:hAnsi="宋体" w:eastAsia="宋体" w:cs="Arial Narrow"/>
          <w:highlight w:val="none"/>
        </w:rPr>
        <w:t>项目是根据</w:t>
      </w:r>
      <w:r>
        <w:rPr>
          <w:rFonts w:hint="eastAsia" w:ascii="宋体" w:hAnsi="宋体" w:eastAsia="宋体" w:cs="Arial Narrow"/>
          <w:highlight w:val="none"/>
          <w:lang w:eastAsia="zh-CN"/>
        </w:rPr>
        <w:t>《</w:t>
      </w:r>
      <w:r>
        <w:rPr>
          <w:rFonts w:hint="eastAsia" w:ascii="宋体" w:hAnsi="宋体" w:eastAsia="宋体" w:cs="Arial Narrow"/>
          <w:highlight w:val="none"/>
        </w:rPr>
        <w:t>武昌区财政局关于中共武昌区委员会统一</w:t>
      </w:r>
      <w:r>
        <w:rPr>
          <w:rFonts w:hint="eastAsia" w:ascii="宋体" w:hAnsi="宋体" w:eastAsia="宋体" w:cs="Arial Narrow"/>
          <w:highlight w:val="none"/>
          <w:lang w:val="en-US" w:eastAsia="zh-CN"/>
        </w:rPr>
        <w:t>战线</w:t>
      </w:r>
      <w:r>
        <w:rPr>
          <w:rFonts w:hint="eastAsia" w:ascii="宋体" w:hAnsi="宋体" w:eastAsia="宋体" w:cs="Arial Narrow"/>
          <w:highlight w:val="none"/>
        </w:rPr>
        <w:t>工作部2017年部门预算的批复</w:t>
      </w:r>
      <w:r>
        <w:rPr>
          <w:rFonts w:hint="eastAsia" w:ascii="宋体" w:hAnsi="宋体" w:eastAsia="宋体" w:cs="Arial Narrow"/>
          <w:highlight w:val="none"/>
          <w:lang w:eastAsia="zh-CN"/>
        </w:rPr>
        <w:t>》（</w:t>
      </w:r>
      <w:r>
        <w:rPr>
          <w:rFonts w:hint="eastAsia" w:ascii="宋体" w:hAnsi="宋体" w:eastAsia="宋体" w:cs="Arial Narrow"/>
          <w:highlight w:val="none"/>
        </w:rPr>
        <w:t>武昌财预[2016]249号</w:t>
      </w:r>
      <w:r>
        <w:rPr>
          <w:rFonts w:hint="eastAsia" w:ascii="宋体" w:hAnsi="宋体" w:eastAsia="宋体" w:cs="Arial Narrow"/>
          <w:highlight w:val="none"/>
          <w:lang w:eastAsia="zh-CN"/>
        </w:rPr>
        <w:t>）</w:t>
      </w:r>
      <w:r>
        <w:rPr>
          <w:rFonts w:hint="eastAsia" w:ascii="宋体" w:hAnsi="宋体" w:eastAsia="宋体" w:cs="Arial Narrow"/>
          <w:highlight w:val="none"/>
        </w:rPr>
        <w:t>设立，符合申报条件，申报、批复程序符合相关管理办法；制定了《武昌区委统战部预算管理制度》和《武昌区民主党派工作经费使用管理办法》，但未在管理制度中明确资金分配办法，扣1分。得分2分。</w:t>
      </w:r>
    </w:p>
    <w:p w14:paraId="7C82C521">
      <w:pPr>
        <w:numPr>
          <w:ilvl w:val="0"/>
          <w:numId w:val="6"/>
        </w:numPr>
        <w:snapToGrid w:val="0"/>
        <w:spacing w:line="600" w:lineRule="exact"/>
        <w:ind w:left="0" w:leftChars="0" w:firstLine="480" w:firstLineChars="200"/>
        <w:rPr>
          <w:rFonts w:hint="eastAsia" w:ascii="宋体" w:hAnsi="宋体" w:eastAsia="宋体" w:cs="Arial Narrow"/>
          <w:highlight w:val="none"/>
        </w:rPr>
      </w:pPr>
      <w:r>
        <w:rPr>
          <w:rFonts w:hint="eastAsia" w:ascii="宋体" w:hAnsi="宋体" w:eastAsia="宋体" w:cs="Arial Narrow"/>
          <w:highlight w:val="none"/>
          <w:lang w:eastAsia="zh-CN"/>
        </w:rPr>
        <w:t>绩效目标合理性</w:t>
      </w:r>
      <w:r>
        <w:rPr>
          <w:rFonts w:hint="eastAsia" w:ascii="宋体" w:hAnsi="宋体" w:eastAsia="宋体" w:cs="Arial Narrow"/>
          <w:highlight w:val="none"/>
        </w:rPr>
        <w:t>：满分</w:t>
      </w:r>
      <w:r>
        <w:rPr>
          <w:rFonts w:hint="eastAsia" w:ascii="宋体" w:hAnsi="宋体" w:eastAsia="宋体" w:cs="Arial Narrow"/>
          <w:highlight w:val="none"/>
          <w:lang w:val="en-US" w:eastAsia="zh-CN"/>
        </w:rPr>
        <w:t>3</w:t>
      </w:r>
      <w:r>
        <w:rPr>
          <w:rFonts w:hint="eastAsia" w:ascii="宋体" w:hAnsi="宋体" w:eastAsia="宋体" w:cs="Arial Narrow"/>
          <w:highlight w:val="none"/>
        </w:rPr>
        <w:t>分，得分</w:t>
      </w:r>
      <w:r>
        <w:rPr>
          <w:rFonts w:hint="eastAsia" w:ascii="宋体" w:hAnsi="宋体" w:eastAsia="宋体" w:cs="Arial Narrow"/>
          <w:highlight w:val="none"/>
          <w:lang w:val="en-US" w:eastAsia="zh-CN"/>
        </w:rPr>
        <w:t>1</w:t>
      </w:r>
      <w:r>
        <w:rPr>
          <w:rFonts w:hint="eastAsia" w:ascii="宋体" w:hAnsi="宋体" w:eastAsia="宋体" w:cs="Arial Narrow"/>
          <w:highlight w:val="none"/>
        </w:rPr>
        <w:t>分。</w:t>
      </w:r>
    </w:p>
    <w:p w14:paraId="13D8842D">
      <w:pPr>
        <w:snapToGrid w:val="0"/>
        <w:spacing w:line="600" w:lineRule="exact"/>
        <w:ind w:firstLine="482"/>
        <w:rPr>
          <w:rFonts w:hint="eastAsia" w:ascii="宋体" w:hAnsi="宋体" w:eastAsia="宋体" w:cs="Arial Narrow"/>
          <w:highlight w:val="none"/>
        </w:rPr>
      </w:pPr>
      <w:r>
        <w:rPr>
          <w:rFonts w:hint="eastAsia" w:ascii="宋体" w:hAnsi="宋体" w:eastAsia="宋体" w:cs="Arial Narrow"/>
          <w:highlight w:val="none"/>
        </w:rPr>
        <w:t>绩效目标：负责联系7个民主党派和无党派人士，及时通报情况，反映他们的意见和建议；研究、贯彻党领导的多党合作和政治协商制度及对民主党派的方针、政策；落实中央关于发挥民主党派、无党派人士参政议政和民主监督作用的工作；支持、帮助各民主党派加强自身建设、选拔、培养新一代代表人物。没有具体绩效目标，只在部门职能中提及且没有量化，可测性有一定影响，扣2分，得1分</w:t>
      </w:r>
      <w:r>
        <w:rPr>
          <w:rFonts w:hint="eastAsia" w:ascii="宋体" w:hAnsi="宋体" w:eastAsia="宋体" w:cs="Arial Narrow"/>
          <w:highlight w:val="none"/>
          <w:lang w:eastAsia="zh-CN"/>
        </w:rPr>
        <w:t>。</w:t>
      </w:r>
    </w:p>
    <w:p w14:paraId="22733A34">
      <w:pPr>
        <w:snapToGrid w:val="0"/>
        <w:spacing w:line="600" w:lineRule="exact"/>
        <w:ind w:firstLine="482"/>
        <w:rPr>
          <w:rFonts w:ascii="宋体" w:hAnsi="宋体" w:eastAsia="宋体" w:cs="Arial Narrow"/>
          <w:b/>
          <w:bCs/>
        </w:rPr>
      </w:pPr>
      <w:r>
        <w:rPr>
          <w:rFonts w:hint="eastAsia" w:ascii="宋体" w:hAnsi="宋体" w:eastAsia="宋体" w:cs="Arial Narrow"/>
          <w:b/>
          <w:bCs/>
        </w:rPr>
        <w:t>2、</w:t>
      </w:r>
      <w:r>
        <w:rPr>
          <w:rFonts w:hint="eastAsia" w:ascii="宋体" w:hAnsi="宋体" w:eastAsia="宋体" w:cs="Arial Narrow"/>
          <w:b/>
          <w:bCs/>
          <w:lang w:eastAsia="zh-CN"/>
        </w:rPr>
        <w:t>资金落实</w:t>
      </w:r>
      <w:r>
        <w:rPr>
          <w:rFonts w:ascii="宋体" w:hAnsi="宋体" w:eastAsia="宋体" w:cs="Arial Narrow"/>
          <w:b/>
          <w:bCs/>
        </w:rPr>
        <w:t>（</w:t>
      </w:r>
      <w:r>
        <w:rPr>
          <w:rFonts w:hint="eastAsia" w:ascii="宋体" w:hAnsi="宋体" w:eastAsia="宋体" w:cs="Arial Narrow"/>
          <w:b/>
          <w:bCs/>
          <w:lang w:val="en-US" w:eastAsia="zh-CN"/>
        </w:rPr>
        <w:t>9</w:t>
      </w:r>
      <w:r>
        <w:rPr>
          <w:rFonts w:ascii="宋体" w:hAnsi="宋体" w:eastAsia="宋体" w:cs="Arial Narrow"/>
          <w:b/>
          <w:bCs/>
        </w:rPr>
        <w:t>分）</w:t>
      </w:r>
    </w:p>
    <w:p w14:paraId="1A7131DF">
      <w:pPr>
        <w:snapToGrid w:val="0"/>
        <w:spacing w:line="600" w:lineRule="exact"/>
        <w:ind w:firstLine="480"/>
        <w:rPr>
          <w:rFonts w:hint="eastAsia" w:ascii="宋体" w:hAnsi="宋体" w:eastAsia="宋体" w:cs="Arial Narrow"/>
        </w:rPr>
      </w:pPr>
      <w:r>
        <w:rPr>
          <w:rFonts w:hint="eastAsia" w:ascii="宋体" w:hAnsi="宋体" w:eastAsia="宋体" w:cs="Arial Narrow"/>
        </w:rPr>
        <w:t>（1）</w:t>
      </w:r>
      <w:r>
        <w:rPr>
          <w:rFonts w:hint="eastAsia" w:ascii="宋体" w:hAnsi="宋体" w:eastAsia="宋体" w:cs="Arial Narrow"/>
          <w:lang w:eastAsia="zh-CN"/>
        </w:rPr>
        <w:t>资金到位率</w:t>
      </w:r>
      <w:r>
        <w:rPr>
          <w:rFonts w:hint="eastAsia" w:ascii="宋体" w:hAnsi="宋体" w:eastAsia="宋体" w:cs="Arial Narrow"/>
        </w:rPr>
        <w:t>：满分</w:t>
      </w:r>
      <w:r>
        <w:rPr>
          <w:rFonts w:hint="eastAsia" w:ascii="宋体" w:hAnsi="宋体" w:eastAsia="宋体" w:cs="Arial Narrow"/>
          <w:lang w:val="en-US" w:eastAsia="zh-CN"/>
        </w:rPr>
        <w:t>5</w:t>
      </w:r>
      <w:r>
        <w:rPr>
          <w:rFonts w:hint="eastAsia" w:ascii="宋体" w:hAnsi="宋体" w:eastAsia="宋体" w:cs="Arial Narrow"/>
        </w:rPr>
        <w:t>分，得分</w:t>
      </w:r>
      <w:r>
        <w:rPr>
          <w:rFonts w:hint="eastAsia" w:ascii="宋体" w:hAnsi="宋体" w:eastAsia="宋体" w:cs="Arial Narrow"/>
          <w:lang w:val="en-US" w:eastAsia="zh-CN"/>
        </w:rPr>
        <w:t>5</w:t>
      </w:r>
      <w:r>
        <w:rPr>
          <w:rFonts w:hint="eastAsia" w:ascii="宋体" w:hAnsi="宋体" w:eastAsia="宋体" w:cs="Arial Narrow"/>
        </w:rPr>
        <w:t>分。</w:t>
      </w:r>
    </w:p>
    <w:p w14:paraId="289EA86F">
      <w:pPr>
        <w:numPr>
          <w:ilvl w:val="0"/>
          <w:numId w:val="0"/>
        </w:numPr>
        <w:snapToGrid w:val="0"/>
        <w:spacing w:line="600" w:lineRule="exact"/>
        <w:ind w:firstLine="480" w:firstLineChars="200"/>
        <w:rPr>
          <w:rFonts w:hint="eastAsia" w:ascii="宋体" w:hAnsi="宋体" w:eastAsia="宋体" w:cs="Arial Narrow"/>
        </w:rPr>
      </w:pPr>
      <w:r>
        <w:rPr>
          <w:rFonts w:hint="eastAsia" w:ascii="宋体" w:hAnsi="宋体" w:eastAsia="宋体" w:cs="Arial Narrow"/>
        </w:rPr>
        <w:t>项目预算资金实际到位数和预算数一致，得5分。</w:t>
      </w:r>
    </w:p>
    <w:p w14:paraId="58248934">
      <w:pPr>
        <w:snapToGrid w:val="0"/>
        <w:spacing w:line="600" w:lineRule="exact"/>
        <w:ind w:firstLine="480"/>
        <w:rPr>
          <w:rFonts w:hint="eastAsia" w:ascii="宋体" w:hAnsi="宋体" w:eastAsia="宋体" w:cs="Arial Narrow"/>
        </w:rPr>
      </w:pPr>
      <w:r>
        <w:rPr>
          <w:rFonts w:hint="eastAsia" w:ascii="宋体" w:hAnsi="宋体" w:eastAsia="宋体" w:cs="Arial Narrow"/>
          <w:lang w:eastAsia="zh-CN"/>
        </w:rPr>
        <w:t>（</w:t>
      </w:r>
      <w:r>
        <w:rPr>
          <w:rFonts w:hint="eastAsia" w:ascii="宋体" w:hAnsi="宋体" w:eastAsia="宋体" w:cs="Arial Narrow"/>
          <w:lang w:val="en-US" w:eastAsia="zh-CN"/>
        </w:rPr>
        <w:t>2）</w:t>
      </w:r>
      <w:r>
        <w:rPr>
          <w:rFonts w:hint="eastAsia" w:ascii="宋体" w:hAnsi="宋体" w:eastAsia="宋体" w:cs="Arial Narrow"/>
          <w:lang w:eastAsia="zh-CN"/>
        </w:rPr>
        <w:t>到位及时率</w:t>
      </w:r>
      <w:r>
        <w:rPr>
          <w:rFonts w:hint="eastAsia" w:ascii="宋体" w:hAnsi="宋体" w:eastAsia="宋体" w:cs="Arial Narrow"/>
        </w:rPr>
        <w:t>：满分</w:t>
      </w:r>
      <w:r>
        <w:rPr>
          <w:rFonts w:hint="eastAsia" w:ascii="宋体" w:hAnsi="宋体" w:eastAsia="宋体" w:cs="Arial Narrow"/>
          <w:lang w:val="en-US" w:eastAsia="zh-CN"/>
        </w:rPr>
        <w:t>4</w:t>
      </w:r>
      <w:r>
        <w:rPr>
          <w:rFonts w:hint="eastAsia" w:ascii="宋体" w:hAnsi="宋体" w:eastAsia="宋体" w:cs="Arial Narrow"/>
        </w:rPr>
        <w:t>分，得分</w:t>
      </w:r>
      <w:r>
        <w:rPr>
          <w:rFonts w:hint="eastAsia" w:ascii="宋体" w:hAnsi="宋体" w:eastAsia="宋体" w:cs="Arial Narrow"/>
          <w:lang w:val="en-US" w:eastAsia="zh-CN"/>
        </w:rPr>
        <w:t>4</w:t>
      </w:r>
      <w:r>
        <w:rPr>
          <w:rFonts w:hint="eastAsia" w:ascii="宋体" w:hAnsi="宋体" w:eastAsia="宋体" w:cs="Arial Narrow"/>
        </w:rPr>
        <w:t>分。</w:t>
      </w:r>
      <w:bookmarkEnd w:id="53"/>
      <w:bookmarkEnd w:id="54"/>
      <w:bookmarkEnd w:id="55"/>
      <w:bookmarkEnd w:id="56"/>
      <w:bookmarkEnd w:id="57"/>
      <w:bookmarkStart w:id="62" w:name="_Toc11787"/>
      <w:bookmarkStart w:id="63" w:name="_Toc478396459"/>
      <w:bookmarkStart w:id="64" w:name="_Toc406668048"/>
      <w:bookmarkStart w:id="65" w:name="_Toc361304699"/>
      <w:bookmarkStart w:id="66" w:name="_Toc406666374"/>
      <w:bookmarkStart w:id="67" w:name="_Toc361302036"/>
      <w:bookmarkStart w:id="68" w:name="_Toc387957823"/>
    </w:p>
    <w:p w14:paraId="5095A081">
      <w:pPr>
        <w:numPr>
          <w:ilvl w:val="0"/>
          <w:numId w:val="0"/>
        </w:numPr>
        <w:snapToGrid w:val="0"/>
        <w:spacing w:line="600" w:lineRule="exact"/>
        <w:ind w:firstLine="480" w:firstLineChars="200"/>
        <w:rPr>
          <w:rFonts w:hint="eastAsia" w:ascii="宋体" w:hAnsi="宋体" w:eastAsia="宋体" w:cs="Arial Narrow"/>
        </w:rPr>
      </w:pPr>
      <w:r>
        <w:rPr>
          <w:rFonts w:hint="eastAsia" w:ascii="宋体" w:hAnsi="宋体" w:eastAsia="宋体" w:cs="Arial Narrow"/>
        </w:rPr>
        <w:t>资金及时到位，得4分。</w:t>
      </w:r>
    </w:p>
    <w:p w14:paraId="41C1A2E7">
      <w:pPr>
        <w:spacing w:line="600" w:lineRule="exact"/>
        <w:ind w:firstLine="482"/>
        <w:outlineLvl w:val="1"/>
        <w:rPr>
          <w:rFonts w:ascii="宋体" w:hAnsi="宋体" w:eastAsia="宋体"/>
          <w:b/>
        </w:rPr>
      </w:pPr>
      <w:r>
        <w:rPr>
          <w:rFonts w:hint="eastAsia" w:ascii="宋体" w:hAnsi="宋体" w:eastAsia="宋体"/>
          <w:b/>
        </w:rPr>
        <w:t>（二）</w:t>
      </w:r>
      <w:r>
        <w:rPr>
          <w:rFonts w:ascii="宋体" w:hAnsi="宋体" w:eastAsia="宋体"/>
          <w:b/>
        </w:rPr>
        <w:t>项目</w:t>
      </w:r>
      <w:r>
        <w:rPr>
          <w:rFonts w:hint="eastAsia" w:ascii="宋体" w:hAnsi="宋体" w:eastAsia="宋体"/>
          <w:b/>
          <w:lang w:eastAsia="zh-CN"/>
        </w:rPr>
        <w:t>过程</w:t>
      </w:r>
      <w:r>
        <w:rPr>
          <w:rFonts w:ascii="宋体" w:hAnsi="宋体" w:eastAsia="宋体"/>
          <w:b/>
        </w:rPr>
        <w:t>（25分）</w:t>
      </w:r>
      <w:bookmarkEnd w:id="62"/>
      <w:bookmarkEnd w:id="63"/>
    </w:p>
    <w:p w14:paraId="1F3427D3">
      <w:pPr>
        <w:snapToGrid w:val="0"/>
        <w:spacing w:line="600" w:lineRule="exact"/>
        <w:ind w:firstLine="480"/>
        <w:rPr>
          <w:rFonts w:ascii="宋体" w:hAnsi="宋体" w:eastAsia="宋体" w:cs="Arial Narrow"/>
        </w:rPr>
      </w:pPr>
      <w:bookmarkStart w:id="69" w:name="_Toc394490599"/>
      <w:bookmarkStart w:id="70" w:name="_Toc394181012"/>
      <w:r>
        <w:rPr>
          <w:rFonts w:ascii="宋体" w:hAnsi="宋体" w:eastAsia="宋体" w:cs="Arial Narrow"/>
        </w:rPr>
        <w:t>根据评价原则，</w:t>
      </w:r>
      <w:r>
        <w:rPr>
          <w:rFonts w:hint="eastAsia" w:ascii="宋体" w:hAnsi="宋体" w:eastAsia="宋体" w:cs="Arial Narrow"/>
          <w:lang w:eastAsia="zh-CN"/>
        </w:rPr>
        <w:t>项目过程</w:t>
      </w:r>
      <w:r>
        <w:rPr>
          <w:rFonts w:ascii="宋体" w:hAnsi="宋体" w:eastAsia="宋体" w:cs="Arial Narrow"/>
        </w:rPr>
        <w:t>评价得</w:t>
      </w:r>
      <w:r>
        <w:rPr>
          <w:rFonts w:ascii="宋体" w:hAnsi="宋体" w:eastAsia="宋体" w:cs="Arial Narrow"/>
          <w:highlight w:val="none"/>
        </w:rPr>
        <w:t>分为</w:t>
      </w:r>
      <w:r>
        <w:rPr>
          <w:rFonts w:hint="eastAsia" w:ascii="宋体" w:hAnsi="宋体" w:eastAsia="宋体" w:cs="Arial Narrow"/>
          <w:highlight w:val="none"/>
        </w:rPr>
        <w:t>2</w:t>
      </w:r>
      <w:r>
        <w:rPr>
          <w:rFonts w:hint="eastAsia" w:ascii="宋体" w:hAnsi="宋体" w:eastAsia="宋体" w:cs="Arial Narrow"/>
          <w:highlight w:val="none"/>
          <w:lang w:val="en-US" w:eastAsia="zh-CN"/>
        </w:rPr>
        <w:t>1</w:t>
      </w:r>
      <w:r>
        <w:rPr>
          <w:rFonts w:ascii="宋体" w:hAnsi="宋体" w:eastAsia="宋体" w:cs="Arial Narrow"/>
          <w:highlight w:val="none"/>
        </w:rPr>
        <w:t>分，评价结果为</w:t>
      </w:r>
      <w:r>
        <w:rPr>
          <w:rFonts w:hint="eastAsia" w:ascii="宋体" w:hAnsi="宋体" w:eastAsia="宋体" w:cs="Arial Narrow"/>
          <w:highlight w:val="none"/>
          <w:lang w:eastAsia="zh-CN"/>
        </w:rPr>
        <w:t>良</w:t>
      </w:r>
      <w:r>
        <w:rPr>
          <w:rFonts w:ascii="宋体" w:hAnsi="宋体" w:eastAsia="宋体" w:cs="Arial Narrow"/>
          <w:highlight w:val="none"/>
        </w:rPr>
        <w:t>。</w:t>
      </w:r>
      <w:bookmarkEnd w:id="69"/>
      <w:bookmarkEnd w:id="70"/>
    </w:p>
    <w:p w14:paraId="0C74E26F">
      <w:pPr>
        <w:snapToGrid w:val="0"/>
        <w:spacing w:line="600" w:lineRule="exact"/>
        <w:ind w:firstLine="482"/>
        <w:rPr>
          <w:rFonts w:ascii="宋体" w:hAnsi="宋体" w:eastAsia="宋体" w:cs="Arial Narrow"/>
          <w:b/>
          <w:bCs/>
        </w:rPr>
      </w:pPr>
      <w:r>
        <w:rPr>
          <w:rFonts w:hint="eastAsia" w:ascii="宋体" w:hAnsi="宋体" w:eastAsia="宋体" w:cs="Arial Narrow"/>
          <w:b/>
          <w:bCs/>
        </w:rPr>
        <w:t>1、</w:t>
      </w:r>
      <w:r>
        <w:rPr>
          <w:rFonts w:hint="eastAsia" w:ascii="宋体" w:hAnsi="宋体" w:eastAsia="宋体" w:cs="Arial Narrow"/>
          <w:b/>
          <w:bCs/>
          <w:lang w:eastAsia="zh-CN"/>
        </w:rPr>
        <w:t>项目</w:t>
      </w:r>
      <w:r>
        <w:rPr>
          <w:rFonts w:ascii="宋体" w:hAnsi="宋体" w:eastAsia="宋体" w:cs="Arial Narrow"/>
          <w:b/>
          <w:bCs/>
        </w:rPr>
        <w:t>管理（</w:t>
      </w:r>
      <w:r>
        <w:rPr>
          <w:rFonts w:hint="eastAsia" w:ascii="宋体" w:hAnsi="宋体" w:eastAsia="宋体" w:cs="Arial Narrow"/>
          <w:b/>
          <w:bCs/>
          <w:lang w:val="en-US" w:eastAsia="zh-CN"/>
        </w:rPr>
        <w:t>1</w:t>
      </w:r>
      <w:r>
        <w:rPr>
          <w:rFonts w:ascii="宋体" w:hAnsi="宋体" w:eastAsia="宋体" w:cs="Arial Narrow"/>
          <w:b/>
          <w:bCs/>
        </w:rPr>
        <w:t>5分）</w:t>
      </w:r>
    </w:p>
    <w:p w14:paraId="415DE6E5">
      <w:pPr>
        <w:snapToGrid w:val="0"/>
        <w:spacing w:line="600" w:lineRule="exact"/>
        <w:ind w:firstLine="480"/>
        <w:jc w:val="left"/>
        <w:rPr>
          <w:rFonts w:ascii="宋体" w:hAnsi="宋体" w:eastAsia="宋体" w:cs="Arial Narrow"/>
        </w:rPr>
      </w:pPr>
      <w:r>
        <w:rPr>
          <w:rFonts w:hint="eastAsia" w:ascii="宋体" w:hAnsi="宋体" w:eastAsia="宋体" w:cs="Arial Narrow"/>
        </w:rPr>
        <w:t>（1）</w:t>
      </w:r>
      <w:r>
        <w:rPr>
          <w:rFonts w:hint="eastAsia" w:ascii="宋体" w:hAnsi="宋体" w:eastAsia="宋体" w:cs="Arial Narrow"/>
          <w:lang w:eastAsia="zh-CN"/>
        </w:rPr>
        <w:t>管理制度健全性</w:t>
      </w:r>
      <w:r>
        <w:rPr>
          <w:rFonts w:hint="eastAsia" w:ascii="宋体" w:hAnsi="宋体" w:eastAsia="宋体" w:cs="Arial Narrow"/>
        </w:rPr>
        <w:t>：满分</w:t>
      </w:r>
      <w:r>
        <w:rPr>
          <w:rFonts w:hint="eastAsia" w:ascii="宋体" w:hAnsi="宋体" w:eastAsia="宋体" w:cs="Arial Narrow"/>
          <w:lang w:val="en-US" w:eastAsia="zh-CN"/>
        </w:rPr>
        <w:t>5</w:t>
      </w:r>
      <w:r>
        <w:rPr>
          <w:rFonts w:hint="eastAsia" w:ascii="宋体" w:hAnsi="宋体" w:eastAsia="宋体" w:cs="Arial Narrow"/>
        </w:rPr>
        <w:t>分，得</w:t>
      </w:r>
      <w:r>
        <w:rPr>
          <w:rFonts w:hint="eastAsia" w:ascii="宋体" w:hAnsi="宋体" w:eastAsia="宋体" w:cs="Arial Narrow"/>
          <w:lang w:val="en-US" w:eastAsia="zh-CN"/>
        </w:rPr>
        <w:t>4</w:t>
      </w:r>
      <w:r>
        <w:rPr>
          <w:rFonts w:hint="eastAsia" w:ascii="宋体" w:hAnsi="宋体" w:eastAsia="宋体" w:cs="Arial Narrow"/>
        </w:rPr>
        <w:t>分。</w:t>
      </w:r>
    </w:p>
    <w:p w14:paraId="72F6C78B">
      <w:pPr>
        <w:numPr>
          <w:ilvl w:val="0"/>
          <w:numId w:val="0"/>
        </w:numPr>
        <w:snapToGrid w:val="0"/>
        <w:spacing w:line="600" w:lineRule="exact"/>
        <w:ind w:firstLine="480" w:firstLineChars="200"/>
        <w:rPr>
          <w:rFonts w:hint="eastAsia" w:ascii="宋体" w:hAnsi="宋体" w:eastAsia="宋体" w:cs="Arial Narrow"/>
          <w:highlight w:val="none"/>
          <w:lang w:val="en-US" w:eastAsia="zh-CN"/>
        </w:rPr>
      </w:pPr>
      <w:r>
        <w:rPr>
          <w:rFonts w:hint="eastAsia" w:ascii="宋体" w:hAnsi="宋体" w:eastAsia="宋体" w:cs="Arial Narrow"/>
          <w:highlight w:val="none"/>
        </w:rPr>
        <w:t>单位制定了《综合工作费使用管理制度》，得2.5分；项目管理制度合法、合规，但不完整，没有在管理制度中制订项目的质量要求和标准,扣1分</w:t>
      </w:r>
      <w:r>
        <w:rPr>
          <w:rFonts w:hint="eastAsia" w:ascii="宋体" w:hAnsi="宋体" w:eastAsia="宋体" w:cs="Arial Narrow"/>
          <w:highlight w:val="none"/>
          <w:lang w:eastAsia="zh-CN"/>
        </w:rPr>
        <w:t>，得</w:t>
      </w:r>
      <w:r>
        <w:rPr>
          <w:rFonts w:hint="eastAsia" w:ascii="宋体" w:hAnsi="宋体" w:eastAsia="宋体" w:cs="Arial Narrow"/>
          <w:highlight w:val="none"/>
          <w:lang w:val="en-US" w:eastAsia="zh-CN"/>
        </w:rPr>
        <w:t>1.5分</w:t>
      </w:r>
      <w:r>
        <w:rPr>
          <w:rFonts w:hint="eastAsia" w:ascii="宋体" w:hAnsi="宋体" w:eastAsia="宋体" w:cs="Arial Narrow"/>
          <w:highlight w:val="none"/>
        </w:rPr>
        <w:t>。得4分</w:t>
      </w:r>
      <w:r>
        <w:rPr>
          <w:rFonts w:hint="eastAsia" w:ascii="宋体" w:hAnsi="宋体" w:eastAsia="宋体" w:cs="Arial Narrow"/>
          <w:highlight w:val="none"/>
          <w:lang w:eastAsia="zh-CN"/>
        </w:rPr>
        <w:t>。</w:t>
      </w:r>
    </w:p>
    <w:p w14:paraId="71B12248">
      <w:pPr>
        <w:snapToGrid w:val="0"/>
        <w:spacing w:line="600" w:lineRule="exact"/>
        <w:ind w:firstLine="480"/>
        <w:jc w:val="left"/>
        <w:rPr>
          <w:rFonts w:ascii="宋体" w:hAnsi="宋体" w:eastAsia="宋体" w:cs="Arial Narrow"/>
        </w:rPr>
      </w:pPr>
      <w:r>
        <w:rPr>
          <w:rFonts w:hint="eastAsia" w:ascii="宋体" w:hAnsi="宋体" w:eastAsia="宋体" w:cs="Arial Narrow"/>
        </w:rPr>
        <w:t>（2）</w:t>
      </w:r>
      <w:r>
        <w:rPr>
          <w:rFonts w:hint="eastAsia" w:ascii="宋体" w:hAnsi="宋体" w:eastAsia="宋体" w:cs="Arial Narrow"/>
          <w:lang w:eastAsia="zh-CN"/>
        </w:rPr>
        <w:t>制度执行有效性</w:t>
      </w:r>
      <w:r>
        <w:rPr>
          <w:rFonts w:hint="eastAsia" w:ascii="宋体" w:hAnsi="宋体" w:eastAsia="宋体" w:cs="Arial Narrow"/>
        </w:rPr>
        <w:t>：满分</w:t>
      </w:r>
      <w:r>
        <w:rPr>
          <w:rFonts w:hint="eastAsia" w:ascii="宋体" w:hAnsi="宋体" w:eastAsia="宋体" w:cs="Arial Narrow"/>
          <w:lang w:val="en-US" w:eastAsia="zh-CN"/>
        </w:rPr>
        <w:t>5</w:t>
      </w:r>
      <w:r>
        <w:rPr>
          <w:rFonts w:hint="eastAsia" w:ascii="宋体" w:hAnsi="宋体" w:eastAsia="宋体" w:cs="Arial Narrow"/>
        </w:rPr>
        <w:t>分，得</w:t>
      </w:r>
      <w:r>
        <w:rPr>
          <w:rFonts w:hint="eastAsia" w:ascii="宋体" w:hAnsi="宋体" w:eastAsia="宋体" w:cs="Arial Narrow"/>
          <w:lang w:val="en-US" w:eastAsia="zh-CN"/>
        </w:rPr>
        <w:t>5</w:t>
      </w:r>
      <w:r>
        <w:rPr>
          <w:rFonts w:hint="eastAsia" w:ascii="宋体" w:hAnsi="宋体" w:eastAsia="宋体" w:cs="Arial Narrow"/>
        </w:rPr>
        <w:t>分。</w:t>
      </w:r>
    </w:p>
    <w:p w14:paraId="4D5598E4">
      <w:pPr>
        <w:numPr>
          <w:ilvl w:val="0"/>
          <w:numId w:val="0"/>
        </w:numPr>
        <w:snapToGrid w:val="0"/>
        <w:spacing w:line="600" w:lineRule="exact"/>
        <w:ind w:firstLine="480" w:firstLineChars="200"/>
        <w:rPr>
          <w:rFonts w:hint="eastAsia" w:ascii="宋体" w:hAnsi="宋体" w:eastAsia="宋体" w:cs="Arial Narrow"/>
        </w:rPr>
      </w:pPr>
      <w:r>
        <w:rPr>
          <w:rFonts w:hint="eastAsia" w:ascii="宋体" w:hAnsi="宋体" w:eastAsia="宋体" w:cs="Arial Narrow"/>
        </w:rPr>
        <w:t>项目规范、严格按照制度执行；项目相关资料齐全且归档。得5分。</w:t>
      </w:r>
    </w:p>
    <w:p w14:paraId="6BBA9FB4">
      <w:pPr>
        <w:snapToGrid w:val="0"/>
        <w:spacing w:line="600" w:lineRule="exact"/>
        <w:ind w:firstLine="480"/>
        <w:jc w:val="left"/>
        <w:rPr>
          <w:rFonts w:ascii="宋体" w:hAnsi="宋体" w:eastAsia="宋体" w:cs="Arial Narrow"/>
          <w:highlight w:val="none"/>
        </w:rPr>
      </w:pPr>
      <w:r>
        <w:rPr>
          <w:rFonts w:hint="eastAsia" w:ascii="宋体" w:hAnsi="宋体" w:eastAsia="宋体" w:cs="Arial Narrow"/>
        </w:rPr>
        <w:t>（</w:t>
      </w:r>
      <w:r>
        <w:rPr>
          <w:rFonts w:hint="eastAsia" w:ascii="宋体" w:hAnsi="宋体" w:eastAsia="宋体" w:cs="Arial Narrow"/>
          <w:lang w:val="en-US" w:eastAsia="zh-CN"/>
        </w:rPr>
        <w:t>3</w:t>
      </w:r>
      <w:r>
        <w:rPr>
          <w:rFonts w:hint="eastAsia" w:ascii="宋体" w:hAnsi="宋体" w:eastAsia="宋体" w:cs="Arial Narrow"/>
        </w:rPr>
        <w:t>）</w:t>
      </w:r>
      <w:r>
        <w:rPr>
          <w:rFonts w:hint="eastAsia" w:ascii="宋体" w:hAnsi="宋体" w:eastAsia="宋体" w:cs="Arial Narrow"/>
          <w:lang w:eastAsia="zh-CN"/>
        </w:rPr>
        <w:t>项目质量可控性</w:t>
      </w:r>
      <w:r>
        <w:rPr>
          <w:rFonts w:hint="eastAsia" w:ascii="宋体" w:hAnsi="宋体" w:eastAsia="宋体" w:cs="Arial Narrow"/>
        </w:rPr>
        <w:t>：满分</w:t>
      </w:r>
      <w:r>
        <w:rPr>
          <w:rFonts w:hint="eastAsia" w:ascii="宋体" w:hAnsi="宋体" w:eastAsia="宋体" w:cs="Arial Narrow"/>
          <w:lang w:val="en-US" w:eastAsia="zh-CN"/>
        </w:rPr>
        <w:t>5</w:t>
      </w:r>
      <w:r>
        <w:rPr>
          <w:rFonts w:hint="eastAsia" w:ascii="宋体" w:hAnsi="宋体" w:eastAsia="宋体" w:cs="Arial Narrow"/>
        </w:rPr>
        <w:t>分，</w:t>
      </w:r>
      <w:r>
        <w:rPr>
          <w:rFonts w:hint="eastAsia" w:ascii="宋体" w:hAnsi="宋体" w:eastAsia="宋体" w:cs="Arial Narrow"/>
          <w:highlight w:val="none"/>
        </w:rPr>
        <w:t>得</w:t>
      </w:r>
      <w:r>
        <w:rPr>
          <w:rFonts w:hint="eastAsia" w:ascii="宋体" w:hAnsi="宋体" w:eastAsia="宋体" w:cs="Arial Narrow"/>
          <w:highlight w:val="none"/>
          <w:lang w:val="en-US" w:eastAsia="zh-CN"/>
        </w:rPr>
        <w:t>3</w:t>
      </w:r>
      <w:r>
        <w:rPr>
          <w:rFonts w:hint="eastAsia" w:ascii="宋体" w:hAnsi="宋体" w:eastAsia="宋体" w:cs="Arial Narrow"/>
          <w:highlight w:val="none"/>
        </w:rPr>
        <w:t>分。</w:t>
      </w:r>
    </w:p>
    <w:p w14:paraId="0883E31A">
      <w:pPr>
        <w:numPr>
          <w:ilvl w:val="0"/>
          <w:numId w:val="0"/>
        </w:numPr>
        <w:snapToGrid w:val="0"/>
        <w:spacing w:line="600" w:lineRule="exact"/>
        <w:ind w:firstLine="480" w:firstLineChars="200"/>
        <w:rPr>
          <w:rFonts w:hint="eastAsia" w:ascii="宋体" w:hAnsi="宋体" w:eastAsia="宋体" w:cs="Arial Narrow"/>
          <w:highlight w:val="none"/>
        </w:rPr>
      </w:pPr>
      <w:r>
        <w:rPr>
          <w:rFonts w:hint="eastAsia" w:ascii="宋体" w:hAnsi="宋体" w:eastAsia="宋体" w:cs="Arial Narrow"/>
          <w:highlight w:val="none"/>
        </w:rPr>
        <w:t>项目未制定质量要求或标准，扣2分，但项目实施有上级领导的检查和监管。得3分。</w:t>
      </w:r>
    </w:p>
    <w:p w14:paraId="215EA7E1">
      <w:pPr>
        <w:snapToGrid w:val="0"/>
        <w:spacing w:line="600" w:lineRule="exact"/>
        <w:ind w:firstLine="482"/>
        <w:jc w:val="left"/>
        <w:rPr>
          <w:rFonts w:ascii="宋体" w:hAnsi="宋体" w:eastAsia="宋体" w:cs="Arial Narrow"/>
          <w:b/>
          <w:bCs/>
        </w:rPr>
      </w:pPr>
      <w:r>
        <w:rPr>
          <w:rFonts w:hint="eastAsia" w:ascii="宋体" w:hAnsi="宋体" w:eastAsia="宋体" w:cs="Arial Narrow"/>
          <w:b/>
          <w:bCs/>
        </w:rPr>
        <w:t>2、</w:t>
      </w:r>
      <w:r>
        <w:rPr>
          <w:rFonts w:hint="eastAsia" w:ascii="宋体" w:hAnsi="宋体" w:eastAsia="宋体" w:cs="Arial Narrow"/>
          <w:b/>
          <w:bCs/>
          <w:lang w:eastAsia="zh-CN"/>
        </w:rPr>
        <w:t>财务</w:t>
      </w:r>
      <w:r>
        <w:rPr>
          <w:rFonts w:ascii="宋体" w:hAnsi="宋体" w:eastAsia="宋体" w:cs="Arial Narrow"/>
          <w:b/>
          <w:bCs/>
        </w:rPr>
        <w:t>管理（10分）</w:t>
      </w:r>
    </w:p>
    <w:p w14:paraId="444FEC62">
      <w:pPr>
        <w:snapToGrid w:val="0"/>
        <w:spacing w:line="600" w:lineRule="exact"/>
        <w:ind w:firstLine="480"/>
        <w:jc w:val="left"/>
        <w:rPr>
          <w:rFonts w:hint="eastAsia" w:ascii="宋体" w:hAnsi="宋体" w:eastAsia="宋体" w:cs="Arial Narrow"/>
          <w:highlight w:val="none"/>
        </w:rPr>
      </w:pPr>
      <w:r>
        <w:rPr>
          <w:rFonts w:hint="eastAsia" w:ascii="宋体" w:hAnsi="宋体" w:eastAsia="宋体" w:cs="Arial Narrow"/>
        </w:rPr>
        <w:t>（1）</w:t>
      </w:r>
      <w:r>
        <w:rPr>
          <w:rFonts w:hint="eastAsia" w:ascii="宋体" w:hAnsi="宋体" w:eastAsia="宋体" w:cs="Arial Narrow"/>
          <w:lang w:eastAsia="zh-CN"/>
        </w:rPr>
        <w:t>管理制度健全性</w:t>
      </w:r>
      <w:r>
        <w:rPr>
          <w:rFonts w:hint="eastAsia" w:ascii="宋体" w:hAnsi="宋体" w:eastAsia="宋体" w:cs="Arial Narrow"/>
        </w:rPr>
        <w:t>：满分</w:t>
      </w:r>
      <w:r>
        <w:rPr>
          <w:rFonts w:hint="eastAsia" w:ascii="宋体" w:hAnsi="宋体" w:eastAsia="宋体" w:cs="Arial Narrow"/>
          <w:lang w:val="en-US" w:eastAsia="zh-CN"/>
        </w:rPr>
        <w:t>4</w:t>
      </w:r>
      <w:r>
        <w:rPr>
          <w:rFonts w:hint="eastAsia" w:ascii="宋体" w:hAnsi="宋体" w:eastAsia="宋体" w:cs="Arial Narrow"/>
        </w:rPr>
        <w:t>分</w:t>
      </w:r>
      <w:r>
        <w:rPr>
          <w:rFonts w:hint="eastAsia" w:ascii="宋体" w:hAnsi="宋体" w:eastAsia="宋体" w:cs="Arial Narrow"/>
          <w:highlight w:val="none"/>
        </w:rPr>
        <w:t>，得</w:t>
      </w:r>
      <w:r>
        <w:rPr>
          <w:rFonts w:hint="eastAsia" w:ascii="宋体" w:hAnsi="宋体" w:eastAsia="宋体" w:cs="Arial Narrow"/>
          <w:highlight w:val="none"/>
          <w:lang w:val="en-US" w:eastAsia="zh-CN"/>
        </w:rPr>
        <w:t>3</w:t>
      </w:r>
      <w:r>
        <w:rPr>
          <w:rFonts w:hint="eastAsia" w:ascii="宋体" w:hAnsi="宋体" w:eastAsia="宋体" w:cs="Arial Narrow"/>
          <w:highlight w:val="none"/>
        </w:rPr>
        <w:t>分。</w:t>
      </w:r>
    </w:p>
    <w:p w14:paraId="58229A90">
      <w:pPr>
        <w:numPr>
          <w:ilvl w:val="0"/>
          <w:numId w:val="0"/>
        </w:numPr>
        <w:snapToGrid w:val="0"/>
        <w:spacing w:line="600" w:lineRule="exact"/>
        <w:ind w:firstLine="480" w:firstLineChars="200"/>
        <w:rPr>
          <w:rFonts w:hint="eastAsia" w:ascii="宋体" w:hAnsi="宋体" w:eastAsia="宋体" w:cs="Arial Narrow"/>
          <w:highlight w:val="none"/>
        </w:rPr>
      </w:pPr>
      <w:r>
        <w:rPr>
          <w:rFonts w:hint="eastAsia" w:ascii="宋体" w:hAnsi="宋体" w:eastAsia="宋体" w:cs="Arial Narrow"/>
          <w:highlight w:val="none"/>
        </w:rPr>
        <w:t>单位制定了《武昌区民主党派工作经费使用管理办法》，但没有制订资金使用明细，扣</w:t>
      </w:r>
      <w:r>
        <w:rPr>
          <w:rFonts w:hint="eastAsia" w:ascii="宋体" w:hAnsi="宋体" w:eastAsia="宋体" w:cs="Arial Narrow"/>
          <w:highlight w:val="none"/>
          <w:lang w:val="en-US" w:eastAsia="zh-CN"/>
        </w:rPr>
        <w:t>1</w:t>
      </w:r>
      <w:r>
        <w:rPr>
          <w:rFonts w:hint="eastAsia" w:ascii="宋体" w:hAnsi="宋体" w:eastAsia="宋体" w:cs="Arial Narrow"/>
          <w:highlight w:val="none"/>
        </w:rPr>
        <w:t>分。得</w:t>
      </w:r>
      <w:r>
        <w:rPr>
          <w:rFonts w:hint="eastAsia" w:ascii="宋体" w:hAnsi="宋体" w:eastAsia="宋体" w:cs="Arial Narrow"/>
          <w:highlight w:val="none"/>
          <w:lang w:val="en-US" w:eastAsia="zh-CN"/>
        </w:rPr>
        <w:t>3</w:t>
      </w:r>
      <w:r>
        <w:rPr>
          <w:rFonts w:hint="eastAsia" w:ascii="宋体" w:hAnsi="宋体" w:eastAsia="宋体" w:cs="Arial Narrow"/>
          <w:highlight w:val="none"/>
        </w:rPr>
        <w:t>分。</w:t>
      </w:r>
    </w:p>
    <w:p w14:paraId="5A4B6C48">
      <w:pPr>
        <w:numPr>
          <w:ilvl w:val="0"/>
          <w:numId w:val="0"/>
        </w:numPr>
        <w:snapToGrid w:val="0"/>
        <w:spacing w:line="600" w:lineRule="exact"/>
        <w:ind w:leftChars="200"/>
        <w:rPr>
          <w:rFonts w:hint="eastAsia" w:ascii="宋体" w:hAnsi="宋体" w:eastAsia="宋体" w:cs="Arial Narrow"/>
          <w:color w:val="000000"/>
          <w:highlight w:val="none"/>
        </w:rPr>
      </w:pPr>
      <w:r>
        <w:rPr>
          <w:rFonts w:hint="eastAsia" w:ascii="宋体" w:hAnsi="宋体" w:eastAsia="宋体" w:cs="Arial Narrow"/>
          <w:lang w:eastAsia="zh-CN"/>
        </w:rPr>
        <w:t>（</w:t>
      </w:r>
      <w:r>
        <w:rPr>
          <w:rFonts w:hint="eastAsia" w:ascii="宋体" w:hAnsi="宋体" w:eastAsia="宋体" w:cs="Arial Narrow"/>
          <w:lang w:val="en-US" w:eastAsia="zh-CN"/>
        </w:rPr>
        <w:t>2）</w:t>
      </w:r>
      <w:r>
        <w:rPr>
          <w:rFonts w:hint="eastAsia" w:ascii="宋体" w:hAnsi="宋体" w:eastAsia="宋体" w:cs="Arial Narrow"/>
          <w:highlight w:val="none"/>
          <w:lang w:eastAsia="zh-CN"/>
        </w:rPr>
        <w:t>资金使用合规性</w:t>
      </w:r>
      <w:r>
        <w:rPr>
          <w:rFonts w:hint="eastAsia" w:ascii="宋体" w:hAnsi="宋体" w:eastAsia="宋体" w:cs="Arial Narrow"/>
          <w:highlight w:val="none"/>
        </w:rPr>
        <w:t>：满</w:t>
      </w:r>
      <w:r>
        <w:rPr>
          <w:rFonts w:hint="eastAsia" w:ascii="宋体" w:hAnsi="宋体" w:eastAsia="宋体" w:cs="Arial Narrow"/>
          <w:color w:val="000000"/>
          <w:highlight w:val="none"/>
        </w:rPr>
        <w:t>分3分，得分</w:t>
      </w:r>
      <w:r>
        <w:rPr>
          <w:rFonts w:hint="eastAsia" w:ascii="宋体" w:hAnsi="宋体" w:eastAsia="宋体" w:cs="Arial Narrow"/>
          <w:color w:val="000000"/>
          <w:highlight w:val="none"/>
          <w:lang w:val="en-US" w:eastAsia="zh-CN"/>
        </w:rPr>
        <w:t>3</w:t>
      </w:r>
      <w:r>
        <w:rPr>
          <w:rFonts w:hint="eastAsia" w:ascii="宋体" w:hAnsi="宋体" w:eastAsia="宋体" w:cs="Arial Narrow"/>
          <w:color w:val="000000"/>
          <w:highlight w:val="none"/>
        </w:rPr>
        <w:t>分。</w:t>
      </w:r>
    </w:p>
    <w:p w14:paraId="2BF95D9B">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rPr>
        <w:t>项目不存在支出不合规、虚列支出情况，以及其他超标准等情况。支出合规、合理，支出有相应的票据、凭证，不存在超标准情况。得3分。</w:t>
      </w:r>
    </w:p>
    <w:p w14:paraId="593C8175">
      <w:pPr>
        <w:numPr>
          <w:ilvl w:val="0"/>
          <w:numId w:val="6"/>
        </w:numPr>
        <w:snapToGrid w:val="0"/>
        <w:spacing w:line="600" w:lineRule="exact"/>
        <w:ind w:left="0" w:leftChars="0" w:firstLine="480" w:firstLineChars="200"/>
        <w:rPr>
          <w:rFonts w:hint="eastAsia" w:ascii="宋体" w:hAnsi="宋体" w:eastAsia="宋体" w:cs="Arial Narrow"/>
          <w:color w:val="000000"/>
        </w:rPr>
      </w:pPr>
      <w:r>
        <w:rPr>
          <w:rFonts w:hint="eastAsia" w:ascii="宋体" w:hAnsi="宋体" w:eastAsia="宋体" w:cs="Arial Narrow"/>
          <w:lang w:eastAsia="zh-CN"/>
        </w:rPr>
        <w:t>财务监控有效性</w:t>
      </w:r>
      <w:r>
        <w:rPr>
          <w:rFonts w:hint="eastAsia" w:ascii="宋体" w:hAnsi="宋体" w:eastAsia="宋体" w:cs="Arial Narrow"/>
        </w:rPr>
        <w:t>：满</w:t>
      </w:r>
      <w:r>
        <w:rPr>
          <w:rFonts w:hint="eastAsia" w:ascii="宋体" w:hAnsi="宋体" w:eastAsia="宋体" w:cs="Arial Narrow"/>
          <w:color w:val="000000"/>
        </w:rPr>
        <w:t>分3分，得分</w:t>
      </w:r>
      <w:r>
        <w:rPr>
          <w:rFonts w:hint="eastAsia" w:ascii="宋体" w:hAnsi="宋体" w:eastAsia="宋体" w:cs="Arial Narrow"/>
          <w:color w:val="000000"/>
          <w:lang w:val="en-US" w:eastAsia="zh-CN"/>
        </w:rPr>
        <w:t>3</w:t>
      </w:r>
      <w:r>
        <w:rPr>
          <w:rFonts w:hint="eastAsia" w:ascii="宋体" w:hAnsi="宋体" w:eastAsia="宋体" w:cs="Arial Narrow"/>
          <w:color w:val="000000"/>
        </w:rPr>
        <w:t>分。</w:t>
      </w:r>
    </w:p>
    <w:p w14:paraId="1BE925DC">
      <w:pPr>
        <w:numPr>
          <w:ilvl w:val="0"/>
          <w:numId w:val="0"/>
        </w:numPr>
        <w:snapToGrid w:val="0"/>
        <w:spacing w:line="600" w:lineRule="exact"/>
        <w:rPr>
          <w:rFonts w:hint="eastAsia" w:ascii="宋体" w:hAnsi="宋体" w:eastAsia="宋体" w:cs="Arial Narrow"/>
          <w:color w:val="000000"/>
          <w:highlight w:val="none"/>
        </w:rPr>
      </w:pPr>
      <w:r>
        <w:rPr>
          <w:rFonts w:hint="eastAsia" w:ascii="宋体" w:hAnsi="宋体" w:eastAsia="宋体" w:cs="Arial Narrow"/>
          <w:color w:val="000000"/>
          <w:highlight w:val="none"/>
          <w:lang w:val="en-US" w:eastAsia="zh-CN"/>
        </w:rPr>
        <w:t xml:space="preserve">    </w:t>
      </w:r>
      <w:r>
        <w:rPr>
          <w:rFonts w:hint="eastAsia" w:ascii="宋体" w:hAnsi="宋体" w:eastAsia="宋体" w:cs="Arial Narrow"/>
          <w:color w:val="000000"/>
          <w:highlight w:val="none"/>
        </w:rPr>
        <w:t>项目经费专户管理，资金拨付一律转账结算，由区机关运行保障中心监管，得3分。</w:t>
      </w:r>
    </w:p>
    <w:bookmarkEnd w:id="64"/>
    <w:bookmarkEnd w:id="65"/>
    <w:bookmarkEnd w:id="66"/>
    <w:bookmarkEnd w:id="67"/>
    <w:bookmarkEnd w:id="68"/>
    <w:p w14:paraId="06035713">
      <w:pPr>
        <w:spacing w:line="600" w:lineRule="exact"/>
        <w:ind w:firstLine="482"/>
        <w:outlineLvl w:val="1"/>
        <w:rPr>
          <w:rFonts w:ascii="宋体" w:hAnsi="宋体" w:eastAsia="宋体"/>
          <w:b/>
        </w:rPr>
      </w:pPr>
      <w:bookmarkStart w:id="71" w:name="_Toc478396460"/>
      <w:bookmarkStart w:id="72" w:name="_Toc5732"/>
      <w:bookmarkStart w:id="73" w:name="_Toc406668049"/>
      <w:bookmarkStart w:id="74" w:name="_Toc387957824"/>
      <w:bookmarkStart w:id="75" w:name="_Toc406666375"/>
      <w:r>
        <w:rPr>
          <w:rFonts w:hint="eastAsia" w:ascii="宋体" w:hAnsi="宋体" w:eastAsia="宋体"/>
          <w:b/>
        </w:rPr>
        <w:t>（三）</w:t>
      </w:r>
      <w:r>
        <w:rPr>
          <w:rFonts w:ascii="宋体" w:hAnsi="宋体" w:eastAsia="宋体"/>
          <w:b/>
        </w:rPr>
        <w:t>项目</w:t>
      </w:r>
      <w:r>
        <w:rPr>
          <w:rFonts w:hint="eastAsia" w:ascii="宋体" w:hAnsi="宋体" w:eastAsia="宋体"/>
          <w:b/>
          <w:lang w:eastAsia="zh-CN"/>
        </w:rPr>
        <w:t>产出</w:t>
      </w:r>
      <w:r>
        <w:rPr>
          <w:rFonts w:ascii="宋体" w:hAnsi="宋体" w:eastAsia="宋体"/>
          <w:b/>
        </w:rPr>
        <w:t>（</w:t>
      </w:r>
      <w:r>
        <w:rPr>
          <w:rFonts w:hint="eastAsia" w:ascii="宋体" w:hAnsi="宋体" w:eastAsia="宋体"/>
          <w:b/>
          <w:lang w:val="en-US" w:eastAsia="zh-CN"/>
        </w:rPr>
        <w:t>2</w:t>
      </w:r>
      <w:r>
        <w:rPr>
          <w:rFonts w:ascii="宋体" w:hAnsi="宋体" w:eastAsia="宋体"/>
          <w:b/>
        </w:rPr>
        <w:t>5分）</w:t>
      </w:r>
      <w:bookmarkEnd w:id="71"/>
      <w:bookmarkEnd w:id="72"/>
    </w:p>
    <w:p w14:paraId="031CA3B3">
      <w:pPr>
        <w:snapToGrid w:val="0"/>
        <w:spacing w:line="600" w:lineRule="exact"/>
        <w:ind w:firstLine="480"/>
        <w:rPr>
          <w:rFonts w:ascii="宋体" w:hAnsi="宋体" w:eastAsia="宋体" w:cs="Arial Narrow"/>
          <w:highlight w:val="none"/>
        </w:rPr>
      </w:pPr>
      <w:bookmarkStart w:id="76" w:name="_Toc394490602"/>
      <w:bookmarkStart w:id="77" w:name="_Toc394181015"/>
      <w:r>
        <w:rPr>
          <w:rFonts w:ascii="宋体" w:hAnsi="宋体" w:eastAsia="宋体" w:cs="Arial Narrow"/>
        </w:rPr>
        <w:t>根据评价原则，</w:t>
      </w:r>
      <w:r>
        <w:rPr>
          <w:rFonts w:hint="eastAsia" w:ascii="宋体" w:hAnsi="宋体" w:eastAsia="宋体" w:cs="Arial Narrow"/>
          <w:lang w:eastAsia="zh-CN"/>
        </w:rPr>
        <w:t>项目产出</w:t>
      </w:r>
      <w:r>
        <w:rPr>
          <w:rFonts w:ascii="宋体" w:hAnsi="宋体" w:eastAsia="宋体" w:cs="Arial Narrow"/>
        </w:rPr>
        <w:t>评价得分为</w:t>
      </w:r>
      <w:r>
        <w:rPr>
          <w:rFonts w:hint="eastAsia" w:ascii="宋体" w:hAnsi="宋体" w:eastAsia="宋体" w:cs="Arial Narrow"/>
          <w:highlight w:val="none"/>
          <w:lang w:val="en-US" w:eastAsia="zh-CN"/>
        </w:rPr>
        <w:t>24</w:t>
      </w:r>
      <w:r>
        <w:rPr>
          <w:rFonts w:ascii="宋体" w:hAnsi="宋体" w:eastAsia="宋体" w:cs="Arial Narrow"/>
          <w:highlight w:val="none"/>
        </w:rPr>
        <w:t>分，评价结果为</w:t>
      </w:r>
      <w:r>
        <w:rPr>
          <w:rFonts w:hint="eastAsia" w:ascii="宋体" w:hAnsi="宋体" w:eastAsia="宋体" w:cs="Arial Narrow"/>
          <w:highlight w:val="none"/>
        </w:rPr>
        <w:t>优</w:t>
      </w:r>
      <w:r>
        <w:rPr>
          <w:rFonts w:ascii="宋体" w:hAnsi="宋体" w:eastAsia="宋体" w:cs="Arial Narrow"/>
          <w:highlight w:val="none"/>
        </w:rPr>
        <w:t>。</w:t>
      </w:r>
      <w:bookmarkEnd w:id="76"/>
      <w:bookmarkEnd w:id="77"/>
    </w:p>
    <w:bookmarkEnd w:id="73"/>
    <w:bookmarkEnd w:id="74"/>
    <w:bookmarkEnd w:id="75"/>
    <w:p w14:paraId="012CCAF2">
      <w:pPr>
        <w:numPr>
          <w:ilvl w:val="0"/>
          <w:numId w:val="7"/>
        </w:numPr>
        <w:snapToGrid w:val="0"/>
        <w:spacing w:line="600" w:lineRule="exact"/>
        <w:ind w:firstLine="480"/>
        <w:rPr>
          <w:rFonts w:hint="eastAsia" w:ascii="宋体" w:hAnsi="宋体" w:eastAsia="宋体" w:cs="Arial Narrow"/>
          <w:highlight w:val="none"/>
        </w:rPr>
      </w:pPr>
      <w:bookmarkStart w:id="78" w:name="_Toc394181022"/>
      <w:bookmarkStart w:id="79" w:name="_Toc361304701"/>
      <w:bookmarkStart w:id="80" w:name="_Toc406668051"/>
      <w:bookmarkStart w:id="81" w:name="_Toc406666377"/>
      <w:bookmarkStart w:id="82" w:name="_Toc361302038"/>
      <w:bookmarkStart w:id="83" w:name="_Toc387957826"/>
      <w:r>
        <w:rPr>
          <w:rFonts w:hint="eastAsia" w:ascii="宋体" w:hAnsi="宋体" w:eastAsia="宋体" w:cs="Arial Narrow"/>
          <w:highlight w:val="none"/>
          <w:lang w:eastAsia="zh-CN"/>
        </w:rPr>
        <w:t>实际完成率</w:t>
      </w:r>
      <w:r>
        <w:rPr>
          <w:rFonts w:hint="eastAsia" w:ascii="宋体" w:hAnsi="宋体" w:eastAsia="宋体" w:cs="Arial Narrow"/>
          <w:highlight w:val="none"/>
        </w:rPr>
        <w:t>：满分</w:t>
      </w:r>
      <w:r>
        <w:rPr>
          <w:rFonts w:hint="eastAsia" w:ascii="宋体" w:hAnsi="宋体" w:eastAsia="宋体" w:cs="Arial Narrow"/>
          <w:highlight w:val="none"/>
          <w:lang w:val="en-US" w:eastAsia="zh-CN"/>
        </w:rPr>
        <w:t>8</w:t>
      </w:r>
      <w:r>
        <w:rPr>
          <w:rFonts w:hint="eastAsia" w:ascii="宋体" w:hAnsi="宋体" w:eastAsia="宋体" w:cs="Arial Narrow"/>
          <w:highlight w:val="none"/>
        </w:rPr>
        <w:t>分，得分</w:t>
      </w:r>
      <w:r>
        <w:rPr>
          <w:rFonts w:hint="eastAsia" w:ascii="宋体" w:hAnsi="宋体" w:eastAsia="宋体" w:cs="Arial Narrow"/>
          <w:highlight w:val="none"/>
          <w:lang w:val="en-US" w:eastAsia="zh-CN"/>
        </w:rPr>
        <w:t>8</w:t>
      </w:r>
      <w:r>
        <w:rPr>
          <w:rFonts w:hint="eastAsia" w:ascii="宋体" w:hAnsi="宋体" w:eastAsia="宋体" w:cs="Arial Narrow"/>
          <w:highlight w:val="none"/>
        </w:rPr>
        <w:t>分。</w:t>
      </w:r>
    </w:p>
    <w:p w14:paraId="462D359B">
      <w:pPr>
        <w:widowControl w:val="0"/>
        <w:numPr>
          <w:ilvl w:val="0"/>
          <w:numId w:val="0"/>
        </w:numPr>
        <w:wordWrap/>
        <w:adjustRightInd/>
        <w:snapToGrid w:val="0"/>
        <w:spacing w:line="600" w:lineRule="exact"/>
        <w:ind w:right="0"/>
        <w:jc w:val="both"/>
        <w:textAlignment w:val="auto"/>
        <w:outlineLvl w:val="9"/>
        <w:rPr>
          <w:rFonts w:hint="eastAsia" w:ascii="宋体" w:hAnsi="宋体" w:eastAsia="宋体" w:cs="Arial Narrow"/>
          <w:highlight w:val="none"/>
          <w:lang w:val="en-US" w:eastAsia="zh-CN"/>
        </w:rPr>
      </w:pPr>
      <w:r>
        <w:rPr>
          <w:rFonts w:hint="eastAsia" w:ascii="宋体" w:hAnsi="宋体" w:eastAsia="宋体" w:cs="Arial Narrow"/>
          <w:highlight w:val="none"/>
          <w:lang w:val="en-US" w:eastAsia="zh-CN"/>
        </w:rPr>
        <w:t xml:space="preserve">     1)组织召开武昌区委统一战线工作领导小组会议；2)构架筹建全区党外代表人士信息库，确立重点培养名单并提拔党外干部4人，安排党外干部15人，在10个委办局领导班子中配备党外干部12人；3)落实往届人大、政协党外领导同志的待遇；4)举办全区统一战线骨干成员党的十九大精神培训班；5)组织召开全区民主协商会4次；6)按照调研要求，形成涉及四水共治、社会治理创新、基础设施建设、文化产业建设等方面的调研成果8篇；7）九三学社的《关于运用“大湖+”思维，加快湖泊功能区规划建设的建议》、无党派界别的《关于加强住宅小区电梯安全监管的建议》和工商联界别的《关于加强新民营经济发展的建议》，被列为十四届政协二次会议的建议案预案；8）九三学社社员余丹主动配合区商务局，为美灵宝和神州易桥两家上市公司落户武昌穿针引线，受到区政协通报表彰；9）指导区工商联顺利完成第13届执委会换届；10）依托社区网络，建立新的社会阶层骨干分子信息库；11）指导各民主党派深入开展“两学一做”学习教育，各党派以学习交流、现场感受、革命传统教育等形式开展活动7次；12）开展“一号工程”政策解读、招商引资项目推介、党派工作座谈会、新的社会阶层党外人士理论培训、各界人士喜迎党的十九大暨国庆中秋文艺汇演活动8次；13）筹备并成立“武昌区新的社会阶层人士联谊会。产出数量高，得8分。</w:t>
      </w:r>
    </w:p>
    <w:p w14:paraId="5ECAB92C">
      <w:pPr>
        <w:numPr>
          <w:ilvl w:val="0"/>
          <w:numId w:val="0"/>
        </w:numPr>
        <w:snapToGrid w:val="0"/>
        <w:spacing w:line="600" w:lineRule="exact"/>
        <w:ind w:leftChars="200"/>
        <w:rPr>
          <w:rFonts w:hint="eastAsia" w:ascii="宋体" w:hAnsi="宋体" w:eastAsia="宋体" w:cs="Arial Narrow"/>
        </w:rPr>
      </w:pPr>
      <w:r>
        <w:rPr>
          <w:rFonts w:hint="eastAsia" w:ascii="宋体" w:hAnsi="宋体" w:eastAsia="宋体" w:cs="Arial Narrow"/>
          <w:highlight w:val="none"/>
          <w:lang w:val="en-US" w:eastAsia="zh-CN"/>
        </w:rPr>
        <w:t>（2）</w:t>
      </w:r>
      <w:r>
        <w:rPr>
          <w:rFonts w:hint="eastAsia" w:ascii="宋体" w:hAnsi="宋体" w:eastAsia="宋体" w:cs="Arial Narrow"/>
          <w:highlight w:val="none"/>
          <w:lang w:eastAsia="zh-CN"/>
        </w:rPr>
        <w:t>完成及时率</w:t>
      </w:r>
      <w:r>
        <w:rPr>
          <w:rFonts w:hint="eastAsia" w:ascii="宋体" w:hAnsi="宋体" w:eastAsia="宋体" w:cs="Arial Narrow"/>
          <w:highlight w:val="none"/>
        </w:rPr>
        <w:t>：满分</w:t>
      </w:r>
      <w:r>
        <w:rPr>
          <w:rFonts w:hint="eastAsia" w:ascii="宋体" w:hAnsi="宋体" w:eastAsia="宋体" w:cs="Arial Narrow"/>
          <w:highlight w:val="none"/>
          <w:lang w:val="en-US" w:eastAsia="zh-CN"/>
        </w:rPr>
        <w:t>5</w:t>
      </w:r>
      <w:r>
        <w:rPr>
          <w:rFonts w:hint="eastAsia" w:ascii="宋体" w:hAnsi="宋体" w:eastAsia="宋体" w:cs="Arial Narrow"/>
          <w:highlight w:val="none"/>
        </w:rPr>
        <w:t>分，得分</w:t>
      </w:r>
      <w:r>
        <w:rPr>
          <w:rFonts w:hint="eastAsia" w:ascii="宋体" w:hAnsi="宋体" w:eastAsia="宋体" w:cs="Arial Narrow"/>
          <w:highlight w:val="none"/>
          <w:lang w:val="en-US" w:eastAsia="zh-CN"/>
        </w:rPr>
        <w:t>5</w:t>
      </w:r>
      <w:r>
        <w:rPr>
          <w:rFonts w:hint="eastAsia" w:ascii="宋体" w:hAnsi="宋体" w:eastAsia="宋体" w:cs="Arial Narrow"/>
          <w:highlight w:val="none"/>
        </w:rPr>
        <w:t>分</w:t>
      </w:r>
      <w:r>
        <w:rPr>
          <w:rFonts w:hint="eastAsia" w:ascii="宋体" w:hAnsi="宋体" w:eastAsia="宋体" w:cs="Arial Narrow"/>
        </w:rPr>
        <w:t>。</w:t>
      </w:r>
    </w:p>
    <w:p w14:paraId="45CF13CA">
      <w:pPr>
        <w:numPr>
          <w:ilvl w:val="0"/>
          <w:numId w:val="0"/>
        </w:numPr>
        <w:snapToGrid w:val="0"/>
        <w:spacing w:line="600" w:lineRule="exact"/>
        <w:ind w:leftChars="200"/>
        <w:rPr>
          <w:rFonts w:hint="eastAsia" w:ascii="宋体" w:hAnsi="宋体" w:eastAsia="宋体" w:cs="Arial Narrow"/>
        </w:rPr>
      </w:pPr>
      <w:r>
        <w:rPr>
          <w:rFonts w:hint="eastAsia" w:ascii="宋体" w:hAnsi="宋体" w:eastAsia="宋体" w:cs="Arial Narrow"/>
        </w:rPr>
        <w:t>完成及时率100%，得5分。</w:t>
      </w:r>
    </w:p>
    <w:p w14:paraId="6E5509FE">
      <w:pPr>
        <w:numPr>
          <w:ilvl w:val="0"/>
          <w:numId w:val="0"/>
        </w:numPr>
        <w:snapToGrid w:val="0"/>
        <w:spacing w:line="600" w:lineRule="exact"/>
        <w:ind w:leftChars="200"/>
        <w:rPr>
          <w:rFonts w:hint="eastAsia" w:ascii="宋体" w:hAnsi="宋体" w:eastAsia="宋体" w:cs="Arial Narrow"/>
          <w:highlight w:val="none"/>
        </w:rPr>
      </w:pPr>
      <w:r>
        <w:rPr>
          <w:rFonts w:hint="eastAsia" w:ascii="宋体" w:hAnsi="宋体" w:eastAsia="宋体" w:cs="Arial Narrow"/>
          <w:lang w:eastAsia="zh-CN"/>
        </w:rPr>
        <w:t>（</w:t>
      </w:r>
      <w:r>
        <w:rPr>
          <w:rFonts w:hint="eastAsia" w:ascii="宋体" w:hAnsi="宋体" w:eastAsia="宋体" w:cs="Arial Narrow"/>
          <w:lang w:val="en-US" w:eastAsia="zh-CN"/>
        </w:rPr>
        <w:t>3）</w:t>
      </w:r>
      <w:r>
        <w:rPr>
          <w:rFonts w:hint="eastAsia" w:ascii="宋体" w:hAnsi="宋体" w:eastAsia="宋体" w:cs="Arial Narrow"/>
          <w:lang w:eastAsia="zh-CN"/>
        </w:rPr>
        <w:t>质量达标率</w:t>
      </w:r>
      <w:r>
        <w:rPr>
          <w:rFonts w:hint="eastAsia" w:ascii="宋体" w:hAnsi="宋体" w:eastAsia="宋体" w:cs="Arial Narrow"/>
        </w:rPr>
        <w:t>：满分</w:t>
      </w:r>
      <w:r>
        <w:rPr>
          <w:rFonts w:hint="eastAsia" w:ascii="宋体" w:hAnsi="宋体" w:eastAsia="宋体" w:cs="Arial Narrow"/>
          <w:lang w:val="en-US" w:eastAsia="zh-CN"/>
        </w:rPr>
        <w:t>8</w:t>
      </w:r>
      <w:r>
        <w:rPr>
          <w:rFonts w:hint="eastAsia" w:ascii="宋体" w:hAnsi="宋体" w:eastAsia="宋体" w:cs="Arial Narrow"/>
        </w:rPr>
        <w:t>分，</w:t>
      </w:r>
      <w:r>
        <w:rPr>
          <w:rFonts w:hint="eastAsia" w:ascii="宋体" w:hAnsi="宋体" w:eastAsia="宋体" w:cs="Arial Narrow"/>
          <w:highlight w:val="none"/>
        </w:rPr>
        <w:t>得</w:t>
      </w:r>
      <w:r>
        <w:rPr>
          <w:rFonts w:hint="eastAsia" w:ascii="宋体" w:hAnsi="宋体" w:eastAsia="宋体" w:cs="Arial Narrow"/>
          <w:highlight w:val="none"/>
          <w:lang w:val="en-US" w:eastAsia="zh-CN"/>
        </w:rPr>
        <w:t>8</w:t>
      </w:r>
      <w:r>
        <w:rPr>
          <w:rFonts w:hint="eastAsia" w:ascii="宋体" w:hAnsi="宋体" w:eastAsia="宋体" w:cs="Arial Narrow"/>
          <w:highlight w:val="none"/>
        </w:rPr>
        <w:t>分。</w:t>
      </w:r>
    </w:p>
    <w:p w14:paraId="66CB6DF8">
      <w:pPr>
        <w:numPr>
          <w:ilvl w:val="0"/>
          <w:numId w:val="0"/>
        </w:numPr>
        <w:snapToGrid w:val="0"/>
        <w:spacing w:line="600" w:lineRule="exact"/>
        <w:rPr>
          <w:rFonts w:hint="eastAsia"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1）组织召开武昌区委统一战线工作领导小组会议；2）组织召开全区民主协商会议；3）调研成果被上级采用或指示不少于2件；4）完成区工商联换届；5）多党合作事业和党外代表人士队伍建设取得新成效；6）各民主党派开展”两学一</w:t>
      </w:r>
      <w:r>
        <w:rPr>
          <w:rFonts w:hint="eastAsia" w:ascii="宋体" w:hAnsi="宋体" w:eastAsia="宋体" w:cs="Arial Narrow"/>
          <w:highlight w:val="none"/>
          <w:lang w:val="en-US" w:eastAsia="zh-CN"/>
        </w:rPr>
        <w:t>做</w:t>
      </w:r>
      <w:r>
        <w:rPr>
          <w:rFonts w:hint="eastAsia" w:ascii="宋体" w:hAnsi="宋体" w:eastAsia="宋体" w:cs="Arial Narrow"/>
          <w:highlight w:val="none"/>
        </w:rPr>
        <w:t>”学习教育；7)开展“一号工程”政策解读、招商引资项目推介、党派工作座谈会、新的社会阶层党外人士理论培训、各界人士喜迎党的十九大暨国庆中秋文艺汇演活动；</w:t>
      </w:r>
      <w:r>
        <w:rPr>
          <w:rFonts w:hint="eastAsia" w:ascii="宋体" w:hAnsi="宋体" w:eastAsia="宋体" w:cs="Arial Narrow"/>
          <w:highlight w:val="none"/>
          <w:lang w:val="en-US" w:eastAsia="zh-CN"/>
        </w:rPr>
        <w:t>8</w:t>
      </w:r>
      <w:r>
        <w:rPr>
          <w:rFonts w:hint="eastAsia" w:ascii="宋体" w:hAnsi="宋体" w:eastAsia="宋体" w:cs="Arial Narrow"/>
          <w:highlight w:val="none"/>
        </w:rPr>
        <w:t>）筹备并成立“武昌区新的社会阶层人士联谊会。项目产出质量比较高，得分8分。</w:t>
      </w:r>
    </w:p>
    <w:p w14:paraId="24EE6DAE">
      <w:pPr>
        <w:numPr>
          <w:ilvl w:val="0"/>
          <w:numId w:val="7"/>
        </w:numPr>
        <w:snapToGrid w:val="0"/>
        <w:spacing w:line="600" w:lineRule="exact"/>
        <w:ind w:left="0" w:leftChars="0" w:firstLine="480" w:firstLineChars="200"/>
        <w:rPr>
          <w:rFonts w:hint="eastAsia" w:ascii="宋体" w:hAnsi="宋体" w:eastAsia="宋体" w:cs="Arial Narrow"/>
        </w:rPr>
      </w:pPr>
      <w:r>
        <w:rPr>
          <w:rFonts w:hint="eastAsia" w:ascii="宋体" w:hAnsi="宋体" w:eastAsia="宋体" w:cs="Arial Narrow"/>
          <w:lang w:eastAsia="zh-CN"/>
        </w:rPr>
        <w:t>资金使用率</w:t>
      </w:r>
      <w:r>
        <w:rPr>
          <w:rFonts w:hint="eastAsia" w:ascii="宋体" w:hAnsi="宋体" w:eastAsia="宋体" w:cs="Arial Narrow"/>
        </w:rPr>
        <w:t>：满分</w:t>
      </w:r>
      <w:r>
        <w:rPr>
          <w:rFonts w:hint="eastAsia" w:ascii="宋体" w:hAnsi="宋体" w:eastAsia="宋体" w:cs="Arial Narrow"/>
          <w:lang w:val="en-US" w:eastAsia="zh-CN"/>
        </w:rPr>
        <w:t>4</w:t>
      </w:r>
      <w:r>
        <w:rPr>
          <w:rFonts w:hint="eastAsia" w:ascii="宋体" w:hAnsi="宋体" w:eastAsia="宋体" w:cs="Arial Narrow"/>
        </w:rPr>
        <w:t>分，得</w:t>
      </w:r>
      <w:r>
        <w:rPr>
          <w:rFonts w:hint="eastAsia" w:ascii="宋体" w:hAnsi="宋体" w:eastAsia="宋体" w:cs="Arial Narrow"/>
          <w:lang w:val="en-US" w:eastAsia="zh-CN"/>
        </w:rPr>
        <w:t>3</w:t>
      </w:r>
      <w:r>
        <w:rPr>
          <w:rFonts w:hint="eastAsia" w:ascii="宋体" w:hAnsi="宋体" w:eastAsia="宋体" w:cs="Arial Narrow"/>
        </w:rPr>
        <w:t>分。</w:t>
      </w:r>
    </w:p>
    <w:p w14:paraId="5D354FA6">
      <w:pPr>
        <w:numPr>
          <w:ilvl w:val="0"/>
          <w:numId w:val="0"/>
        </w:numPr>
        <w:snapToGrid w:val="0"/>
        <w:spacing w:line="600" w:lineRule="exact"/>
        <w:rPr>
          <w:rFonts w:hint="eastAsia"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项目本年度开支</w:t>
      </w:r>
      <w:r>
        <w:rPr>
          <w:rFonts w:hint="eastAsia" w:ascii="宋体" w:hAnsi="宋体" w:eastAsia="宋体" w:cs="Arial Narrow"/>
          <w:highlight w:val="none"/>
          <w:lang w:val="en-US" w:eastAsia="zh-CN"/>
        </w:rPr>
        <w:t>271.83</w:t>
      </w:r>
      <w:r>
        <w:rPr>
          <w:rFonts w:hint="eastAsia" w:ascii="宋体" w:hAnsi="宋体" w:eastAsia="宋体" w:cs="Arial Narrow"/>
          <w:highlight w:val="none"/>
        </w:rPr>
        <w:t>万元，产出成本控制在预算内，资金使用率</w:t>
      </w:r>
      <w:r>
        <w:rPr>
          <w:rFonts w:hint="eastAsia" w:ascii="宋体" w:hAnsi="宋体" w:eastAsia="宋体" w:cs="Arial Narrow"/>
          <w:highlight w:val="none"/>
          <w:lang w:val="en-US" w:eastAsia="zh-CN"/>
        </w:rPr>
        <w:t>91.</w:t>
      </w:r>
      <w:r>
        <w:rPr>
          <w:rFonts w:hint="eastAsia" w:ascii="宋体" w:hAnsi="宋体" w:eastAsia="宋体" w:cs="Arial Narrow"/>
          <w:highlight w:val="none"/>
        </w:rPr>
        <w:t>%，</w:t>
      </w:r>
      <w:r>
        <w:rPr>
          <w:rFonts w:hint="eastAsia" w:ascii="宋体" w:hAnsi="宋体" w:eastAsia="宋体" w:cs="Arial Narrow"/>
          <w:highlight w:val="none"/>
          <w:lang w:eastAsia="zh-CN"/>
        </w:rPr>
        <w:t>资金使用率低，扣</w:t>
      </w:r>
      <w:r>
        <w:rPr>
          <w:rFonts w:hint="eastAsia" w:ascii="宋体" w:hAnsi="宋体" w:eastAsia="宋体" w:cs="Arial Narrow"/>
          <w:highlight w:val="none"/>
          <w:lang w:val="en-US" w:eastAsia="zh-CN"/>
        </w:rPr>
        <w:t>1分，</w:t>
      </w:r>
      <w:r>
        <w:rPr>
          <w:rFonts w:hint="eastAsia" w:ascii="宋体" w:hAnsi="宋体" w:eastAsia="宋体" w:cs="Arial Narrow"/>
          <w:highlight w:val="none"/>
        </w:rPr>
        <w:t>得</w:t>
      </w:r>
      <w:r>
        <w:rPr>
          <w:rFonts w:hint="eastAsia" w:ascii="宋体" w:hAnsi="宋体" w:eastAsia="宋体" w:cs="Arial Narrow"/>
          <w:highlight w:val="none"/>
          <w:lang w:val="en-US" w:eastAsia="zh-CN"/>
        </w:rPr>
        <w:t>3</w:t>
      </w:r>
      <w:r>
        <w:rPr>
          <w:rFonts w:hint="eastAsia" w:ascii="宋体" w:hAnsi="宋体" w:eastAsia="宋体" w:cs="Arial Narrow"/>
          <w:highlight w:val="none"/>
        </w:rPr>
        <w:t>分。</w:t>
      </w:r>
    </w:p>
    <w:p w14:paraId="41750779">
      <w:pPr>
        <w:spacing w:line="600" w:lineRule="exact"/>
        <w:ind w:firstLine="482"/>
        <w:outlineLvl w:val="1"/>
        <w:rPr>
          <w:rFonts w:ascii="宋体" w:hAnsi="宋体" w:eastAsia="宋体"/>
          <w:b/>
        </w:rPr>
      </w:pPr>
      <w:r>
        <w:rPr>
          <w:rFonts w:hint="eastAsia" w:ascii="宋体" w:hAnsi="宋体" w:eastAsia="宋体"/>
          <w:b/>
        </w:rPr>
        <w:t>（</w:t>
      </w:r>
      <w:r>
        <w:rPr>
          <w:rFonts w:hint="eastAsia" w:ascii="宋体" w:hAnsi="宋体" w:eastAsia="宋体"/>
          <w:b/>
          <w:lang w:eastAsia="zh-CN"/>
        </w:rPr>
        <w:t>四</w:t>
      </w:r>
      <w:r>
        <w:rPr>
          <w:rFonts w:hint="eastAsia" w:ascii="宋体" w:hAnsi="宋体" w:eastAsia="宋体"/>
          <w:b/>
        </w:rPr>
        <w:t>）</w:t>
      </w:r>
      <w:r>
        <w:rPr>
          <w:rFonts w:hint="eastAsia" w:ascii="宋体" w:hAnsi="宋体" w:eastAsia="宋体"/>
          <w:b/>
          <w:lang w:eastAsia="zh-CN"/>
        </w:rPr>
        <w:t>项目效果</w:t>
      </w:r>
      <w:r>
        <w:rPr>
          <w:rFonts w:ascii="宋体" w:hAnsi="宋体" w:eastAsia="宋体"/>
          <w:b/>
        </w:rPr>
        <w:t>（</w:t>
      </w:r>
      <w:r>
        <w:rPr>
          <w:rFonts w:hint="eastAsia" w:ascii="宋体" w:hAnsi="宋体" w:eastAsia="宋体"/>
          <w:b/>
          <w:lang w:val="en-US" w:eastAsia="zh-CN"/>
        </w:rPr>
        <w:t>3</w:t>
      </w:r>
      <w:r>
        <w:rPr>
          <w:rFonts w:ascii="宋体" w:hAnsi="宋体" w:eastAsia="宋体"/>
          <w:b/>
        </w:rPr>
        <w:t>5分）</w:t>
      </w:r>
    </w:p>
    <w:p w14:paraId="16912D75">
      <w:pPr>
        <w:spacing w:line="600" w:lineRule="exact"/>
        <w:outlineLvl w:val="1"/>
        <w:rPr>
          <w:rFonts w:hint="eastAsia" w:ascii="宋体" w:hAnsi="宋体" w:eastAsia="宋体"/>
          <w:b w:val="0"/>
          <w:bCs/>
          <w:lang w:val="en-US" w:eastAsia="zh-CN"/>
        </w:rPr>
      </w:pPr>
      <w:r>
        <w:rPr>
          <w:rFonts w:hint="eastAsia" w:ascii="宋体" w:hAnsi="宋体" w:eastAsia="宋体"/>
          <w:b w:val="0"/>
          <w:bCs/>
          <w:lang w:eastAsia="zh-CN"/>
        </w:rPr>
        <w:t>根据评价原则，项目效果评价得分为</w:t>
      </w:r>
      <w:r>
        <w:rPr>
          <w:rFonts w:hint="eastAsia" w:ascii="宋体" w:hAnsi="宋体" w:eastAsia="宋体"/>
          <w:b w:val="0"/>
          <w:bCs/>
          <w:lang w:val="en-US" w:eastAsia="zh-CN"/>
        </w:rPr>
        <w:t>35分，</w:t>
      </w:r>
      <w:r>
        <w:rPr>
          <w:rFonts w:hint="eastAsia" w:ascii="宋体" w:hAnsi="宋体" w:eastAsia="宋体"/>
          <w:b w:val="0"/>
          <w:bCs/>
          <w:highlight w:val="none"/>
          <w:lang w:val="en-US" w:eastAsia="zh-CN"/>
        </w:rPr>
        <w:t>评价结果为优。</w:t>
      </w:r>
    </w:p>
    <w:p w14:paraId="34ED9A64">
      <w:pPr>
        <w:snapToGrid w:val="0"/>
        <w:spacing w:line="600" w:lineRule="exact"/>
        <w:ind w:firstLine="482"/>
        <w:jc w:val="left"/>
        <w:rPr>
          <w:rFonts w:hint="eastAsia" w:ascii="宋体" w:hAnsi="宋体" w:eastAsia="宋体" w:cs="Arial Narrow"/>
          <w:b/>
          <w:bCs/>
          <w:lang w:val="en-US" w:eastAsia="zh-CN"/>
        </w:rPr>
      </w:pPr>
      <w:r>
        <w:rPr>
          <w:rFonts w:hint="eastAsia" w:ascii="宋体" w:hAnsi="宋体" w:eastAsia="宋体" w:cs="Arial Narrow"/>
          <w:b/>
          <w:bCs/>
          <w:lang w:val="en-US" w:eastAsia="zh-CN"/>
        </w:rPr>
        <w:t>1</w:t>
      </w:r>
      <w:r>
        <w:rPr>
          <w:rFonts w:hint="eastAsia" w:ascii="宋体" w:hAnsi="宋体" w:eastAsia="宋体" w:cs="Arial Narrow"/>
          <w:b/>
          <w:bCs/>
        </w:rPr>
        <w:t>、</w:t>
      </w:r>
      <w:r>
        <w:rPr>
          <w:rFonts w:hint="eastAsia" w:ascii="宋体" w:hAnsi="宋体" w:eastAsia="宋体" w:cs="Arial Narrow"/>
          <w:b/>
          <w:bCs/>
          <w:lang w:eastAsia="zh-CN"/>
        </w:rPr>
        <w:t>项目效益</w:t>
      </w:r>
      <w:r>
        <w:rPr>
          <w:rFonts w:hint="eastAsia" w:ascii="宋体" w:hAnsi="宋体" w:eastAsia="宋体" w:cs="Arial Narrow"/>
          <w:b/>
          <w:bCs/>
        </w:rPr>
        <w:t>（</w:t>
      </w:r>
      <w:r>
        <w:rPr>
          <w:rFonts w:hint="eastAsia" w:ascii="宋体" w:hAnsi="宋体" w:eastAsia="宋体" w:cs="Arial Narrow"/>
          <w:b/>
          <w:bCs/>
          <w:lang w:val="en-US" w:eastAsia="zh-CN"/>
        </w:rPr>
        <w:t>35</w:t>
      </w:r>
      <w:r>
        <w:rPr>
          <w:rFonts w:hint="eastAsia" w:ascii="宋体" w:hAnsi="宋体" w:eastAsia="宋体" w:cs="Arial Narrow"/>
          <w:b/>
          <w:bCs/>
        </w:rPr>
        <w:t>分）</w:t>
      </w:r>
    </w:p>
    <w:p w14:paraId="498F016F">
      <w:pPr>
        <w:snapToGrid w:val="0"/>
        <w:spacing w:line="600" w:lineRule="exact"/>
        <w:ind w:firstLine="480"/>
        <w:rPr>
          <w:rFonts w:hint="eastAsia" w:ascii="宋体" w:hAnsi="宋体" w:eastAsia="宋体" w:cs="Arial Narrow"/>
          <w:highlight w:val="none"/>
        </w:rPr>
      </w:pPr>
      <w:r>
        <w:rPr>
          <w:rFonts w:hint="eastAsia" w:ascii="宋体" w:hAnsi="宋体" w:eastAsia="宋体" w:cs="Arial Narrow"/>
        </w:rPr>
        <w:t>（1）</w:t>
      </w:r>
      <w:r>
        <w:rPr>
          <w:rFonts w:hint="eastAsia" w:ascii="宋体" w:hAnsi="宋体" w:eastAsia="宋体" w:cs="Arial Narrow"/>
          <w:lang w:eastAsia="zh-CN"/>
        </w:rPr>
        <w:t>经济效益</w:t>
      </w:r>
      <w:r>
        <w:rPr>
          <w:rFonts w:hint="eastAsia" w:ascii="宋体" w:hAnsi="宋体" w:eastAsia="宋体" w:cs="Arial Narrow"/>
        </w:rPr>
        <w:t>：满分5分，</w:t>
      </w:r>
      <w:r>
        <w:rPr>
          <w:rFonts w:hint="eastAsia" w:ascii="宋体" w:hAnsi="宋体" w:eastAsia="宋体" w:cs="Arial Narrow"/>
          <w:highlight w:val="none"/>
        </w:rPr>
        <w:t>得分</w:t>
      </w:r>
      <w:r>
        <w:rPr>
          <w:rFonts w:hint="eastAsia" w:ascii="宋体" w:hAnsi="宋体" w:eastAsia="宋体" w:cs="Arial Narrow"/>
          <w:highlight w:val="none"/>
          <w:lang w:val="en-US" w:eastAsia="zh-CN"/>
        </w:rPr>
        <w:t>5</w:t>
      </w:r>
      <w:r>
        <w:rPr>
          <w:rFonts w:hint="eastAsia" w:ascii="宋体" w:hAnsi="宋体" w:eastAsia="宋体" w:cs="Arial Narrow"/>
          <w:highlight w:val="none"/>
        </w:rPr>
        <w:t>分。</w:t>
      </w:r>
    </w:p>
    <w:p w14:paraId="73A9805D">
      <w:pPr>
        <w:numPr>
          <w:ilvl w:val="0"/>
          <w:numId w:val="0"/>
        </w:numPr>
        <w:snapToGrid w:val="0"/>
        <w:spacing w:line="600" w:lineRule="exact"/>
        <w:ind w:firstLine="480" w:firstLineChars="200"/>
        <w:rPr>
          <w:rFonts w:hint="eastAsia" w:ascii="宋体" w:hAnsi="宋体" w:eastAsia="宋体" w:cs="Arial Narrow"/>
          <w:highlight w:val="none"/>
          <w:lang w:eastAsia="zh-CN"/>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lang w:eastAsia="zh-CN"/>
        </w:rPr>
        <w:t>区统战部党派工作经费，用于开展各民主党派和无党派工作事宜，维护社会稳定和谐，产生间接的经济效益，得5分。</w:t>
      </w:r>
    </w:p>
    <w:p w14:paraId="758A67C2">
      <w:pPr>
        <w:numPr>
          <w:ilvl w:val="0"/>
          <w:numId w:val="0"/>
        </w:numPr>
        <w:snapToGrid w:val="0"/>
        <w:spacing w:line="600" w:lineRule="exact"/>
        <w:ind w:firstLine="480" w:firstLineChars="200"/>
        <w:rPr>
          <w:rFonts w:hint="eastAsia" w:ascii="宋体" w:hAnsi="宋体" w:eastAsia="宋体" w:cs="Arial Narrow"/>
          <w:highlight w:val="none"/>
        </w:rPr>
      </w:pPr>
      <w:r>
        <w:rPr>
          <w:rFonts w:hint="eastAsia" w:ascii="宋体" w:hAnsi="宋体" w:eastAsia="宋体" w:cs="Arial Narrow"/>
          <w:highlight w:val="none"/>
          <w:lang w:eastAsia="zh-CN"/>
        </w:rPr>
        <w:t>（</w:t>
      </w:r>
      <w:r>
        <w:rPr>
          <w:rFonts w:hint="eastAsia" w:ascii="宋体" w:hAnsi="宋体" w:eastAsia="宋体" w:cs="Arial Narrow"/>
          <w:highlight w:val="none"/>
          <w:lang w:val="en-US" w:eastAsia="zh-CN"/>
        </w:rPr>
        <w:t>2）</w:t>
      </w:r>
      <w:r>
        <w:rPr>
          <w:rFonts w:hint="eastAsia" w:ascii="宋体" w:hAnsi="宋体" w:eastAsia="宋体" w:cs="Arial Narrow"/>
          <w:highlight w:val="none"/>
          <w:lang w:eastAsia="zh-CN"/>
        </w:rPr>
        <w:t>社会效益</w:t>
      </w:r>
      <w:r>
        <w:rPr>
          <w:rFonts w:hint="eastAsia" w:ascii="宋体" w:hAnsi="宋体" w:eastAsia="宋体" w:cs="Arial Narrow"/>
          <w:highlight w:val="none"/>
        </w:rPr>
        <w:t>：满分</w:t>
      </w:r>
      <w:r>
        <w:rPr>
          <w:rFonts w:hint="eastAsia" w:ascii="宋体" w:hAnsi="宋体" w:eastAsia="宋体" w:cs="Arial Narrow"/>
          <w:highlight w:val="none"/>
          <w:lang w:val="en-US" w:eastAsia="zh-CN"/>
        </w:rPr>
        <w:t>10</w:t>
      </w:r>
      <w:r>
        <w:rPr>
          <w:rFonts w:hint="eastAsia" w:ascii="宋体" w:hAnsi="宋体" w:eastAsia="宋体" w:cs="Arial Narrow"/>
          <w:highlight w:val="none"/>
        </w:rPr>
        <w:t>分，得分</w:t>
      </w:r>
      <w:r>
        <w:rPr>
          <w:rFonts w:hint="eastAsia" w:ascii="宋体" w:hAnsi="宋体" w:eastAsia="宋体" w:cs="Arial Narrow"/>
          <w:highlight w:val="none"/>
          <w:lang w:val="en-US" w:eastAsia="zh-CN"/>
        </w:rPr>
        <w:t>10</w:t>
      </w:r>
      <w:r>
        <w:rPr>
          <w:rFonts w:hint="eastAsia" w:ascii="宋体" w:hAnsi="宋体" w:eastAsia="宋体" w:cs="Arial Narrow"/>
          <w:highlight w:val="none"/>
        </w:rPr>
        <w:t>分。</w:t>
      </w:r>
    </w:p>
    <w:p w14:paraId="3A46D623">
      <w:pPr>
        <w:numPr>
          <w:ilvl w:val="0"/>
          <w:numId w:val="0"/>
        </w:numPr>
        <w:snapToGrid w:val="0"/>
        <w:spacing w:line="600" w:lineRule="exact"/>
        <w:ind w:firstLine="480" w:firstLineChars="200"/>
        <w:rPr>
          <w:rFonts w:hint="eastAsia"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区统战部工作巩固和发展了各民主党派和无党派人士的平等团结互助和谐的社会主义民族关系，为推动武昌科学发展、创新发展、和谐发展营造良好的社会氛围，社会效益好，得10分。</w:t>
      </w:r>
    </w:p>
    <w:p w14:paraId="25000624">
      <w:pPr>
        <w:numPr>
          <w:ilvl w:val="0"/>
          <w:numId w:val="0"/>
        </w:numPr>
        <w:snapToGrid w:val="0"/>
        <w:spacing w:line="600" w:lineRule="exact"/>
        <w:ind w:leftChars="200"/>
        <w:rPr>
          <w:rFonts w:hint="eastAsia" w:ascii="宋体" w:hAnsi="宋体" w:eastAsia="宋体" w:cs="Arial Narrow"/>
          <w:highlight w:val="none"/>
        </w:rPr>
      </w:pPr>
      <w:r>
        <w:rPr>
          <w:rFonts w:hint="eastAsia" w:ascii="宋体" w:hAnsi="宋体" w:eastAsia="宋体" w:cs="Arial Narrow"/>
          <w:highlight w:val="none"/>
          <w:lang w:eastAsia="zh-CN"/>
        </w:rPr>
        <w:t>（</w:t>
      </w:r>
      <w:r>
        <w:rPr>
          <w:rFonts w:hint="eastAsia" w:ascii="宋体" w:hAnsi="宋体" w:eastAsia="宋体" w:cs="Arial Narrow"/>
          <w:highlight w:val="none"/>
          <w:lang w:val="en-US" w:eastAsia="zh-CN"/>
        </w:rPr>
        <w:t>3）</w:t>
      </w:r>
      <w:r>
        <w:rPr>
          <w:rFonts w:hint="eastAsia" w:ascii="宋体" w:hAnsi="宋体" w:eastAsia="宋体" w:cs="Arial Narrow"/>
          <w:highlight w:val="none"/>
          <w:lang w:eastAsia="zh-CN"/>
        </w:rPr>
        <w:t>可持续影响</w:t>
      </w:r>
      <w:r>
        <w:rPr>
          <w:rFonts w:hint="eastAsia" w:ascii="宋体" w:hAnsi="宋体" w:eastAsia="宋体" w:cs="Arial Narrow"/>
          <w:highlight w:val="none"/>
        </w:rPr>
        <w:t>：满分</w:t>
      </w:r>
      <w:r>
        <w:rPr>
          <w:rFonts w:hint="eastAsia" w:ascii="宋体" w:hAnsi="宋体" w:eastAsia="宋体" w:cs="Arial Narrow"/>
          <w:highlight w:val="none"/>
          <w:lang w:val="en-US" w:eastAsia="zh-CN"/>
        </w:rPr>
        <w:t>10</w:t>
      </w:r>
      <w:r>
        <w:rPr>
          <w:rFonts w:hint="eastAsia" w:ascii="宋体" w:hAnsi="宋体" w:eastAsia="宋体" w:cs="Arial Narrow"/>
          <w:highlight w:val="none"/>
        </w:rPr>
        <w:t>分，得</w:t>
      </w:r>
      <w:r>
        <w:rPr>
          <w:rFonts w:hint="eastAsia" w:ascii="宋体" w:hAnsi="宋体" w:eastAsia="宋体" w:cs="Arial Narrow"/>
          <w:highlight w:val="none"/>
          <w:lang w:val="en-US" w:eastAsia="zh-CN"/>
        </w:rPr>
        <w:t>10</w:t>
      </w:r>
      <w:r>
        <w:rPr>
          <w:rFonts w:hint="eastAsia" w:ascii="宋体" w:hAnsi="宋体" w:eastAsia="宋体" w:cs="Arial Narrow"/>
          <w:highlight w:val="none"/>
        </w:rPr>
        <w:t>分。</w:t>
      </w:r>
    </w:p>
    <w:p w14:paraId="6EA2B9EB">
      <w:pPr>
        <w:numPr>
          <w:ilvl w:val="0"/>
          <w:numId w:val="0"/>
        </w:numPr>
        <w:snapToGrid w:val="0"/>
        <w:spacing w:line="600" w:lineRule="exact"/>
        <w:ind w:firstLine="480" w:firstLineChars="200"/>
        <w:rPr>
          <w:rFonts w:hint="eastAsia"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区统战部工作巩固和发展了各民主党派和无党派人士平等团结互助和谐的社会主义民族关系，为推动武昌科学发展、创新发展、和谐发展营造良好的社会氛围，能对社会发展带来可持续影响，得10分。</w:t>
      </w:r>
    </w:p>
    <w:p w14:paraId="36AFB689">
      <w:pPr>
        <w:snapToGrid w:val="0"/>
        <w:spacing w:line="600" w:lineRule="exact"/>
        <w:ind w:firstLine="480"/>
        <w:rPr>
          <w:rFonts w:hint="eastAsia" w:ascii="宋体" w:hAnsi="宋体" w:eastAsia="宋体" w:cs="Arial Narrow"/>
          <w:highlight w:val="none"/>
        </w:rPr>
      </w:pPr>
      <w:r>
        <w:rPr>
          <w:rFonts w:hint="eastAsia" w:ascii="宋体" w:hAnsi="宋体" w:eastAsia="宋体" w:cs="Arial Narrow"/>
          <w:highlight w:val="none"/>
        </w:rPr>
        <w:t>（4）</w:t>
      </w:r>
      <w:r>
        <w:rPr>
          <w:rFonts w:hint="eastAsia" w:ascii="宋体" w:hAnsi="宋体" w:eastAsia="宋体" w:cs="Arial Narrow"/>
          <w:highlight w:val="none"/>
          <w:lang w:eastAsia="zh-CN"/>
        </w:rPr>
        <w:t>服务对象满意度</w:t>
      </w:r>
      <w:r>
        <w:rPr>
          <w:rFonts w:hint="eastAsia" w:ascii="宋体" w:hAnsi="宋体" w:eastAsia="宋体" w:cs="Arial Narrow"/>
          <w:highlight w:val="none"/>
        </w:rPr>
        <w:t>：满分</w:t>
      </w:r>
      <w:r>
        <w:rPr>
          <w:rFonts w:hint="eastAsia" w:ascii="宋体" w:hAnsi="宋体" w:eastAsia="宋体" w:cs="Arial Narrow"/>
          <w:highlight w:val="none"/>
          <w:lang w:val="en-US" w:eastAsia="zh-CN"/>
        </w:rPr>
        <w:t>10</w:t>
      </w:r>
      <w:r>
        <w:rPr>
          <w:rFonts w:hint="eastAsia" w:ascii="宋体" w:hAnsi="宋体" w:eastAsia="宋体" w:cs="Arial Narrow"/>
          <w:highlight w:val="none"/>
        </w:rPr>
        <w:t>分，得</w:t>
      </w:r>
      <w:r>
        <w:rPr>
          <w:rFonts w:hint="eastAsia" w:ascii="宋体" w:hAnsi="宋体" w:eastAsia="宋体" w:cs="Arial Narrow"/>
          <w:highlight w:val="none"/>
          <w:lang w:val="en-US" w:eastAsia="zh-CN"/>
        </w:rPr>
        <w:t>10</w:t>
      </w:r>
      <w:r>
        <w:rPr>
          <w:rFonts w:hint="eastAsia" w:ascii="宋体" w:hAnsi="宋体" w:eastAsia="宋体" w:cs="Arial Narrow"/>
          <w:highlight w:val="none"/>
        </w:rPr>
        <w:t>分。</w:t>
      </w:r>
    </w:p>
    <w:bookmarkEnd w:id="78"/>
    <w:p w14:paraId="04BBA919">
      <w:pPr>
        <w:snapToGrid w:val="0"/>
        <w:spacing w:line="600" w:lineRule="exact"/>
        <w:ind w:firstLine="482"/>
        <w:outlineLvl w:val="0"/>
        <w:rPr>
          <w:rFonts w:hint="eastAsia" w:ascii="宋体" w:hAnsi="宋体" w:eastAsia="宋体" w:cs="Arial Narrow"/>
          <w:highlight w:val="none"/>
          <w:lang w:eastAsia="zh-CN"/>
        </w:rPr>
      </w:pPr>
      <w:bookmarkStart w:id="84" w:name="_Toc17932"/>
      <w:bookmarkStart w:id="85" w:name="_Toc478396461"/>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区统战部保障了各民主党派和无党派人士的合法权益，服务对象满意度高，得10分</w:t>
      </w:r>
      <w:r>
        <w:rPr>
          <w:rFonts w:hint="eastAsia" w:ascii="宋体" w:hAnsi="宋体" w:eastAsia="宋体" w:cs="Arial Narrow"/>
          <w:highlight w:val="none"/>
          <w:lang w:eastAsia="zh-CN"/>
        </w:rPr>
        <w:t>。</w:t>
      </w:r>
    </w:p>
    <w:p w14:paraId="4CA5039E">
      <w:pPr>
        <w:snapToGrid w:val="0"/>
        <w:spacing w:line="600" w:lineRule="exact"/>
        <w:ind w:firstLine="482"/>
        <w:outlineLvl w:val="0"/>
        <w:rPr>
          <w:rFonts w:ascii="宋体" w:hAnsi="宋体" w:eastAsia="宋体" w:cs="Arial Narrow"/>
          <w:b/>
          <w:bCs/>
        </w:rPr>
      </w:pPr>
      <w:r>
        <w:rPr>
          <w:rFonts w:hint="eastAsia" w:ascii="宋体" w:hAnsi="宋体" w:eastAsia="宋体" w:cs="Arial Narrow"/>
          <w:b/>
          <w:bCs/>
        </w:rPr>
        <w:t>四、</w:t>
      </w:r>
      <w:r>
        <w:rPr>
          <w:rFonts w:ascii="宋体" w:hAnsi="宋体" w:eastAsia="宋体" w:cs="Arial Narrow"/>
          <w:b/>
          <w:bCs/>
        </w:rPr>
        <w:t>评价结论</w:t>
      </w:r>
      <w:bookmarkEnd w:id="79"/>
      <w:bookmarkEnd w:id="80"/>
      <w:bookmarkEnd w:id="81"/>
      <w:bookmarkEnd w:id="82"/>
      <w:bookmarkEnd w:id="83"/>
      <w:bookmarkEnd w:id="84"/>
      <w:bookmarkEnd w:id="85"/>
      <w:bookmarkStart w:id="86" w:name="_Toc361302039"/>
      <w:bookmarkStart w:id="87" w:name="_Toc361304702"/>
    </w:p>
    <w:bookmarkEnd w:id="86"/>
    <w:bookmarkEnd w:id="87"/>
    <w:p w14:paraId="5F86B8FB">
      <w:pPr>
        <w:snapToGrid w:val="0"/>
        <w:spacing w:line="600" w:lineRule="exact"/>
        <w:ind w:firstLine="482"/>
        <w:rPr>
          <w:rFonts w:ascii="宋体" w:hAnsi="宋体" w:eastAsia="宋体" w:cs="Arial Narrow"/>
          <w:b/>
          <w:bCs/>
        </w:rPr>
      </w:pPr>
      <w:r>
        <w:rPr>
          <w:rFonts w:ascii="宋体" w:hAnsi="宋体" w:eastAsia="宋体" w:cs="Arial Narrow"/>
          <w:b/>
          <w:bCs/>
        </w:rPr>
        <w:t>1</w:t>
      </w:r>
      <w:r>
        <w:rPr>
          <w:rFonts w:hint="eastAsia" w:ascii="宋体" w:hAnsi="宋体" w:eastAsia="宋体" w:cs="Arial Narrow"/>
          <w:b/>
          <w:bCs/>
        </w:rPr>
        <w:t>、</w:t>
      </w:r>
      <w:r>
        <w:rPr>
          <w:rFonts w:ascii="宋体" w:hAnsi="宋体" w:eastAsia="宋体" w:cs="Arial Narrow"/>
          <w:b/>
          <w:bCs/>
        </w:rPr>
        <w:t>评分结果</w:t>
      </w:r>
    </w:p>
    <w:p w14:paraId="54AB5E92">
      <w:pPr>
        <w:snapToGrid w:val="0"/>
        <w:spacing w:line="600" w:lineRule="exact"/>
        <w:ind w:firstLine="480"/>
        <w:rPr>
          <w:rFonts w:ascii="宋体" w:hAnsi="宋体" w:eastAsia="宋体" w:cs="Arial Narrow"/>
        </w:rPr>
      </w:pPr>
      <w:bookmarkStart w:id="88" w:name="_Toc361304705"/>
      <w:bookmarkStart w:id="89" w:name="_Toc406668054"/>
      <w:bookmarkStart w:id="90" w:name="_Toc387957829"/>
      <w:bookmarkStart w:id="91" w:name="_Toc406666380"/>
      <w:r>
        <w:rPr>
          <w:rFonts w:hint="eastAsia" w:ascii="宋体" w:hAnsi="宋体" w:eastAsia="宋体" w:cs="Arial Narrow"/>
          <w:highlight w:val="none"/>
        </w:rPr>
        <w:t>区</w:t>
      </w:r>
      <w:r>
        <w:rPr>
          <w:rFonts w:hint="eastAsia" w:ascii="宋体" w:hAnsi="宋体" w:eastAsia="宋体" w:cs="Arial Narrow"/>
          <w:highlight w:val="none"/>
          <w:lang w:eastAsia="zh-CN"/>
        </w:rPr>
        <w:t>统战部</w:t>
      </w:r>
      <w:r>
        <w:rPr>
          <w:rFonts w:hint="eastAsia" w:ascii="宋体" w:hAnsi="宋体" w:eastAsia="宋体" w:cs="Arial Narrow"/>
          <w:highlight w:val="none"/>
        </w:rPr>
        <w:t>“</w:t>
      </w:r>
      <w:r>
        <w:rPr>
          <w:rFonts w:hint="eastAsia" w:ascii="宋体" w:hAnsi="宋体" w:eastAsia="宋体" w:cs="Arial Narrow"/>
          <w:highlight w:val="none"/>
          <w:lang w:eastAsia="zh-CN"/>
        </w:rPr>
        <w:t>统战事务经</w:t>
      </w:r>
      <w:r>
        <w:rPr>
          <w:rFonts w:hint="eastAsia" w:ascii="宋体" w:hAnsi="宋体" w:eastAsia="宋体" w:cs="Arial Narrow"/>
        </w:rPr>
        <w:t>费”</w:t>
      </w:r>
      <w:r>
        <w:rPr>
          <w:rFonts w:hint="eastAsia" w:ascii="宋体" w:hAnsi="宋体" w:eastAsia="宋体" w:cs="Arial Narrow"/>
          <w:lang w:eastAsia="zh-CN"/>
        </w:rPr>
        <w:t>项目</w:t>
      </w:r>
      <w:r>
        <w:rPr>
          <w:rFonts w:hint="eastAsia" w:ascii="宋体" w:hAnsi="宋体" w:eastAsia="宋体" w:cs="Arial Narrow"/>
        </w:rPr>
        <w:t>绩效评价综合得分为</w:t>
      </w:r>
      <w:r>
        <w:rPr>
          <w:rFonts w:hint="eastAsia" w:ascii="宋体" w:hAnsi="宋体" w:eastAsia="宋体" w:cs="Arial Narrow"/>
          <w:highlight w:val="none"/>
          <w:lang w:val="en-US" w:eastAsia="zh-CN"/>
        </w:rPr>
        <w:t>92</w:t>
      </w:r>
      <w:r>
        <w:rPr>
          <w:rFonts w:hint="eastAsia" w:ascii="宋体" w:hAnsi="宋体" w:eastAsia="宋体" w:cs="Arial Narrow"/>
          <w:highlight w:val="none"/>
        </w:rPr>
        <w:t>分，评价结果为优。</w:t>
      </w:r>
    </w:p>
    <w:p w14:paraId="328F5F63">
      <w:pPr>
        <w:snapToGrid w:val="0"/>
        <w:spacing w:line="600" w:lineRule="exact"/>
        <w:ind w:firstLine="602" w:firstLineChars="250"/>
        <w:rPr>
          <w:rFonts w:ascii="宋体" w:hAnsi="宋体" w:eastAsia="宋体" w:cs="Arial Narrow"/>
          <w:b/>
          <w:bCs/>
        </w:rPr>
      </w:pPr>
      <w:r>
        <w:rPr>
          <w:rFonts w:hint="eastAsia" w:ascii="宋体" w:hAnsi="宋体" w:eastAsia="宋体" w:cs="Arial Narrow"/>
          <w:b/>
          <w:bCs/>
        </w:rPr>
        <w:t>2、主要结论</w:t>
      </w:r>
    </w:p>
    <w:p w14:paraId="5832A276">
      <w:pPr>
        <w:snapToGrid w:val="0"/>
        <w:spacing w:line="600" w:lineRule="exact"/>
        <w:ind w:firstLine="480"/>
        <w:jc w:val="left"/>
        <w:rPr>
          <w:rFonts w:ascii="宋体" w:hAnsi="宋体" w:eastAsia="宋体" w:cs="Arial Narrow"/>
          <w:highlight w:val="none"/>
        </w:rPr>
      </w:pPr>
      <w:bookmarkStart w:id="92" w:name="_Toc14373"/>
      <w:r>
        <w:rPr>
          <w:rFonts w:hint="eastAsia" w:ascii="宋体" w:hAnsi="宋体" w:eastAsia="宋体" w:cs="Arial Narrow"/>
          <w:highlight w:val="none"/>
        </w:rPr>
        <w:t>区</w:t>
      </w:r>
      <w:r>
        <w:rPr>
          <w:rFonts w:hint="eastAsia" w:ascii="宋体" w:hAnsi="宋体" w:eastAsia="宋体" w:cs="Arial Narrow"/>
          <w:highlight w:val="none"/>
          <w:lang w:eastAsia="zh-CN"/>
        </w:rPr>
        <w:t>统战部</w:t>
      </w:r>
      <w:r>
        <w:rPr>
          <w:rFonts w:hint="eastAsia" w:ascii="宋体" w:hAnsi="宋体" w:eastAsia="宋体" w:cs="Arial Narrow"/>
          <w:highlight w:val="none"/>
        </w:rPr>
        <w:t>承担的</w:t>
      </w:r>
      <w:r>
        <w:rPr>
          <w:rFonts w:ascii="宋体" w:hAnsi="宋体" w:eastAsia="宋体" w:cs="Arial Narrow"/>
          <w:highlight w:val="none"/>
        </w:rPr>
        <w:t>201</w:t>
      </w:r>
      <w:r>
        <w:rPr>
          <w:rFonts w:hint="eastAsia" w:ascii="宋体" w:hAnsi="宋体" w:eastAsia="宋体" w:cs="Arial Narrow"/>
          <w:highlight w:val="none"/>
          <w:lang w:val="en-US" w:eastAsia="zh-CN"/>
        </w:rPr>
        <w:t>8</w:t>
      </w:r>
      <w:r>
        <w:rPr>
          <w:rFonts w:hint="eastAsia" w:ascii="宋体" w:hAnsi="宋体" w:eastAsia="宋体" w:cs="Arial Narrow"/>
          <w:highlight w:val="none"/>
        </w:rPr>
        <w:t>年度“</w:t>
      </w:r>
      <w:r>
        <w:rPr>
          <w:rFonts w:hint="eastAsia" w:ascii="宋体" w:hAnsi="宋体" w:eastAsia="宋体" w:cs="Arial Narrow"/>
          <w:highlight w:val="none"/>
          <w:lang w:eastAsia="zh-CN"/>
        </w:rPr>
        <w:t>统战事务经</w:t>
      </w:r>
      <w:r>
        <w:rPr>
          <w:rFonts w:hint="eastAsia" w:ascii="宋体" w:hAnsi="宋体" w:eastAsia="宋体" w:cs="Arial Narrow"/>
          <w:highlight w:val="none"/>
        </w:rPr>
        <w:t>费”</w:t>
      </w:r>
      <w:r>
        <w:rPr>
          <w:rFonts w:hint="eastAsia" w:ascii="宋体" w:hAnsi="宋体" w:eastAsia="宋体" w:cs="Arial Narrow"/>
          <w:highlight w:val="none"/>
          <w:lang w:eastAsia="zh-CN"/>
        </w:rPr>
        <w:t>项目</w:t>
      </w:r>
      <w:r>
        <w:rPr>
          <w:rFonts w:hint="eastAsia" w:ascii="宋体" w:hAnsi="宋体" w:eastAsia="宋体" w:cs="Arial Narrow"/>
          <w:highlight w:val="none"/>
        </w:rPr>
        <w:t>，项目管理规范，项目计划执行情况良好，财政资金使用规范。区</w:t>
      </w:r>
      <w:r>
        <w:rPr>
          <w:rFonts w:hint="eastAsia" w:ascii="宋体" w:hAnsi="宋体" w:eastAsia="宋体" w:cs="Arial Narrow"/>
          <w:highlight w:val="none"/>
          <w:lang w:eastAsia="zh-CN"/>
        </w:rPr>
        <w:t>统战部</w:t>
      </w:r>
      <w:r>
        <w:rPr>
          <w:rFonts w:hint="eastAsia" w:ascii="宋体" w:hAnsi="宋体" w:eastAsia="宋体" w:cs="Arial Narrow"/>
          <w:highlight w:val="none"/>
          <w:lang w:val="en-US" w:eastAsia="zh-CN"/>
        </w:rPr>
        <w:t>2018年度组织召开武昌区委统一战线工作领导小组会议；构架筹建全区党外代表人士信息库，确立重点培养名单并提拔党外干部4人，安排党外干部15人，在10个委办局领导班子中配备党外干部12人；落实往届人大、政协党外领导同志的待遇；举办全区统一战线骨干成员党的十九大精神培训班；组织召开全区民主协商会4次；按照调研要求，形成涉及四水共治、社会治理创新、基础设施建设、文化产业建设等方面的调研成果11篇；九三学社的《关于运用“大湖+”思维，加快湖泊功能区规划建设的建议》、无党派界别的《关于加强住宅小区电梯安全监管的建议》和工商联界别的《关于加强新民营经济发展的建议》，被列为十四届政协二次会议的建议案预案；九三学社社员余丹主动配合区商务局，为美灵宝和神州易桥两家上市公司落户武昌穿针引线，受到区政协通报表彰；指导区工商联顺利完成第14届执委会换届；依托社区网络，建立新的社会阶层骨干分子信息库；指导各民主党派深入开展“</w:t>
      </w:r>
      <w:bookmarkStart w:id="114" w:name="_GoBack"/>
      <w:r>
        <w:rPr>
          <w:rFonts w:hint="eastAsia" w:ascii="宋体" w:hAnsi="宋体" w:eastAsia="宋体" w:cs="Arial Narrow"/>
          <w:highlight w:val="none"/>
          <w:lang w:val="en-US" w:eastAsia="zh-CN"/>
        </w:rPr>
        <w:t>两学一做</w:t>
      </w:r>
      <w:bookmarkEnd w:id="114"/>
      <w:r>
        <w:rPr>
          <w:rFonts w:hint="eastAsia" w:ascii="宋体" w:hAnsi="宋体" w:eastAsia="宋体" w:cs="Arial Narrow"/>
          <w:highlight w:val="none"/>
          <w:lang w:val="en-US" w:eastAsia="zh-CN"/>
        </w:rPr>
        <w:t>”学习教育，各党派以学习交流、现场感受、革命传统教育等形式开展活动21次；开展“一号工程”政策解读、招商引资项目推介、党派工作座谈会、新的社会阶层党外人士理论培训、各界人士喜迎党的十九大暨国庆中秋文艺汇演活动8次；筹备并成立“武昌区新的社会阶层人士联谊会</w:t>
      </w:r>
      <w:r>
        <w:rPr>
          <w:rFonts w:hint="eastAsia" w:ascii="宋体" w:hAnsi="宋体" w:eastAsia="宋体" w:cs="Arial Narrow"/>
          <w:highlight w:val="none"/>
          <w:lang w:eastAsia="zh-CN"/>
        </w:rPr>
        <w:t>。</w:t>
      </w:r>
      <w:r>
        <w:rPr>
          <w:rFonts w:hint="eastAsia" w:ascii="宋体" w:hAnsi="宋体" w:eastAsia="宋体" w:cs="Arial Narrow"/>
          <w:highlight w:val="none"/>
        </w:rPr>
        <w:t>达到了项目的绩效目标。</w:t>
      </w:r>
    </w:p>
    <w:p w14:paraId="1E333E42">
      <w:pPr>
        <w:snapToGrid w:val="0"/>
        <w:spacing w:line="600" w:lineRule="exact"/>
        <w:ind w:firstLine="482"/>
        <w:jc w:val="left"/>
        <w:outlineLvl w:val="0"/>
        <w:rPr>
          <w:rFonts w:ascii="宋体" w:hAnsi="宋体" w:eastAsia="宋体" w:cs="Arial Narrow"/>
          <w:b/>
        </w:rPr>
      </w:pPr>
      <w:bookmarkStart w:id="93" w:name="_Toc478396462"/>
      <w:r>
        <w:rPr>
          <w:rFonts w:hint="eastAsia" w:ascii="宋体" w:hAnsi="宋体" w:eastAsia="宋体" w:cs="Arial Narrow"/>
          <w:b/>
        </w:rPr>
        <w:t>五</w:t>
      </w:r>
      <w:r>
        <w:rPr>
          <w:rFonts w:ascii="宋体" w:hAnsi="宋体" w:eastAsia="宋体" w:cs="Arial Narrow"/>
          <w:b/>
        </w:rPr>
        <w:t>、</w:t>
      </w:r>
      <w:bookmarkEnd w:id="88"/>
      <w:bookmarkEnd w:id="89"/>
      <w:bookmarkEnd w:id="90"/>
      <w:bookmarkEnd w:id="91"/>
      <w:r>
        <w:rPr>
          <w:rFonts w:ascii="宋体" w:hAnsi="宋体" w:eastAsia="宋体" w:cs="Arial Narrow"/>
          <w:b/>
        </w:rPr>
        <w:t>主要</w:t>
      </w:r>
      <w:r>
        <w:rPr>
          <w:rFonts w:hint="eastAsia" w:ascii="宋体" w:hAnsi="宋体" w:eastAsia="宋体" w:cs="Arial Narrow"/>
          <w:b/>
        </w:rPr>
        <w:t>经验</w:t>
      </w:r>
      <w:r>
        <w:rPr>
          <w:rFonts w:ascii="宋体" w:hAnsi="宋体" w:eastAsia="宋体" w:cs="Arial Narrow"/>
          <w:b/>
        </w:rPr>
        <w:t>及做法、存在的问题和建议</w:t>
      </w:r>
      <w:bookmarkEnd w:id="92"/>
      <w:bookmarkEnd w:id="93"/>
    </w:p>
    <w:p w14:paraId="3CE58BB7">
      <w:pPr>
        <w:snapToGrid w:val="0"/>
        <w:spacing w:line="600" w:lineRule="exact"/>
        <w:ind w:firstLine="482"/>
        <w:outlineLvl w:val="1"/>
        <w:rPr>
          <w:rFonts w:ascii="宋体" w:hAnsi="宋体" w:eastAsia="宋体" w:cs="Arial Narrow"/>
          <w:b/>
          <w:bCs/>
        </w:rPr>
      </w:pPr>
      <w:bookmarkStart w:id="94" w:name="_Toc27928"/>
      <w:bookmarkStart w:id="95" w:name="_Toc478396463"/>
      <w:bookmarkStart w:id="96" w:name="_Toc361304706"/>
      <w:bookmarkStart w:id="97" w:name="_Toc406668055"/>
      <w:bookmarkStart w:id="98" w:name="_Toc387957830"/>
      <w:bookmarkStart w:id="99" w:name="_Toc406666381"/>
      <w:r>
        <w:rPr>
          <w:rFonts w:ascii="宋体" w:hAnsi="宋体" w:eastAsia="宋体" w:cs="Arial Narrow"/>
          <w:b/>
          <w:bCs/>
        </w:rPr>
        <w:t>（一）主要经验及做法</w:t>
      </w:r>
      <w:bookmarkEnd w:id="94"/>
      <w:bookmarkEnd w:id="95"/>
      <w:bookmarkEnd w:id="96"/>
      <w:bookmarkEnd w:id="97"/>
      <w:bookmarkEnd w:id="98"/>
      <w:bookmarkEnd w:id="99"/>
    </w:p>
    <w:p w14:paraId="16559E75">
      <w:pPr>
        <w:snapToGrid w:val="0"/>
        <w:spacing w:line="600" w:lineRule="exact"/>
        <w:ind w:firstLine="482"/>
        <w:outlineLvl w:val="1"/>
        <w:rPr>
          <w:rFonts w:hint="eastAsia" w:ascii="宋体" w:hAnsi="宋体" w:eastAsia="宋体" w:cs="Arial Narrow"/>
          <w:b w:val="0"/>
          <w:bCs w:val="0"/>
          <w:lang w:val="en-US" w:eastAsia="zh-CN"/>
        </w:rPr>
      </w:pPr>
      <w:r>
        <w:rPr>
          <w:rFonts w:hint="eastAsia" w:ascii="宋体" w:hAnsi="宋体" w:eastAsia="宋体" w:cs="Arial Narrow"/>
          <w:b w:val="0"/>
          <w:bCs w:val="0"/>
          <w:lang w:val="en-US" w:eastAsia="zh-CN"/>
        </w:rPr>
        <w:t>2018年区统战部组织召开武昌区委统一战线工作领导小组会议，为区政府部门配备党外正职干部，落实党外代表人士待遇，组织召开全区民主协商会议，调研成果被上级采用或批示，完成区工商联换届工作，落实宗教工作主体责任，建立新的社会阶层代表人物库，充分发挥统战部的协调各党派的积极作用。</w:t>
      </w:r>
    </w:p>
    <w:p w14:paraId="077CF216">
      <w:pPr>
        <w:numPr>
          <w:ilvl w:val="0"/>
          <w:numId w:val="8"/>
        </w:numPr>
        <w:snapToGrid w:val="0"/>
        <w:spacing w:line="600" w:lineRule="exact"/>
        <w:ind w:firstLine="482"/>
        <w:outlineLvl w:val="1"/>
        <w:rPr>
          <w:rFonts w:ascii="宋体" w:hAnsi="宋体" w:eastAsia="宋体" w:cs="Arial Narrow"/>
          <w:b/>
          <w:bCs/>
          <w:color w:val="auto"/>
        </w:rPr>
      </w:pPr>
      <w:bookmarkStart w:id="100" w:name="_Toc406666382"/>
      <w:bookmarkStart w:id="101" w:name="_Toc16696"/>
      <w:bookmarkStart w:id="102" w:name="_Toc406668056"/>
      <w:bookmarkStart w:id="103" w:name="_Toc478396464"/>
      <w:bookmarkStart w:id="104" w:name="_Toc387957833"/>
      <w:r>
        <w:rPr>
          <w:rFonts w:ascii="宋体" w:hAnsi="宋体" w:eastAsia="宋体" w:cs="Arial Narrow"/>
          <w:b/>
          <w:bCs/>
          <w:color w:val="auto"/>
        </w:rPr>
        <w:t>存在的问题</w:t>
      </w:r>
      <w:bookmarkEnd w:id="100"/>
      <w:bookmarkEnd w:id="101"/>
      <w:bookmarkEnd w:id="102"/>
      <w:bookmarkEnd w:id="103"/>
    </w:p>
    <w:bookmarkEnd w:id="104"/>
    <w:p w14:paraId="189F7F16">
      <w:pPr>
        <w:numPr>
          <w:ilvl w:val="0"/>
          <w:numId w:val="0"/>
        </w:numPr>
        <w:spacing w:line="600" w:lineRule="exact"/>
        <w:ind w:firstLine="482" w:firstLineChars="200"/>
        <w:rPr>
          <w:rFonts w:hint="eastAsia" w:ascii="宋体" w:hAnsi="宋体" w:eastAsia="宋体" w:cs="Arial Narrow"/>
          <w:b/>
          <w:color w:val="auto"/>
          <w:highlight w:val="none"/>
          <w:lang w:val="en-US" w:eastAsia="zh-CN"/>
        </w:rPr>
      </w:pPr>
      <w:bookmarkStart w:id="105" w:name="_Toc9981"/>
      <w:bookmarkStart w:id="106" w:name="_Toc478396466"/>
      <w:bookmarkStart w:id="107" w:name="_Toc387957834"/>
      <w:r>
        <w:rPr>
          <w:rFonts w:hint="eastAsia" w:ascii="宋体" w:hAnsi="宋体" w:eastAsia="宋体" w:cs="Arial Narrow"/>
          <w:b/>
          <w:bCs/>
          <w:color w:val="auto"/>
          <w:lang w:val="en-US" w:eastAsia="zh-CN"/>
        </w:rPr>
        <w:t xml:space="preserve"> </w:t>
      </w:r>
      <w:r>
        <w:rPr>
          <w:rFonts w:hint="eastAsia" w:ascii="宋体" w:hAnsi="宋体" w:eastAsia="宋体" w:cs="Arial Narrow"/>
          <w:b w:val="0"/>
          <w:bCs/>
          <w:color w:val="auto"/>
          <w:highlight w:val="none"/>
          <w:lang w:val="en-US" w:eastAsia="zh-CN"/>
        </w:rPr>
        <w:t>1、项目资金预算的预见性不强，项目年初预算296.00万元，实际支出经费271.83万元，实际支出经费占预算资金的91.83%，预决算差异率8.2%。执行率略低，未能最大限度的发挥财政资金的使用效率。结余的预算资金用于了新增的台湾民主自治同盟武昌区工委的经费。</w:t>
      </w:r>
    </w:p>
    <w:p w14:paraId="03F3E34D">
      <w:pPr>
        <w:spacing w:line="600" w:lineRule="exact"/>
        <w:ind w:firstLine="480"/>
        <w:rPr>
          <w:rFonts w:hint="eastAsia" w:ascii="宋体" w:hAnsi="宋体" w:eastAsia="宋体" w:cs="Arial Narrow"/>
          <w:b/>
          <w:highlight w:val="none"/>
        </w:rPr>
      </w:pPr>
      <w:r>
        <w:rPr>
          <w:rFonts w:hint="eastAsia" w:ascii="宋体" w:hAnsi="宋体" w:eastAsia="宋体" w:cs="Arial Narrow"/>
          <w:b w:val="0"/>
          <w:bCs/>
          <w:highlight w:val="none"/>
          <w:lang w:val="en-US" w:eastAsia="zh-CN"/>
        </w:rPr>
        <w:t>2、</w:t>
      </w:r>
      <w:r>
        <w:rPr>
          <w:rFonts w:hint="eastAsia" w:ascii="宋体" w:hAnsi="宋体" w:eastAsia="宋体"/>
          <w:highlight w:val="none"/>
          <w:lang w:eastAsia="zh-CN"/>
        </w:rPr>
        <w:t>区统战部</w:t>
      </w:r>
      <w:r>
        <w:rPr>
          <w:rFonts w:hint="eastAsia" w:ascii="宋体" w:hAnsi="宋体" w:eastAsia="宋体"/>
          <w:highlight w:val="none"/>
        </w:rPr>
        <w:t>单位制定了《武昌区委统战部预算管理制度》和《武昌区民主党派工作经费使用管理办法》，但未在管理制度中明确资金分配办法</w:t>
      </w:r>
      <w:r>
        <w:rPr>
          <w:rFonts w:hint="eastAsia" w:ascii="宋体" w:hAnsi="宋体" w:eastAsia="宋体"/>
          <w:highlight w:val="none"/>
          <w:lang w:eastAsia="zh-CN"/>
        </w:rPr>
        <w:t>。</w:t>
      </w:r>
    </w:p>
    <w:p w14:paraId="39150AF8">
      <w:pPr>
        <w:numPr>
          <w:ilvl w:val="0"/>
          <w:numId w:val="8"/>
        </w:numPr>
        <w:snapToGrid w:val="0"/>
        <w:spacing w:line="600" w:lineRule="exact"/>
        <w:ind w:firstLine="482" w:firstLineChars="200"/>
        <w:outlineLvl w:val="1"/>
        <w:rPr>
          <w:rFonts w:ascii="宋体" w:hAnsi="宋体" w:eastAsia="宋体" w:cs="Arial Narrow"/>
          <w:b/>
          <w:bCs/>
        </w:rPr>
      </w:pPr>
      <w:r>
        <w:rPr>
          <w:rFonts w:hint="eastAsia" w:ascii="宋体" w:hAnsi="宋体" w:eastAsia="宋体" w:cs="Arial Narrow"/>
          <w:b/>
          <w:bCs/>
          <w:lang w:eastAsia="zh-CN"/>
        </w:rPr>
        <w:t>建议</w:t>
      </w:r>
    </w:p>
    <w:p w14:paraId="70C9F6D4">
      <w:pPr>
        <w:spacing w:line="600" w:lineRule="exact"/>
        <w:ind w:firstLine="0" w:firstLineChars="0"/>
        <w:rPr>
          <w:rFonts w:hint="eastAsia" w:ascii="宋体" w:hAnsi="宋体" w:eastAsia="宋体" w:cs="Arial Narrow"/>
          <w:b/>
          <w:highlight w:val="none"/>
          <w:lang w:val="en-US" w:eastAsia="zh-CN"/>
        </w:rPr>
      </w:pPr>
      <w:r>
        <w:rPr>
          <w:rFonts w:hint="eastAsia" w:ascii="宋体" w:hAnsi="宋体" w:eastAsia="宋体" w:cs="Arial Narrow"/>
          <w:b w:val="0"/>
          <w:bCs/>
          <w:highlight w:val="none"/>
          <w:lang w:val="en-US" w:eastAsia="zh-CN"/>
        </w:rPr>
        <w:t xml:space="preserve">    1、提高年初绩效预算编质量，结合本次绩效评价的结果，在2019年的预算编制中进一步改进，科学合理的编制绩效预算，提高项目工作的预见性，增强预算的执行效率。</w:t>
      </w:r>
    </w:p>
    <w:p w14:paraId="747809C6">
      <w:pPr>
        <w:spacing w:line="600" w:lineRule="exact"/>
        <w:ind w:firstLine="480" w:firstLineChars="200"/>
        <w:rPr>
          <w:rFonts w:hint="eastAsia" w:ascii="宋体" w:hAnsi="宋体" w:eastAsia="宋体" w:cs="Arial Narrow"/>
          <w:b/>
          <w:highlight w:val="none"/>
          <w:lang w:val="en-US" w:eastAsia="zh-CN"/>
        </w:rPr>
      </w:pPr>
      <w:r>
        <w:rPr>
          <w:rFonts w:hint="eastAsia" w:ascii="宋体" w:hAnsi="宋体" w:eastAsia="宋体" w:cs="Arial Narrow"/>
          <w:b w:val="0"/>
          <w:bCs/>
          <w:highlight w:val="none"/>
          <w:lang w:val="en-US" w:eastAsia="zh-CN"/>
        </w:rPr>
        <w:t>2、“统战事务经费”在年初应制订详细的针对性的预算，便于考核预算完成情况。</w:t>
      </w:r>
    </w:p>
    <w:p w14:paraId="61B24DF6">
      <w:pPr>
        <w:spacing w:line="600" w:lineRule="exact"/>
        <w:ind w:firstLine="480" w:firstLineChars="200"/>
        <w:rPr>
          <w:rFonts w:hint="eastAsia" w:ascii="宋体" w:hAnsi="宋体" w:eastAsia="宋体" w:cs="Arial Narrow"/>
          <w:b/>
          <w:bCs/>
          <w:highlight w:val="none"/>
          <w:lang w:val="en-US" w:eastAsia="zh-CN"/>
        </w:rPr>
      </w:pPr>
      <w:r>
        <w:rPr>
          <w:rFonts w:hint="eastAsia" w:ascii="宋体" w:hAnsi="宋体" w:eastAsia="宋体" w:cs="Arial Narrow"/>
          <w:b w:val="0"/>
          <w:bCs/>
          <w:highlight w:val="none"/>
          <w:lang w:val="en-US" w:eastAsia="zh-CN"/>
        </w:rPr>
        <w:t>3、</w:t>
      </w:r>
      <w:r>
        <w:rPr>
          <w:rFonts w:hint="eastAsia" w:ascii="宋体" w:hAnsi="宋体" w:eastAsia="宋体" w:cs="Arial Narrow"/>
          <w:highlight w:val="none"/>
        </w:rPr>
        <w:t>根据“</w:t>
      </w:r>
      <w:r>
        <w:rPr>
          <w:rFonts w:hint="eastAsia" w:ascii="宋体" w:hAnsi="宋体" w:eastAsia="宋体" w:cs="Arial Narrow"/>
          <w:highlight w:val="none"/>
          <w:lang w:eastAsia="zh-CN"/>
        </w:rPr>
        <w:t>统战事务经</w:t>
      </w:r>
      <w:r>
        <w:rPr>
          <w:rFonts w:hint="eastAsia" w:ascii="宋体" w:hAnsi="宋体" w:eastAsia="宋体" w:cs="Arial Narrow"/>
          <w:highlight w:val="none"/>
        </w:rPr>
        <w:t>费”</w:t>
      </w:r>
      <w:r>
        <w:rPr>
          <w:rFonts w:hint="eastAsia" w:ascii="宋体" w:hAnsi="宋体" w:eastAsia="宋体" w:cs="Arial Narrow"/>
          <w:highlight w:val="none"/>
          <w:lang w:eastAsia="zh-CN"/>
        </w:rPr>
        <w:t>项目</w:t>
      </w:r>
      <w:r>
        <w:rPr>
          <w:rFonts w:hint="eastAsia" w:ascii="宋体" w:hAnsi="宋体" w:eastAsia="宋体" w:cs="Arial Narrow"/>
          <w:highlight w:val="none"/>
        </w:rPr>
        <w:t>的内容和性质制定</w:t>
      </w:r>
      <w:r>
        <w:rPr>
          <w:rFonts w:hint="eastAsia" w:ascii="宋体" w:hAnsi="宋体" w:eastAsia="宋体" w:cs="Arial Narrow"/>
          <w:highlight w:val="none"/>
          <w:lang w:eastAsia="zh-CN"/>
        </w:rPr>
        <w:t>项目具体的资金</w:t>
      </w:r>
      <w:r>
        <w:rPr>
          <w:rFonts w:hint="eastAsia" w:ascii="宋体" w:hAnsi="宋体" w:eastAsia="宋体" w:cs="Arial Narrow"/>
          <w:highlight w:val="none"/>
        </w:rPr>
        <w:t>管理制度</w:t>
      </w:r>
      <w:r>
        <w:rPr>
          <w:rFonts w:hint="eastAsia" w:ascii="宋体" w:hAnsi="宋体" w:eastAsia="宋体" w:cs="Arial Narrow"/>
          <w:highlight w:val="none"/>
          <w:lang w:eastAsia="zh-CN"/>
        </w:rPr>
        <w:t>及项目资金的分配办法，</w:t>
      </w:r>
      <w:r>
        <w:rPr>
          <w:rFonts w:hint="eastAsia" w:ascii="宋体" w:hAnsi="宋体" w:eastAsia="宋体" w:cs="Arial Narrow"/>
          <w:highlight w:val="none"/>
        </w:rPr>
        <w:t>有利于今后项目的管理和执行。</w:t>
      </w:r>
    </w:p>
    <w:p w14:paraId="0045BD71">
      <w:pPr>
        <w:snapToGrid w:val="0"/>
        <w:spacing w:line="600" w:lineRule="exact"/>
        <w:ind w:firstLine="482"/>
        <w:outlineLvl w:val="0"/>
        <w:rPr>
          <w:rFonts w:ascii="宋体" w:hAnsi="宋体" w:eastAsia="宋体" w:cs="Arial Narrow"/>
          <w:highlight w:val="none"/>
        </w:rPr>
      </w:pPr>
      <w:r>
        <w:rPr>
          <w:rFonts w:hint="eastAsia" w:ascii="宋体" w:hAnsi="宋体" w:eastAsia="宋体" w:cs="Arial Narrow"/>
          <w:b/>
          <w:highlight w:val="none"/>
        </w:rPr>
        <w:t>六</w:t>
      </w:r>
      <w:r>
        <w:rPr>
          <w:rFonts w:ascii="宋体" w:hAnsi="宋体" w:eastAsia="宋体" w:cs="Arial Narrow"/>
          <w:b/>
          <w:highlight w:val="none"/>
        </w:rPr>
        <w:t>、其他需说明的问题</w:t>
      </w:r>
      <w:bookmarkEnd w:id="105"/>
      <w:bookmarkEnd w:id="106"/>
    </w:p>
    <w:bookmarkEnd w:id="107"/>
    <w:p w14:paraId="677790ED">
      <w:pPr>
        <w:snapToGrid w:val="0"/>
        <w:spacing w:line="600" w:lineRule="exact"/>
        <w:ind w:firstLine="482"/>
        <w:outlineLvl w:val="1"/>
        <w:rPr>
          <w:rFonts w:ascii="宋体" w:hAnsi="宋体" w:eastAsia="宋体" w:cs="Arial Narrow"/>
          <w:b/>
          <w:highlight w:val="none"/>
        </w:rPr>
      </w:pPr>
      <w:bookmarkStart w:id="108" w:name="_Toc478396467"/>
      <w:bookmarkStart w:id="109" w:name="_Toc387957836"/>
      <w:bookmarkStart w:id="110" w:name="_Toc5673"/>
      <w:bookmarkStart w:id="111" w:name="_Toc406668061"/>
      <w:bookmarkStart w:id="112" w:name="_Toc406666387"/>
      <w:r>
        <w:rPr>
          <w:rFonts w:hint="eastAsia" w:ascii="宋体" w:hAnsi="宋体" w:eastAsia="宋体" w:cs="Arial Narrow"/>
          <w:b/>
          <w:highlight w:val="none"/>
        </w:rPr>
        <w:t>（一）关于评价责任的说明</w:t>
      </w:r>
      <w:bookmarkEnd w:id="108"/>
    </w:p>
    <w:p w14:paraId="5616249E">
      <w:pPr>
        <w:snapToGrid w:val="0"/>
        <w:spacing w:line="600" w:lineRule="exact"/>
        <w:ind w:firstLine="480"/>
        <w:rPr>
          <w:rFonts w:ascii="宋体" w:hAnsi="宋体" w:eastAsia="宋体" w:cs="Arial Narrow"/>
          <w:highlight w:val="none"/>
        </w:rPr>
      </w:pPr>
      <w:r>
        <w:rPr>
          <w:rFonts w:hint="eastAsia" w:ascii="宋体" w:hAnsi="宋体" w:eastAsia="宋体" w:cs="Arial Narrow"/>
          <w:highlight w:val="none"/>
          <w:lang w:val="en-US" w:eastAsia="zh-CN"/>
        </w:rPr>
        <w:t xml:space="preserve"> </w:t>
      </w:r>
      <w:r>
        <w:rPr>
          <w:rFonts w:hint="eastAsia" w:ascii="宋体" w:hAnsi="宋体" w:eastAsia="宋体" w:cs="Arial Narrow"/>
          <w:highlight w:val="none"/>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14:paraId="5A9D500D">
      <w:pPr>
        <w:snapToGrid w:val="0"/>
        <w:spacing w:line="600" w:lineRule="exact"/>
        <w:ind w:firstLine="482"/>
        <w:outlineLvl w:val="1"/>
        <w:rPr>
          <w:rFonts w:ascii="宋体" w:hAnsi="宋体" w:eastAsia="宋体" w:cs="Arial Narrow"/>
          <w:b/>
          <w:highlight w:val="none"/>
        </w:rPr>
      </w:pPr>
      <w:bookmarkStart w:id="113" w:name="_Toc478396468"/>
      <w:r>
        <w:rPr>
          <w:rFonts w:hint="eastAsia" w:ascii="宋体" w:hAnsi="宋体" w:eastAsia="宋体" w:cs="Arial Narrow"/>
          <w:b/>
          <w:highlight w:val="none"/>
        </w:rPr>
        <w:t>（二）关于本项目评价中存在的局限性的说明</w:t>
      </w:r>
      <w:bookmarkEnd w:id="113"/>
    </w:p>
    <w:p w14:paraId="295215D3">
      <w:pPr>
        <w:snapToGrid w:val="0"/>
        <w:spacing w:line="600" w:lineRule="exact"/>
        <w:ind w:firstLine="480"/>
        <w:rPr>
          <w:rFonts w:ascii="宋体" w:hAnsi="宋体" w:eastAsia="宋体" w:cs="Arial Narrow"/>
          <w:b/>
          <w:bCs/>
        </w:rPr>
      </w:pPr>
      <w:r>
        <w:rPr>
          <w:rFonts w:hint="eastAsia" w:ascii="宋体" w:hAnsi="宋体" w:eastAsia="宋体" w:cs="Arial Narrow"/>
        </w:rPr>
        <w:t>本项目是</w:t>
      </w:r>
      <w:r>
        <w:rPr>
          <w:rFonts w:hint="eastAsia" w:ascii="宋体" w:hAnsi="宋体" w:eastAsia="宋体" w:cs="Arial Narrow"/>
          <w:highlight w:val="none"/>
        </w:rPr>
        <w:t>经常性的资金使用项目，而且专业性较强</w:t>
      </w:r>
      <w:r>
        <w:rPr>
          <w:rFonts w:hint="eastAsia" w:ascii="宋体" w:hAnsi="宋体" w:eastAsia="宋体" w:cs="Arial Narrow"/>
        </w:rPr>
        <w:t>。受具体参加本次项目的评价人员的专业能力的影响，对专业指标设定的全面性可能存在一定的局限性。</w:t>
      </w:r>
    </w:p>
    <w:p w14:paraId="5AB8D1B7">
      <w:pPr>
        <w:snapToGrid w:val="0"/>
        <w:spacing w:line="600" w:lineRule="exact"/>
        <w:ind w:firstLine="0" w:firstLineChars="0"/>
        <w:rPr>
          <w:rFonts w:ascii="宋体" w:hAnsi="宋体" w:eastAsia="宋体" w:cs="Arial Narrow"/>
          <w:b/>
          <w:bCs/>
        </w:rPr>
      </w:pPr>
    </w:p>
    <w:p w14:paraId="70F771D9">
      <w:pPr>
        <w:snapToGrid w:val="0"/>
        <w:spacing w:line="600" w:lineRule="exact"/>
        <w:ind w:firstLine="0" w:firstLineChars="0"/>
        <w:rPr>
          <w:rFonts w:ascii="宋体" w:hAnsi="宋体" w:eastAsia="宋体" w:cs="Arial Narrow"/>
        </w:rPr>
      </w:pPr>
      <w:r>
        <w:rPr>
          <w:rFonts w:ascii="宋体" w:hAnsi="宋体" w:eastAsia="宋体" w:cs="Arial Narrow"/>
          <w:b/>
          <w:bCs/>
        </w:rPr>
        <w:t>附件</w:t>
      </w:r>
      <w:bookmarkEnd w:id="109"/>
      <w:r>
        <w:rPr>
          <w:rFonts w:ascii="宋体" w:hAnsi="宋体" w:eastAsia="宋体" w:cs="Arial Narrow"/>
          <w:b/>
          <w:bCs/>
        </w:rPr>
        <w:t>：</w:t>
      </w:r>
      <w:bookmarkEnd w:id="110"/>
      <w:bookmarkEnd w:id="111"/>
      <w:bookmarkEnd w:id="112"/>
    </w:p>
    <w:p w14:paraId="18BF269E">
      <w:pPr>
        <w:snapToGrid w:val="0"/>
        <w:spacing w:line="600" w:lineRule="exact"/>
        <w:ind w:firstLine="480"/>
        <w:rPr>
          <w:rFonts w:ascii="宋体" w:hAnsi="宋体" w:eastAsia="宋体" w:cs="Arial Narrow"/>
        </w:rPr>
      </w:pPr>
      <w:r>
        <w:rPr>
          <w:rFonts w:ascii="宋体" w:hAnsi="宋体" w:eastAsia="宋体" w:cs="Arial Narrow"/>
        </w:rPr>
        <w:t>1：项目绩效评价评分表</w:t>
      </w:r>
      <w:r>
        <w:rPr>
          <w:rFonts w:hint="eastAsia" w:ascii="宋体" w:hAnsi="宋体" w:eastAsia="宋体" w:cs="Arial Narrow"/>
        </w:rPr>
        <w:t>及说明</w:t>
      </w:r>
    </w:p>
    <w:p w14:paraId="4AC09705">
      <w:pPr>
        <w:snapToGrid w:val="0"/>
        <w:spacing w:line="600" w:lineRule="exact"/>
        <w:ind w:firstLine="480"/>
        <w:rPr>
          <w:rFonts w:ascii="宋体" w:hAnsi="宋体" w:eastAsia="宋体" w:cs="Arial Narrow"/>
        </w:rPr>
      </w:pPr>
      <w:r>
        <w:rPr>
          <w:rFonts w:ascii="宋体" w:hAnsi="宋体" w:eastAsia="宋体" w:cs="Arial Narrow"/>
        </w:rPr>
        <w:t>2：绩效目标完成情况对比表</w:t>
      </w:r>
    </w:p>
    <w:p w14:paraId="74818368">
      <w:pPr>
        <w:snapToGrid w:val="0"/>
        <w:spacing w:line="600" w:lineRule="exact"/>
        <w:ind w:firstLine="480"/>
        <w:rPr>
          <w:rFonts w:ascii="宋体" w:hAnsi="宋体" w:eastAsia="宋体" w:cs="Arial Narrow"/>
        </w:rPr>
      </w:pPr>
      <w:r>
        <w:rPr>
          <w:rFonts w:ascii="宋体" w:hAnsi="宋体" w:eastAsia="宋体" w:cs="Arial Narrow"/>
        </w:rPr>
        <w:t>3：基础数据表</w:t>
      </w:r>
    </w:p>
    <w:p w14:paraId="14A37784">
      <w:pPr>
        <w:snapToGrid w:val="0"/>
        <w:spacing w:line="600" w:lineRule="exact"/>
        <w:ind w:firstLine="480"/>
        <w:rPr>
          <w:rFonts w:ascii="宋体" w:hAnsi="宋体" w:eastAsia="宋体" w:cs="Arial Narrow"/>
        </w:rPr>
      </w:pPr>
      <w:r>
        <w:rPr>
          <w:rFonts w:ascii="宋体" w:hAnsi="宋体" w:eastAsia="宋体" w:cs="Arial Narrow"/>
        </w:rPr>
        <w:t>4：访谈大纲</w:t>
      </w:r>
    </w:p>
    <w:p w14:paraId="36D393C2">
      <w:pPr>
        <w:snapToGrid w:val="0"/>
        <w:spacing w:line="600" w:lineRule="exact"/>
        <w:ind w:firstLine="480"/>
        <w:rPr>
          <w:rFonts w:ascii="宋体" w:hAnsi="宋体" w:eastAsia="宋体" w:cs="Arial Narrow"/>
        </w:rPr>
      </w:pPr>
      <w:r>
        <w:rPr>
          <w:rFonts w:ascii="宋体" w:hAnsi="宋体" w:eastAsia="宋体" w:cs="Arial Narrow"/>
        </w:rPr>
        <w:t>5：访谈记录</w:t>
      </w:r>
    </w:p>
    <w:p w14:paraId="7686DD50">
      <w:pPr>
        <w:snapToGrid w:val="0"/>
        <w:spacing w:line="600" w:lineRule="exact"/>
        <w:ind w:firstLine="480"/>
        <w:rPr>
          <w:rFonts w:ascii="宋体" w:hAnsi="宋体" w:eastAsia="宋体" w:cs="Arial Narrow"/>
        </w:rPr>
      </w:pPr>
      <w:r>
        <w:rPr>
          <w:rFonts w:hint="eastAsia" w:ascii="宋体" w:hAnsi="宋体" w:eastAsia="宋体" w:cs="Arial Narrow"/>
          <w:lang w:val="en-US" w:eastAsia="zh-CN"/>
        </w:rPr>
        <w:t>6</w:t>
      </w:r>
      <w:r>
        <w:rPr>
          <w:rFonts w:ascii="宋体" w:hAnsi="宋体" w:eastAsia="宋体" w:cs="Arial Narrow"/>
        </w:rPr>
        <w:t>：评价现场照片</w:t>
      </w:r>
    </w:p>
    <w:p w14:paraId="1E7BCDE6">
      <w:pPr>
        <w:snapToGrid w:val="0"/>
        <w:spacing w:line="600" w:lineRule="exact"/>
        <w:ind w:firstLine="480"/>
        <w:rPr>
          <w:rFonts w:ascii="宋体" w:hAnsi="宋体" w:eastAsia="宋体" w:cs="Arial Narrow"/>
        </w:rPr>
      </w:pPr>
      <w:r>
        <w:rPr>
          <w:rFonts w:hint="eastAsia" w:ascii="宋体" w:hAnsi="宋体" w:eastAsia="宋体" w:cs="Arial Narrow"/>
          <w:lang w:val="en-US" w:eastAsia="zh-CN"/>
        </w:rPr>
        <w:t>7</w:t>
      </w:r>
      <w:r>
        <w:rPr>
          <w:rFonts w:ascii="宋体" w:hAnsi="宋体" w:eastAsia="宋体" w:cs="Arial Narrow"/>
        </w:rPr>
        <w:t>：绩效评价实施方案</w:t>
      </w:r>
    </w:p>
    <w:p w14:paraId="349A24A4">
      <w:pPr>
        <w:snapToGrid w:val="0"/>
        <w:spacing w:line="600" w:lineRule="exact"/>
        <w:ind w:firstLine="480"/>
        <w:rPr>
          <w:rFonts w:ascii="宋体" w:hAnsi="宋体" w:eastAsia="宋体" w:cs="Arial Narrow"/>
        </w:rPr>
      </w:pPr>
      <w:r>
        <w:rPr>
          <w:rFonts w:hint="eastAsia" w:ascii="宋体" w:hAnsi="宋体" w:eastAsia="宋体" w:cs="Arial Narrow"/>
          <w:lang w:val="en-US" w:eastAsia="zh-CN"/>
        </w:rPr>
        <w:t>8</w:t>
      </w:r>
      <w:r>
        <w:rPr>
          <w:rFonts w:hint="eastAsia" w:ascii="宋体" w:hAnsi="宋体" w:eastAsia="宋体" w:cs="Arial Narrow"/>
        </w:rPr>
        <w:t>：评价机构营业执照（复印件）</w:t>
      </w:r>
    </w:p>
    <w:p w14:paraId="36CADDED">
      <w:pPr>
        <w:snapToGrid w:val="0"/>
        <w:spacing w:line="600" w:lineRule="exact"/>
        <w:ind w:firstLine="480"/>
        <w:rPr>
          <w:rFonts w:ascii="宋体" w:hAnsi="宋体" w:eastAsia="宋体" w:cs="Arial Narrow"/>
        </w:rPr>
      </w:pPr>
      <w:r>
        <w:rPr>
          <w:rFonts w:hint="eastAsia" w:ascii="宋体" w:hAnsi="宋体" w:eastAsia="宋体" w:cs="Arial Narrow"/>
          <w:lang w:val="en-US" w:eastAsia="zh-CN"/>
        </w:rPr>
        <w:t>9</w:t>
      </w:r>
      <w:r>
        <w:rPr>
          <w:rFonts w:hint="eastAsia" w:ascii="宋体" w:hAnsi="宋体" w:eastAsia="宋体" w:cs="Arial Narrow"/>
        </w:rPr>
        <w:t>：相关评价人员执业证明文件（复印件)</w:t>
      </w:r>
    </w:p>
    <w:p w14:paraId="7E2BC538">
      <w:pPr>
        <w:snapToGrid w:val="0"/>
        <w:spacing w:line="600" w:lineRule="exact"/>
        <w:ind w:firstLine="482"/>
        <w:rPr>
          <w:rFonts w:ascii="宋体" w:hAnsi="宋体" w:eastAsia="宋体" w:cs="Arial Narrow"/>
          <w:b/>
        </w:rPr>
      </w:pPr>
    </w:p>
    <w:p w14:paraId="41A2B383">
      <w:pPr>
        <w:snapToGrid w:val="0"/>
        <w:spacing w:line="600" w:lineRule="exact"/>
        <w:ind w:firstLine="482"/>
        <w:rPr>
          <w:rFonts w:ascii="宋体" w:hAnsi="宋体" w:eastAsia="宋体" w:cs="Arial Narrow"/>
          <w:b/>
        </w:rPr>
      </w:pPr>
      <w:r>
        <w:rPr>
          <w:rFonts w:hint="eastAsia" w:ascii="宋体" w:hAnsi="宋体" w:eastAsia="宋体" w:cs="Arial Narrow"/>
          <w:b/>
        </w:rPr>
        <w:t xml:space="preserve">  </w:t>
      </w:r>
    </w:p>
    <w:p w14:paraId="547D996D">
      <w:pPr>
        <w:snapToGrid w:val="0"/>
        <w:spacing w:line="600" w:lineRule="exact"/>
        <w:ind w:firstLine="482"/>
        <w:jc w:val="right"/>
        <w:rPr>
          <w:rFonts w:ascii="宋体" w:hAnsi="宋体" w:eastAsia="宋体" w:cs="Arial Narrow"/>
          <w:b/>
        </w:rPr>
      </w:pPr>
      <w:r>
        <w:rPr>
          <w:rFonts w:hint="eastAsia" w:ascii="宋体" w:hAnsi="宋体" w:eastAsia="宋体" w:cs="Arial Narrow"/>
          <w:b/>
        </w:rPr>
        <w:t xml:space="preserve">                                 报告日期：201</w:t>
      </w:r>
      <w:r>
        <w:rPr>
          <w:rFonts w:hint="eastAsia" w:ascii="宋体" w:hAnsi="宋体" w:eastAsia="宋体" w:cs="Arial Narrow"/>
          <w:b/>
          <w:lang w:val="en-US" w:eastAsia="zh-CN"/>
        </w:rPr>
        <w:t>8</w:t>
      </w:r>
      <w:r>
        <w:rPr>
          <w:rFonts w:hint="eastAsia" w:ascii="宋体" w:hAnsi="宋体" w:eastAsia="宋体" w:cs="Arial Narrow"/>
          <w:b/>
        </w:rPr>
        <w:t>年</w:t>
      </w:r>
      <w:r>
        <w:rPr>
          <w:rFonts w:hint="eastAsia" w:ascii="宋体" w:hAnsi="宋体" w:eastAsia="宋体" w:cs="Arial Narrow"/>
          <w:b/>
          <w:lang w:val="en-US" w:eastAsia="zh-CN"/>
        </w:rPr>
        <w:t>5</w:t>
      </w:r>
      <w:r>
        <w:rPr>
          <w:rFonts w:hint="eastAsia" w:ascii="宋体" w:hAnsi="宋体" w:eastAsia="宋体" w:cs="Arial Narrow"/>
          <w:b/>
        </w:rPr>
        <w:t>月</w:t>
      </w:r>
      <w:r>
        <w:rPr>
          <w:rFonts w:hint="eastAsia" w:ascii="宋体" w:hAnsi="宋体" w:eastAsia="宋体" w:cs="Arial Narrow"/>
          <w:b/>
          <w:lang w:val="en-US" w:eastAsia="zh-CN"/>
        </w:rPr>
        <w:t>8</w:t>
      </w:r>
      <w:r>
        <w:rPr>
          <w:rFonts w:hint="eastAsia" w:ascii="宋体" w:hAnsi="宋体" w:eastAsia="宋体" w:cs="Arial Narrow"/>
          <w:b/>
        </w:rPr>
        <w:t>日</w:t>
      </w:r>
    </w:p>
    <w:sectPr>
      <w:headerReference r:id="rId11" w:type="default"/>
      <w:footerReference r:id="rId12" w:type="default"/>
      <w:pgSz w:w="11906" w:h="16838"/>
      <w:pgMar w:top="850" w:right="1871" w:bottom="1089" w:left="1871" w:header="2041" w:footer="1134" w:gutter="0"/>
      <w:pgNumType w:start="1"/>
      <w:cols w:space="720" w:num="1"/>
      <w:rtlGutter w:val="0"/>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816E">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4D12">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C146">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FCC0">
    <w:pPr>
      <w:pStyle w:val="12"/>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1</w:t>
    </w:r>
    <w:r>
      <w:rPr>
        <w:rFonts w:ascii="Arial Narrow" w:hAnsi="Arial Narrow"/>
        <w:sz w:val="21"/>
        <w:szCs w:val="21"/>
      </w:rPr>
      <w:fldChar w:fldCharType="end"/>
    </w:r>
  </w:p>
  <w:p w14:paraId="48A64958">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5EA2">
    <w:pPr>
      <w:pStyle w:val="13"/>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A46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6651">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CCD5">
    <w:pPr>
      <w:pStyle w:val="13"/>
      <w:pBdr>
        <w:bottom w:val="none" w:color="auto" w:sz="0" w:space="0"/>
      </w:pBdr>
      <w:ind w:firstLine="0" w:firstLineChars="0"/>
      <w:jc w:val="both"/>
    </w:pPr>
    <w:r>
      <w:rPr>
        <w:rFonts w:ascii="Calibri" w:hAnsi="Calibri" w:eastAsia="黑体" w:cs="黑体"/>
        <w:b/>
        <w:kern w:val="2"/>
        <w:sz w:val="14"/>
        <w:szCs w:val="14"/>
        <w:lang w:val="en-US" w:eastAsia="zh-CN" w:bidi="ar-SA"/>
      </w:rPr>
      <w:pict>
        <v:rect id="文本框 26" o:spid="_x0000_s4097" o:spt="1" style="position:absolute;left:0pt;margin-left:359.05pt;margin-top:39.95pt;height:74.45pt;width:150.15pt;mso-position-horizontal-relative:page;mso-position-vertical-relative:pag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14:paraId="726618D6">
                <w:pPr>
                  <w:ind w:firstLine="280"/>
                  <w:rPr>
                    <w:rFonts w:ascii="Arial Narrow" w:hAnsi="Arial Narrow" w:eastAsia="黑体" w:cs="Arial Narrow"/>
                    <w:sz w:val="14"/>
                    <w:szCs w:val="14"/>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5BA1"/>
    <w:multiLevelType w:val="singleLevel"/>
    <w:tmpl w:val="9F455BA1"/>
    <w:lvl w:ilvl="0" w:tentative="0">
      <w:start w:val="1"/>
      <w:numFmt w:val="decimal"/>
      <w:suff w:val="nothing"/>
      <w:lvlText w:val="（%1）"/>
      <w:lvlJc w:val="left"/>
    </w:lvl>
  </w:abstractNum>
  <w:abstractNum w:abstractNumId="1">
    <w:nsid w:val="14C667A0"/>
    <w:multiLevelType w:val="singleLevel"/>
    <w:tmpl w:val="14C667A0"/>
    <w:lvl w:ilvl="0" w:tentative="0">
      <w:start w:val="1"/>
      <w:numFmt w:val="decimal"/>
      <w:suff w:val="nothing"/>
      <w:lvlText w:val="%1、"/>
      <w:lvlJc w:val="left"/>
    </w:lvl>
  </w:abstractNum>
  <w:abstractNum w:abstractNumId="2">
    <w:nsid w:val="30AB6847"/>
    <w:multiLevelType w:val="singleLevel"/>
    <w:tmpl w:val="30AB6847"/>
    <w:lvl w:ilvl="0" w:tentative="0">
      <w:start w:val="1"/>
      <w:numFmt w:val="decimal"/>
      <w:suff w:val="nothing"/>
      <w:lvlText w:val="（%1）"/>
      <w:lvlJc w:val="left"/>
    </w:lvl>
  </w:abstractNum>
  <w:abstractNum w:abstractNumId="3">
    <w:nsid w:val="341807A3"/>
    <w:multiLevelType w:val="singleLevel"/>
    <w:tmpl w:val="341807A3"/>
    <w:lvl w:ilvl="0" w:tentative="0">
      <w:start w:val="2"/>
      <w:numFmt w:val="chineseCounting"/>
      <w:suff w:val="nothing"/>
      <w:lvlText w:val="（%1）"/>
      <w:lvlJc w:val="left"/>
      <w:rPr>
        <w:rFonts w:hint="eastAsia"/>
      </w:rPr>
    </w:lvl>
  </w:abstractNum>
  <w:abstractNum w:abstractNumId="4">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F4177C"/>
    <w:multiLevelType w:val="singleLevel"/>
    <w:tmpl w:val="5AF4177C"/>
    <w:lvl w:ilvl="0" w:tentative="0">
      <w:start w:val="1"/>
      <w:numFmt w:val="decimal"/>
      <w:suff w:val="nothing"/>
      <w:lvlText w:val="（%1）"/>
      <w:lvlJc w:val="left"/>
    </w:lvl>
  </w:abstractNum>
  <w:abstractNum w:abstractNumId="6">
    <w:nsid w:val="5AF4F5F5"/>
    <w:multiLevelType w:val="singleLevel"/>
    <w:tmpl w:val="5AF4F5F5"/>
    <w:lvl w:ilvl="0" w:tentative="0">
      <w:start w:val="6"/>
      <w:numFmt w:val="chineseCounting"/>
      <w:suff w:val="nothing"/>
      <w:lvlText w:val="%1、"/>
      <w:lvlJc w:val="left"/>
    </w:lvl>
  </w:abstractNum>
  <w:abstractNum w:abstractNumId="7">
    <w:nsid w:val="5AF52D36"/>
    <w:multiLevelType w:val="singleLevel"/>
    <w:tmpl w:val="5AF52D36"/>
    <w:lvl w:ilvl="0" w:tentative="0">
      <w:start w:val="3"/>
      <w:numFmt w:val="decimal"/>
      <w:suff w:val="nothing"/>
      <w:lvlText w:val="%1."/>
      <w:lvlJc w:val="left"/>
    </w:lvl>
  </w:abstractNum>
  <w:num w:numId="1">
    <w:abstractNumId w:val="4"/>
  </w:num>
  <w:num w:numId="2">
    <w:abstractNumId w:val="6"/>
  </w:num>
  <w:num w:numId="3">
    <w:abstractNumId w:val="5"/>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0"/>
  <w:drawingGridHorizontalSpacing w:val="120"/>
  <w:drawingGridVerticalSpacing w:val="20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zNlMWI5MTM2Y2YzYzRhNGUxNzAwYmQ5OTEzZThhZjAifQ=="/>
  </w:docVars>
  <w:rsids>
    <w:rsidRoot w:val="00172A27"/>
    <w:rsid w:val="00002A69"/>
    <w:rsid w:val="00004D70"/>
    <w:rsid w:val="000107B2"/>
    <w:rsid w:val="00012B09"/>
    <w:rsid w:val="00012B47"/>
    <w:rsid w:val="00013145"/>
    <w:rsid w:val="0001481C"/>
    <w:rsid w:val="000153F5"/>
    <w:rsid w:val="00015CB3"/>
    <w:rsid w:val="00016011"/>
    <w:rsid w:val="00021AEE"/>
    <w:rsid w:val="000225A4"/>
    <w:rsid w:val="000231B2"/>
    <w:rsid w:val="000235EA"/>
    <w:rsid w:val="00027617"/>
    <w:rsid w:val="00030459"/>
    <w:rsid w:val="00030BCD"/>
    <w:rsid w:val="00034CB1"/>
    <w:rsid w:val="00035374"/>
    <w:rsid w:val="00037160"/>
    <w:rsid w:val="00037FDA"/>
    <w:rsid w:val="00040C4E"/>
    <w:rsid w:val="00041931"/>
    <w:rsid w:val="000435FD"/>
    <w:rsid w:val="00051092"/>
    <w:rsid w:val="0005129C"/>
    <w:rsid w:val="0005263F"/>
    <w:rsid w:val="000532F9"/>
    <w:rsid w:val="000578E1"/>
    <w:rsid w:val="00057BBE"/>
    <w:rsid w:val="00060B99"/>
    <w:rsid w:val="000647BB"/>
    <w:rsid w:val="00065443"/>
    <w:rsid w:val="00070099"/>
    <w:rsid w:val="0007044D"/>
    <w:rsid w:val="00071B04"/>
    <w:rsid w:val="00071C74"/>
    <w:rsid w:val="00074763"/>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B5F9E"/>
    <w:rsid w:val="000C0AC8"/>
    <w:rsid w:val="000C21FC"/>
    <w:rsid w:val="000C2C67"/>
    <w:rsid w:val="000C4653"/>
    <w:rsid w:val="000C4C40"/>
    <w:rsid w:val="000C7932"/>
    <w:rsid w:val="000C793B"/>
    <w:rsid w:val="000D124B"/>
    <w:rsid w:val="000D1F28"/>
    <w:rsid w:val="000D264B"/>
    <w:rsid w:val="000D32E5"/>
    <w:rsid w:val="000D34A6"/>
    <w:rsid w:val="000D37BE"/>
    <w:rsid w:val="000D5CCA"/>
    <w:rsid w:val="000D7608"/>
    <w:rsid w:val="000E16BD"/>
    <w:rsid w:val="000E1A4F"/>
    <w:rsid w:val="000E3E46"/>
    <w:rsid w:val="000E5026"/>
    <w:rsid w:val="000E5B9F"/>
    <w:rsid w:val="000F1F5E"/>
    <w:rsid w:val="000F2AE1"/>
    <w:rsid w:val="000F482F"/>
    <w:rsid w:val="00101AA1"/>
    <w:rsid w:val="001044B4"/>
    <w:rsid w:val="00107C77"/>
    <w:rsid w:val="00107E2F"/>
    <w:rsid w:val="00115891"/>
    <w:rsid w:val="00116B42"/>
    <w:rsid w:val="00116FFE"/>
    <w:rsid w:val="00117519"/>
    <w:rsid w:val="0012295F"/>
    <w:rsid w:val="00130352"/>
    <w:rsid w:val="001346FF"/>
    <w:rsid w:val="00134F95"/>
    <w:rsid w:val="001373D3"/>
    <w:rsid w:val="0014107F"/>
    <w:rsid w:val="00142451"/>
    <w:rsid w:val="00142BA0"/>
    <w:rsid w:val="00143DA4"/>
    <w:rsid w:val="001441F8"/>
    <w:rsid w:val="00144210"/>
    <w:rsid w:val="0014542F"/>
    <w:rsid w:val="00147E31"/>
    <w:rsid w:val="00150C64"/>
    <w:rsid w:val="00152FB6"/>
    <w:rsid w:val="001542F3"/>
    <w:rsid w:val="001548CF"/>
    <w:rsid w:val="00156601"/>
    <w:rsid w:val="00157271"/>
    <w:rsid w:val="00157614"/>
    <w:rsid w:val="0016074D"/>
    <w:rsid w:val="00164900"/>
    <w:rsid w:val="001676D8"/>
    <w:rsid w:val="00172A27"/>
    <w:rsid w:val="00173694"/>
    <w:rsid w:val="0017597C"/>
    <w:rsid w:val="0018053D"/>
    <w:rsid w:val="00180C97"/>
    <w:rsid w:val="00182B2D"/>
    <w:rsid w:val="00182EEA"/>
    <w:rsid w:val="0018363A"/>
    <w:rsid w:val="00186599"/>
    <w:rsid w:val="001871E1"/>
    <w:rsid w:val="001907A0"/>
    <w:rsid w:val="001907BC"/>
    <w:rsid w:val="0019172C"/>
    <w:rsid w:val="00191FE0"/>
    <w:rsid w:val="00193E7F"/>
    <w:rsid w:val="00197977"/>
    <w:rsid w:val="001A02C6"/>
    <w:rsid w:val="001A417F"/>
    <w:rsid w:val="001A4611"/>
    <w:rsid w:val="001A6E1D"/>
    <w:rsid w:val="001A7035"/>
    <w:rsid w:val="001A71D3"/>
    <w:rsid w:val="001A7BCC"/>
    <w:rsid w:val="001B156C"/>
    <w:rsid w:val="001B206F"/>
    <w:rsid w:val="001B2C2B"/>
    <w:rsid w:val="001B4C41"/>
    <w:rsid w:val="001B564E"/>
    <w:rsid w:val="001C1AB0"/>
    <w:rsid w:val="001C4A11"/>
    <w:rsid w:val="001C6498"/>
    <w:rsid w:val="001C7FC5"/>
    <w:rsid w:val="001D2B8D"/>
    <w:rsid w:val="001D4085"/>
    <w:rsid w:val="001D50A9"/>
    <w:rsid w:val="001E1192"/>
    <w:rsid w:val="001E3766"/>
    <w:rsid w:val="001E3EBC"/>
    <w:rsid w:val="001E4DD7"/>
    <w:rsid w:val="001E57AC"/>
    <w:rsid w:val="001E63EB"/>
    <w:rsid w:val="001E73FF"/>
    <w:rsid w:val="001F0DE7"/>
    <w:rsid w:val="001F50AE"/>
    <w:rsid w:val="00200776"/>
    <w:rsid w:val="00203E55"/>
    <w:rsid w:val="00205C9D"/>
    <w:rsid w:val="002060DB"/>
    <w:rsid w:val="00206B01"/>
    <w:rsid w:val="00206B46"/>
    <w:rsid w:val="0020706B"/>
    <w:rsid w:val="00207D30"/>
    <w:rsid w:val="00214270"/>
    <w:rsid w:val="00214BA4"/>
    <w:rsid w:val="00214F42"/>
    <w:rsid w:val="00216F77"/>
    <w:rsid w:val="00220AE1"/>
    <w:rsid w:val="00226CA1"/>
    <w:rsid w:val="00227F82"/>
    <w:rsid w:val="002313C5"/>
    <w:rsid w:val="002331CD"/>
    <w:rsid w:val="00237A04"/>
    <w:rsid w:val="00242395"/>
    <w:rsid w:val="00242589"/>
    <w:rsid w:val="00243172"/>
    <w:rsid w:val="00243D70"/>
    <w:rsid w:val="00244813"/>
    <w:rsid w:val="0024753B"/>
    <w:rsid w:val="0024762E"/>
    <w:rsid w:val="002479D1"/>
    <w:rsid w:val="00247BA5"/>
    <w:rsid w:val="00251740"/>
    <w:rsid w:val="00251B7B"/>
    <w:rsid w:val="002520DB"/>
    <w:rsid w:val="00256B57"/>
    <w:rsid w:val="002604FB"/>
    <w:rsid w:val="002612E9"/>
    <w:rsid w:val="00263172"/>
    <w:rsid w:val="00263E33"/>
    <w:rsid w:val="00263E5D"/>
    <w:rsid w:val="00264E80"/>
    <w:rsid w:val="00267DA6"/>
    <w:rsid w:val="002701A9"/>
    <w:rsid w:val="002706C6"/>
    <w:rsid w:val="00273665"/>
    <w:rsid w:val="0027412C"/>
    <w:rsid w:val="00275D0D"/>
    <w:rsid w:val="00280B02"/>
    <w:rsid w:val="00284F91"/>
    <w:rsid w:val="002852B5"/>
    <w:rsid w:val="0028633D"/>
    <w:rsid w:val="002911A7"/>
    <w:rsid w:val="00291951"/>
    <w:rsid w:val="002933BC"/>
    <w:rsid w:val="002953EE"/>
    <w:rsid w:val="002A0822"/>
    <w:rsid w:val="002A0862"/>
    <w:rsid w:val="002A731C"/>
    <w:rsid w:val="002A7693"/>
    <w:rsid w:val="002B55AD"/>
    <w:rsid w:val="002B60B2"/>
    <w:rsid w:val="002C012C"/>
    <w:rsid w:val="002C05DC"/>
    <w:rsid w:val="002C21EB"/>
    <w:rsid w:val="002C439E"/>
    <w:rsid w:val="002C5757"/>
    <w:rsid w:val="002C5D77"/>
    <w:rsid w:val="002D1D84"/>
    <w:rsid w:val="002D20D2"/>
    <w:rsid w:val="002E11FA"/>
    <w:rsid w:val="002E21D6"/>
    <w:rsid w:val="002F15EC"/>
    <w:rsid w:val="002F1C3F"/>
    <w:rsid w:val="002F2862"/>
    <w:rsid w:val="002F44AB"/>
    <w:rsid w:val="002F7973"/>
    <w:rsid w:val="0031024E"/>
    <w:rsid w:val="00312F11"/>
    <w:rsid w:val="003132F6"/>
    <w:rsid w:val="00313F6D"/>
    <w:rsid w:val="00315407"/>
    <w:rsid w:val="00315809"/>
    <w:rsid w:val="00317F9A"/>
    <w:rsid w:val="00322C3A"/>
    <w:rsid w:val="0032347A"/>
    <w:rsid w:val="003313C3"/>
    <w:rsid w:val="00333135"/>
    <w:rsid w:val="00333EE7"/>
    <w:rsid w:val="003363C3"/>
    <w:rsid w:val="0034018A"/>
    <w:rsid w:val="00343216"/>
    <w:rsid w:val="00344CC3"/>
    <w:rsid w:val="0034515E"/>
    <w:rsid w:val="00347823"/>
    <w:rsid w:val="00347FD1"/>
    <w:rsid w:val="003506E6"/>
    <w:rsid w:val="00352DF8"/>
    <w:rsid w:val="00355A8D"/>
    <w:rsid w:val="00356E00"/>
    <w:rsid w:val="0036466F"/>
    <w:rsid w:val="00366DEE"/>
    <w:rsid w:val="003712A9"/>
    <w:rsid w:val="00372944"/>
    <w:rsid w:val="00374FFF"/>
    <w:rsid w:val="003750CC"/>
    <w:rsid w:val="0037593E"/>
    <w:rsid w:val="00376DC7"/>
    <w:rsid w:val="0038083D"/>
    <w:rsid w:val="00382FCF"/>
    <w:rsid w:val="00383479"/>
    <w:rsid w:val="00387964"/>
    <w:rsid w:val="0039007B"/>
    <w:rsid w:val="00390399"/>
    <w:rsid w:val="0039079D"/>
    <w:rsid w:val="003919EC"/>
    <w:rsid w:val="003920BE"/>
    <w:rsid w:val="0039236F"/>
    <w:rsid w:val="00392AA2"/>
    <w:rsid w:val="00392F5E"/>
    <w:rsid w:val="00394FAF"/>
    <w:rsid w:val="0039690B"/>
    <w:rsid w:val="003A377A"/>
    <w:rsid w:val="003A60AD"/>
    <w:rsid w:val="003B1278"/>
    <w:rsid w:val="003C0622"/>
    <w:rsid w:val="003C10E7"/>
    <w:rsid w:val="003C49E8"/>
    <w:rsid w:val="003C5736"/>
    <w:rsid w:val="003D37E8"/>
    <w:rsid w:val="003D3CD8"/>
    <w:rsid w:val="003D5E40"/>
    <w:rsid w:val="003D6BE5"/>
    <w:rsid w:val="003D7EF3"/>
    <w:rsid w:val="003D7FF0"/>
    <w:rsid w:val="003E16C4"/>
    <w:rsid w:val="003E2919"/>
    <w:rsid w:val="003E3ADB"/>
    <w:rsid w:val="003E3C53"/>
    <w:rsid w:val="003E6369"/>
    <w:rsid w:val="003F0641"/>
    <w:rsid w:val="003F2581"/>
    <w:rsid w:val="003F3003"/>
    <w:rsid w:val="003F4A08"/>
    <w:rsid w:val="003F640B"/>
    <w:rsid w:val="003F78E3"/>
    <w:rsid w:val="004016BF"/>
    <w:rsid w:val="00402380"/>
    <w:rsid w:val="00402530"/>
    <w:rsid w:val="0040727E"/>
    <w:rsid w:val="00412C52"/>
    <w:rsid w:val="0041356F"/>
    <w:rsid w:val="00414470"/>
    <w:rsid w:val="004156F2"/>
    <w:rsid w:val="0041689F"/>
    <w:rsid w:val="00417F32"/>
    <w:rsid w:val="0042114C"/>
    <w:rsid w:val="0042187B"/>
    <w:rsid w:val="00424A8D"/>
    <w:rsid w:val="004251FE"/>
    <w:rsid w:val="00427200"/>
    <w:rsid w:val="00432769"/>
    <w:rsid w:val="00436630"/>
    <w:rsid w:val="00436685"/>
    <w:rsid w:val="00436978"/>
    <w:rsid w:val="00437ABF"/>
    <w:rsid w:val="004406CE"/>
    <w:rsid w:val="004416B6"/>
    <w:rsid w:val="00444C92"/>
    <w:rsid w:val="00444F7A"/>
    <w:rsid w:val="00446C56"/>
    <w:rsid w:val="00446E9B"/>
    <w:rsid w:val="00447CE1"/>
    <w:rsid w:val="00461176"/>
    <w:rsid w:val="004637D6"/>
    <w:rsid w:val="00465728"/>
    <w:rsid w:val="004720AA"/>
    <w:rsid w:val="00475D0F"/>
    <w:rsid w:val="00477022"/>
    <w:rsid w:val="00485233"/>
    <w:rsid w:val="0049123B"/>
    <w:rsid w:val="00496736"/>
    <w:rsid w:val="00497DCD"/>
    <w:rsid w:val="004A4024"/>
    <w:rsid w:val="004A4C34"/>
    <w:rsid w:val="004A5982"/>
    <w:rsid w:val="004A5CFE"/>
    <w:rsid w:val="004A5E6A"/>
    <w:rsid w:val="004B0A18"/>
    <w:rsid w:val="004B2A1B"/>
    <w:rsid w:val="004B2DE5"/>
    <w:rsid w:val="004B331B"/>
    <w:rsid w:val="004B69D6"/>
    <w:rsid w:val="004B6F1C"/>
    <w:rsid w:val="004C2F4D"/>
    <w:rsid w:val="004C3638"/>
    <w:rsid w:val="004C39A4"/>
    <w:rsid w:val="004C52FF"/>
    <w:rsid w:val="004D070B"/>
    <w:rsid w:val="004D33DF"/>
    <w:rsid w:val="004D749D"/>
    <w:rsid w:val="004D7DEA"/>
    <w:rsid w:val="004E04DA"/>
    <w:rsid w:val="004E1D06"/>
    <w:rsid w:val="004E1FA4"/>
    <w:rsid w:val="004E20B1"/>
    <w:rsid w:val="004E3DAA"/>
    <w:rsid w:val="004E4EB8"/>
    <w:rsid w:val="004E6203"/>
    <w:rsid w:val="004F42A1"/>
    <w:rsid w:val="004F5A18"/>
    <w:rsid w:val="004F5FA6"/>
    <w:rsid w:val="00500581"/>
    <w:rsid w:val="005041BE"/>
    <w:rsid w:val="00505635"/>
    <w:rsid w:val="00507805"/>
    <w:rsid w:val="005134B0"/>
    <w:rsid w:val="0051441E"/>
    <w:rsid w:val="005155D3"/>
    <w:rsid w:val="005204D6"/>
    <w:rsid w:val="00525692"/>
    <w:rsid w:val="00525B0A"/>
    <w:rsid w:val="00527E66"/>
    <w:rsid w:val="00534945"/>
    <w:rsid w:val="005360A1"/>
    <w:rsid w:val="00537C3E"/>
    <w:rsid w:val="00543555"/>
    <w:rsid w:val="0054431F"/>
    <w:rsid w:val="00544890"/>
    <w:rsid w:val="00547FC6"/>
    <w:rsid w:val="00552615"/>
    <w:rsid w:val="00553BB7"/>
    <w:rsid w:val="00555FBE"/>
    <w:rsid w:val="005567B3"/>
    <w:rsid w:val="005632D3"/>
    <w:rsid w:val="005655D1"/>
    <w:rsid w:val="005658C9"/>
    <w:rsid w:val="00565929"/>
    <w:rsid w:val="005659EE"/>
    <w:rsid w:val="00565D9A"/>
    <w:rsid w:val="00566498"/>
    <w:rsid w:val="005708E6"/>
    <w:rsid w:val="00580770"/>
    <w:rsid w:val="005812C2"/>
    <w:rsid w:val="00583F95"/>
    <w:rsid w:val="00584302"/>
    <w:rsid w:val="005922DA"/>
    <w:rsid w:val="0059676C"/>
    <w:rsid w:val="00596AF0"/>
    <w:rsid w:val="00597947"/>
    <w:rsid w:val="005A04FD"/>
    <w:rsid w:val="005A0AF1"/>
    <w:rsid w:val="005A21FC"/>
    <w:rsid w:val="005B1178"/>
    <w:rsid w:val="005B159F"/>
    <w:rsid w:val="005C7BB8"/>
    <w:rsid w:val="005D0FBF"/>
    <w:rsid w:val="005D24E1"/>
    <w:rsid w:val="005D30E8"/>
    <w:rsid w:val="005D7826"/>
    <w:rsid w:val="005E016C"/>
    <w:rsid w:val="005E0E0C"/>
    <w:rsid w:val="005E1EC1"/>
    <w:rsid w:val="005E38D2"/>
    <w:rsid w:val="005E4DF6"/>
    <w:rsid w:val="005E6A5B"/>
    <w:rsid w:val="005E7290"/>
    <w:rsid w:val="005F072F"/>
    <w:rsid w:val="005F0A83"/>
    <w:rsid w:val="005F0D41"/>
    <w:rsid w:val="005F234F"/>
    <w:rsid w:val="005F3C50"/>
    <w:rsid w:val="00601607"/>
    <w:rsid w:val="0060273B"/>
    <w:rsid w:val="006047F8"/>
    <w:rsid w:val="006066A6"/>
    <w:rsid w:val="00606CC4"/>
    <w:rsid w:val="006138EE"/>
    <w:rsid w:val="0061452E"/>
    <w:rsid w:val="006156F7"/>
    <w:rsid w:val="00615D9E"/>
    <w:rsid w:val="00621643"/>
    <w:rsid w:val="00624274"/>
    <w:rsid w:val="00626CD9"/>
    <w:rsid w:val="00630956"/>
    <w:rsid w:val="00636115"/>
    <w:rsid w:val="00640016"/>
    <w:rsid w:val="00641EED"/>
    <w:rsid w:val="00642106"/>
    <w:rsid w:val="00644429"/>
    <w:rsid w:val="00646876"/>
    <w:rsid w:val="00647079"/>
    <w:rsid w:val="00650DEF"/>
    <w:rsid w:val="00651741"/>
    <w:rsid w:val="00656BC8"/>
    <w:rsid w:val="0066273D"/>
    <w:rsid w:val="00662D0D"/>
    <w:rsid w:val="006642D3"/>
    <w:rsid w:val="00667A5D"/>
    <w:rsid w:val="00667FFE"/>
    <w:rsid w:val="006711A5"/>
    <w:rsid w:val="006744AE"/>
    <w:rsid w:val="00676441"/>
    <w:rsid w:val="00677567"/>
    <w:rsid w:val="00682BA7"/>
    <w:rsid w:val="00687B7B"/>
    <w:rsid w:val="00691499"/>
    <w:rsid w:val="00692356"/>
    <w:rsid w:val="0069340D"/>
    <w:rsid w:val="006A71EF"/>
    <w:rsid w:val="006A72F1"/>
    <w:rsid w:val="006A769A"/>
    <w:rsid w:val="006A7A55"/>
    <w:rsid w:val="006B1202"/>
    <w:rsid w:val="006B2DDC"/>
    <w:rsid w:val="006B5939"/>
    <w:rsid w:val="006B6D45"/>
    <w:rsid w:val="006B776D"/>
    <w:rsid w:val="006C0C87"/>
    <w:rsid w:val="006C2D83"/>
    <w:rsid w:val="006C3F2E"/>
    <w:rsid w:val="006C4D9E"/>
    <w:rsid w:val="006D10DC"/>
    <w:rsid w:val="006D22CB"/>
    <w:rsid w:val="006D2486"/>
    <w:rsid w:val="006D281E"/>
    <w:rsid w:val="006D3823"/>
    <w:rsid w:val="006D3E5C"/>
    <w:rsid w:val="006D41F1"/>
    <w:rsid w:val="006D431A"/>
    <w:rsid w:val="006D6DB9"/>
    <w:rsid w:val="006E149F"/>
    <w:rsid w:val="006E4514"/>
    <w:rsid w:val="006E5C42"/>
    <w:rsid w:val="006F2B5C"/>
    <w:rsid w:val="006F397A"/>
    <w:rsid w:val="006F581B"/>
    <w:rsid w:val="006F74F7"/>
    <w:rsid w:val="006F7955"/>
    <w:rsid w:val="006F7E68"/>
    <w:rsid w:val="00702AE3"/>
    <w:rsid w:val="0070567E"/>
    <w:rsid w:val="00705ADC"/>
    <w:rsid w:val="0070659F"/>
    <w:rsid w:val="007078C7"/>
    <w:rsid w:val="00713414"/>
    <w:rsid w:val="007148E9"/>
    <w:rsid w:val="00717664"/>
    <w:rsid w:val="00721C9B"/>
    <w:rsid w:val="0072285B"/>
    <w:rsid w:val="00722909"/>
    <w:rsid w:val="00723249"/>
    <w:rsid w:val="007260DC"/>
    <w:rsid w:val="00726E74"/>
    <w:rsid w:val="00727EF2"/>
    <w:rsid w:val="007309B9"/>
    <w:rsid w:val="00731661"/>
    <w:rsid w:val="00733038"/>
    <w:rsid w:val="0073421A"/>
    <w:rsid w:val="00737E3E"/>
    <w:rsid w:val="00741314"/>
    <w:rsid w:val="00744BE7"/>
    <w:rsid w:val="007455A5"/>
    <w:rsid w:val="00747C3E"/>
    <w:rsid w:val="00750932"/>
    <w:rsid w:val="00750A2D"/>
    <w:rsid w:val="00750C7B"/>
    <w:rsid w:val="00753FB8"/>
    <w:rsid w:val="00756213"/>
    <w:rsid w:val="00757369"/>
    <w:rsid w:val="00760264"/>
    <w:rsid w:val="0076125E"/>
    <w:rsid w:val="007614A0"/>
    <w:rsid w:val="00766CC5"/>
    <w:rsid w:val="0076789B"/>
    <w:rsid w:val="00771519"/>
    <w:rsid w:val="0077612D"/>
    <w:rsid w:val="0078403F"/>
    <w:rsid w:val="007857C2"/>
    <w:rsid w:val="007951AE"/>
    <w:rsid w:val="007960FC"/>
    <w:rsid w:val="00796600"/>
    <w:rsid w:val="007A1325"/>
    <w:rsid w:val="007A260C"/>
    <w:rsid w:val="007A4561"/>
    <w:rsid w:val="007A7F67"/>
    <w:rsid w:val="007B096A"/>
    <w:rsid w:val="007B5BCC"/>
    <w:rsid w:val="007B63BA"/>
    <w:rsid w:val="007C0582"/>
    <w:rsid w:val="007C2929"/>
    <w:rsid w:val="007C5815"/>
    <w:rsid w:val="007D0A9C"/>
    <w:rsid w:val="007D12ED"/>
    <w:rsid w:val="007D518A"/>
    <w:rsid w:val="007D6002"/>
    <w:rsid w:val="007D6F8A"/>
    <w:rsid w:val="007E062F"/>
    <w:rsid w:val="007E48CD"/>
    <w:rsid w:val="007E5FF6"/>
    <w:rsid w:val="007E6247"/>
    <w:rsid w:val="007F0CD4"/>
    <w:rsid w:val="007F15F0"/>
    <w:rsid w:val="007F3EA6"/>
    <w:rsid w:val="007F581B"/>
    <w:rsid w:val="00800E4A"/>
    <w:rsid w:val="008015DF"/>
    <w:rsid w:val="00801640"/>
    <w:rsid w:val="0080288E"/>
    <w:rsid w:val="008053EB"/>
    <w:rsid w:val="00805A0A"/>
    <w:rsid w:val="0081201D"/>
    <w:rsid w:val="00812ECD"/>
    <w:rsid w:val="0081473D"/>
    <w:rsid w:val="008157AE"/>
    <w:rsid w:val="008167AB"/>
    <w:rsid w:val="00820A25"/>
    <w:rsid w:val="0082440D"/>
    <w:rsid w:val="008248FF"/>
    <w:rsid w:val="00825D97"/>
    <w:rsid w:val="008325FA"/>
    <w:rsid w:val="008339C2"/>
    <w:rsid w:val="00833B9B"/>
    <w:rsid w:val="00835356"/>
    <w:rsid w:val="00844F4F"/>
    <w:rsid w:val="008453B8"/>
    <w:rsid w:val="0084547F"/>
    <w:rsid w:val="00845CE4"/>
    <w:rsid w:val="008468CD"/>
    <w:rsid w:val="00847827"/>
    <w:rsid w:val="0085148F"/>
    <w:rsid w:val="00854541"/>
    <w:rsid w:val="00855433"/>
    <w:rsid w:val="008616A6"/>
    <w:rsid w:val="00862075"/>
    <w:rsid w:val="008642C8"/>
    <w:rsid w:val="008650A6"/>
    <w:rsid w:val="008662A2"/>
    <w:rsid w:val="0087108E"/>
    <w:rsid w:val="00871DE9"/>
    <w:rsid w:val="0088101F"/>
    <w:rsid w:val="00885CF7"/>
    <w:rsid w:val="00885E69"/>
    <w:rsid w:val="00886E69"/>
    <w:rsid w:val="008934FA"/>
    <w:rsid w:val="008A0F83"/>
    <w:rsid w:val="008A175E"/>
    <w:rsid w:val="008A2E40"/>
    <w:rsid w:val="008B0C24"/>
    <w:rsid w:val="008B15BE"/>
    <w:rsid w:val="008B3F82"/>
    <w:rsid w:val="008B7645"/>
    <w:rsid w:val="008C1976"/>
    <w:rsid w:val="008C5857"/>
    <w:rsid w:val="008D0512"/>
    <w:rsid w:val="008D1468"/>
    <w:rsid w:val="008D33D6"/>
    <w:rsid w:val="008D5A00"/>
    <w:rsid w:val="008E0EA8"/>
    <w:rsid w:val="008E5FB9"/>
    <w:rsid w:val="008E7731"/>
    <w:rsid w:val="008F5689"/>
    <w:rsid w:val="008F69BF"/>
    <w:rsid w:val="009003B0"/>
    <w:rsid w:val="009015AD"/>
    <w:rsid w:val="009036DE"/>
    <w:rsid w:val="0090416C"/>
    <w:rsid w:val="009043EF"/>
    <w:rsid w:val="009069A7"/>
    <w:rsid w:val="00907956"/>
    <w:rsid w:val="0091079F"/>
    <w:rsid w:val="009153E3"/>
    <w:rsid w:val="0091597F"/>
    <w:rsid w:val="009177D8"/>
    <w:rsid w:val="00921DCF"/>
    <w:rsid w:val="00921EC9"/>
    <w:rsid w:val="00923D59"/>
    <w:rsid w:val="0092464E"/>
    <w:rsid w:val="00924F4C"/>
    <w:rsid w:val="0093245D"/>
    <w:rsid w:val="009337F2"/>
    <w:rsid w:val="00934B5A"/>
    <w:rsid w:val="00935019"/>
    <w:rsid w:val="0094138A"/>
    <w:rsid w:val="00946554"/>
    <w:rsid w:val="00953385"/>
    <w:rsid w:val="009536E4"/>
    <w:rsid w:val="009553EB"/>
    <w:rsid w:val="009556E8"/>
    <w:rsid w:val="00960332"/>
    <w:rsid w:val="00963895"/>
    <w:rsid w:val="00963C82"/>
    <w:rsid w:val="009728EA"/>
    <w:rsid w:val="009754A1"/>
    <w:rsid w:val="00976C72"/>
    <w:rsid w:val="00977B6C"/>
    <w:rsid w:val="00981B94"/>
    <w:rsid w:val="009850DD"/>
    <w:rsid w:val="009852EE"/>
    <w:rsid w:val="0099090E"/>
    <w:rsid w:val="009918A8"/>
    <w:rsid w:val="00991AEC"/>
    <w:rsid w:val="00995CC6"/>
    <w:rsid w:val="009964F7"/>
    <w:rsid w:val="009A07B6"/>
    <w:rsid w:val="009A2934"/>
    <w:rsid w:val="009A3167"/>
    <w:rsid w:val="009A488C"/>
    <w:rsid w:val="009A6B01"/>
    <w:rsid w:val="009B0E77"/>
    <w:rsid w:val="009B7C3D"/>
    <w:rsid w:val="009C21D3"/>
    <w:rsid w:val="009C3BDF"/>
    <w:rsid w:val="009C563C"/>
    <w:rsid w:val="009C5D3D"/>
    <w:rsid w:val="009C6399"/>
    <w:rsid w:val="009C700D"/>
    <w:rsid w:val="009D117E"/>
    <w:rsid w:val="009D2C81"/>
    <w:rsid w:val="009D3BCE"/>
    <w:rsid w:val="009D4762"/>
    <w:rsid w:val="009D61D3"/>
    <w:rsid w:val="009D63C3"/>
    <w:rsid w:val="009D6FD8"/>
    <w:rsid w:val="009D7E0C"/>
    <w:rsid w:val="009E0181"/>
    <w:rsid w:val="009E1ED3"/>
    <w:rsid w:val="009E4A95"/>
    <w:rsid w:val="009F0897"/>
    <w:rsid w:val="009F5345"/>
    <w:rsid w:val="009F53C2"/>
    <w:rsid w:val="009F58A2"/>
    <w:rsid w:val="009F6F50"/>
    <w:rsid w:val="00A00406"/>
    <w:rsid w:val="00A0057C"/>
    <w:rsid w:val="00A0075F"/>
    <w:rsid w:val="00A0210F"/>
    <w:rsid w:val="00A058CF"/>
    <w:rsid w:val="00A072FE"/>
    <w:rsid w:val="00A07475"/>
    <w:rsid w:val="00A07496"/>
    <w:rsid w:val="00A10865"/>
    <w:rsid w:val="00A11537"/>
    <w:rsid w:val="00A11A7A"/>
    <w:rsid w:val="00A128C5"/>
    <w:rsid w:val="00A20055"/>
    <w:rsid w:val="00A210A1"/>
    <w:rsid w:val="00A22D6C"/>
    <w:rsid w:val="00A231F8"/>
    <w:rsid w:val="00A24A72"/>
    <w:rsid w:val="00A24CA1"/>
    <w:rsid w:val="00A269A7"/>
    <w:rsid w:val="00A31277"/>
    <w:rsid w:val="00A33350"/>
    <w:rsid w:val="00A34428"/>
    <w:rsid w:val="00A403F1"/>
    <w:rsid w:val="00A44C1F"/>
    <w:rsid w:val="00A46DAF"/>
    <w:rsid w:val="00A47C58"/>
    <w:rsid w:val="00A529A1"/>
    <w:rsid w:val="00A52BA6"/>
    <w:rsid w:val="00A52F2C"/>
    <w:rsid w:val="00A53973"/>
    <w:rsid w:val="00A54B3F"/>
    <w:rsid w:val="00A60500"/>
    <w:rsid w:val="00A61261"/>
    <w:rsid w:val="00A61FD4"/>
    <w:rsid w:val="00A63AA9"/>
    <w:rsid w:val="00A64289"/>
    <w:rsid w:val="00A669E9"/>
    <w:rsid w:val="00A67281"/>
    <w:rsid w:val="00A67D0F"/>
    <w:rsid w:val="00A70954"/>
    <w:rsid w:val="00A818DD"/>
    <w:rsid w:val="00A8609D"/>
    <w:rsid w:val="00A86542"/>
    <w:rsid w:val="00A87F7C"/>
    <w:rsid w:val="00A908A5"/>
    <w:rsid w:val="00A91DAE"/>
    <w:rsid w:val="00A9633A"/>
    <w:rsid w:val="00AA0AEE"/>
    <w:rsid w:val="00AA46EA"/>
    <w:rsid w:val="00AA559B"/>
    <w:rsid w:val="00AA7513"/>
    <w:rsid w:val="00AB29C4"/>
    <w:rsid w:val="00AB60C4"/>
    <w:rsid w:val="00AC14F0"/>
    <w:rsid w:val="00AC2DF7"/>
    <w:rsid w:val="00AC548A"/>
    <w:rsid w:val="00AD5C59"/>
    <w:rsid w:val="00AE270B"/>
    <w:rsid w:val="00AE2C8C"/>
    <w:rsid w:val="00AE5064"/>
    <w:rsid w:val="00AE5365"/>
    <w:rsid w:val="00AE55CB"/>
    <w:rsid w:val="00AE71DB"/>
    <w:rsid w:val="00AF3FDF"/>
    <w:rsid w:val="00AF5069"/>
    <w:rsid w:val="00AF564E"/>
    <w:rsid w:val="00AF63EF"/>
    <w:rsid w:val="00B006C5"/>
    <w:rsid w:val="00B01326"/>
    <w:rsid w:val="00B0164D"/>
    <w:rsid w:val="00B019F5"/>
    <w:rsid w:val="00B02152"/>
    <w:rsid w:val="00B04CC4"/>
    <w:rsid w:val="00B04F4E"/>
    <w:rsid w:val="00B052BC"/>
    <w:rsid w:val="00B05A27"/>
    <w:rsid w:val="00B05BCA"/>
    <w:rsid w:val="00B05CB2"/>
    <w:rsid w:val="00B05F14"/>
    <w:rsid w:val="00B146C7"/>
    <w:rsid w:val="00B14EAE"/>
    <w:rsid w:val="00B15B9A"/>
    <w:rsid w:val="00B222AE"/>
    <w:rsid w:val="00B22D6C"/>
    <w:rsid w:val="00B33B98"/>
    <w:rsid w:val="00B349F7"/>
    <w:rsid w:val="00B3578A"/>
    <w:rsid w:val="00B422E2"/>
    <w:rsid w:val="00B431EF"/>
    <w:rsid w:val="00B51ADD"/>
    <w:rsid w:val="00B553D8"/>
    <w:rsid w:val="00B569AD"/>
    <w:rsid w:val="00B56E34"/>
    <w:rsid w:val="00B57039"/>
    <w:rsid w:val="00B57263"/>
    <w:rsid w:val="00B6093A"/>
    <w:rsid w:val="00B668D2"/>
    <w:rsid w:val="00B72C1F"/>
    <w:rsid w:val="00B73C5F"/>
    <w:rsid w:val="00B74177"/>
    <w:rsid w:val="00B75CB8"/>
    <w:rsid w:val="00B76D53"/>
    <w:rsid w:val="00B811D7"/>
    <w:rsid w:val="00B82656"/>
    <w:rsid w:val="00B83704"/>
    <w:rsid w:val="00B90CC2"/>
    <w:rsid w:val="00B93330"/>
    <w:rsid w:val="00B94F19"/>
    <w:rsid w:val="00B96017"/>
    <w:rsid w:val="00B96778"/>
    <w:rsid w:val="00BA2BEC"/>
    <w:rsid w:val="00BA498C"/>
    <w:rsid w:val="00BA4E80"/>
    <w:rsid w:val="00BA56B6"/>
    <w:rsid w:val="00BB60A8"/>
    <w:rsid w:val="00BC3E88"/>
    <w:rsid w:val="00BC7EFD"/>
    <w:rsid w:val="00BD0BA4"/>
    <w:rsid w:val="00BD1F78"/>
    <w:rsid w:val="00BD1FC3"/>
    <w:rsid w:val="00BE1259"/>
    <w:rsid w:val="00BE73A7"/>
    <w:rsid w:val="00BF0647"/>
    <w:rsid w:val="00BF33D3"/>
    <w:rsid w:val="00BF4DAE"/>
    <w:rsid w:val="00BF6254"/>
    <w:rsid w:val="00C00CEE"/>
    <w:rsid w:val="00C0245B"/>
    <w:rsid w:val="00C06624"/>
    <w:rsid w:val="00C10B17"/>
    <w:rsid w:val="00C112A4"/>
    <w:rsid w:val="00C117C2"/>
    <w:rsid w:val="00C11868"/>
    <w:rsid w:val="00C16188"/>
    <w:rsid w:val="00C22374"/>
    <w:rsid w:val="00C2276F"/>
    <w:rsid w:val="00C23FFB"/>
    <w:rsid w:val="00C2698A"/>
    <w:rsid w:val="00C308CC"/>
    <w:rsid w:val="00C30A7C"/>
    <w:rsid w:val="00C30E54"/>
    <w:rsid w:val="00C32BC8"/>
    <w:rsid w:val="00C34157"/>
    <w:rsid w:val="00C3456F"/>
    <w:rsid w:val="00C348C3"/>
    <w:rsid w:val="00C409C8"/>
    <w:rsid w:val="00C41CE3"/>
    <w:rsid w:val="00C41EAE"/>
    <w:rsid w:val="00C44CDE"/>
    <w:rsid w:val="00C515F8"/>
    <w:rsid w:val="00C5195C"/>
    <w:rsid w:val="00C52063"/>
    <w:rsid w:val="00C60D35"/>
    <w:rsid w:val="00C61427"/>
    <w:rsid w:val="00C6411B"/>
    <w:rsid w:val="00C66CD2"/>
    <w:rsid w:val="00C719F8"/>
    <w:rsid w:val="00C72429"/>
    <w:rsid w:val="00C75D95"/>
    <w:rsid w:val="00C76049"/>
    <w:rsid w:val="00C770CC"/>
    <w:rsid w:val="00C770DB"/>
    <w:rsid w:val="00C80786"/>
    <w:rsid w:val="00C807F9"/>
    <w:rsid w:val="00C81852"/>
    <w:rsid w:val="00C81D03"/>
    <w:rsid w:val="00C830AA"/>
    <w:rsid w:val="00C83E2E"/>
    <w:rsid w:val="00C853F1"/>
    <w:rsid w:val="00C8640F"/>
    <w:rsid w:val="00C90531"/>
    <w:rsid w:val="00C90C57"/>
    <w:rsid w:val="00C927C0"/>
    <w:rsid w:val="00C92A41"/>
    <w:rsid w:val="00CB0887"/>
    <w:rsid w:val="00CC1988"/>
    <w:rsid w:val="00CC19AA"/>
    <w:rsid w:val="00CC3865"/>
    <w:rsid w:val="00CC3F7A"/>
    <w:rsid w:val="00CC5C28"/>
    <w:rsid w:val="00CC6A6D"/>
    <w:rsid w:val="00CD01A6"/>
    <w:rsid w:val="00CD314C"/>
    <w:rsid w:val="00CD4E1A"/>
    <w:rsid w:val="00CD5D7A"/>
    <w:rsid w:val="00CD740C"/>
    <w:rsid w:val="00CE1BE6"/>
    <w:rsid w:val="00CE36B8"/>
    <w:rsid w:val="00CE4D5D"/>
    <w:rsid w:val="00CE6E37"/>
    <w:rsid w:val="00CE7334"/>
    <w:rsid w:val="00CF161B"/>
    <w:rsid w:val="00CF4907"/>
    <w:rsid w:val="00CF7360"/>
    <w:rsid w:val="00CF7BA7"/>
    <w:rsid w:val="00CF7BEC"/>
    <w:rsid w:val="00D00EA8"/>
    <w:rsid w:val="00D01135"/>
    <w:rsid w:val="00D015C5"/>
    <w:rsid w:val="00D03455"/>
    <w:rsid w:val="00D05BF5"/>
    <w:rsid w:val="00D0705D"/>
    <w:rsid w:val="00D10173"/>
    <w:rsid w:val="00D13A82"/>
    <w:rsid w:val="00D14C73"/>
    <w:rsid w:val="00D23BBE"/>
    <w:rsid w:val="00D27AF2"/>
    <w:rsid w:val="00D27DC8"/>
    <w:rsid w:val="00D3231A"/>
    <w:rsid w:val="00D32D8D"/>
    <w:rsid w:val="00D33266"/>
    <w:rsid w:val="00D33644"/>
    <w:rsid w:val="00D364D2"/>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54CB"/>
    <w:rsid w:val="00D60680"/>
    <w:rsid w:val="00D61B4E"/>
    <w:rsid w:val="00D726C9"/>
    <w:rsid w:val="00D73FCC"/>
    <w:rsid w:val="00D77B55"/>
    <w:rsid w:val="00D77F22"/>
    <w:rsid w:val="00D800EA"/>
    <w:rsid w:val="00D83991"/>
    <w:rsid w:val="00D83A75"/>
    <w:rsid w:val="00D83F2D"/>
    <w:rsid w:val="00D848FF"/>
    <w:rsid w:val="00D86515"/>
    <w:rsid w:val="00D92DBF"/>
    <w:rsid w:val="00D942F0"/>
    <w:rsid w:val="00D95DA1"/>
    <w:rsid w:val="00D9704A"/>
    <w:rsid w:val="00DA2837"/>
    <w:rsid w:val="00DA2C69"/>
    <w:rsid w:val="00DA3DE8"/>
    <w:rsid w:val="00DB0341"/>
    <w:rsid w:val="00DB1144"/>
    <w:rsid w:val="00DB1A6E"/>
    <w:rsid w:val="00DB3125"/>
    <w:rsid w:val="00DB3373"/>
    <w:rsid w:val="00DB3ACE"/>
    <w:rsid w:val="00DB4415"/>
    <w:rsid w:val="00DB662D"/>
    <w:rsid w:val="00DB6793"/>
    <w:rsid w:val="00DB7F5F"/>
    <w:rsid w:val="00DC4310"/>
    <w:rsid w:val="00DC69A7"/>
    <w:rsid w:val="00DC7E56"/>
    <w:rsid w:val="00DD07D3"/>
    <w:rsid w:val="00DD19A1"/>
    <w:rsid w:val="00DD2557"/>
    <w:rsid w:val="00DE0934"/>
    <w:rsid w:val="00DE105F"/>
    <w:rsid w:val="00DE12E2"/>
    <w:rsid w:val="00DE5513"/>
    <w:rsid w:val="00DE658A"/>
    <w:rsid w:val="00DE6720"/>
    <w:rsid w:val="00DF0BEC"/>
    <w:rsid w:val="00DF3208"/>
    <w:rsid w:val="00DF47DD"/>
    <w:rsid w:val="00DF6599"/>
    <w:rsid w:val="00DF73FE"/>
    <w:rsid w:val="00E01478"/>
    <w:rsid w:val="00E01655"/>
    <w:rsid w:val="00E01E5D"/>
    <w:rsid w:val="00E04274"/>
    <w:rsid w:val="00E11DC5"/>
    <w:rsid w:val="00E12295"/>
    <w:rsid w:val="00E12FBC"/>
    <w:rsid w:val="00E20C05"/>
    <w:rsid w:val="00E22B62"/>
    <w:rsid w:val="00E24D48"/>
    <w:rsid w:val="00E2632C"/>
    <w:rsid w:val="00E30456"/>
    <w:rsid w:val="00E31C4A"/>
    <w:rsid w:val="00E31D80"/>
    <w:rsid w:val="00E377AB"/>
    <w:rsid w:val="00E40AE7"/>
    <w:rsid w:val="00E42612"/>
    <w:rsid w:val="00E44213"/>
    <w:rsid w:val="00E538ED"/>
    <w:rsid w:val="00E53A1D"/>
    <w:rsid w:val="00E560DE"/>
    <w:rsid w:val="00E56786"/>
    <w:rsid w:val="00E63C72"/>
    <w:rsid w:val="00E66114"/>
    <w:rsid w:val="00E67CC2"/>
    <w:rsid w:val="00E720E0"/>
    <w:rsid w:val="00E735DF"/>
    <w:rsid w:val="00E77782"/>
    <w:rsid w:val="00E77CB5"/>
    <w:rsid w:val="00E77DC4"/>
    <w:rsid w:val="00E82273"/>
    <w:rsid w:val="00E838F8"/>
    <w:rsid w:val="00E84161"/>
    <w:rsid w:val="00E854ED"/>
    <w:rsid w:val="00E857DA"/>
    <w:rsid w:val="00E8595D"/>
    <w:rsid w:val="00E94946"/>
    <w:rsid w:val="00E957DC"/>
    <w:rsid w:val="00E96F22"/>
    <w:rsid w:val="00EA2BEB"/>
    <w:rsid w:val="00EA35ED"/>
    <w:rsid w:val="00EA7259"/>
    <w:rsid w:val="00EA7789"/>
    <w:rsid w:val="00EA7C57"/>
    <w:rsid w:val="00EA7F9E"/>
    <w:rsid w:val="00EB1926"/>
    <w:rsid w:val="00EB2560"/>
    <w:rsid w:val="00EB44D6"/>
    <w:rsid w:val="00EB5268"/>
    <w:rsid w:val="00EB5CE9"/>
    <w:rsid w:val="00EB69EC"/>
    <w:rsid w:val="00EB7D02"/>
    <w:rsid w:val="00EC0D33"/>
    <w:rsid w:val="00EC15CA"/>
    <w:rsid w:val="00EC243C"/>
    <w:rsid w:val="00EC3D5E"/>
    <w:rsid w:val="00EC5A91"/>
    <w:rsid w:val="00EC5C8F"/>
    <w:rsid w:val="00ED3252"/>
    <w:rsid w:val="00ED625C"/>
    <w:rsid w:val="00ED7630"/>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7B"/>
    <w:rsid w:val="00F245AA"/>
    <w:rsid w:val="00F32201"/>
    <w:rsid w:val="00F346F0"/>
    <w:rsid w:val="00F34780"/>
    <w:rsid w:val="00F361F5"/>
    <w:rsid w:val="00F42462"/>
    <w:rsid w:val="00F42C07"/>
    <w:rsid w:val="00F43025"/>
    <w:rsid w:val="00F43CA0"/>
    <w:rsid w:val="00F479AC"/>
    <w:rsid w:val="00F47AC0"/>
    <w:rsid w:val="00F50C5F"/>
    <w:rsid w:val="00F537E6"/>
    <w:rsid w:val="00F53E10"/>
    <w:rsid w:val="00F54C72"/>
    <w:rsid w:val="00F5540B"/>
    <w:rsid w:val="00F5586D"/>
    <w:rsid w:val="00F56F36"/>
    <w:rsid w:val="00F579C1"/>
    <w:rsid w:val="00F605C6"/>
    <w:rsid w:val="00F61705"/>
    <w:rsid w:val="00F619D4"/>
    <w:rsid w:val="00F75A94"/>
    <w:rsid w:val="00F7643C"/>
    <w:rsid w:val="00F84DF4"/>
    <w:rsid w:val="00F866DF"/>
    <w:rsid w:val="00F875C5"/>
    <w:rsid w:val="00F87BB1"/>
    <w:rsid w:val="00F91449"/>
    <w:rsid w:val="00F91525"/>
    <w:rsid w:val="00F93A2D"/>
    <w:rsid w:val="00F9410E"/>
    <w:rsid w:val="00F945F2"/>
    <w:rsid w:val="00F953B6"/>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9D4"/>
    <w:rsid w:val="00FC6E73"/>
    <w:rsid w:val="00FD1348"/>
    <w:rsid w:val="00FD4B23"/>
    <w:rsid w:val="00FD6E4B"/>
    <w:rsid w:val="00FE15C5"/>
    <w:rsid w:val="00FE1DB5"/>
    <w:rsid w:val="00FE1F54"/>
    <w:rsid w:val="00FE5BA5"/>
    <w:rsid w:val="00FE7174"/>
    <w:rsid w:val="00FF018C"/>
    <w:rsid w:val="00FF0713"/>
    <w:rsid w:val="00FF1DC6"/>
    <w:rsid w:val="00FF333E"/>
    <w:rsid w:val="00FF6F97"/>
    <w:rsid w:val="00FF7089"/>
    <w:rsid w:val="01C82D0F"/>
    <w:rsid w:val="021C4866"/>
    <w:rsid w:val="02572AE5"/>
    <w:rsid w:val="0314419D"/>
    <w:rsid w:val="051E41F2"/>
    <w:rsid w:val="068620EC"/>
    <w:rsid w:val="06F253F2"/>
    <w:rsid w:val="09D32F2C"/>
    <w:rsid w:val="0A6322DC"/>
    <w:rsid w:val="0BBA0BCE"/>
    <w:rsid w:val="0CD200A2"/>
    <w:rsid w:val="0F85458C"/>
    <w:rsid w:val="11127111"/>
    <w:rsid w:val="12E3046E"/>
    <w:rsid w:val="13CA2ACD"/>
    <w:rsid w:val="14EF0366"/>
    <w:rsid w:val="159D1783"/>
    <w:rsid w:val="15E141A1"/>
    <w:rsid w:val="16F440FD"/>
    <w:rsid w:val="18484BE5"/>
    <w:rsid w:val="19BF3DEE"/>
    <w:rsid w:val="19EB2F7E"/>
    <w:rsid w:val="1A2608F3"/>
    <w:rsid w:val="1A9C7638"/>
    <w:rsid w:val="1AA07B1B"/>
    <w:rsid w:val="1B5B508B"/>
    <w:rsid w:val="1B6B3188"/>
    <w:rsid w:val="1C676A8B"/>
    <w:rsid w:val="1F9D516C"/>
    <w:rsid w:val="1FAE44B5"/>
    <w:rsid w:val="1FEA77EA"/>
    <w:rsid w:val="20286883"/>
    <w:rsid w:val="20CE32DF"/>
    <w:rsid w:val="21792602"/>
    <w:rsid w:val="22551E62"/>
    <w:rsid w:val="234E207A"/>
    <w:rsid w:val="236E03B0"/>
    <w:rsid w:val="252A227A"/>
    <w:rsid w:val="25BA1F50"/>
    <w:rsid w:val="25D971A5"/>
    <w:rsid w:val="26105100"/>
    <w:rsid w:val="28FD0FCB"/>
    <w:rsid w:val="290814B7"/>
    <w:rsid w:val="297948CD"/>
    <w:rsid w:val="2BBD43D2"/>
    <w:rsid w:val="2BDA31F9"/>
    <w:rsid w:val="2E0F514A"/>
    <w:rsid w:val="2EAB7F1D"/>
    <w:rsid w:val="2F9D7E34"/>
    <w:rsid w:val="30616CFB"/>
    <w:rsid w:val="30BE1F06"/>
    <w:rsid w:val="318E12DA"/>
    <w:rsid w:val="333F4524"/>
    <w:rsid w:val="33E9654D"/>
    <w:rsid w:val="34C67823"/>
    <w:rsid w:val="34D15BB4"/>
    <w:rsid w:val="35224E78"/>
    <w:rsid w:val="36FB3F3F"/>
    <w:rsid w:val="38203D22"/>
    <w:rsid w:val="391C1BA3"/>
    <w:rsid w:val="3A2A1B78"/>
    <w:rsid w:val="3A9F2E3C"/>
    <w:rsid w:val="3AC577F8"/>
    <w:rsid w:val="3ADE6271"/>
    <w:rsid w:val="3AF448BE"/>
    <w:rsid w:val="3B9F6FA8"/>
    <w:rsid w:val="4213276D"/>
    <w:rsid w:val="4278399C"/>
    <w:rsid w:val="441F4FD2"/>
    <w:rsid w:val="44510768"/>
    <w:rsid w:val="4A7D7AEC"/>
    <w:rsid w:val="4A8810A8"/>
    <w:rsid w:val="4A981238"/>
    <w:rsid w:val="4B2B7C4B"/>
    <w:rsid w:val="4BE25B8D"/>
    <w:rsid w:val="4C983783"/>
    <w:rsid w:val="4E0C1ED3"/>
    <w:rsid w:val="4F912E1A"/>
    <w:rsid w:val="4FD33884"/>
    <w:rsid w:val="516F6B28"/>
    <w:rsid w:val="517E0914"/>
    <w:rsid w:val="56D26C7F"/>
    <w:rsid w:val="59EA6E92"/>
    <w:rsid w:val="5CB05D8F"/>
    <w:rsid w:val="5EB92B25"/>
    <w:rsid w:val="60510E15"/>
    <w:rsid w:val="60F45992"/>
    <w:rsid w:val="61902A62"/>
    <w:rsid w:val="62316C93"/>
    <w:rsid w:val="63006697"/>
    <w:rsid w:val="63CE6FE2"/>
    <w:rsid w:val="642C6B67"/>
    <w:rsid w:val="649D3E3E"/>
    <w:rsid w:val="66320AAF"/>
    <w:rsid w:val="69A433E0"/>
    <w:rsid w:val="6A387A64"/>
    <w:rsid w:val="6B307076"/>
    <w:rsid w:val="6C7147F8"/>
    <w:rsid w:val="6CB30AE5"/>
    <w:rsid w:val="6E255672"/>
    <w:rsid w:val="6EB02B29"/>
    <w:rsid w:val="6F516865"/>
    <w:rsid w:val="6F7402E8"/>
    <w:rsid w:val="6F7F6679"/>
    <w:rsid w:val="70344EA3"/>
    <w:rsid w:val="70792114"/>
    <w:rsid w:val="71C852BA"/>
    <w:rsid w:val="743560F7"/>
    <w:rsid w:val="74547E66"/>
    <w:rsid w:val="74A83551"/>
    <w:rsid w:val="759773C3"/>
    <w:rsid w:val="78D870E7"/>
    <w:rsid w:val="78FC386D"/>
    <w:rsid w:val="79A10018"/>
    <w:rsid w:val="79C759AE"/>
    <w:rsid w:val="7B484ED1"/>
    <w:rsid w:val="7B95754E"/>
    <w:rsid w:val="7BF662EE"/>
    <w:rsid w:val="7CC51E3F"/>
    <w:rsid w:val="7CCC0E88"/>
    <w:rsid w:val="7DDF5E0F"/>
    <w:rsid w:val="7E364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800"/>
      <w:jc w:val="left"/>
    </w:pPr>
    <w:rPr>
      <w:sz w:val="18"/>
      <w:szCs w:val="18"/>
    </w:rPr>
  </w:style>
  <w:style w:type="paragraph" w:styleId="5">
    <w:name w:val="Document Map"/>
    <w:basedOn w:val="1"/>
    <w:link w:val="42"/>
    <w:unhideWhenUsed/>
    <w:qFormat/>
    <w:uiPriority w:val="99"/>
    <w:rPr>
      <w:rFonts w:ascii="宋体" w:eastAsia="宋体"/>
      <w:sz w:val="18"/>
      <w:szCs w:val="18"/>
    </w:rPr>
  </w:style>
  <w:style w:type="paragraph" w:styleId="6">
    <w:name w:val="annotation text"/>
    <w:basedOn w:val="1"/>
    <w:link w:val="39"/>
    <w:unhideWhenUsed/>
    <w:qFormat/>
    <w:uiPriority w:val="99"/>
    <w:pPr>
      <w:jc w:val="left"/>
    </w:pPr>
  </w:style>
  <w:style w:type="paragraph" w:styleId="7">
    <w:name w:val="toc 5"/>
    <w:basedOn w:val="1"/>
    <w:next w:val="1"/>
    <w:qFormat/>
    <w:uiPriority w:val="39"/>
    <w:pPr>
      <w:ind w:left="1200"/>
      <w:jc w:val="left"/>
    </w:pPr>
    <w:rPr>
      <w:sz w:val="18"/>
      <w:szCs w:val="18"/>
    </w:rPr>
  </w:style>
  <w:style w:type="paragraph" w:styleId="8">
    <w:name w:val="toc 3"/>
    <w:basedOn w:val="1"/>
    <w:next w:val="1"/>
    <w:qFormat/>
    <w:uiPriority w:val="39"/>
    <w:pPr>
      <w:spacing w:line="300" w:lineRule="exact"/>
      <w:ind w:left="567"/>
      <w:jc w:val="left"/>
    </w:pPr>
    <w:rPr>
      <w:iCs/>
      <w:sz w:val="28"/>
      <w:szCs w:val="20"/>
    </w:rPr>
  </w:style>
  <w:style w:type="paragraph" w:styleId="9">
    <w:name w:val="toc 8"/>
    <w:basedOn w:val="1"/>
    <w:next w:val="1"/>
    <w:qFormat/>
    <w:uiPriority w:val="39"/>
    <w:pPr>
      <w:ind w:left="2100"/>
      <w:jc w:val="left"/>
    </w:pPr>
    <w:rPr>
      <w:sz w:val="18"/>
      <w:szCs w:val="18"/>
    </w:rPr>
  </w:style>
  <w:style w:type="paragraph" w:styleId="10">
    <w:name w:val="Date"/>
    <w:basedOn w:val="1"/>
    <w:next w:val="1"/>
    <w:qFormat/>
    <w:uiPriority w:val="0"/>
    <w:pPr>
      <w:ind w:left="100" w:leftChars="2500"/>
    </w:pPr>
    <w:rPr>
      <w:rFonts w:eastAsia="宋体"/>
      <w:sz w:val="21"/>
    </w:rPr>
  </w:style>
  <w:style w:type="paragraph" w:styleId="11">
    <w:name w:val="Balloon Text"/>
    <w:basedOn w:val="1"/>
    <w:link w:val="36"/>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8"/>
      <w:szCs w:val="20"/>
    </w:rPr>
  </w:style>
  <w:style w:type="paragraph" w:styleId="15">
    <w:name w:val="toc 4"/>
    <w:basedOn w:val="1"/>
    <w:next w:val="1"/>
    <w:qFormat/>
    <w:uiPriority w:val="39"/>
    <w:pPr>
      <w:tabs>
        <w:tab w:val="right" w:leader="dot" w:pos="8693"/>
      </w:tabs>
      <w:spacing w:line="300" w:lineRule="exact"/>
      <w:ind w:left="902"/>
      <w:jc w:val="left"/>
    </w:pPr>
    <w:rPr>
      <w:sz w:val="28"/>
      <w:szCs w:val="18"/>
    </w:rPr>
  </w:style>
  <w:style w:type="paragraph" w:styleId="16">
    <w:name w:val="toc 6"/>
    <w:basedOn w:val="1"/>
    <w:next w:val="1"/>
    <w:qFormat/>
    <w:uiPriority w:val="39"/>
    <w:pPr>
      <w:ind w:left="1500"/>
      <w:jc w:val="left"/>
    </w:pPr>
    <w:rPr>
      <w:sz w:val="18"/>
      <w:szCs w:val="18"/>
    </w:rPr>
  </w:style>
  <w:style w:type="paragraph" w:styleId="17">
    <w:name w:val="toc 2"/>
    <w:basedOn w:val="1"/>
    <w:next w:val="1"/>
    <w:qFormat/>
    <w:uiPriority w:val="39"/>
    <w:pPr>
      <w:spacing w:line="300" w:lineRule="exact"/>
      <w:jc w:val="left"/>
    </w:pPr>
    <w:rPr>
      <w:smallCaps/>
      <w:sz w:val="28"/>
      <w:szCs w:val="20"/>
    </w:rPr>
  </w:style>
  <w:style w:type="paragraph" w:styleId="18">
    <w:name w:val="toc 9"/>
    <w:basedOn w:val="1"/>
    <w:next w:val="1"/>
    <w:qFormat/>
    <w:uiPriority w:val="39"/>
    <w:pPr>
      <w:ind w:left="2400"/>
      <w:jc w:val="left"/>
    </w:pPr>
    <w:rPr>
      <w:sz w:val="18"/>
      <w:szCs w:val="18"/>
    </w:rPr>
  </w:style>
  <w:style w:type="paragraph" w:styleId="1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rPr>
  </w:style>
  <w:style w:type="paragraph" w:styleId="20">
    <w:name w:val="Title"/>
    <w:basedOn w:val="1"/>
    <w:next w:val="1"/>
    <w:link w:val="35"/>
    <w:qFormat/>
    <w:uiPriority w:val="10"/>
    <w:pPr>
      <w:jc w:val="left"/>
      <w:outlineLvl w:val="3"/>
    </w:pPr>
    <w:rPr>
      <w:rFonts w:ascii="Cambria" w:hAnsi="Cambria"/>
      <w:bCs/>
      <w:szCs w:val="32"/>
    </w:rPr>
  </w:style>
  <w:style w:type="paragraph" w:styleId="21">
    <w:name w:val="annotation subject"/>
    <w:basedOn w:val="6"/>
    <w:next w:val="6"/>
    <w:link w:val="41"/>
    <w:unhideWhenUsed/>
    <w:qFormat/>
    <w:uiPriority w:val="99"/>
    <w:rPr>
      <w:b/>
      <w:bCs/>
    </w:rPr>
  </w:style>
  <w:style w:type="table" w:styleId="23">
    <w:name w:val="Table Grid"/>
    <w:basedOn w:val="2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paragraph" w:customStyle="1" w:styleId="28">
    <w:name w:val="_Style 1"/>
    <w:basedOn w:val="1"/>
    <w:qFormat/>
    <w:uiPriority w:val="0"/>
    <w:rPr>
      <w:rFonts w:eastAsia="宋体"/>
      <w:sz w:val="21"/>
    </w:rPr>
  </w:style>
  <w:style w:type="paragraph" w:customStyle="1" w:styleId="29">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0">
    <w:name w:val="TOC Heading"/>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1">
    <w:name w:val="列出段落1"/>
    <w:basedOn w:val="1"/>
    <w:qFormat/>
    <w:uiPriority w:val="34"/>
    <w:pPr>
      <w:ind w:firstLine="420"/>
    </w:pPr>
  </w:style>
  <w:style w:type="paragraph" w:customStyle="1" w:styleId="32">
    <w:name w:val="List Paragraph"/>
    <w:basedOn w:val="1"/>
    <w:qFormat/>
    <w:uiPriority w:val="34"/>
    <w:pPr>
      <w:ind w:firstLine="420"/>
    </w:pPr>
  </w:style>
  <w:style w:type="paragraph" w:customStyle="1" w:styleId="33">
    <w:name w:val="Revision"/>
    <w:semiHidden/>
    <w:qFormat/>
    <w:uiPriority w:val="99"/>
    <w:rPr>
      <w:rFonts w:ascii="Times New Roman" w:hAnsi="Times New Roman" w:eastAsia="仿宋_GB2312" w:cs="Times New Roman"/>
      <w:kern w:val="2"/>
      <w:sz w:val="24"/>
      <w:szCs w:val="24"/>
      <w:lang w:val="en-US" w:eastAsia="zh-CN" w:bidi="ar-SA"/>
    </w:rPr>
  </w:style>
  <w:style w:type="paragraph" w:customStyle="1" w:styleId="34">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character" w:customStyle="1" w:styleId="35">
    <w:name w:val="标题 Char"/>
    <w:basedOn w:val="24"/>
    <w:link w:val="20"/>
    <w:qFormat/>
    <w:uiPriority w:val="10"/>
    <w:rPr>
      <w:rFonts w:ascii="Cambria" w:hAnsi="Cambria" w:eastAsia="仿宋_GB2312" w:cs="Times New Roman"/>
      <w:bCs/>
      <w:kern w:val="2"/>
      <w:sz w:val="24"/>
      <w:szCs w:val="32"/>
    </w:rPr>
  </w:style>
  <w:style w:type="character" w:customStyle="1" w:styleId="36">
    <w:name w:val="批注框文本 Char"/>
    <w:link w:val="11"/>
    <w:qFormat/>
    <w:uiPriority w:val="0"/>
    <w:rPr>
      <w:rFonts w:eastAsia="仿宋_GB2312"/>
      <w:kern w:val="2"/>
      <w:sz w:val="18"/>
      <w:szCs w:val="18"/>
    </w:rPr>
  </w:style>
  <w:style w:type="character" w:customStyle="1" w:styleId="37">
    <w:name w:val="页脚 Char"/>
    <w:link w:val="12"/>
    <w:qFormat/>
    <w:uiPriority w:val="99"/>
    <w:rPr>
      <w:rFonts w:eastAsia="仿宋_GB2312"/>
      <w:kern w:val="2"/>
      <w:sz w:val="18"/>
      <w:szCs w:val="18"/>
    </w:rPr>
  </w:style>
  <w:style w:type="character" w:customStyle="1" w:styleId="38">
    <w:name w:val="apple-converted-space"/>
    <w:basedOn w:val="24"/>
    <w:qFormat/>
    <w:uiPriority w:val="0"/>
  </w:style>
  <w:style w:type="character" w:customStyle="1" w:styleId="39">
    <w:name w:val="批注文字 Char"/>
    <w:basedOn w:val="24"/>
    <w:link w:val="6"/>
    <w:semiHidden/>
    <w:qFormat/>
    <w:uiPriority w:val="99"/>
    <w:rPr>
      <w:rFonts w:eastAsia="仿宋_GB2312"/>
      <w:kern w:val="2"/>
      <w:sz w:val="24"/>
      <w:szCs w:val="24"/>
    </w:rPr>
  </w:style>
  <w:style w:type="character" w:customStyle="1" w:styleId="40">
    <w:name w:val="页眉 Char"/>
    <w:link w:val="13"/>
    <w:qFormat/>
    <w:uiPriority w:val="0"/>
    <w:rPr>
      <w:rFonts w:eastAsia="仿宋_GB2312"/>
      <w:kern w:val="2"/>
      <w:sz w:val="18"/>
      <w:szCs w:val="18"/>
    </w:rPr>
  </w:style>
  <w:style w:type="character" w:customStyle="1" w:styleId="41">
    <w:name w:val="批注主题 Char"/>
    <w:basedOn w:val="39"/>
    <w:link w:val="21"/>
    <w:semiHidden/>
    <w:qFormat/>
    <w:uiPriority w:val="99"/>
    <w:rPr>
      <w:rFonts w:eastAsia="仿宋_GB2312"/>
      <w:b/>
      <w:bCs/>
      <w:kern w:val="2"/>
      <w:sz w:val="24"/>
      <w:szCs w:val="24"/>
    </w:rPr>
  </w:style>
  <w:style w:type="character" w:customStyle="1" w:styleId="42">
    <w:name w:val="文档结构图 Char"/>
    <w:basedOn w:val="24"/>
    <w:link w:val="5"/>
    <w:semiHidden/>
    <w:qFormat/>
    <w:uiPriority w:val="99"/>
    <w:rPr>
      <w:rFonts w:ascii="宋体"/>
      <w:kern w:val="2"/>
      <w:sz w:val="18"/>
      <w:szCs w:val="18"/>
    </w:rPr>
  </w:style>
  <w:style w:type="character" w:customStyle="1" w:styleId="43">
    <w:name w:val="font01"/>
    <w:basedOn w:val="24"/>
    <w:qFormat/>
    <w:uiPriority w:val="0"/>
    <w:rPr>
      <w:rFonts w:hint="eastAsia" w:ascii="楷体_GB2312" w:eastAsia="楷体_GB2312" w:cs="楷体_GB2312"/>
      <w:color w:val="0000FF"/>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123</Words>
  <Characters>134</Characters>
  <Lines>76</Lines>
  <Paragraphs>21</Paragraphs>
  <TotalTime>11</TotalTime>
  <ScaleCrop>false</ScaleCrop>
  <LinksUpToDate>false</LinksUpToDate>
  <CharactersWithSpaces>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WPS_1772005803</cp:lastModifiedBy>
  <cp:lastPrinted>2017-10-12T07:19:00Z</cp:lastPrinted>
  <dcterms:modified xsi:type="dcterms:W3CDTF">2026-03-16T07:48:54Z</dcterms:modified>
  <dc:title>财政支出绩效评价报告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10367272F27B42648C9122F611F8E8CE</vt:lpwstr>
  </property>
  <property fmtid="{D5CDD505-2E9C-101B-9397-08002B2CF9AE}" pid="4" name="KSOTemplateDocerSaveRecord">
    <vt:lpwstr>eyJoZGlkIjoiNzNlMWI5MTM2Y2YzYzRhNGUxNzAwYmQ5OTEzZThhZjAiLCJ1c2VySWQiOiIxODAyMDQ3OTY5In0=</vt:lpwstr>
  </property>
</Properties>
</file>