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290D">
      <w:pPr>
        <w:pStyle w:val="4"/>
        <w:rPr>
          <w:rFonts w:ascii="Times New Roman" w:hAnsi="Times New Roman" w:eastAsia="仿宋_GB2312" w:cs="Times New Roman"/>
          <w:color w:val="000000"/>
          <w:kern w:val="0"/>
          <w:sz w:val="32"/>
          <w:szCs w:val="32"/>
        </w:rPr>
      </w:pPr>
    </w:p>
    <w:p w14:paraId="6562B7D3">
      <w:pPr>
        <w:rPr>
          <w:rFonts w:ascii="Times New Roman" w:hAnsi="Times New Roman" w:cs="Times New Roman"/>
        </w:rPr>
      </w:pPr>
    </w:p>
    <w:p w14:paraId="6B3A01E2">
      <w:pPr>
        <w:widowControl/>
        <w:jc w:val="center"/>
        <w:rPr>
          <w:rFonts w:ascii="Times New Roman" w:hAnsi="Times New Roman" w:eastAsia="黑体" w:cs="Times New Roman"/>
          <w:color w:val="000000"/>
          <w:kern w:val="0"/>
          <w:sz w:val="41"/>
          <w:szCs w:val="41"/>
        </w:rPr>
      </w:pPr>
      <w:r>
        <w:rPr>
          <w:rFonts w:ascii="Times New Roman" w:hAnsi="Times New Roman" w:eastAsia="黑体" w:cs="Times New Roman"/>
          <w:color w:val="000000"/>
          <w:kern w:val="0"/>
          <w:sz w:val="41"/>
          <w:szCs w:val="41"/>
        </w:rPr>
        <w:t>项目支出绩效评价报告</w:t>
      </w:r>
    </w:p>
    <w:p w14:paraId="30F2F458">
      <w:pPr>
        <w:pStyle w:val="4"/>
        <w:jc w:val="center"/>
        <w:rPr>
          <w:rFonts w:ascii="Times New Roman" w:hAnsi="Times New Roman" w:cs="Times New Roman"/>
          <w:sz w:val="32"/>
          <w:szCs w:val="32"/>
        </w:rPr>
      </w:pPr>
      <w:r>
        <w:rPr>
          <w:rFonts w:ascii="Times New Roman" w:hAnsi="Times New Roman" w:cs="Times New Roman"/>
          <w:color w:val="000000"/>
          <w:kern w:val="0"/>
          <w:sz w:val="32"/>
          <w:szCs w:val="32"/>
        </w:rPr>
        <w:t>（2019年度）</w:t>
      </w:r>
    </w:p>
    <w:p w14:paraId="2631B15E">
      <w:pPr>
        <w:widowControl/>
        <w:jc w:val="center"/>
        <w:rPr>
          <w:rFonts w:ascii="Times New Roman" w:hAnsi="Times New Roman" w:eastAsia="黑体" w:cs="Times New Roman"/>
          <w:color w:val="000000"/>
          <w:kern w:val="0"/>
          <w:sz w:val="41"/>
          <w:szCs w:val="41"/>
        </w:rPr>
      </w:pPr>
      <w:r>
        <w:rPr>
          <w:rFonts w:hint="eastAsia" w:ascii="Times New Roman" w:hAnsi="Times New Roman" w:eastAsia="黑体" w:cs="Times New Roman"/>
          <w:color w:val="000000"/>
          <w:kern w:val="0"/>
          <w:sz w:val="41"/>
          <w:szCs w:val="41"/>
        </w:rPr>
        <w:t xml:space="preserve"> </w:t>
      </w:r>
    </w:p>
    <w:p w14:paraId="5F8C172B">
      <w:pPr>
        <w:widowControl/>
        <w:jc w:val="left"/>
        <w:rPr>
          <w:rFonts w:ascii="Times New Roman" w:hAnsi="Times New Roman" w:eastAsia="黑体" w:cs="Times New Roman"/>
          <w:color w:val="000000"/>
          <w:kern w:val="0"/>
          <w:sz w:val="36"/>
          <w:szCs w:val="36"/>
        </w:rPr>
      </w:pPr>
    </w:p>
    <w:p w14:paraId="2ACAD614">
      <w:pPr>
        <w:widowControl/>
        <w:jc w:val="left"/>
        <w:rPr>
          <w:rFonts w:ascii="Times New Roman" w:hAnsi="Times New Roman" w:eastAsia="黑体" w:cs="Times New Roman"/>
          <w:color w:val="000000"/>
          <w:kern w:val="0"/>
          <w:sz w:val="36"/>
          <w:szCs w:val="36"/>
        </w:rPr>
      </w:pPr>
    </w:p>
    <w:p w14:paraId="79146088">
      <w:pPr>
        <w:widowControl/>
        <w:jc w:val="left"/>
        <w:rPr>
          <w:rFonts w:ascii="Times New Roman" w:hAnsi="Times New Roman" w:eastAsia="黑体" w:cs="Times New Roman"/>
          <w:color w:val="000000"/>
          <w:kern w:val="0"/>
          <w:sz w:val="36"/>
          <w:szCs w:val="36"/>
        </w:rPr>
      </w:pPr>
    </w:p>
    <w:p w14:paraId="213276B5">
      <w:pPr>
        <w:widowControl/>
        <w:jc w:val="left"/>
        <w:rPr>
          <w:rFonts w:ascii="Times New Roman" w:hAnsi="Times New Roman" w:eastAsia="黑体" w:cs="Times New Roman"/>
          <w:color w:val="000000"/>
          <w:kern w:val="0"/>
          <w:sz w:val="36"/>
          <w:szCs w:val="36"/>
        </w:rPr>
      </w:pPr>
    </w:p>
    <w:p w14:paraId="721A21F8">
      <w:pPr>
        <w:widowControl/>
        <w:ind w:firstLine="720" w:firstLineChars="200"/>
        <w:jc w:val="left"/>
        <w:rPr>
          <w:rFonts w:ascii="Times New Roman" w:hAnsi="Times New Roman" w:cs="Times New Roman"/>
        </w:rPr>
      </w:pPr>
      <w:r>
        <w:rPr>
          <w:rFonts w:ascii="Times New Roman" w:hAnsi="Times New Roman" w:eastAsia="黑体" w:cs="Times New Roman"/>
          <w:color w:val="000000"/>
          <w:kern w:val="0"/>
          <w:sz w:val="36"/>
          <w:szCs w:val="36"/>
        </w:rPr>
        <w:t>项目名称：</w:t>
      </w:r>
      <w:r>
        <w:rPr>
          <w:rFonts w:hint="eastAsia" w:ascii="Times New Roman" w:hAnsi="Times New Roman" w:eastAsia="黑体" w:cs="Times New Roman"/>
          <w:color w:val="000000"/>
          <w:kern w:val="0"/>
          <w:sz w:val="36"/>
          <w:szCs w:val="36"/>
          <w:u w:val="single"/>
        </w:rPr>
        <w:t>全域旅游三年行动项目经费</w:t>
      </w:r>
      <w:r>
        <w:rPr>
          <w:rFonts w:ascii="Times New Roman" w:hAnsi="Times New Roman" w:eastAsia="黑体" w:cs="Times New Roman"/>
          <w:color w:val="000000"/>
          <w:kern w:val="0"/>
          <w:sz w:val="36"/>
          <w:szCs w:val="36"/>
          <w:u w:val="single"/>
        </w:rPr>
        <w:t xml:space="preserve"> </w:t>
      </w:r>
    </w:p>
    <w:p w14:paraId="36D95B4F">
      <w:pPr>
        <w:widowControl/>
        <w:ind w:firstLine="720" w:firstLineChars="200"/>
        <w:jc w:val="left"/>
        <w:rPr>
          <w:rFonts w:ascii="Times New Roman" w:hAnsi="Times New Roman" w:cs="Times New Roman"/>
        </w:rPr>
      </w:pPr>
      <w:r>
        <w:rPr>
          <w:rFonts w:ascii="Times New Roman" w:hAnsi="Times New Roman" w:eastAsia="黑体" w:cs="Times New Roman"/>
          <w:color w:val="000000"/>
          <w:kern w:val="0"/>
          <w:sz w:val="36"/>
          <w:szCs w:val="36"/>
        </w:rPr>
        <w:t>项目单位：</w:t>
      </w:r>
      <w:r>
        <w:rPr>
          <w:rFonts w:hint="eastAsia" w:ascii="Times New Roman" w:hAnsi="Times New Roman" w:eastAsia="黑体" w:cs="Times New Roman"/>
          <w:color w:val="000000"/>
          <w:kern w:val="0"/>
          <w:sz w:val="36"/>
          <w:szCs w:val="36"/>
          <w:u w:val="single"/>
        </w:rPr>
        <w:t>武汉市武昌区文化和旅游局</w:t>
      </w:r>
      <w:r>
        <w:rPr>
          <w:rFonts w:ascii="Times New Roman" w:hAnsi="Times New Roman" w:eastAsia="黑体" w:cs="Times New Roman"/>
          <w:color w:val="000000"/>
          <w:kern w:val="0"/>
          <w:sz w:val="36"/>
          <w:szCs w:val="36"/>
        </w:rPr>
        <w:t xml:space="preserve"> </w:t>
      </w:r>
    </w:p>
    <w:p w14:paraId="1D6C7204">
      <w:pPr>
        <w:widowControl/>
        <w:ind w:firstLine="720" w:firstLineChars="200"/>
        <w:jc w:val="left"/>
        <w:rPr>
          <w:rFonts w:ascii="Times New Roman" w:hAnsi="Times New Roman" w:eastAsia="黑体" w:cs="Times New Roman"/>
          <w:color w:val="000000"/>
          <w:kern w:val="0"/>
          <w:sz w:val="36"/>
          <w:szCs w:val="36"/>
          <w:u w:val="single"/>
        </w:rPr>
      </w:pPr>
      <w:r>
        <w:rPr>
          <w:rFonts w:ascii="Times New Roman" w:hAnsi="Times New Roman" w:eastAsia="黑体" w:cs="Times New Roman"/>
          <w:color w:val="000000"/>
          <w:kern w:val="0"/>
          <w:sz w:val="36"/>
          <w:szCs w:val="36"/>
        </w:rPr>
        <w:t>主管部门：</w:t>
      </w:r>
      <w:r>
        <w:rPr>
          <w:rFonts w:ascii="Times New Roman" w:hAnsi="Times New Roman" w:eastAsia="黑体" w:cs="Times New Roman"/>
          <w:color w:val="000000"/>
          <w:kern w:val="0"/>
          <w:sz w:val="36"/>
          <w:szCs w:val="36"/>
          <w:u w:val="single"/>
        </w:rPr>
        <w:t xml:space="preserve">      </w:t>
      </w:r>
      <w:r>
        <w:rPr>
          <w:rFonts w:hint="eastAsia" w:ascii="Times New Roman" w:hAnsi="Times New Roman" w:eastAsia="黑体" w:cs="Times New Roman"/>
          <w:color w:val="000000"/>
          <w:kern w:val="0"/>
          <w:sz w:val="36"/>
          <w:szCs w:val="36"/>
          <w:u w:val="single"/>
        </w:rPr>
        <w:t xml:space="preserve">   </w:t>
      </w:r>
      <w:r>
        <w:rPr>
          <w:rFonts w:ascii="Times New Roman" w:hAnsi="Times New Roman" w:eastAsia="黑体" w:cs="Times New Roman"/>
          <w:color w:val="000000"/>
          <w:kern w:val="0"/>
          <w:sz w:val="36"/>
          <w:szCs w:val="36"/>
          <w:u w:val="single"/>
        </w:rPr>
        <w:t xml:space="preserve"> (盖章)         </w:t>
      </w:r>
    </w:p>
    <w:p w14:paraId="6B42CC97">
      <w:pPr>
        <w:widowControl/>
        <w:ind w:firstLine="720" w:firstLineChars="200"/>
        <w:jc w:val="left"/>
        <w:rPr>
          <w:rFonts w:ascii="Times New Roman" w:hAnsi="Times New Roman" w:cs="Times New Roman"/>
        </w:rPr>
      </w:pPr>
      <w:r>
        <w:rPr>
          <w:rFonts w:hint="eastAsia" w:ascii="Times New Roman" w:hAnsi="Times New Roman" w:eastAsia="黑体" w:cs="Times New Roman"/>
          <w:color w:val="000000"/>
          <w:kern w:val="0"/>
          <w:sz w:val="36"/>
          <w:szCs w:val="36"/>
        </w:rPr>
        <w:t>评价机构：</w:t>
      </w:r>
      <w:r>
        <w:rPr>
          <w:rFonts w:hint="eastAsia" w:ascii="Times New Roman" w:hAnsi="Times New Roman" w:eastAsia="黑体" w:cs="Times New Roman"/>
          <w:color w:val="000000"/>
          <w:kern w:val="0"/>
          <w:sz w:val="36"/>
          <w:szCs w:val="36"/>
          <w:u w:val="single"/>
        </w:rPr>
        <w:t>武汉康力会计师事务有限责任公司</w:t>
      </w:r>
    </w:p>
    <w:p w14:paraId="1C2DD533">
      <w:pPr>
        <w:widowControl/>
        <w:jc w:val="left"/>
        <w:rPr>
          <w:rFonts w:ascii="Times New Roman" w:hAnsi="Times New Roman" w:eastAsia="黑体" w:cs="Times New Roman"/>
          <w:color w:val="000000"/>
          <w:kern w:val="0"/>
          <w:sz w:val="32"/>
          <w:szCs w:val="32"/>
        </w:rPr>
      </w:pPr>
    </w:p>
    <w:p w14:paraId="77F344BC">
      <w:pPr>
        <w:widowControl/>
        <w:jc w:val="left"/>
        <w:rPr>
          <w:rFonts w:ascii="Times New Roman" w:hAnsi="Times New Roman" w:eastAsia="黑体" w:cs="Times New Roman"/>
          <w:color w:val="000000"/>
          <w:kern w:val="0"/>
          <w:sz w:val="32"/>
          <w:szCs w:val="32"/>
        </w:rPr>
      </w:pPr>
    </w:p>
    <w:p w14:paraId="4E234274">
      <w:pPr>
        <w:widowControl/>
        <w:jc w:val="left"/>
        <w:rPr>
          <w:rFonts w:ascii="Times New Roman" w:hAnsi="Times New Roman" w:eastAsia="黑体" w:cs="Times New Roman"/>
          <w:color w:val="000000"/>
          <w:kern w:val="0"/>
          <w:sz w:val="32"/>
          <w:szCs w:val="32"/>
        </w:rPr>
      </w:pPr>
    </w:p>
    <w:p w14:paraId="730537A4">
      <w:pPr>
        <w:widowControl/>
        <w:jc w:val="left"/>
        <w:rPr>
          <w:rFonts w:ascii="Times New Roman" w:hAnsi="Times New Roman" w:eastAsia="黑体" w:cs="Times New Roman"/>
          <w:color w:val="000000"/>
          <w:kern w:val="0"/>
          <w:sz w:val="32"/>
          <w:szCs w:val="32"/>
        </w:rPr>
      </w:pPr>
    </w:p>
    <w:p w14:paraId="76263CA0">
      <w:pPr>
        <w:widowControl/>
        <w:jc w:val="center"/>
        <w:rPr>
          <w:rFonts w:ascii="Times New Roman" w:hAnsi="Times New Roman" w:cs="Times New Roman"/>
        </w:rPr>
      </w:pPr>
      <w:r>
        <w:rPr>
          <w:rFonts w:hint="eastAsia" w:ascii="Times New Roman" w:hAnsi="Times New Roman" w:eastAsia="黑体" w:cs="Times New Roman"/>
          <w:color w:val="000000"/>
          <w:kern w:val="0"/>
          <w:sz w:val="32"/>
          <w:szCs w:val="32"/>
        </w:rPr>
        <w:t>2020</w:t>
      </w:r>
      <w:r>
        <w:rPr>
          <w:rFonts w:ascii="Times New Roman" w:hAnsi="Times New Roman" w:eastAsia="黑体" w:cs="Times New Roman"/>
          <w:color w:val="000000"/>
          <w:kern w:val="0"/>
          <w:sz w:val="32"/>
          <w:szCs w:val="32"/>
        </w:rPr>
        <w:t>年</w:t>
      </w:r>
      <w:r>
        <w:rPr>
          <w:rFonts w:hint="eastAsia" w:ascii="Times New Roman" w:hAnsi="Times New Roman" w:eastAsia="黑体" w:cs="Times New Roman"/>
          <w:color w:val="000000"/>
          <w:kern w:val="0"/>
          <w:sz w:val="32"/>
          <w:szCs w:val="32"/>
        </w:rPr>
        <w:t>08</w:t>
      </w:r>
      <w:r>
        <w:rPr>
          <w:rFonts w:ascii="Times New Roman" w:hAnsi="Times New Roman" w:eastAsia="黑体" w:cs="Times New Roman"/>
          <w:color w:val="000000"/>
          <w:kern w:val="0"/>
          <w:sz w:val="32"/>
          <w:szCs w:val="32"/>
        </w:rPr>
        <w:t>月</w:t>
      </w:r>
    </w:p>
    <w:p w14:paraId="0A09A7C5">
      <w:pPr>
        <w:widowControl/>
        <w:jc w:val="left"/>
        <w:rPr>
          <w:rFonts w:ascii="Times New Roman" w:hAnsi="Times New Roman" w:eastAsia="黑体" w:cs="Times New Roman"/>
          <w:color w:val="000000"/>
          <w:kern w:val="0"/>
          <w:sz w:val="32"/>
          <w:szCs w:val="32"/>
        </w:rPr>
      </w:pPr>
    </w:p>
    <w:p w14:paraId="518E1878">
      <w:pPr>
        <w:jc w:val="center"/>
        <w:rPr>
          <w:rFonts w:ascii="Times New Roman" w:hAnsi="Times New Roman" w:cs="Times New Roman"/>
          <w:szCs w:val="30"/>
        </w:rPr>
      </w:pPr>
    </w:p>
    <w:p w14:paraId="537C4C4D">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一、基本情况</w:t>
      </w:r>
    </w:p>
    <w:p w14:paraId="33FD1931">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（一）项目概况。包括项目背景、主要内容及实施情况、资金投入和使用情况等。</w:t>
      </w:r>
    </w:p>
    <w:p w14:paraId="4A0BFC43">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1、项目背景</w:t>
      </w:r>
    </w:p>
    <w:p w14:paraId="1107202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域旅游，是指在一定区域内，以旅游业为优势产业，通过对区域内经济社会资源尤其是旅游资源、相关产业、生态环境、公共服务、体制机制、政策法规、文明素质等进行全方位、系统化的优化提升，实现区域资源有机整合、产业融合发展、社会共建共享，以旅游业带动和促进经济社会协调发展的一种新的区域协调发展理念和模式。</w:t>
      </w:r>
    </w:p>
    <w:p w14:paraId="17D5A7CF">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域旅游”是空间全景化的系统旅游，是跳出传统旅游谋划现代旅游、跳出小旅游谋划大旅游。全域旅游强调把整个区域作为旅游区进行打造，把全域作为旅游发展的载体和平台，使旅游成为常态化生活方式；从全要素、全行业、全过程、全方位、全时空等角度推进旅游产业发展，实现旅游景观全域优化、旅游服务全域配套、旅游治理全域覆盖、旅游产业全域联动和旅游成果全民共享。</w:t>
      </w:r>
    </w:p>
    <w:p w14:paraId="345FAB1B">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发展全域旅游具有重要意义。其一，全域旅游是推进旅游业转型升级的重要途径。当前，我国旅游业发展面临从旅游资源开发到经营管理、市场环境等一系列挑战，新的发展形势要求旅游业必须改变传统的发展模式，更好地适应市场需求。通过发展全域旅游，可以有效推进旅游业转型升级。其二，全域旅游是加速旅游管理体制改革的必要手段。从旅游业发展现实来看，旅游活动已经远远超越旅游管理的范畴，旅游管理从单一部门行为到由政府机构统筹管理转变是必然选择。通过发展全域旅游，可以加速旅游管理体制的转变。 其三，全域旅游是解决旅游供给不足的有力抓手。随着大众旅游时代的到来和交通通讯技术的发展，人们的旅游方式发生了很大变化，只有从全域整体优化旅游供给才能有效满足游客需求。</w:t>
      </w:r>
    </w:p>
    <w:p w14:paraId="37384ABA">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在2017年政府工作报告中，李克强总理提到了“全域旅游”这一两会热词。报告指出，要完善旅游设施和服务，大力发展乡村、休闲、全域旅游。这是“全域旅游”第一次被写入政府工作报告，引起了公众广泛关注。2018年3月，国务院办公厅印发《关于促进全域旅游发展的指导意见》，就加快推动旅游业转型升级、提质增效，全面优化旅游发展环境，走全域旅游发展的新路子作出部署。</w:t>
      </w:r>
    </w:p>
    <w:p w14:paraId="7117F3FC">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2018年9月28日，在全省旅游发展大会上，湖北省发布的《湖北省人民政府关于促进全域旅游的实施意见》（鄂政发[2018]35号）提出7大类25条措施，强化旅游产业战略地位，加快全域旅游发展，努力把湖北打造成为国内一流旅游目的地和长江国际黄金旅游带核心区。市委市政府专门制定了《武汉市全域旅游大发展三年行动计划（2018-2020）》，大力发展“五色旅游”，推进旅游创新发展，提升旅游国际化、智慧化、品质化水平，实现旅游经济规模、产业实力、国际影响力加快提升。武昌区人民政府配套出台了《武昌区全域旅游大发展三年行动计划（2018-2020）》，以适应旅游消费大众化、旅游需求品质化、旅游发展全域化新趋势，更发挥旅游对经济社会发展的带动作用。</w:t>
      </w:r>
    </w:p>
    <w:p w14:paraId="196B5A90">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2、</w:t>
      </w:r>
      <w:r>
        <w:rPr>
          <w:rFonts w:ascii="Times New Roman" w:hAnsi="Times New Roman" w:eastAsia="仿宋_GB2312" w:cs="Times New Roman"/>
          <w:sz w:val="32"/>
          <w:szCs w:val="32"/>
        </w:rPr>
        <w:t>主要内容及实施情</w:t>
      </w:r>
      <w:r>
        <w:rPr>
          <w:rFonts w:hint="eastAsia" w:ascii="仿宋_GB2312" w:eastAsia="仿宋_GB2312" w:cs="Times New Roman"/>
          <w:bCs w:val="0"/>
          <w:kern w:val="2"/>
          <w:sz w:val="32"/>
          <w:szCs w:val="32"/>
        </w:rPr>
        <w:t>况</w:t>
      </w:r>
    </w:p>
    <w:p w14:paraId="4BB65292">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汉市武昌区文化和旅游局（以下简称“区文旅局”）下设旅游科(产业科)，负责全区全域旅游发展规划的制定和组织指导实施;负责指导旅游景区、旅游特色街区创建;负责全区文化、旅游、体育产业发展战略、发展规划的制定;按照省市区的工作部署，制定全区文化、旅游、体育产业发展的意见及相关政策措施;协调全区文化、旅游、体育产业交流与合作等工作;做好文化、旅游、体育等产业招商引资工作;推进文化产业园区建设。</w:t>
      </w:r>
    </w:p>
    <w:p w14:paraId="06757C4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为深入贯彻习近平总书记关于发展旅游业的重要指示精神，适应旅游消费大众化、旅游需求品质化、旅游发展全域化新趋势，更好发挥旅游对经济社会发展的带动作用，区委、区政府高度重视全域旅游工作，按照“红色引擎+五线推进”的工作思路，突出特色、彰显亮点，以文化建设为灵魂，以要素提升为重点，以品牌建设为突破口，以项目建设为抓手，积极构建“一核两带”旅游发展新格局，实施“五色旅游”精品景区发展计划，着力增强行业管理服务水平，在推进全域旅游发展中强化“武昌担当”，努力开创武昌全域旅游工作新局面。</w:t>
      </w:r>
    </w:p>
    <w:p w14:paraId="1E1D1C4F">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2019年1月24日，区文旅局组织召开武昌旅游发展联盟年会，邀请联盟成员及其他旅游企业共61家单位参会，总结联盟2018年工作开展情况，通报旅游行业红黑榜单位，推进行业自律，强调共商共建共享，合力营造了关注旅游、支持旅游、文明旅游的良好氛围。</w:t>
      </w:r>
    </w:p>
    <w:p w14:paraId="6C7F5C6D">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2019年3月19日，区文旅局牵头组织召开武昌区全域旅游大发展2019年度项目调度会，对新年度全域旅游三年行动计划重要项目编制清单逐一下发，并要求形成季度汇总机制，全程全时做好工作的跟踪调度。</w:t>
      </w:r>
    </w:p>
    <w:p w14:paraId="0A4E3D0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区文旅局全年按照项目清单认真完成任务：如完善游客咨询服务中心功能；建设武昌旅游综合信息服务平台（一期）；实施武昌全域旅游标识标牌建设；制作并推广武昌旅游形象宣传片；开展武昌美食节、艺术节、旅游节等节庆活动，开展中国（武昌）辛亥首义文化节活动等。</w:t>
      </w:r>
    </w:p>
    <w:p w14:paraId="19B91FA3">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区文旅局按照全域旅游发展规划，紧密围绕旅游行政执法</w:t>
      </w:r>
      <w:r>
        <w:rPr>
          <w:rFonts w:hint="eastAsia" w:ascii="仿宋_GB2312" w:hAnsi="Times New Roman" w:eastAsia="仿宋_GB2312" w:cs="Times New Roman"/>
          <w:bCs/>
          <w:sz w:val="32"/>
          <w:szCs w:val="32"/>
        </w:rPr>
        <w:t>体系，完善执法责任制。着重开展旅游市场秩序专项整治保障行动以及旅游消费维权服务行动。2019年武昌在全市率先成立旅游调解工作站，依托专业调解机构提升旅游纠纷调解的办理质量。旨在</w:t>
      </w:r>
      <w:r>
        <w:rPr>
          <w:rFonts w:ascii="仿宋_GB2312" w:hAnsi="Times New Roman" w:eastAsia="仿宋_GB2312" w:cs="Times New Roman"/>
          <w:bCs/>
          <w:sz w:val="32"/>
          <w:szCs w:val="32"/>
        </w:rPr>
        <w:t>妥善处理旅游者和旅游经营者之间的旅游纠纷，依法保护旅游者和旅游经营者的合法权益，营造和谐的旅游消费环境</w:t>
      </w:r>
      <w:r>
        <w:rPr>
          <w:rFonts w:hint="eastAsia" w:ascii="仿宋_GB2312" w:hAnsi="Times New Roman" w:eastAsia="仿宋_GB2312" w:cs="Times New Roman"/>
          <w:bCs/>
          <w:sz w:val="32"/>
          <w:szCs w:val="32"/>
        </w:rPr>
        <w:t>。</w:t>
      </w:r>
    </w:p>
    <w:p w14:paraId="303F2F29">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3、</w:t>
      </w:r>
      <w:r>
        <w:rPr>
          <w:rFonts w:ascii="Times New Roman" w:hAnsi="Times New Roman" w:eastAsia="仿宋_GB2312" w:cs="Times New Roman"/>
          <w:sz w:val="32"/>
          <w:szCs w:val="32"/>
        </w:rPr>
        <w:t>资金投入和使用情况</w:t>
      </w:r>
    </w:p>
    <w:p w14:paraId="47A98B58">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根据《武昌区财政局关于武昌区文体旅游发展委员会2019年部门预算的批复》（武昌财预[2019]46号），全域旅游三年行动计划项目经费</w:t>
      </w:r>
      <w:r>
        <w:rPr>
          <w:rFonts w:ascii="仿宋_GB2312" w:hAnsi="仿宋" w:eastAsia="仿宋_GB2312" w:cs="Times New Roman"/>
          <w:sz w:val="32"/>
          <w:szCs w:val="32"/>
        </w:rPr>
        <w:t>3,000,000.00</w:t>
      </w:r>
      <w:r>
        <w:rPr>
          <w:rFonts w:hint="eastAsia" w:ascii="仿宋_GB2312" w:hAnsi="仿宋" w:eastAsia="仿宋_GB2312" w:cs="Times New Roman"/>
          <w:sz w:val="32"/>
          <w:szCs w:val="32"/>
        </w:rPr>
        <w:t>元，年中依据《武昌区财政局关于贯彻落实过“紧日子”要求进一步压减一般性支出的通知》调整减少项目经费</w:t>
      </w:r>
      <w:r>
        <w:rPr>
          <w:rFonts w:ascii="仿宋_GB2312" w:hAnsi="仿宋" w:eastAsia="仿宋_GB2312" w:cs="Times New Roman"/>
          <w:sz w:val="32"/>
          <w:szCs w:val="32"/>
        </w:rPr>
        <w:t>50,000.00</w:t>
      </w:r>
      <w:r>
        <w:rPr>
          <w:rFonts w:hint="eastAsia" w:ascii="仿宋_GB2312" w:hAnsi="仿宋" w:eastAsia="仿宋_GB2312" w:cs="Times New Roman"/>
          <w:sz w:val="32"/>
          <w:szCs w:val="32"/>
        </w:rPr>
        <w:t>元，全年全域旅游三年行动计划项目经费</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元，实际使用</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元，其中：文化产业发展</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十四五</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规划支出180,000.00元，全域旅游标识标牌建设支出40,932.00元，武昌旅游综合信息服务平台（一期）建设支出112,368.00元，各类形象宣传支出612,800.00元，开展中国（武昌）辛亥首义文化节支出970,000.00元，游客咨询服务中心建设支出450,000.00元，开展各类节庆活动支出409,736.00元，惠民演出支出174,164.00元。</w:t>
      </w:r>
    </w:p>
    <w:p w14:paraId="545A7264">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（二）项目绩效目标。包括总体目标和阶段性目标。</w:t>
      </w:r>
    </w:p>
    <w:p w14:paraId="3F381284">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1、总体目标</w:t>
      </w:r>
    </w:p>
    <w:p w14:paraId="147C575D">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深入贯彻落实党的十九大精神，高举习近平新时代中国特色社会主义思想旗帜，充分发挥武昌资源禀赋优势，着力推进景点打造全域联动、旅游招商全域推介、景点营销全域扩散、旅游消费全域监管、文明旅游全域推广，不断满足人民日益增长的美好生活需要，建设历史文化旅游名城，争创全国全域旅游示范区。通过三年努力，旅游基础服务体系进一步完善，旅游管理服务水平和城市美誉度进一步提升，力争新增国家3A、4A级景区（点）各1家，基本建成大黄鹤楼—武昌古城5A级景区，2020年旅游接待人数突破1亿人次。</w:t>
      </w:r>
    </w:p>
    <w:p w14:paraId="61D5DA09">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2、本年目标</w:t>
      </w:r>
    </w:p>
    <w:p w14:paraId="3BBB2BC4">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落实顶层设计。认真落实区委、区政府决策部署，加快旅游供给侧结构性改革，完善配套设施和服务体系，打造武昌旅游核心品牌。聚焦长江主轴，加快推进长江主轴右岸大道江南亮点旅游区块建设，打造展示武昌古城独特魅力的文化轴线，启动大黄鹤楼——武昌古城国家5A级景区创建，实现全年旅游总收入增长12%以上，年接待游客总数增长10%以上。</w:t>
      </w:r>
    </w:p>
    <w:p w14:paraId="6F473536">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拓展五色旅游。充分发挥武昌山水资源优势和历史人文底蕴，拓展以弘扬社会主义核心价值观为主线的“红色旅游”；以武昌古城为主线的“古色旅游”；以武昌依江伴湖丰富的江湖资源为主体的“蓝色旅游”；以蛇山、珞珈山等山体资源的“绿色旅游”，以楚河汉街、汉秀、湖北剧院等为主体的“夜色旅游”。</w:t>
      </w:r>
    </w:p>
    <w:p w14:paraId="40CBD733">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实施“美丽武昌行”行动。加大智慧旅游建设力度，以宣传视频、专业讲解、成果发布、文化演出等多种形式展示武昌旅游的独特魅力以及武昌历史之城丰富的旅游资源和深厚的历史文化，提升武昌旅游品牌的全球竞争力和国际知名度，向世界发出邀请，“用自己的眼睛观察和体验一个客观、现实的武昌，一个超乎想象的武昌”。</w:t>
      </w:r>
    </w:p>
    <w:p w14:paraId="7EDD5517">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推动“旅游+”、“+旅游”融合发展。充分利用武汉过早等非遗文化资源，做大做强“武昌喊你来过早”等旅游活动品牌。积极开发爱国主义和革命传统教育、国情教育等研学旅游产品；科学利用首义历史文化遗迹及博物馆、纪念馆、美术馆、艺术馆、非物质文化遗产展示馆等文化场所开展文化、文物旅游；推动剧场、演艺、游乐、动漫等产业与旅游业融合开展文化体验旅游。</w:t>
      </w:r>
    </w:p>
    <w:p w14:paraId="0C646D0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强化市场监管。开展全区旅游系统履职尽责督促检查工作，强化旅游景区、景点等窗口地区环境整治，旅游投诉处置率100%，旅行社服务网点合法合规季度检查覆盖率100%，不断优化旅游环境和服务，提升区域旅游综合竞争力。</w:t>
      </w:r>
    </w:p>
    <w:p w14:paraId="22A9F493">
      <w:pPr>
        <w:spacing w:line="600" w:lineRule="exact"/>
        <w:ind w:firstLine="640" w:firstLineChars="200"/>
        <w:rPr>
          <w:rFonts w:ascii="仿宋_GB2312" w:hAnsi="仿宋" w:eastAsia="仿宋_GB2312" w:cs="Times New Roman"/>
          <w:sz w:val="32"/>
          <w:szCs w:val="32"/>
        </w:rPr>
      </w:pPr>
    </w:p>
    <w:p w14:paraId="01F78F89">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二、绩效评价工作开展情况</w:t>
      </w:r>
    </w:p>
    <w:p w14:paraId="7BE19F56">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（一）绩效评价目的、对象和范围。</w:t>
      </w:r>
    </w:p>
    <w:p w14:paraId="5A98C1F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化预算管理改革，进一步加强武汉市武昌区文化和旅游局全域旅游三年行动项目经费实施的监督管理，提高财政资金使用效益，根据《中华人民共和国预算法》和《项目支出绩效评价管理办法》等国家有关规章制度，按照武汉市武昌区财政局的工作部署进行此次绩效评价。此外，本次绩效评价还力争实现以下目的：</w:t>
      </w:r>
    </w:p>
    <w:p w14:paraId="1BB401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按照项目资金管理要求，设计合理的指标体系和评价标准，采取科学、规范的评价方法，采用定性及定量相结合的评价指标，对“武汉市武昌区文化和旅游局全域旅游三年行动项目经费”的决策、过程、产出和效果四个方面进行客观公正地评价。</w:t>
      </w:r>
    </w:p>
    <w:p w14:paraId="181DCE1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2、通过绩效评价为合理分配资金、优化支出提供依据，也为逐步建立“预算编制有目标，预算执行有监控，预算完成有评价，评价结果有反馈，反馈结果有应用”的绩效评价机制提供决策依据。</w:t>
      </w:r>
    </w:p>
    <w:p w14:paraId="011EDE9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通过绩效评价总结前一年度项目实施的经验教训，为进一步加强“武汉市武昌区文化和旅游局全域旅游三年行动项目经费”管理，提高项目建设水平，发挥资金效益提供重要的参考依据，也为将来的社会民生服务项目提供借鉴。</w:t>
      </w:r>
    </w:p>
    <w:p w14:paraId="597E298A">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（二）绩效评价原则、评价指标体系（附表说明）、评价方法、评价标准等。</w:t>
      </w:r>
    </w:p>
    <w:p w14:paraId="7CDD489C">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1、评价依据</w:t>
      </w:r>
    </w:p>
    <w:p w14:paraId="22B54D5D">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（1）</w:t>
      </w:r>
      <w:r>
        <w:rPr>
          <w:rFonts w:hint="eastAsia" w:ascii="仿宋_GB2312" w:hAnsi="Times New Roman" w:eastAsia="仿宋_GB2312" w:cs="Times New Roman"/>
          <w:sz w:val="32"/>
          <w:szCs w:val="32"/>
        </w:rPr>
        <w:t xml:space="preserve">《中华人民共和国预算法》（2014年修订版）； </w:t>
      </w:r>
    </w:p>
    <w:p w14:paraId="52731E3E">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（2）</w:t>
      </w:r>
      <w:r>
        <w:rPr>
          <w:rFonts w:hint="eastAsia" w:ascii="仿宋_GB2312" w:hAnsi="Times New Roman" w:eastAsia="仿宋_GB2312" w:cs="Times New Roman"/>
          <w:sz w:val="32"/>
          <w:szCs w:val="32"/>
        </w:rPr>
        <w:t>关于印发《湖北省财政项目资金绩效评价操作指南》的通知（鄂财函[2014]376号）；</w:t>
      </w:r>
    </w:p>
    <w:p w14:paraId="702BF091">
      <w:pPr>
        <w:spacing w:line="600" w:lineRule="exact"/>
        <w:ind w:firstLine="640" w:firstLineChars="200"/>
        <w:rPr>
          <w:rFonts w:ascii="仿宋_GB2312" w:hAnsi="Times New Roman" w:eastAsia="仿宋_GB2312" w:cs="Times New Roman"/>
          <w:sz w:val="32"/>
          <w:szCs w:val="32"/>
        </w:rPr>
      </w:pPr>
      <w:r>
        <w:rPr>
          <w:rFonts w:hint="eastAsia" w:ascii="宋体" w:hAnsi="宋体" w:eastAsia="宋体" w:cs="Times New Roman"/>
          <w:sz w:val="32"/>
          <w:szCs w:val="32"/>
        </w:rPr>
        <w:t>（3）</w:t>
      </w:r>
      <w:r>
        <w:rPr>
          <w:rFonts w:hint="eastAsia" w:ascii="仿宋_GB2312" w:hAnsi="Times New Roman" w:eastAsia="仿宋_GB2312" w:cs="Times New Roman"/>
          <w:sz w:val="32"/>
          <w:szCs w:val="32"/>
        </w:rPr>
        <w:t>关于印发《预算绩效评价共性指标体系框架》的通知(财预[2015]53号)；</w:t>
      </w:r>
    </w:p>
    <w:p w14:paraId="3BA5A3B6">
      <w:pPr>
        <w:spacing w:line="600" w:lineRule="exact"/>
        <w:ind w:firstLine="640" w:firstLineChars="200"/>
        <w:rPr>
          <w:rFonts w:ascii="仿宋_GB2312" w:hAnsi="Times New Roman" w:eastAsia="仿宋_GB2312" w:cs="Times New Roman"/>
          <w:sz w:val="32"/>
          <w:szCs w:val="32"/>
        </w:rPr>
      </w:pPr>
      <w:r>
        <w:rPr>
          <w:rFonts w:hint="eastAsia" w:ascii="宋体" w:hAnsi="宋体" w:eastAsia="宋体" w:cs="Times New Roman"/>
          <w:sz w:val="32"/>
          <w:szCs w:val="32"/>
        </w:rPr>
        <w:t>（4）</w:t>
      </w:r>
      <w:r>
        <w:rPr>
          <w:rFonts w:hint="eastAsia" w:ascii="仿宋_GB2312" w:hAnsi="Times New Roman" w:eastAsia="仿宋_GB2312" w:cs="Times New Roman"/>
          <w:sz w:val="32"/>
          <w:szCs w:val="32"/>
        </w:rPr>
        <w:t>《市财政局关于进一步加强预算绩效管理工作的通知》（武财绩[2015]465号）；</w:t>
      </w:r>
    </w:p>
    <w:p w14:paraId="5794365B">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（5）</w:t>
      </w:r>
      <w:r>
        <w:rPr>
          <w:rFonts w:hint="eastAsia" w:ascii="仿宋_GB2312" w:hAnsi="Times New Roman" w:eastAsia="仿宋_GB2312" w:cs="Times New Roman"/>
          <w:sz w:val="32"/>
          <w:szCs w:val="32"/>
        </w:rPr>
        <w:t>关于贯彻落实《中共中央 国务院关于全面实施预算绩效管理的意见》的通知（财预[2019]167号）；</w:t>
      </w:r>
    </w:p>
    <w:p w14:paraId="15F40B6D">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（6）</w:t>
      </w:r>
      <w:r>
        <w:rPr>
          <w:rFonts w:hint="eastAsia" w:ascii="仿宋_GB2312" w:hAnsi="Times New Roman" w:eastAsia="仿宋_GB2312" w:cs="Times New Roman"/>
          <w:sz w:val="32"/>
          <w:szCs w:val="32"/>
        </w:rPr>
        <w:t>《项目支出绩效评价管理办法》（财预[2020]10 号）。</w:t>
      </w:r>
    </w:p>
    <w:p w14:paraId="7D0C1EA0">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2、评价原则</w:t>
      </w:r>
    </w:p>
    <w:p w14:paraId="05B34E7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科学规范原则。我们将严格执行规定的程序，按照科学可行的要求，采用定量与定性分析相结合的方法，对“武汉市武昌区文化和旅游局全域旅游三年行动项目经费”进行绩效评价。同时在反映产出、效果等方面的末级明细指标细化、量化程度较高，降低评价人员的主观影响。</w:t>
      </w:r>
    </w:p>
    <w:p w14:paraId="1A5BD74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（2）公正公开原则。本次绩效评价符合真实、客观、公正的要求，依法公开并接受监督。</w:t>
      </w:r>
    </w:p>
    <w:p w14:paraId="798BF4C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（3）分级分类原则。本次绩效评价根据评价对象的特点分类组织实施。</w:t>
      </w:r>
    </w:p>
    <w:p w14:paraId="685780D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（4）绩效相关原则。我们使用与绩效目标有直接联系，能够恰当反映目标实现程度的绩效评价指标。</w:t>
      </w:r>
    </w:p>
    <w:p w14:paraId="6C3F6AFF">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3、绩效指标体系设计原则</w:t>
      </w:r>
    </w:p>
    <w:p w14:paraId="5153538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本次绩效评价，我们遵循相关性原则、重要性原则、可比性原则、系统性原则、经济性原则。</w:t>
      </w:r>
    </w:p>
    <w:p w14:paraId="33350E51">
      <w:pPr>
        <w:ind w:firstLine="640" w:firstLineChars="200"/>
        <w:rPr>
          <w:rFonts w:ascii="仿宋_GB2312" w:eastAsia="仿宋_GB2312"/>
          <w:sz w:val="32"/>
          <w:szCs w:val="32"/>
        </w:rPr>
      </w:pPr>
      <w:r>
        <w:rPr>
          <w:rFonts w:hint="eastAsia" w:ascii="仿宋_GB2312" w:hAnsi="Arial Narrow" w:eastAsia="仿宋_GB2312" w:cs="Arial Narrow"/>
          <w:sz w:val="32"/>
          <w:szCs w:val="32"/>
        </w:rPr>
        <w:drawing>
          <wp:inline distT="0" distB="0" distL="114300" distR="114300">
            <wp:extent cx="5490210" cy="769620"/>
            <wp:effectExtent l="76200" t="0" r="72390" b="0"/>
            <wp:docPr id="2" name="图片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5D6EE8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（1）相关性原则：应当与绩效目标有直接联系，能够恰当反映目标的实现程度。</w:t>
      </w:r>
    </w:p>
    <w:p w14:paraId="11CCAEF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（2）重要性原则：应当优先使用最具代表性、最能反映评价要求的核心指标。</w:t>
      </w:r>
    </w:p>
    <w:p w14:paraId="7D3DC38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（3）可比性原则：对同类评价对象要设定共性的绩效评价指标，便于评价结果横向比较。</w:t>
      </w:r>
    </w:p>
    <w:p w14:paraId="553665E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（4）系统性原则：应当将定量指标与定性指标相结合，系统反映财政支出所产生的社会效益和可持续影响等。</w:t>
      </w:r>
    </w:p>
    <w:p w14:paraId="4D30266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（5）经济性原则：应当通俗易懂、简便易行，数据的获得应当考虑现实条件和可操作性，符合成本效益原则。</w:t>
      </w:r>
    </w:p>
    <w:p w14:paraId="3471964E">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4、评价工作方法</w:t>
      </w:r>
    </w:p>
    <w:p w14:paraId="3F254BD8">
      <w:pPr>
        <w:spacing w:line="600" w:lineRule="exact"/>
        <w:ind w:firstLine="640" w:firstLineChars="200"/>
        <w:rPr>
          <w:rFonts w:ascii="仿宋_GB2312" w:hAnsi="Times New Roman" w:eastAsia="仿宋_GB2312" w:cs="Times New Roman"/>
          <w:sz w:val="32"/>
          <w:szCs w:val="32"/>
        </w:rPr>
      </w:pPr>
      <w:bookmarkStart w:id="0" w:name="_Hlk20730400"/>
      <w:r>
        <w:rPr>
          <w:rFonts w:hint="eastAsia" w:ascii="仿宋_GB2312" w:hAnsi="Times New Roman" w:eastAsia="仿宋_GB2312" w:cs="Times New Roman"/>
          <w:sz w:val="32"/>
          <w:szCs w:val="32"/>
        </w:rPr>
        <w:t>绩效评价的方式包括现场评价和非现场评价方式。本次绩效评价采取现场评价和非现场评价相结合的方式进行评价。</w:t>
      </w:r>
    </w:p>
    <w:p w14:paraId="5A8BCA8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现场评价需要绩效评价项目小组到现场采取询问、观察、检查、复核等方式对评价项目的有关情况进行核实，对收集的资料进行整理和科学的分析，根据综合分析的结果得出评价结果，撰写评价报告。</w:t>
      </w:r>
    </w:p>
    <w:p w14:paraId="62EEA18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非现场评价是指评价项目小组根据项目单位提交的项目相关资料、总结材料以及网络检索的其他资料进行分析，提出评价意见。</w:t>
      </w:r>
    </w:p>
    <w:p w14:paraId="5917BA94">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5、评价标准的确定方法</w:t>
      </w:r>
    </w:p>
    <w:p w14:paraId="185AE72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标准值的确定方法主要有计划标准、行业标准、历史标准、财政部门和预算部门确认或认可的其他标准等。本次评价采用了计划标准、历史标准来确定标准值。以预先制定的目标、计划、预算、定额等数据作为评价标准，或者参照同类指标的历史数据确定标准值。</w:t>
      </w:r>
    </w:p>
    <w:p w14:paraId="41BBC0F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对于项目内容完成情况、项目水平等需要考核的重要指标，根据考核项目实际产出情况，设计制定分档标准，分档标准值及各档分值由评价人员根据实际工作情况及本次绩效评价目的并征求有关意见加以确定。</w:t>
      </w:r>
    </w:p>
    <w:bookmarkEnd w:id="0"/>
    <w:p w14:paraId="54F38572">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6、评价结果分级</w:t>
      </w:r>
    </w:p>
    <w:p w14:paraId="229ED55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绩效评价结果采取评分与评级相结合的形式，具体分值和等级根据不同评价内容设定。根据财政部《项目支出绩效评价管理办法》（财预[2020]10 号）文，总分一般设置为100分，等级一般划分为四档：90（含）-100分为优、80（含）-90分为良、60（含）-80分为中、60分以下为差。具体得分区间如下：</w:t>
      </w:r>
    </w:p>
    <w:tbl>
      <w:tblPr>
        <w:tblStyle w:val="9"/>
        <w:tblW w:w="8271" w:type="dxa"/>
        <w:jc w:val="right"/>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317"/>
        <w:gridCol w:w="1559"/>
        <w:gridCol w:w="1560"/>
        <w:gridCol w:w="1417"/>
        <w:gridCol w:w="1418"/>
      </w:tblGrid>
      <w:tr w14:paraId="2D506A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right"/>
        </w:trPr>
        <w:tc>
          <w:tcPr>
            <w:tcW w:w="2317" w:type="dxa"/>
            <w:shd w:val="clear" w:color="auto" w:fill="auto"/>
            <w:noWrap/>
            <w:vAlign w:val="center"/>
          </w:tcPr>
          <w:p w14:paraId="3BF83119">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评价等级</w:t>
            </w:r>
          </w:p>
        </w:tc>
        <w:tc>
          <w:tcPr>
            <w:tcW w:w="1559" w:type="dxa"/>
            <w:shd w:val="clear" w:color="auto" w:fill="auto"/>
            <w:noWrap/>
            <w:vAlign w:val="center"/>
          </w:tcPr>
          <w:p w14:paraId="79B7CEC7">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优</w:t>
            </w:r>
          </w:p>
        </w:tc>
        <w:tc>
          <w:tcPr>
            <w:tcW w:w="1560" w:type="dxa"/>
            <w:shd w:val="clear" w:color="auto" w:fill="auto"/>
            <w:noWrap/>
            <w:vAlign w:val="center"/>
          </w:tcPr>
          <w:p w14:paraId="4F62E38A">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良</w:t>
            </w:r>
          </w:p>
        </w:tc>
        <w:tc>
          <w:tcPr>
            <w:tcW w:w="1417" w:type="dxa"/>
            <w:shd w:val="clear" w:color="auto" w:fill="auto"/>
            <w:noWrap/>
            <w:vAlign w:val="center"/>
          </w:tcPr>
          <w:p w14:paraId="5DF98F76">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中</w:t>
            </w:r>
          </w:p>
        </w:tc>
        <w:tc>
          <w:tcPr>
            <w:tcW w:w="1418" w:type="dxa"/>
            <w:shd w:val="clear" w:color="auto" w:fill="auto"/>
            <w:noWrap/>
            <w:vAlign w:val="center"/>
          </w:tcPr>
          <w:p w14:paraId="6EB937DC">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差</w:t>
            </w:r>
          </w:p>
        </w:tc>
      </w:tr>
      <w:tr w14:paraId="1B2DD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right"/>
        </w:trPr>
        <w:tc>
          <w:tcPr>
            <w:tcW w:w="2317" w:type="dxa"/>
            <w:shd w:val="clear" w:color="auto" w:fill="auto"/>
            <w:noWrap/>
            <w:vAlign w:val="center"/>
          </w:tcPr>
          <w:p w14:paraId="73459070">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得分区间</w:t>
            </w:r>
          </w:p>
        </w:tc>
        <w:tc>
          <w:tcPr>
            <w:tcW w:w="1559" w:type="dxa"/>
            <w:shd w:val="clear" w:color="auto" w:fill="auto"/>
            <w:noWrap/>
            <w:vAlign w:val="center"/>
          </w:tcPr>
          <w:p w14:paraId="7EFD5001">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[100,90]</w:t>
            </w:r>
          </w:p>
        </w:tc>
        <w:tc>
          <w:tcPr>
            <w:tcW w:w="1560" w:type="dxa"/>
            <w:shd w:val="clear" w:color="auto" w:fill="auto"/>
            <w:noWrap/>
            <w:vAlign w:val="center"/>
          </w:tcPr>
          <w:p w14:paraId="7355EC5B">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(90,80]</w:t>
            </w:r>
          </w:p>
        </w:tc>
        <w:tc>
          <w:tcPr>
            <w:tcW w:w="1417" w:type="dxa"/>
            <w:shd w:val="clear" w:color="auto" w:fill="auto"/>
            <w:noWrap/>
            <w:vAlign w:val="center"/>
          </w:tcPr>
          <w:p w14:paraId="7C6183E7">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(80,60]</w:t>
            </w:r>
          </w:p>
        </w:tc>
        <w:tc>
          <w:tcPr>
            <w:tcW w:w="1418" w:type="dxa"/>
            <w:shd w:val="clear" w:color="auto" w:fill="auto"/>
            <w:noWrap/>
            <w:vAlign w:val="center"/>
          </w:tcPr>
          <w:p w14:paraId="591CB377">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(60,0]</w:t>
            </w:r>
          </w:p>
        </w:tc>
      </w:tr>
    </w:tbl>
    <w:p w14:paraId="2D84D06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另，针对四个一级指标得分率，参考上述方法，也设置了四个等级。得分率=（实际得分/设置分值）*100%</w:t>
      </w:r>
    </w:p>
    <w:p w14:paraId="04AFFE6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具体等级区间如下：</w:t>
      </w:r>
    </w:p>
    <w:tbl>
      <w:tblPr>
        <w:tblStyle w:val="9"/>
        <w:tblW w:w="5000" w:type="pct"/>
        <w:jc w:val="right"/>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78"/>
        <w:gridCol w:w="1687"/>
        <w:gridCol w:w="1689"/>
        <w:gridCol w:w="1534"/>
        <w:gridCol w:w="1534"/>
      </w:tblGrid>
      <w:tr w14:paraId="64C11B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right"/>
        </w:trPr>
        <w:tc>
          <w:tcPr>
            <w:tcW w:w="1219" w:type="pct"/>
            <w:shd w:val="clear" w:color="auto" w:fill="auto"/>
            <w:noWrap/>
            <w:vAlign w:val="center"/>
          </w:tcPr>
          <w:p w14:paraId="4A500F7A">
            <w:pPr>
              <w:ind w:firstLine="200"/>
              <w:jc w:val="center"/>
              <w:rPr>
                <w:rFonts w:ascii="仿宋_GB2312" w:hAnsi="仿宋" w:eastAsia="仿宋_GB2312"/>
                <w:color w:val="000000"/>
                <w:sz w:val="24"/>
              </w:rPr>
            </w:pPr>
            <w:r>
              <w:rPr>
                <w:rFonts w:hint="eastAsia" w:ascii="仿宋_GB2312" w:hAnsi="仿宋" w:eastAsia="仿宋_GB2312"/>
                <w:color w:val="000000"/>
                <w:sz w:val="24"/>
              </w:rPr>
              <w:t>评价等级</w:t>
            </w:r>
          </w:p>
        </w:tc>
        <w:tc>
          <w:tcPr>
            <w:tcW w:w="990" w:type="pct"/>
            <w:shd w:val="clear" w:color="auto" w:fill="auto"/>
            <w:noWrap/>
            <w:vAlign w:val="center"/>
          </w:tcPr>
          <w:p w14:paraId="0167E28E">
            <w:pPr>
              <w:ind w:firstLine="200"/>
              <w:jc w:val="center"/>
              <w:rPr>
                <w:rFonts w:ascii="仿宋_GB2312" w:hAnsi="仿宋" w:eastAsia="仿宋_GB2312"/>
                <w:color w:val="000000"/>
                <w:sz w:val="24"/>
              </w:rPr>
            </w:pPr>
            <w:r>
              <w:rPr>
                <w:rFonts w:hint="eastAsia" w:ascii="仿宋_GB2312" w:hAnsi="仿宋" w:eastAsia="仿宋_GB2312"/>
                <w:color w:val="000000"/>
                <w:sz w:val="24"/>
              </w:rPr>
              <w:t>优</w:t>
            </w:r>
          </w:p>
        </w:tc>
        <w:tc>
          <w:tcPr>
            <w:tcW w:w="991" w:type="pct"/>
            <w:shd w:val="clear" w:color="auto" w:fill="auto"/>
            <w:noWrap/>
            <w:vAlign w:val="center"/>
          </w:tcPr>
          <w:p w14:paraId="6B491C7D">
            <w:pPr>
              <w:ind w:firstLine="200"/>
              <w:jc w:val="center"/>
              <w:rPr>
                <w:rFonts w:ascii="仿宋_GB2312" w:hAnsi="仿宋" w:eastAsia="仿宋_GB2312"/>
                <w:color w:val="000000"/>
                <w:sz w:val="24"/>
              </w:rPr>
            </w:pPr>
            <w:r>
              <w:rPr>
                <w:rFonts w:hint="eastAsia" w:ascii="仿宋_GB2312" w:hAnsi="仿宋" w:eastAsia="仿宋_GB2312"/>
                <w:color w:val="000000"/>
                <w:sz w:val="24"/>
              </w:rPr>
              <w:t>良</w:t>
            </w:r>
          </w:p>
        </w:tc>
        <w:tc>
          <w:tcPr>
            <w:tcW w:w="900" w:type="pct"/>
            <w:shd w:val="clear" w:color="auto" w:fill="auto"/>
            <w:noWrap/>
            <w:vAlign w:val="center"/>
          </w:tcPr>
          <w:p w14:paraId="3115872B">
            <w:pPr>
              <w:ind w:firstLine="200"/>
              <w:jc w:val="center"/>
              <w:rPr>
                <w:rFonts w:ascii="仿宋_GB2312" w:hAnsi="仿宋" w:eastAsia="仿宋_GB2312"/>
                <w:color w:val="000000"/>
                <w:sz w:val="24"/>
              </w:rPr>
            </w:pPr>
            <w:r>
              <w:rPr>
                <w:rFonts w:hint="eastAsia" w:ascii="仿宋_GB2312" w:hAnsi="仿宋" w:eastAsia="仿宋_GB2312"/>
                <w:color w:val="000000"/>
                <w:sz w:val="24"/>
              </w:rPr>
              <w:t>中</w:t>
            </w:r>
          </w:p>
        </w:tc>
        <w:tc>
          <w:tcPr>
            <w:tcW w:w="900" w:type="pct"/>
            <w:shd w:val="clear" w:color="auto" w:fill="auto"/>
            <w:noWrap/>
            <w:vAlign w:val="center"/>
          </w:tcPr>
          <w:p w14:paraId="63AE7BC8">
            <w:pPr>
              <w:ind w:firstLine="200"/>
              <w:jc w:val="center"/>
              <w:rPr>
                <w:rFonts w:ascii="仿宋_GB2312" w:hAnsi="仿宋" w:eastAsia="仿宋_GB2312"/>
                <w:color w:val="000000"/>
                <w:sz w:val="24"/>
              </w:rPr>
            </w:pPr>
            <w:r>
              <w:rPr>
                <w:rFonts w:hint="eastAsia" w:ascii="仿宋_GB2312" w:hAnsi="仿宋" w:eastAsia="仿宋_GB2312"/>
                <w:color w:val="000000"/>
                <w:sz w:val="24"/>
              </w:rPr>
              <w:t>差</w:t>
            </w:r>
          </w:p>
        </w:tc>
      </w:tr>
      <w:tr w14:paraId="7CB197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right"/>
        </w:trPr>
        <w:tc>
          <w:tcPr>
            <w:tcW w:w="1219" w:type="pct"/>
            <w:shd w:val="clear" w:color="auto" w:fill="auto"/>
            <w:noWrap/>
            <w:vAlign w:val="center"/>
          </w:tcPr>
          <w:p w14:paraId="747998FD">
            <w:pPr>
              <w:ind w:firstLine="200"/>
              <w:jc w:val="center"/>
              <w:rPr>
                <w:rFonts w:ascii="仿宋_GB2312" w:hAnsi="仿宋" w:eastAsia="仿宋_GB2312"/>
                <w:color w:val="000000"/>
                <w:sz w:val="24"/>
              </w:rPr>
            </w:pPr>
            <w:r>
              <w:rPr>
                <w:rFonts w:hint="eastAsia" w:ascii="仿宋_GB2312" w:hAnsi="仿宋" w:eastAsia="仿宋_GB2312"/>
                <w:color w:val="000000"/>
                <w:sz w:val="24"/>
              </w:rPr>
              <w:t>得分率区间</w:t>
            </w:r>
          </w:p>
        </w:tc>
        <w:tc>
          <w:tcPr>
            <w:tcW w:w="990" w:type="pct"/>
            <w:shd w:val="clear" w:color="auto" w:fill="auto"/>
            <w:noWrap/>
            <w:vAlign w:val="center"/>
          </w:tcPr>
          <w:p w14:paraId="51314C99">
            <w:pPr>
              <w:ind w:firstLine="200"/>
              <w:jc w:val="center"/>
              <w:rPr>
                <w:rFonts w:ascii="仿宋_GB2312" w:hAnsi="仿宋" w:eastAsia="仿宋_GB2312"/>
                <w:color w:val="000000"/>
                <w:sz w:val="24"/>
              </w:rPr>
            </w:pPr>
            <w:r>
              <w:rPr>
                <w:rFonts w:hint="eastAsia" w:ascii="仿宋_GB2312" w:hAnsi="仿宋" w:eastAsia="仿宋_GB2312"/>
                <w:color w:val="000000"/>
                <w:sz w:val="24"/>
              </w:rPr>
              <w:t>[100%,90%]</w:t>
            </w:r>
          </w:p>
        </w:tc>
        <w:tc>
          <w:tcPr>
            <w:tcW w:w="991" w:type="pct"/>
            <w:shd w:val="clear" w:color="auto" w:fill="auto"/>
            <w:noWrap/>
            <w:vAlign w:val="center"/>
          </w:tcPr>
          <w:p w14:paraId="1E2EB392">
            <w:pPr>
              <w:ind w:firstLine="200"/>
              <w:jc w:val="center"/>
              <w:rPr>
                <w:rFonts w:ascii="仿宋_GB2312" w:hAnsi="仿宋" w:eastAsia="仿宋_GB2312"/>
                <w:color w:val="000000"/>
                <w:sz w:val="24"/>
              </w:rPr>
            </w:pPr>
            <w:r>
              <w:rPr>
                <w:rFonts w:hint="eastAsia" w:ascii="仿宋_GB2312" w:hAnsi="仿宋" w:eastAsia="仿宋_GB2312"/>
                <w:color w:val="000000"/>
                <w:sz w:val="24"/>
              </w:rPr>
              <w:t>(90%,80%]</w:t>
            </w:r>
          </w:p>
        </w:tc>
        <w:tc>
          <w:tcPr>
            <w:tcW w:w="900" w:type="pct"/>
            <w:shd w:val="clear" w:color="auto" w:fill="auto"/>
            <w:noWrap/>
            <w:vAlign w:val="center"/>
          </w:tcPr>
          <w:p w14:paraId="22A7C59E">
            <w:pPr>
              <w:ind w:firstLine="200"/>
              <w:jc w:val="center"/>
              <w:rPr>
                <w:rFonts w:ascii="仿宋_GB2312" w:hAnsi="仿宋" w:eastAsia="仿宋_GB2312"/>
                <w:color w:val="000000"/>
                <w:sz w:val="24"/>
              </w:rPr>
            </w:pPr>
            <w:r>
              <w:rPr>
                <w:rFonts w:hint="eastAsia" w:ascii="仿宋_GB2312" w:hAnsi="仿宋" w:eastAsia="仿宋_GB2312"/>
                <w:color w:val="000000"/>
                <w:sz w:val="24"/>
              </w:rPr>
              <w:t>(80%,60%]</w:t>
            </w:r>
          </w:p>
        </w:tc>
        <w:tc>
          <w:tcPr>
            <w:tcW w:w="900" w:type="pct"/>
            <w:shd w:val="clear" w:color="auto" w:fill="auto"/>
            <w:noWrap/>
            <w:vAlign w:val="center"/>
          </w:tcPr>
          <w:p w14:paraId="165CBB40">
            <w:pPr>
              <w:ind w:firstLine="200"/>
              <w:jc w:val="center"/>
              <w:rPr>
                <w:rFonts w:ascii="仿宋_GB2312" w:hAnsi="仿宋" w:eastAsia="仿宋_GB2312"/>
                <w:color w:val="000000"/>
                <w:sz w:val="24"/>
              </w:rPr>
            </w:pPr>
            <w:r>
              <w:rPr>
                <w:rFonts w:hint="eastAsia" w:ascii="仿宋_GB2312" w:hAnsi="仿宋" w:eastAsia="仿宋_GB2312"/>
                <w:color w:val="000000"/>
                <w:sz w:val="24"/>
              </w:rPr>
              <w:t>(60%,0%]</w:t>
            </w:r>
          </w:p>
        </w:tc>
      </w:tr>
    </w:tbl>
    <w:p w14:paraId="538FAEE5">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7、绩效评价框架</w:t>
      </w:r>
    </w:p>
    <w:p w14:paraId="3D89717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考《项目支出绩效评价管理办法》（财预[2020]10号）附2《项目支出绩效评价指标体系框架（参考）》，结合2019年度全域旅游三年行动项目工作特点，主要从“决策”、“过程”、“产出”、“效果”四个维度对绩效目标进行逐项分解，从定性与定量两个角度综合考量、评价，对项目绩效做出全面、客观、公正的评价。</w:t>
      </w:r>
    </w:p>
    <w:p w14:paraId="1CA3D22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决策”权重16分，下设“项目立项”、“绩效目标”、“资金投入”三个二级指标，主要评价立项依据充分性、立项程序规范性、绩效目标合理性、绩效指标明确性、预算编制科学性以及资金分配合理性，相应下设6个三级指标。</w:t>
      </w:r>
    </w:p>
    <w:p w14:paraId="63EB8A3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过程”权重18分，下设“资金管理”和“组织实施”两个二级指标，分别从资金管理和组织实施两个维度评价资金到位率、预算执行率、资金使用合规性以及项目相关制度健全性、制度执行有效性、项目质量可控性，相应设置6个三级指标。</w:t>
      </w:r>
    </w:p>
    <w:p w14:paraId="613229A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“产出”权重26分，下设“产出数量”、“产出质量”以及“产出时效”三个二级指标，主要评价项目的产出数量目标、产出质量目标和产出时效目标的实现程度，下设8个三级指标具体评价。</w:t>
      </w:r>
    </w:p>
    <w:p w14:paraId="453115B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“效果”权重40分，下设“经济效益”、“社会效益”、“可持续影响”以及“满意度”四个二级指标，主要评价项目实施后产生的经济效益、社会效益、可持续影响以及公众满意度，下设9个三级指标具体评价。</w:t>
      </w:r>
    </w:p>
    <w:p w14:paraId="68EC307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具体指标的分布情况、权重、指标解释、指标说明见附件《2019年全域旅游三年行动项目绩效评价指标体系及评分明细》。</w:t>
      </w:r>
    </w:p>
    <w:p w14:paraId="505F90E7">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（三）绩效评价工作过程。</w:t>
      </w:r>
    </w:p>
    <w:p w14:paraId="338DCC43">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1、评价实施过程</w:t>
      </w:r>
    </w:p>
    <w:p w14:paraId="2910DB3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绩效评价工作分三个阶段进行，包括前期准备阶段、评价实施阶段和报告阶段。</w:t>
      </w:r>
    </w:p>
    <w:p w14:paraId="5E86D26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a、前期准备阶段</w:t>
      </w:r>
    </w:p>
    <w:p w14:paraId="2665DA5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（1）初步接触财政部门、项目单位，获取基础资料，了解项目单位及项目情况；</w:t>
      </w:r>
    </w:p>
    <w:p w14:paraId="64ED8BD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（2）制定绩效评价初步实施方案，包括时间安排、工作步骤、人员分工等；</w:t>
      </w:r>
    </w:p>
    <w:p w14:paraId="18FDF22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（3）草拟评价指标体系及评价标准、访谈提纲、基础数据表及资料清单等。</w:t>
      </w:r>
    </w:p>
    <w:p w14:paraId="7FBEDAE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b、评价实施阶段</w:t>
      </w:r>
    </w:p>
    <w:p w14:paraId="6D30764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（1）与项目单位各相关部门、关键岗位人员进行座谈访谈，了解项目运营和管理状况，业务操作流程；</w:t>
      </w:r>
    </w:p>
    <w:p w14:paraId="71F01EF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（2）收集政策、文件、操作记录，审核、分析资料信息；</w:t>
      </w:r>
    </w:p>
    <w:p w14:paraId="18B9BAA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（3）不断修改完善评价指标体系，形成初步评价结论，适时与项目单位反馈交流；</w:t>
      </w:r>
    </w:p>
    <w:p w14:paraId="0D89A45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c、报告阶段</w:t>
      </w:r>
    </w:p>
    <w:p w14:paraId="5F72EE5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（1）综合分析评价信息，汇总指标评分情况，撰写绩效评价报告（征求意见稿）；</w:t>
      </w:r>
    </w:p>
    <w:p w14:paraId="108812D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（2）完成报告在公司内部的三级复核，并提供区文旅局征求意见；</w:t>
      </w:r>
    </w:p>
    <w:p w14:paraId="4E084E1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（3）综合各方反馈意见对报告加以修改完善，定稿并向武昌区财政局提交绩效评价报告正式版。</w:t>
      </w:r>
    </w:p>
    <w:p w14:paraId="5E9C388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（4）后期将及时归档绩效评价资料。</w:t>
      </w:r>
    </w:p>
    <w:p w14:paraId="4861B17D">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2、证据收集方法</w:t>
      </w:r>
    </w:p>
    <w:p w14:paraId="2BA5B45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全域旅游三年行动项目绩效评价计划采取深入预算执行单位面访、座谈、查阅相关资料、核查财务凭证、网络检索公示信息等证据收集方法，从各相关部门及关联方获取大量高质量和准确可靠的数据信息。</w:t>
      </w:r>
    </w:p>
    <w:p w14:paraId="0101465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（1）查阅资料。评价小组在项目实施单位收集与绩效评价有关的政策文件资料、会计核算资料、管理制度及相关项目实施台账等，并进行深入研究、比较和分析，获取绩效评价所需的证据资料。</w:t>
      </w:r>
    </w:p>
    <w:p w14:paraId="3CECC7F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（2）面访座谈。评价小组通过对旅游客（产业科）各相关部门及关键岗位人员进行访谈座谈，了解有关管理和业务工作开展情况，获取相关人员的工作状态和心理状态，提高资料获取的效率和精准性。</w:t>
      </w:r>
    </w:p>
    <w:p w14:paraId="6B0F65E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（3）网络检索。评价小组通过互联网检索国家、省、市相关政策文件以及公开公开信息，对绩效评价的信息进行补充。</w:t>
      </w:r>
    </w:p>
    <w:p w14:paraId="62B99E7A">
      <w:pPr>
        <w:spacing w:line="600" w:lineRule="exact"/>
        <w:ind w:firstLine="640" w:firstLineChars="200"/>
        <w:rPr>
          <w:rFonts w:ascii="仿宋_GB2312" w:hAnsi="Times New Roman" w:eastAsia="仿宋_GB2312" w:cs="Times New Roman"/>
          <w:sz w:val="32"/>
          <w:szCs w:val="32"/>
        </w:rPr>
      </w:pPr>
    </w:p>
    <w:p w14:paraId="69C69D03">
      <w:pPr>
        <w:pStyle w:val="2"/>
        <w:spacing w:before="0" w:after="0" w:line="600" w:lineRule="exact"/>
        <w:ind w:firstLine="643" w:firstLineChars="200"/>
        <w:rPr>
          <w:rFonts w:ascii="黑体" w:hAnsi="黑体" w:eastAsia="黑体"/>
          <w:b w:val="0"/>
          <w:sz w:val="32"/>
          <w:szCs w:val="32"/>
        </w:rPr>
      </w:pPr>
      <w:r>
        <w:rPr>
          <w:rFonts w:ascii="黑体" w:hAnsi="黑体" w:eastAsia="黑体"/>
          <w:sz w:val="32"/>
          <w:szCs w:val="32"/>
        </w:rPr>
        <w:t>三、综合评价情况及评价结论</w:t>
      </w:r>
      <w:r>
        <w:rPr>
          <w:rFonts w:ascii="仿宋_GB2312" w:hAnsi="Times New Roman" w:eastAsia="仿宋_GB2312" w:cs="Times New Roman"/>
          <w:b w:val="0"/>
          <w:bCs w:val="0"/>
          <w:kern w:val="2"/>
          <w:sz w:val="32"/>
          <w:szCs w:val="32"/>
        </w:rPr>
        <w:t>（附相关评分表）</w:t>
      </w:r>
    </w:p>
    <w:p w14:paraId="61429943">
      <w:pPr>
        <w:pStyle w:val="4"/>
        <w:spacing w:beforeLines="50" w:after="0" w:line="600" w:lineRule="exact"/>
        <w:ind w:firstLine="630" w:firstLineChars="196"/>
        <w:rPr>
          <w:rFonts w:ascii="仿宋" w:hAnsi="仿宋" w:eastAsia="仿宋"/>
          <w:bCs w:val="0"/>
          <w:sz w:val="32"/>
          <w:szCs w:val="32"/>
        </w:rPr>
      </w:pPr>
      <w:r>
        <w:rPr>
          <w:rFonts w:hint="eastAsia" w:ascii="仿宋" w:hAnsi="仿宋" w:eastAsia="仿宋"/>
          <w:bCs w:val="0"/>
          <w:sz w:val="32"/>
          <w:szCs w:val="32"/>
        </w:rPr>
        <w:t>（一）评分结果</w:t>
      </w:r>
      <w:r>
        <w:rPr>
          <w:rFonts w:ascii="仿宋" w:hAnsi="仿宋" w:eastAsia="仿宋"/>
          <w:bCs w:val="0"/>
          <w:sz w:val="32"/>
          <w:szCs w:val="32"/>
        </w:rPr>
        <w:tab/>
      </w:r>
    </w:p>
    <w:p w14:paraId="54CBFC31">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项目绩效评价综合得分为89.38分，评价等级为良</w:t>
      </w:r>
      <w:r>
        <w:rPr>
          <w:rFonts w:hint="eastAsia" w:ascii="仿宋_GB2312" w:hAnsi="仿宋" w:eastAsia="仿宋_GB2312"/>
          <w:sz w:val="32"/>
          <w:szCs w:val="32"/>
        </w:rPr>
        <w:t>，详见附件《级别评定对照表》。其中决策得11.50分，过程得16.50分，产出得23分，效果38.38分。一级指标得分情况如下表：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57"/>
        <w:gridCol w:w="1457"/>
        <w:gridCol w:w="1457"/>
        <w:gridCol w:w="1457"/>
        <w:gridCol w:w="1457"/>
      </w:tblGrid>
      <w:tr w14:paraId="64137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pct"/>
            <w:tcBorders>
              <w:top w:val="single" w:color="auto" w:sz="12" w:space="0"/>
              <w:bottom w:val="single" w:color="auto" w:sz="4" w:space="0"/>
            </w:tcBorders>
            <w:shd w:val="clear" w:color="auto" w:fill="D8D8D8" w:themeFill="background1" w:themeFillShade="D9"/>
            <w:noWrap/>
            <w:vAlign w:val="center"/>
          </w:tcPr>
          <w:p w14:paraId="122B36B5">
            <w:pPr>
              <w:jc w:val="center"/>
              <w:rPr>
                <w:rFonts w:ascii="仿宋" w:hAnsi="仿宋" w:eastAsia="仿宋"/>
                <w:b/>
                <w:bCs/>
                <w:color w:val="000000"/>
                <w:sz w:val="24"/>
              </w:rPr>
            </w:pPr>
            <w:r>
              <w:rPr>
                <w:rFonts w:hint="eastAsia" w:ascii="仿宋" w:hAnsi="仿宋" w:eastAsia="仿宋"/>
                <w:b/>
                <w:bCs/>
                <w:color w:val="000000"/>
                <w:sz w:val="24"/>
              </w:rPr>
              <w:t>项目</w:t>
            </w:r>
          </w:p>
        </w:tc>
        <w:tc>
          <w:tcPr>
            <w:tcW w:w="855" w:type="pct"/>
            <w:tcBorders>
              <w:top w:val="single" w:color="auto" w:sz="12" w:space="0"/>
              <w:bottom w:val="single" w:color="auto" w:sz="4" w:space="0"/>
            </w:tcBorders>
            <w:shd w:val="clear" w:color="auto" w:fill="D8D8D8" w:themeFill="background1" w:themeFillShade="D9"/>
            <w:noWrap/>
            <w:vAlign w:val="center"/>
          </w:tcPr>
          <w:p w14:paraId="42FDFD6E">
            <w:pPr>
              <w:jc w:val="center"/>
              <w:rPr>
                <w:rFonts w:ascii="仿宋" w:hAnsi="仿宋" w:eastAsia="仿宋"/>
                <w:b/>
                <w:bCs/>
                <w:color w:val="000000"/>
                <w:sz w:val="24"/>
              </w:rPr>
            </w:pPr>
            <w:r>
              <w:rPr>
                <w:rFonts w:hint="eastAsia" w:ascii="仿宋" w:hAnsi="仿宋" w:eastAsia="仿宋"/>
                <w:b/>
                <w:bCs/>
                <w:color w:val="000000"/>
                <w:sz w:val="24"/>
              </w:rPr>
              <w:t>决策</w:t>
            </w:r>
          </w:p>
        </w:tc>
        <w:tc>
          <w:tcPr>
            <w:tcW w:w="855" w:type="pct"/>
            <w:tcBorders>
              <w:top w:val="single" w:color="auto" w:sz="12" w:space="0"/>
              <w:bottom w:val="single" w:color="auto" w:sz="4" w:space="0"/>
            </w:tcBorders>
            <w:shd w:val="clear" w:color="auto" w:fill="D8D8D8" w:themeFill="background1" w:themeFillShade="D9"/>
            <w:noWrap/>
            <w:vAlign w:val="center"/>
          </w:tcPr>
          <w:p w14:paraId="2D7860FA">
            <w:pPr>
              <w:jc w:val="center"/>
              <w:rPr>
                <w:rFonts w:ascii="仿宋" w:hAnsi="仿宋" w:eastAsia="仿宋"/>
                <w:b/>
                <w:bCs/>
                <w:color w:val="000000"/>
                <w:sz w:val="24"/>
              </w:rPr>
            </w:pPr>
            <w:r>
              <w:rPr>
                <w:rFonts w:hint="eastAsia" w:ascii="仿宋" w:hAnsi="仿宋" w:eastAsia="仿宋"/>
                <w:b/>
                <w:bCs/>
                <w:color w:val="000000"/>
                <w:sz w:val="24"/>
              </w:rPr>
              <w:t>过程</w:t>
            </w:r>
          </w:p>
        </w:tc>
        <w:tc>
          <w:tcPr>
            <w:tcW w:w="855" w:type="pct"/>
            <w:tcBorders>
              <w:top w:val="single" w:color="auto" w:sz="12" w:space="0"/>
              <w:bottom w:val="single" w:color="auto" w:sz="4" w:space="0"/>
            </w:tcBorders>
            <w:shd w:val="clear" w:color="auto" w:fill="D8D8D8" w:themeFill="background1" w:themeFillShade="D9"/>
            <w:noWrap/>
            <w:vAlign w:val="center"/>
          </w:tcPr>
          <w:p w14:paraId="17471111">
            <w:pPr>
              <w:jc w:val="center"/>
              <w:rPr>
                <w:rFonts w:ascii="仿宋" w:hAnsi="仿宋" w:eastAsia="仿宋"/>
                <w:b/>
                <w:bCs/>
                <w:color w:val="000000"/>
                <w:sz w:val="24"/>
              </w:rPr>
            </w:pPr>
            <w:r>
              <w:rPr>
                <w:rFonts w:hint="eastAsia" w:ascii="仿宋" w:hAnsi="仿宋" w:eastAsia="仿宋"/>
                <w:b/>
                <w:bCs/>
                <w:color w:val="000000"/>
                <w:sz w:val="24"/>
              </w:rPr>
              <w:t>产出</w:t>
            </w:r>
          </w:p>
        </w:tc>
        <w:tc>
          <w:tcPr>
            <w:tcW w:w="855" w:type="pct"/>
            <w:tcBorders>
              <w:top w:val="single" w:color="auto" w:sz="12" w:space="0"/>
              <w:bottom w:val="single" w:color="auto" w:sz="4" w:space="0"/>
            </w:tcBorders>
            <w:shd w:val="clear" w:color="auto" w:fill="D8D8D8" w:themeFill="background1" w:themeFillShade="D9"/>
            <w:noWrap/>
            <w:vAlign w:val="center"/>
          </w:tcPr>
          <w:p w14:paraId="5AB68611">
            <w:pPr>
              <w:jc w:val="center"/>
              <w:rPr>
                <w:rFonts w:ascii="仿宋" w:hAnsi="仿宋" w:eastAsia="仿宋"/>
                <w:b/>
                <w:bCs/>
                <w:color w:val="000000"/>
                <w:sz w:val="24"/>
              </w:rPr>
            </w:pPr>
            <w:r>
              <w:rPr>
                <w:rFonts w:hint="eastAsia" w:ascii="仿宋" w:hAnsi="仿宋" w:eastAsia="仿宋"/>
                <w:b/>
                <w:bCs/>
                <w:color w:val="000000"/>
                <w:sz w:val="24"/>
              </w:rPr>
              <w:t>效果</w:t>
            </w:r>
          </w:p>
        </w:tc>
        <w:tc>
          <w:tcPr>
            <w:tcW w:w="854" w:type="pct"/>
            <w:tcBorders>
              <w:top w:val="single" w:color="auto" w:sz="12" w:space="0"/>
              <w:bottom w:val="single" w:color="auto" w:sz="4" w:space="0"/>
            </w:tcBorders>
            <w:shd w:val="clear" w:color="auto" w:fill="D8D8D8" w:themeFill="background1" w:themeFillShade="D9"/>
            <w:vAlign w:val="center"/>
          </w:tcPr>
          <w:p w14:paraId="0DCF5803">
            <w:pPr>
              <w:jc w:val="center"/>
              <w:rPr>
                <w:rFonts w:ascii="仿宋" w:hAnsi="仿宋" w:eastAsia="仿宋"/>
                <w:b/>
                <w:bCs/>
                <w:color w:val="000000"/>
                <w:sz w:val="24"/>
              </w:rPr>
            </w:pPr>
            <w:r>
              <w:rPr>
                <w:rFonts w:hint="eastAsia" w:ascii="仿宋" w:hAnsi="仿宋" w:eastAsia="仿宋"/>
                <w:b/>
                <w:bCs/>
                <w:color w:val="000000"/>
                <w:sz w:val="24"/>
              </w:rPr>
              <w:t>合计</w:t>
            </w:r>
          </w:p>
        </w:tc>
      </w:tr>
      <w:tr w14:paraId="3E9AE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pct"/>
            <w:tcBorders>
              <w:top w:val="single" w:color="auto" w:sz="4" w:space="0"/>
            </w:tcBorders>
            <w:shd w:val="clear" w:color="auto" w:fill="auto"/>
            <w:noWrap/>
            <w:vAlign w:val="center"/>
          </w:tcPr>
          <w:p w14:paraId="18F7391E">
            <w:pPr>
              <w:jc w:val="center"/>
              <w:rPr>
                <w:rFonts w:ascii="仿宋" w:hAnsi="仿宋" w:eastAsia="仿宋"/>
                <w:color w:val="000000"/>
                <w:sz w:val="24"/>
              </w:rPr>
            </w:pPr>
            <w:r>
              <w:rPr>
                <w:rFonts w:hint="eastAsia" w:ascii="仿宋" w:hAnsi="仿宋" w:eastAsia="仿宋"/>
                <w:color w:val="000000"/>
                <w:sz w:val="24"/>
              </w:rPr>
              <w:t>标准分值</w:t>
            </w:r>
          </w:p>
        </w:tc>
        <w:tc>
          <w:tcPr>
            <w:tcW w:w="855" w:type="pct"/>
            <w:tcBorders>
              <w:top w:val="single" w:color="auto" w:sz="4" w:space="0"/>
            </w:tcBorders>
            <w:shd w:val="clear" w:color="auto" w:fill="auto"/>
            <w:noWrap/>
            <w:vAlign w:val="center"/>
          </w:tcPr>
          <w:p w14:paraId="1EACBE19">
            <w:pPr>
              <w:jc w:val="center"/>
              <w:rPr>
                <w:rFonts w:ascii="仿宋_GB2312" w:hAnsi="仿宋" w:eastAsia="仿宋_GB2312"/>
                <w:sz w:val="24"/>
              </w:rPr>
            </w:pPr>
            <w:r>
              <w:rPr>
                <w:rFonts w:hint="eastAsia" w:ascii="仿宋_GB2312" w:hAnsi="仿宋" w:eastAsia="仿宋_GB2312"/>
                <w:sz w:val="24"/>
              </w:rPr>
              <w:t>16</w:t>
            </w:r>
          </w:p>
        </w:tc>
        <w:tc>
          <w:tcPr>
            <w:tcW w:w="855" w:type="pct"/>
            <w:tcBorders>
              <w:top w:val="single" w:color="auto" w:sz="4" w:space="0"/>
            </w:tcBorders>
            <w:shd w:val="clear" w:color="auto" w:fill="auto"/>
            <w:noWrap/>
            <w:vAlign w:val="center"/>
          </w:tcPr>
          <w:p w14:paraId="6B3EDA8B">
            <w:pPr>
              <w:jc w:val="center"/>
              <w:rPr>
                <w:rFonts w:ascii="仿宋_GB2312" w:hAnsi="仿宋" w:eastAsia="仿宋_GB2312"/>
                <w:sz w:val="24"/>
              </w:rPr>
            </w:pPr>
            <w:r>
              <w:rPr>
                <w:rFonts w:hint="eastAsia" w:ascii="仿宋_GB2312" w:hAnsi="仿宋" w:eastAsia="仿宋_GB2312"/>
                <w:sz w:val="24"/>
              </w:rPr>
              <w:t>18</w:t>
            </w:r>
          </w:p>
        </w:tc>
        <w:tc>
          <w:tcPr>
            <w:tcW w:w="855" w:type="pct"/>
            <w:tcBorders>
              <w:top w:val="single" w:color="auto" w:sz="4" w:space="0"/>
            </w:tcBorders>
            <w:shd w:val="clear" w:color="auto" w:fill="auto"/>
            <w:noWrap/>
            <w:vAlign w:val="center"/>
          </w:tcPr>
          <w:p w14:paraId="4C537EDD">
            <w:pPr>
              <w:jc w:val="center"/>
              <w:rPr>
                <w:rFonts w:ascii="仿宋_GB2312" w:hAnsi="仿宋" w:eastAsia="仿宋_GB2312"/>
                <w:sz w:val="24"/>
              </w:rPr>
            </w:pPr>
            <w:r>
              <w:rPr>
                <w:rFonts w:hint="eastAsia" w:ascii="仿宋_GB2312" w:hAnsi="仿宋" w:eastAsia="仿宋_GB2312"/>
                <w:sz w:val="24"/>
              </w:rPr>
              <w:t>26</w:t>
            </w:r>
          </w:p>
        </w:tc>
        <w:tc>
          <w:tcPr>
            <w:tcW w:w="855" w:type="pct"/>
            <w:tcBorders>
              <w:top w:val="single" w:color="auto" w:sz="4" w:space="0"/>
            </w:tcBorders>
            <w:shd w:val="clear" w:color="auto" w:fill="auto"/>
            <w:noWrap/>
            <w:vAlign w:val="center"/>
          </w:tcPr>
          <w:p w14:paraId="0BB085EB">
            <w:pPr>
              <w:jc w:val="center"/>
              <w:rPr>
                <w:rFonts w:ascii="仿宋_GB2312" w:hAnsi="仿宋" w:eastAsia="仿宋_GB2312"/>
                <w:sz w:val="24"/>
              </w:rPr>
            </w:pPr>
            <w:r>
              <w:rPr>
                <w:rFonts w:hint="eastAsia" w:ascii="仿宋_GB2312" w:hAnsi="仿宋" w:eastAsia="仿宋_GB2312"/>
                <w:sz w:val="24"/>
              </w:rPr>
              <w:t>40</w:t>
            </w:r>
          </w:p>
        </w:tc>
        <w:tc>
          <w:tcPr>
            <w:tcW w:w="854" w:type="pct"/>
            <w:tcBorders>
              <w:top w:val="single" w:color="auto" w:sz="4" w:space="0"/>
            </w:tcBorders>
            <w:vAlign w:val="center"/>
          </w:tcPr>
          <w:p w14:paraId="059796FE">
            <w:pPr>
              <w:jc w:val="center"/>
              <w:rPr>
                <w:rFonts w:ascii="仿宋_GB2312" w:hAnsi="仿宋" w:eastAsia="仿宋_GB2312"/>
                <w:sz w:val="24"/>
              </w:rPr>
            </w:pPr>
            <w:r>
              <w:rPr>
                <w:rFonts w:hint="eastAsia" w:ascii="仿宋_GB2312" w:hAnsi="仿宋" w:eastAsia="仿宋_GB2312"/>
                <w:sz w:val="24"/>
              </w:rPr>
              <w:t>100</w:t>
            </w:r>
          </w:p>
        </w:tc>
      </w:tr>
      <w:tr w14:paraId="48877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pct"/>
            <w:shd w:val="clear" w:color="auto" w:fill="auto"/>
            <w:noWrap/>
            <w:vAlign w:val="center"/>
          </w:tcPr>
          <w:p w14:paraId="0429159B">
            <w:pPr>
              <w:jc w:val="center"/>
              <w:rPr>
                <w:rFonts w:ascii="仿宋" w:hAnsi="仿宋" w:eastAsia="仿宋"/>
                <w:color w:val="000000"/>
                <w:sz w:val="24"/>
              </w:rPr>
            </w:pPr>
            <w:r>
              <w:rPr>
                <w:rFonts w:hint="eastAsia" w:ascii="仿宋" w:hAnsi="仿宋" w:eastAsia="仿宋"/>
                <w:color w:val="000000"/>
                <w:sz w:val="24"/>
              </w:rPr>
              <w:t>实际得分</w:t>
            </w:r>
          </w:p>
        </w:tc>
        <w:tc>
          <w:tcPr>
            <w:tcW w:w="855" w:type="pct"/>
            <w:shd w:val="clear" w:color="auto" w:fill="auto"/>
            <w:noWrap/>
            <w:vAlign w:val="center"/>
          </w:tcPr>
          <w:p w14:paraId="4078A64C">
            <w:pPr>
              <w:jc w:val="center"/>
              <w:rPr>
                <w:rFonts w:ascii="仿宋_GB2312" w:hAnsi="仿宋" w:eastAsia="仿宋_GB2312"/>
                <w:sz w:val="24"/>
              </w:rPr>
            </w:pPr>
            <w:r>
              <w:rPr>
                <w:rFonts w:hint="eastAsia" w:ascii="仿宋_GB2312" w:hAnsi="仿宋" w:eastAsia="仿宋_GB2312"/>
                <w:sz w:val="24"/>
              </w:rPr>
              <w:t>11.50</w:t>
            </w:r>
          </w:p>
        </w:tc>
        <w:tc>
          <w:tcPr>
            <w:tcW w:w="855" w:type="pct"/>
            <w:shd w:val="clear" w:color="auto" w:fill="auto"/>
            <w:noWrap/>
            <w:vAlign w:val="center"/>
          </w:tcPr>
          <w:p w14:paraId="2CC12A12">
            <w:pPr>
              <w:jc w:val="center"/>
              <w:rPr>
                <w:rFonts w:ascii="仿宋_GB2312" w:hAnsi="仿宋" w:eastAsia="仿宋_GB2312"/>
                <w:sz w:val="24"/>
              </w:rPr>
            </w:pPr>
            <w:r>
              <w:rPr>
                <w:rFonts w:hint="eastAsia" w:ascii="仿宋_GB2312" w:hAnsi="仿宋" w:eastAsia="仿宋_GB2312"/>
                <w:sz w:val="24"/>
              </w:rPr>
              <w:t>16.50</w:t>
            </w:r>
          </w:p>
        </w:tc>
        <w:tc>
          <w:tcPr>
            <w:tcW w:w="855" w:type="pct"/>
            <w:shd w:val="clear" w:color="auto" w:fill="auto"/>
            <w:noWrap/>
            <w:vAlign w:val="center"/>
          </w:tcPr>
          <w:p w14:paraId="24689C13">
            <w:pPr>
              <w:jc w:val="center"/>
              <w:rPr>
                <w:rFonts w:ascii="仿宋_GB2312" w:hAnsi="仿宋" w:eastAsia="仿宋_GB2312"/>
                <w:sz w:val="24"/>
              </w:rPr>
            </w:pPr>
            <w:r>
              <w:rPr>
                <w:rFonts w:hint="eastAsia" w:ascii="仿宋_GB2312" w:hAnsi="仿宋" w:eastAsia="仿宋_GB2312"/>
                <w:sz w:val="24"/>
              </w:rPr>
              <w:t>23</w:t>
            </w:r>
          </w:p>
        </w:tc>
        <w:tc>
          <w:tcPr>
            <w:tcW w:w="855" w:type="pct"/>
            <w:shd w:val="clear" w:color="auto" w:fill="auto"/>
            <w:noWrap/>
            <w:vAlign w:val="center"/>
          </w:tcPr>
          <w:p w14:paraId="03044CE3">
            <w:pPr>
              <w:jc w:val="center"/>
              <w:rPr>
                <w:rFonts w:ascii="仿宋_GB2312" w:hAnsi="仿宋" w:eastAsia="仿宋_GB2312"/>
                <w:sz w:val="24"/>
              </w:rPr>
            </w:pPr>
            <w:r>
              <w:rPr>
                <w:rFonts w:hint="eastAsia" w:ascii="仿宋_GB2312" w:hAnsi="仿宋" w:eastAsia="仿宋_GB2312"/>
                <w:sz w:val="24"/>
              </w:rPr>
              <w:t>38.38</w:t>
            </w:r>
          </w:p>
        </w:tc>
        <w:tc>
          <w:tcPr>
            <w:tcW w:w="854" w:type="pct"/>
            <w:vAlign w:val="center"/>
          </w:tcPr>
          <w:p w14:paraId="7E5A3ECE">
            <w:pPr>
              <w:jc w:val="center"/>
              <w:rPr>
                <w:rFonts w:ascii="仿宋_GB2312" w:hAnsi="仿宋" w:eastAsia="仿宋_GB2312"/>
                <w:sz w:val="24"/>
              </w:rPr>
            </w:pPr>
            <w:r>
              <w:rPr>
                <w:rFonts w:hint="eastAsia" w:ascii="仿宋_GB2312" w:hAnsi="仿宋" w:eastAsia="仿宋_GB2312"/>
                <w:sz w:val="24"/>
              </w:rPr>
              <w:t>89.38</w:t>
            </w:r>
          </w:p>
        </w:tc>
      </w:tr>
    </w:tbl>
    <w:p w14:paraId="0B4A246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各项指标得分情况如下表：</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579"/>
        <w:gridCol w:w="1232"/>
        <w:gridCol w:w="579"/>
        <w:gridCol w:w="3607"/>
        <w:gridCol w:w="579"/>
        <w:gridCol w:w="1176"/>
      </w:tblGrid>
      <w:tr w14:paraId="193A3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shd w:val="clear" w:color="auto" w:fill="E7E6E6" w:themeFill="background2"/>
            <w:vAlign w:val="center"/>
          </w:tcPr>
          <w:p w14:paraId="42BA59CC">
            <w:pPr>
              <w:jc w:val="center"/>
              <w:rPr>
                <w:rFonts w:ascii="仿宋" w:hAnsi="仿宋" w:eastAsia="仿宋"/>
                <w:b/>
                <w:color w:val="000000"/>
                <w:sz w:val="24"/>
              </w:rPr>
            </w:pPr>
            <w:r>
              <w:rPr>
                <w:rFonts w:hint="eastAsia" w:ascii="仿宋" w:hAnsi="仿宋" w:eastAsia="仿宋"/>
                <w:b/>
                <w:color w:val="000000"/>
                <w:sz w:val="24"/>
              </w:rPr>
              <w:t>一级指标</w:t>
            </w:r>
          </w:p>
        </w:tc>
        <w:tc>
          <w:tcPr>
            <w:tcW w:w="333" w:type="pct"/>
            <w:shd w:val="clear" w:color="auto" w:fill="E7E6E6" w:themeFill="background2"/>
            <w:vAlign w:val="center"/>
          </w:tcPr>
          <w:p w14:paraId="4F42C999">
            <w:pPr>
              <w:jc w:val="center"/>
              <w:rPr>
                <w:rFonts w:ascii="仿宋" w:hAnsi="仿宋" w:eastAsia="仿宋"/>
                <w:b/>
                <w:color w:val="000000"/>
                <w:sz w:val="24"/>
              </w:rPr>
            </w:pPr>
            <w:r>
              <w:rPr>
                <w:rFonts w:hint="eastAsia" w:ascii="仿宋" w:hAnsi="仿宋" w:eastAsia="仿宋"/>
                <w:b/>
                <w:color w:val="000000"/>
                <w:sz w:val="24"/>
              </w:rPr>
              <w:t>分值</w:t>
            </w:r>
          </w:p>
        </w:tc>
        <w:tc>
          <w:tcPr>
            <w:tcW w:w="749" w:type="pct"/>
            <w:shd w:val="clear" w:color="auto" w:fill="E7E6E6" w:themeFill="background2"/>
            <w:noWrap/>
            <w:vAlign w:val="center"/>
          </w:tcPr>
          <w:p w14:paraId="4150DA18">
            <w:pPr>
              <w:jc w:val="center"/>
              <w:rPr>
                <w:rFonts w:ascii="仿宋" w:hAnsi="仿宋" w:eastAsia="仿宋"/>
                <w:b/>
                <w:color w:val="000000"/>
                <w:sz w:val="24"/>
              </w:rPr>
            </w:pPr>
            <w:r>
              <w:rPr>
                <w:rFonts w:ascii="仿宋" w:hAnsi="仿宋" w:eastAsia="仿宋"/>
                <w:b/>
                <w:color w:val="000000"/>
                <w:sz w:val="24"/>
              </w:rPr>
              <w:t>二级指标</w:t>
            </w:r>
          </w:p>
        </w:tc>
        <w:tc>
          <w:tcPr>
            <w:tcW w:w="333" w:type="pct"/>
            <w:shd w:val="clear" w:color="auto" w:fill="E7E6E6" w:themeFill="background2"/>
            <w:vAlign w:val="center"/>
          </w:tcPr>
          <w:p w14:paraId="71229F60">
            <w:pPr>
              <w:jc w:val="center"/>
              <w:rPr>
                <w:rFonts w:ascii="仿宋" w:hAnsi="仿宋" w:eastAsia="仿宋"/>
                <w:b/>
                <w:color w:val="000000"/>
                <w:sz w:val="24"/>
              </w:rPr>
            </w:pPr>
            <w:r>
              <w:rPr>
                <w:rFonts w:hint="eastAsia" w:ascii="仿宋" w:hAnsi="仿宋" w:eastAsia="仿宋"/>
                <w:b/>
                <w:color w:val="000000"/>
                <w:sz w:val="24"/>
              </w:rPr>
              <w:t>分值</w:t>
            </w:r>
          </w:p>
        </w:tc>
        <w:tc>
          <w:tcPr>
            <w:tcW w:w="2142" w:type="pct"/>
            <w:shd w:val="clear" w:color="auto" w:fill="E7E6E6" w:themeFill="background2"/>
            <w:noWrap/>
            <w:vAlign w:val="center"/>
          </w:tcPr>
          <w:p w14:paraId="52F96577">
            <w:pPr>
              <w:jc w:val="center"/>
              <w:rPr>
                <w:rFonts w:ascii="仿宋" w:hAnsi="仿宋" w:eastAsia="仿宋"/>
                <w:b/>
                <w:color w:val="000000"/>
                <w:sz w:val="24"/>
              </w:rPr>
            </w:pPr>
            <w:r>
              <w:rPr>
                <w:rFonts w:hint="eastAsia" w:ascii="仿宋" w:hAnsi="仿宋" w:eastAsia="仿宋"/>
                <w:b/>
                <w:color w:val="000000"/>
                <w:sz w:val="24"/>
              </w:rPr>
              <w:t>三级指标</w:t>
            </w:r>
          </w:p>
        </w:tc>
        <w:tc>
          <w:tcPr>
            <w:tcW w:w="322" w:type="pct"/>
            <w:shd w:val="clear" w:color="auto" w:fill="E7E6E6" w:themeFill="background2"/>
            <w:vAlign w:val="center"/>
          </w:tcPr>
          <w:p w14:paraId="32681F33">
            <w:pPr>
              <w:jc w:val="center"/>
              <w:rPr>
                <w:rFonts w:ascii="仿宋" w:hAnsi="仿宋" w:eastAsia="仿宋"/>
                <w:b/>
                <w:color w:val="000000"/>
                <w:sz w:val="24"/>
              </w:rPr>
            </w:pPr>
            <w:r>
              <w:rPr>
                <w:rFonts w:hint="eastAsia" w:ascii="仿宋" w:hAnsi="仿宋" w:eastAsia="仿宋"/>
                <w:b/>
                <w:color w:val="000000"/>
                <w:sz w:val="24"/>
              </w:rPr>
              <w:t>分值</w:t>
            </w:r>
          </w:p>
        </w:tc>
        <w:tc>
          <w:tcPr>
            <w:tcW w:w="643" w:type="pct"/>
            <w:shd w:val="clear" w:color="auto" w:fill="E7E6E6" w:themeFill="background2"/>
            <w:noWrap/>
            <w:vAlign w:val="center"/>
          </w:tcPr>
          <w:p w14:paraId="5CE88E97">
            <w:pPr>
              <w:jc w:val="right"/>
              <w:rPr>
                <w:rFonts w:ascii="仿宋" w:hAnsi="仿宋" w:eastAsia="仿宋"/>
                <w:b/>
                <w:color w:val="000000"/>
                <w:sz w:val="24"/>
              </w:rPr>
            </w:pPr>
            <w:r>
              <w:rPr>
                <w:rFonts w:hint="eastAsia" w:ascii="仿宋" w:hAnsi="仿宋" w:eastAsia="仿宋"/>
                <w:b/>
                <w:color w:val="000000"/>
                <w:sz w:val="24"/>
              </w:rPr>
              <w:t xml:space="preserve"> 得分 </w:t>
            </w:r>
          </w:p>
        </w:tc>
      </w:tr>
      <w:tr w14:paraId="05F07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17D5F79E">
            <w:pPr>
              <w:widowControl/>
              <w:jc w:val="center"/>
              <w:rPr>
                <w:rFonts w:ascii="仿宋" w:hAnsi="仿宋" w:eastAsia="仿宋" w:cs="宋体"/>
                <w:kern w:val="0"/>
                <w:sz w:val="24"/>
              </w:rPr>
            </w:pPr>
            <w:r>
              <w:rPr>
                <w:rFonts w:hint="eastAsia" w:ascii="仿宋" w:hAnsi="仿宋" w:eastAsia="仿宋" w:cs="宋体"/>
                <w:kern w:val="0"/>
                <w:sz w:val="24"/>
              </w:rPr>
              <w:t>决策</w:t>
            </w:r>
          </w:p>
        </w:tc>
        <w:tc>
          <w:tcPr>
            <w:tcW w:w="333" w:type="pct"/>
            <w:vMerge w:val="restart"/>
            <w:shd w:val="clear" w:color="auto" w:fill="auto"/>
            <w:vAlign w:val="center"/>
          </w:tcPr>
          <w:p w14:paraId="39B79AD8">
            <w:pPr>
              <w:widowControl/>
              <w:jc w:val="center"/>
              <w:rPr>
                <w:rFonts w:ascii="仿宋" w:hAnsi="仿宋" w:eastAsia="仿宋" w:cs="宋体"/>
                <w:kern w:val="0"/>
                <w:sz w:val="24"/>
              </w:rPr>
            </w:pPr>
            <w:r>
              <w:rPr>
                <w:rFonts w:hint="eastAsia" w:ascii="仿宋" w:hAnsi="仿宋" w:eastAsia="仿宋" w:cs="宋体"/>
                <w:kern w:val="0"/>
                <w:sz w:val="24"/>
              </w:rPr>
              <w:t>16</w:t>
            </w:r>
          </w:p>
        </w:tc>
        <w:tc>
          <w:tcPr>
            <w:tcW w:w="749" w:type="pct"/>
            <w:vMerge w:val="restart"/>
            <w:shd w:val="clear" w:color="auto" w:fill="auto"/>
            <w:noWrap/>
            <w:vAlign w:val="center"/>
          </w:tcPr>
          <w:p w14:paraId="76F026DF">
            <w:pPr>
              <w:widowControl/>
              <w:jc w:val="center"/>
              <w:rPr>
                <w:rFonts w:ascii="仿宋" w:hAnsi="仿宋" w:eastAsia="仿宋" w:cs="宋体"/>
                <w:kern w:val="0"/>
                <w:sz w:val="24"/>
              </w:rPr>
            </w:pPr>
            <w:r>
              <w:rPr>
                <w:rFonts w:hint="eastAsia" w:ascii="仿宋" w:hAnsi="仿宋" w:eastAsia="仿宋" w:cs="宋体"/>
                <w:kern w:val="0"/>
                <w:sz w:val="24"/>
              </w:rPr>
              <w:t>项目</w:t>
            </w:r>
            <w:r>
              <w:rPr>
                <w:rFonts w:hint="eastAsia" w:ascii="仿宋" w:hAnsi="仿宋" w:eastAsia="仿宋" w:cs="宋体"/>
                <w:kern w:val="0"/>
                <w:sz w:val="24"/>
              </w:rPr>
              <w:br w:type="textWrapping"/>
            </w:r>
            <w:r>
              <w:rPr>
                <w:rFonts w:hint="eastAsia" w:ascii="仿宋" w:hAnsi="仿宋" w:eastAsia="仿宋" w:cs="宋体"/>
                <w:kern w:val="0"/>
                <w:sz w:val="24"/>
              </w:rPr>
              <w:t>立项</w:t>
            </w:r>
          </w:p>
        </w:tc>
        <w:tc>
          <w:tcPr>
            <w:tcW w:w="333" w:type="pct"/>
            <w:vMerge w:val="restart"/>
            <w:shd w:val="clear" w:color="auto" w:fill="auto"/>
            <w:vAlign w:val="center"/>
          </w:tcPr>
          <w:p w14:paraId="6A6B4B85">
            <w:pPr>
              <w:widowControl/>
              <w:jc w:val="center"/>
              <w:rPr>
                <w:rFonts w:ascii="仿宋" w:hAnsi="仿宋" w:eastAsia="仿宋" w:cs="宋体"/>
                <w:kern w:val="0"/>
                <w:sz w:val="24"/>
              </w:rPr>
            </w:pPr>
            <w:r>
              <w:rPr>
                <w:rFonts w:hint="eastAsia" w:ascii="仿宋" w:hAnsi="仿宋" w:eastAsia="仿宋" w:cs="宋体"/>
                <w:kern w:val="0"/>
                <w:sz w:val="24"/>
              </w:rPr>
              <w:t>5</w:t>
            </w:r>
          </w:p>
        </w:tc>
        <w:tc>
          <w:tcPr>
            <w:tcW w:w="2142" w:type="pct"/>
            <w:shd w:val="clear" w:color="auto" w:fill="auto"/>
            <w:vAlign w:val="center"/>
          </w:tcPr>
          <w:p w14:paraId="62608E5F">
            <w:pPr>
              <w:widowControl/>
              <w:jc w:val="center"/>
              <w:rPr>
                <w:rFonts w:ascii="仿宋" w:hAnsi="仿宋" w:eastAsia="仿宋" w:cs="宋体"/>
                <w:kern w:val="0"/>
                <w:sz w:val="24"/>
              </w:rPr>
            </w:pPr>
            <w:r>
              <w:rPr>
                <w:rFonts w:hint="eastAsia" w:ascii="仿宋" w:hAnsi="仿宋" w:eastAsia="仿宋" w:cs="宋体"/>
                <w:kern w:val="0"/>
                <w:sz w:val="24"/>
              </w:rPr>
              <w:t>立项依据充分性</w:t>
            </w:r>
          </w:p>
        </w:tc>
        <w:tc>
          <w:tcPr>
            <w:tcW w:w="322" w:type="pct"/>
            <w:shd w:val="clear" w:color="auto" w:fill="auto"/>
            <w:vAlign w:val="center"/>
          </w:tcPr>
          <w:p w14:paraId="1C97EEB9">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5737E2F8">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533B8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26D345B3">
            <w:pPr>
              <w:widowControl/>
              <w:jc w:val="left"/>
              <w:rPr>
                <w:rFonts w:ascii="仿宋" w:hAnsi="仿宋" w:eastAsia="仿宋" w:cs="宋体"/>
                <w:kern w:val="0"/>
                <w:sz w:val="24"/>
              </w:rPr>
            </w:pPr>
          </w:p>
        </w:tc>
        <w:tc>
          <w:tcPr>
            <w:tcW w:w="333" w:type="pct"/>
            <w:vMerge w:val="continue"/>
            <w:vAlign w:val="center"/>
          </w:tcPr>
          <w:p w14:paraId="7A70DB50">
            <w:pPr>
              <w:widowControl/>
              <w:jc w:val="left"/>
              <w:rPr>
                <w:rFonts w:ascii="仿宋" w:hAnsi="仿宋" w:eastAsia="仿宋" w:cs="宋体"/>
                <w:kern w:val="0"/>
                <w:sz w:val="24"/>
              </w:rPr>
            </w:pPr>
          </w:p>
        </w:tc>
        <w:tc>
          <w:tcPr>
            <w:tcW w:w="749" w:type="pct"/>
            <w:vMerge w:val="continue"/>
            <w:vAlign w:val="center"/>
          </w:tcPr>
          <w:p w14:paraId="4B6C7186">
            <w:pPr>
              <w:widowControl/>
              <w:jc w:val="left"/>
              <w:rPr>
                <w:rFonts w:ascii="仿宋" w:hAnsi="仿宋" w:eastAsia="仿宋" w:cs="宋体"/>
                <w:kern w:val="0"/>
                <w:sz w:val="24"/>
              </w:rPr>
            </w:pPr>
          </w:p>
        </w:tc>
        <w:tc>
          <w:tcPr>
            <w:tcW w:w="333" w:type="pct"/>
            <w:vMerge w:val="continue"/>
            <w:vAlign w:val="center"/>
          </w:tcPr>
          <w:p w14:paraId="46A2BF2C">
            <w:pPr>
              <w:widowControl/>
              <w:jc w:val="left"/>
              <w:rPr>
                <w:rFonts w:ascii="仿宋" w:hAnsi="仿宋" w:eastAsia="仿宋" w:cs="宋体"/>
                <w:kern w:val="0"/>
                <w:sz w:val="24"/>
              </w:rPr>
            </w:pPr>
          </w:p>
        </w:tc>
        <w:tc>
          <w:tcPr>
            <w:tcW w:w="2142" w:type="pct"/>
            <w:shd w:val="clear" w:color="auto" w:fill="auto"/>
            <w:vAlign w:val="center"/>
          </w:tcPr>
          <w:p w14:paraId="594AEF40">
            <w:pPr>
              <w:widowControl/>
              <w:jc w:val="center"/>
              <w:rPr>
                <w:rFonts w:ascii="仿宋" w:hAnsi="仿宋" w:eastAsia="仿宋" w:cs="宋体"/>
                <w:kern w:val="0"/>
                <w:sz w:val="24"/>
              </w:rPr>
            </w:pPr>
            <w:r>
              <w:rPr>
                <w:rFonts w:hint="eastAsia" w:ascii="仿宋" w:hAnsi="仿宋" w:eastAsia="仿宋" w:cs="宋体"/>
                <w:kern w:val="0"/>
                <w:sz w:val="24"/>
              </w:rPr>
              <w:t>立项程序规范性</w:t>
            </w:r>
          </w:p>
        </w:tc>
        <w:tc>
          <w:tcPr>
            <w:tcW w:w="322" w:type="pct"/>
            <w:shd w:val="clear" w:color="auto" w:fill="auto"/>
            <w:vAlign w:val="center"/>
          </w:tcPr>
          <w:p w14:paraId="170C8A9C">
            <w:pPr>
              <w:widowControl/>
              <w:jc w:val="center"/>
              <w:rPr>
                <w:rFonts w:ascii="仿宋" w:hAnsi="仿宋" w:eastAsia="仿宋" w:cs="宋体"/>
                <w:kern w:val="0"/>
                <w:sz w:val="24"/>
              </w:rPr>
            </w:pPr>
            <w:r>
              <w:rPr>
                <w:rFonts w:hint="eastAsia" w:ascii="仿宋" w:hAnsi="仿宋" w:eastAsia="仿宋" w:cs="宋体"/>
                <w:kern w:val="0"/>
                <w:sz w:val="24"/>
              </w:rPr>
              <w:t>2</w:t>
            </w:r>
          </w:p>
        </w:tc>
        <w:tc>
          <w:tcPr>
            <w:tcW w:w="643" w:type="pct"/>
            <w:shd w:val="clear" w:color="auto" w:fill="auto"/>
            <w:noWrap/>
            <w:vAlign w:val="center"/>
          </w:tcPr>
          <w:p w14:paraId="26E7B5F0">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1D38F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52529271">
            <w:pPr>
              <w:widowControl/>
              <w:jc w:val="left"/>
              <w:rPr>
                <w:rFonts w:ascii="仿宋" w:hAnsi="仿宋" w:eastAsia="仿宋" w:cs="宋体"/>
                <w:kern w:val="0"/>
                <w:sz w:val="24"/>
              </w:rPr>
            </w:pPr>
          </w:p>
        </w:tc>
        <w:tc>
          <w:tcPr>
            <w:tcW w:w="333" w:type="pct"/>
            <w:vMerge w:val="continue"/>
            <w:vAlign w:val="center"/>
          </w:tcPr>
          <w:p w14:paraId="74100A33">
            <w:pPr>
              <w:widowControl/>
              <w:jc w:val="left"/>
              <w:rPr>
                <w:rFonts w:ascii="仿宋" w:hAnsi="仿宋" w:eastAsia="仿宋" w:cs="宋体"/>
                <w:kern w:val="0"/>
                <w:sz w:val="24"/>
              </w:rPr>
            </w:pPr>
          </w:p>
        </w:tc>
        <w:tc>
          <w:tcPr>
            <w:tcW w:w="749" w:type="pct"/>
            <w:vMerge w:val="restart"/>
            <w:shd w:val="clear" w:color="auto" w:fill="auto"/>
            <w:vAlign w:val="center"/>
          </w:tcPr>
          <w:p w14:paraId="54ED1753">
            <w:pPr>
              <w:widowControl/>
              <w:jc w:val="center"/>
              <w:rPr>
                <w:rFonts w:ascii="仿宋" w:hAnsi="仿宋" w:eastAsia="仿宋" w:cs="宋体"/>
                <w:kern w:val="0"/>
                <w:sz w:val="24"/>
              </w:rPr>
            </w:pPr>
            <w:r>
              <w:rPr>
                <w:rFonts w:hint="eastAsia" w:ascii="仿宋" w:hAnsi="仿宋" w:eastAsia="仿宋" w:cs="宋体"/>
                <w:kern w:val="0"/>
                <w:sz w:val="24"/>
              </w:rPr>
              <w:t>绩效目标</w:t>
            </w:r>
          </w:p>
        </w:tc>
        <w:tc>
          <w:tcPr>
            <w:tcW w:w="333" w:type="pct"/>
            <w:vMerge w:val="restart"/>
            <w:shd w:val="clear" w:color="auto" w:fill="auto"/>
            <w:vAlign w:val="center"/>
          </w:tcPr>
          <w:p w14:paraId="660E65C5">
            <w:pPr>
              <w:widowControl/>
              <w:jc w:val="center"/>
              <w:rPr>
                <w:rFonts w:ascii="仿宋" w:hAnsi="仿宋" w:eastAsia="仿宋" w:cs="宋体"/>
                <w:kern w:val="0"/>
                <w:sz w:val="24"/>
              </w:rPr>
            </w:pPr>
            <w:r>
              <w:rPr>
                <w:rFonts w:hint="eastAsia" w:ascii="仿宋" w:hAnsi="仿宋" w:eastAsia="仿宋" w:cs="宋体"/>
                <w:kern w:val="0"/>
                <w:sz w:val="24"/>
              </w:rPr>
              <w:t>5</w:t>
            </w:r>
          </w:p>
        </w:tc>
        <w:tc>
          <w:tcPr>
            <w:tcW w:w="2142" w:type="pct"/>
            <w:shd w:val="clear" w:color="auto" w:fill="auto"/>
            <w:noWrap/>
            <w:vAlign w:val="center"/>
          </w:tcPr>
          <w:p w14:paraId="61404A16">
            <w:pPr>
              <w:widowControl/>
              <w:jc w:val="center"/>
              <w:rPr>
                <w:rFonts w:ascii="仿宋" w:hAnsi="仿宋" w:eastAsia="仿宋" w:cs="宋体"/>
                <w:kern w:val="0"/>
                <w:sz w:val="24"/>
              </w:rPr>
            </w:pPr>
            <w:r>
              <w:rPr>
                <w:rFonts w:hint="eastAsia" w:ascii="仿宋" w:hAnsi="仿宋" w:eastAsia="仿宋" w:cs="宋体"/>
                <w:kern w:val="0"/>
                <w:sz w:val="24"/>
              </w:rPr>
              <w:t>绩效目标合理性</w:t>
            </w:r>
          </w:p>
        </w:tc>
        <w:tc>
          <w:tcPr>
            <w:tcW w:w="322" w:type="pct"/>
            <w:shd w:val="clear" w:color="auto" w:fill="auto"/>
            <w:vAlign w:val="center"/>
          </w:tcPr>
          <w:p w14:paraId="79CE67B9">
            <w:pPr>
              <w:widowControl/>
              <w:jc w:val="center"/>
              <w:rPr>
                <w:rFonts w:ascii="仿宋" w:hAnsi="仿宋" w:eastAsia="仿宋" w:cs="宋体"/>
                <w:kern w:val="0"/>
                <w:sz w:val="24"/>
              </w:rPr>
            </w:pPr>
            <w:r>
              <w:rPr>
                <w:rFonts w:hint="eastAsia" w:ascii="仿宋" w:hAnsi="仿宋" w:eastAsia="仿宋" w:cs="宋体"/>
                <w:kern w:val="0"/>
                <w:sz w:val="24"/>
              </w:rPr>
              <w:t>2</w:t>
            </w:r>
          </w:p>
        </w:tc>
        <w:tc>
          <w:tcPr>
            <w:tcW w:w="643" w:type="pct"/>
            <w:shd w:val="clear" w:color="auto" w:fill="auto"/>
            <w:noWrap/>
            <w:vAlign w:val="center"/>
          </w:tcPr>
          <w:p w14:paraId="433A70B2">
            <w:pPr>
              <w:widowControl/>
              <w:jc w:val="right"/>
              <w:rPr>
                <w:rFonts w:ascii="仿宋" w:hAnsi="仿宋" w:eastAsia="仿宋" w:cs="宋体"/>
                <w:kern w:val="0"/>
                <w:sz w:val="24"/>
              </w:rPr>
            </w:pPr>
            <w:r>
              <w:rPr>
                <w:rFonts w:hint="eastAsia" w:ascii="仿宋" w:hAnsi="仿宋" w:eastAsia="仿宋" w:cs="宋体"/>
                <w:kern w:val="0"/>
                <w:sz w:val="24"/>
              </w:rPr>
              <w:t xml:space="preserve">    0.75 </w:t>
            </w:r>
          </w:p>
        </w:tc>
      </w:tr>
      <w:tr w14:paraId="4F446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CCA7CCC">
            <w:pPr>
              <w:widowControl/>
              <w:jc w:val="left"/>
              <w:rPr>
                <w:rFonts w:ascii="仿宋" w:hAnsi="仿宋" w:eastAsia="仿宋" w:cs="宋体"/>
                <w:kern w:val="0"/>
                <w:sz w:val="24"/>
              </w:rPr>
            </w:pPr>
          </w:p>
        </w:tc>
        <w:tc>
          <w:tcPr>
            <w:tcW w:w="333" w:type="pct"/>
            <w:vMerge w:val="continue"/>
            <w:vAlign w:val="center"/>
          </w:tcPr>
          <w:p w14:paraId="7FE0E755">
            <w:pPr>
              <w:widowControl/>
              <w:jc w:val="left"/>
              <w:rPr>
                <w:rFonts w:ascii="仿宋" w:hAnsi="仿宋" w:eastAsia="仿宋" w:cs="宋体"/>
                <w:kern w:val="0"/>
                <w:sz w:val="24"/>
              </w:rPr>
            </w:pPr>
          </w:p>
        </w:tc>
        <w:tc>
          <w:tcPr>
            <w:tcW w:w="749" w:type="pct"/>
            <w:vMerge w:val="continue"/>
            <w:vAlign w:val="center"/>
          </w:tcPr>
          <w:p w14:paraId="40DE8539">
            <w:pPr>
              <w:widowControl/>
              <w:jc w:val="left"/>
              <w:rPr>
                <w:rFonts w:ascii="仿宋" w:hAnsi="仿宋" w:eastAsia="仿宋" w:cs="宋体"/>
                <w:kern w:val="0"/>
                <w:sz w:val="24"/>
              </w:rPr>
            </w:pPr>
          </w:p>
        </w:tc>
        <w:tc>
          <w:tcPr>
            <w:tcW w:w="333" w:type="pct"/>
            <w:vMerge w:val="continue"/>
            <w:vAlign w:val="center"/>
          </w:tcPr>
          <w:p w14:paraId="0F9F5E04">
            <w:pPr>
              <w:widowControl/>
              <w:jc w:val="left"/>
              <w:rPr>
                <w:rFonts w:ascii="仿宋" w:hAnsi="仿宋" w:eastAsia="仿宋" w:cs="宋体"/>
                <w:kern w:val="0"/>
                <w:sz w:val="24"/>
              </w:rPr>
            </w:pPr>
          </w:p>
        </w:tc>
        <w:tc>
          <w:tcPr>
            <w:tcW w:w="2142" w:type="pct"/>
            <w:shd w:val="clear" w:color="auto" w:fill="auto"/>
            <w:noWrap/>
            <w:vAlign w:val="center"/>
          </w:tcPr>
          <w:p w14:paraId="2CCE979C">
            <w:pPr>
              <w:widowControl/>
              <w:jc w:val="center"/>
              <w:rPr>
                <w:rFonts w:ascii="仿宋" w:hAnsi="仿宋" w:eastAsia="仿宋" w:cs="宋体"/>
                <w:kern w:val="0"/>
                <w:sz w:val="24"/>
              </w:rPr>
            </w:pPr>
            <w:r>
              <w:rPr>
                <w:rFonts w:hint="eastAsia" w:ascii="仿宋" w:hAnsi="仿宋" w:eastAsia="仿宋" w:cs="宋体"/>
                <w:kern w:val="0"/>
                <w:sz w:val="24"/>
              </w:rPr>
              <w:t>绩效指标明确性</w:t>
            </w:r>
          </w:p>
        </w:tc>
        <w:tc>
          <w:tcPr>
            <w:tcW w:w="322" w:type="pct"/>
            <w:shd w:val="clear" w:color="auto" w:fill="auto"/>
            <w:vAlign w:val="center"/>
          </w:tcPr>
          <w:p w14:paraId="4F46E04C">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2DBA31C1">
            <w:pPr>
              <w:widowControl/>
              <w:jc w:val="right"/>
              <w:rPr>
                <w:rFonts w:ascii="仿宋" w:hAnsi="仿宋" w:eastAsia="仿宋" w:cs="宋体"/>
                <w:kern w:val="0"/>
                <w:sz w:val="24"/>
              </w:rPr>
            </w:pPr>
            <w:r>
              <w:rPr>
                <w:rFonts w:hint="eastAsia" w:ascii="仿宋" w:hAnsi="仿宋" w:eastAsia="仿宋" w:cs="宋体"/>
                <w:kern w:val="0"/>
                <w:sz w:val="24"/>
              </w:rPr>
              <w:t xml:space="preserve">    1.50 </w:t>
            </w:r>
          </w:p>
        </w:tc>
      </w:tr>
      <w:tr w14:paraId="5D203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56AF0DE6">
            <w:pPr>
              <w:widowControl/>
              <w:jc w:val="left"/>
              <w:rPr>
                <w:rFonts w:ascii="仿宋" w:hAnsi="仿宋" w:eastAsia="仿宋" w:cs="宋体"/>
                <w:kern w:val="0"/>
                <w:sz w:val="24"/>
              </w:rPr>
            </w:pPr>
          </w:p>
        </w:tc>
        <w:tc>
          <w:tcPr>
            <w:tcW w:w="333" w:type="pct"/>
            <w:vMerge w:val="continue"/>
            <w:vAlign w:val="center"/>
          </w:tcPr>
          <w:p w14:paraId="0366FFDF">
            <w:pPr>
              <w:widowControl/>
              <w:jc w:val="left"/>
              <w:rPr>
                <w:rFonts w:ascii="仿宋" w:hAnsi="仿宋" w:eastAsia="仿宋" w:cs="宋体"/>
                <w:kern w:val="0"/>
                <w:sz w:val="24"/>
              </w:rPr>
            </w:pPr>
          </w:p>
        </w:tc>
        <w:tc>
          <w:tcPr>
            <w:tcW w:w="749" w:type="pct"/>
            <w:vMerge w:val="restart"/>
            <w:shd w:val="clear" w:color="auto" w:fill="auto"/>
            <w:vAlign w:val="center"/>
          </w:tcPr>
          <w:p w14:paraId="469CFFB4">
            <w:pPr>
              <w:widowControl/>
              <w:jc w:val="center"/>
              <w:rPr>
                <w:rFonts w:ascii="仿宋" w:hAnsi="仿宋" w:eastAsia="仿宋" w:cs="宋体"/>
                <w:kern w:val="0"/>
                <w:sz w:val="24"/>
              </w:rPr>
            </w:pPr>
            <w:r>
              <w:rPr>
                <w:rFonts w:hint="eastAsia" w:ascii="仿宋" w:hAnsi="仿宋" w:eastAsia="仿宋" w:cs="宋体"/>
                <w:kern w:val="0"/>
                <w:sz w:val="24"/>
              </w:rPr>
              <w:t>资金投入</w:t>
            </w:r>
          </w:p>
        </w:tc>
        <w:tc>
          <w:tcPr>
            <w:tcW w:w="333" w:type="pct"/>
            <w:vMerge w:val="restart"/>
            <w:shd w:val="clear" w:color="auto" w:fill="auto"/>
            <w:vAlign w:val="center"/>
          </w:tcPr>
          <w:p w14:paraId="2C718922">
            <w:pPr>
              <w:widowControl/>
              <w:jc w:val="center"/>
              <w:rPr>
                <w:rFonts w:ascii="仿宋" w:hAnsi="仿宋" w:eastAsia="仿宋" w:cs="宋体"/>
                <w:kern w:val="0"/>
                <w:sz w:val="24"/>
              </w:rPr>
            </w:pPr>
            <w:r>
              <w:rPr>
                <w:rFonts w:hint="eastAsia" w:ascii="仿宋" w:hAnsi="仿宋" w:eastAsia="仿宋" w:cs="宋体"/>
                <w:kern w:val="0"/>
                <w:sz w:val="24"/>
              </w:rPr>
              <w:t>6</w:t>
            </w:r>
          </w:p>
        </w:tc>
        <w:tc>
          <w:tcPr>
            <w:tcW w:w="2142" w:type="pct"/>
            <w:shd w:val="clear" w:color="auto" w:fill="auto"/>
            <w:noWrap/>
            <w:vAlign w:val="center"/>
          </w:tcPr>
          <w:p w14:paraId="5D93BCEC">
            <w:pPr>
              <w:widowControl/>
              <w:jc w:val="center"/>
              <w:rPr>
                <w:rFonts w:ascii="仿宋" w:hAnsi="仿宋" w:eastAsia="仿宋" w:cs="宋体"/>
                <w:kern w:val="0"/>
                <w:sz w:val="24"/>
              </w:rPr>
            </w:pPr>
            <w:r>
              <w:rPr>
                <w:rFonts w:hint="eastAsia" w:ascii="仿宋" w:hAnsi="仿宋" w:eastAsia="仿宋" w:cs="宋体"/>
                <w:kern w:val="0"/>
                <w:sz w:val="24"/>
              </w:rPr>
              <w:t>预算编制科学性</w:t>
            </w:r>
          </w:p>
        </w:tc>
        <w:tc>
          <w:tcPr>
            <w:tcW w:w="322" w:type="pct"/>
            <w:shd w:val="clear" w:color="auto" w:fill="auto"/>
            <w:vAlign w:val="center"/>
          </w:tcPr>
          <w:p w14:paraId="21011296">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089A6876">
            <w:pPr>
              <w:widowControl/>
              <w:jc w:val="right"/>
              <w:rPr>
                <w:rFonts w:ascii="仿宋" w:hAnsi="仿宋" w:eastAsia="仿宋" w:cs="宋体"/>
                <w:kern w:val="0"/>
                <w:sz w:val="24"/>
              </w:rPr>
            </w:pPr>
            <w:r>
              <w:rPr>
                <w:rFonts w:hint="eastAsia" w:ascii="仿宋" w:hAnsi="仿宋" w:eastAsia="仿宋" w:cs="宋体"/>
                <w:kern w:val="0"/>
                <w:sz w:val="24"/>
              </w:rPr>
              <w:t xml:space="preserve">  2.25 </w:t>
            </w:r>
          </w:p>
        </w:tc>
      </w:tr>
      <w:tr w14:paraId="2905C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707E7554">
            <w:pPr>
              <w:widowControl/>
              <w:jc w:val="left"/>
              <w:rPr>
                <w:rFonts w:ascii="仿宋" w:hAnsi="仿宋" w:eastAsia="仿宋" w:cs="宋体"/>
                <w:kern w:val="0"/>
                <w:sz w:val="24"/>
              </w:rPr>
            </w:pPr>
          </w:p>
        </w:tc>
        <w:tc>
          <w:tcPr>
            <w:tcW w:w="333" w:type="pct"/>
            <w:vMerge w:val="continue"/>
            <w:vAlign w:val="center"/>
          </w:tcPr>
          <w:p w14:paraId="0D96731F">
            <w:pPr>
              <w:widowControl/>
              <w:jc w:val="left"/>
              <w:rPr>
                <w:rFonts w:ascii="仿宋" w:hAnsi="仿宋" w:eastAsia="仿宋" w:cs="宋体"/>
                <w:kern w:val="0"/>
                <w:sz w:val="24"/>
              </w:rPr>
            </w:pPr>
          </w:p>
        </w:tc>
        <w:tc>
          <w:tcPr>
            <w:tcW w:w="749" w:type="pct"/>
            <w:vMerge w:val="continue"/>
            <w:vAlign w:val="center"/>
          </w:tcPr>
          <w:p w14:paraId="3C944417">
            <w:pPr>
              <w:widowControl/>
              <w:jc w:val="left"/>
              <w:rPr>
                <w:rFonts w:ascii="仿宋" w:hAnsi="仿宋" w:eastAsia="仿宋" w:cs="宋体"/>
                <w:kern w:val="0"/>
                <w:sz w:val="24"/>
              </w:rPr>
            </w:pPr>
          </w:p>
        </w:tc>
        <w:tc>
          <w:tcPr>
            <w:tcW w:w="333" w:type="pct"/>
            <w:vMerge w:val="continue"/>
            <w:vAlign w:val="center"/>
          </w:tcPr>
          <w:p w14:paraId="4C32B728">
            <w:pPr>
              <w:widowControl/>
              <w:jc w:val="left"/>
              <w:rPr>
                <w:rFonts w:ascii="仿宋" w:hAnsi="仿宋" w:eastAsia="仿宋" w:cs="宋体"/>
                <w:kern w:val="0"/>
                <w:sz w:val="24"/>
              </w:rPr>
            </w:pPr>
          </w:p>
        </w:tc>
        <w:tc>
          <w:tcPr>
            <w:tcW w:w="2142" w:type="pct"/>
            <w:shd w:val="clear" w:color="auto" w:fill="auto"/>
            <w:noWrap/>
            <w:vAlign w:val="center"/>
          </w:tcPr>
          <w:p w14:paraId="7BDDDA2C">
            <w:pPr>
              <w:widowControl/>
              <w:jc w:val="center"/>
              <w:rPr>
                <w:rFonts w:ascii="仿宋" w:hAnsi="仿宋" w:eastAsia="仿宋" w:cs="宋体"/>
                <w:kern w:val="0"/>
                <w:sz w:val="24"/>
              </w:rPr>
            </w:pPr>
            <w:r>
              <w:rPr>
                <w:rFonts w:hint="eastAsia" w:ascii="仿宋" w:hAnsi="仿宋" w:eastAsia="仿宋" w:cs="宋体"/>
                <w:kern w:val="0"/>
                <w:sz w:val="24"/>
              </w:rPr>
              <w:t>资金分配合理性</w:t>
            </w:r>
          </w:p>
        </w:tc>
        <w:tc>
          <w:tcPr>
            <w:tcW w:w="322" w:type="pct"/>
            <w:shd w:val="clear" w:color="auto" w:fill="auto"/>
            <w:vAlign w:val="center"/>
          </w:tcPr>
          <w:p w14:paraId="16D7B71C">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F1C594F">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01751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5836EB9A">
            <w:pPr>
              <w:widowControl/>
              <w:jc w:val="center"/>
              <w:rPr>
                <w:rFonts w:ascii="仿宋" w:hAnsi="仿宋" w:eastAsia="仿宋" w:cs="宋体"/>
                <w:kern w:val="0"/>
                <w:sz w:val="24"/>
              </w:rPr>
            </w:pPr>
            <w:r>
              <w:rPr>
                <w:rFonts w:hint="eastAsia" w:ascii="仿宋" w:hAnsi="仿宋" w:eastAsia="仿宋" w:cs="宋体"/>
                <w:kern w:val="0"/>
                <w:sz w:val="24"/>
              </w:rPr>
              <w:t>过程</w:t>
            </w:r>
          </w:p>
        </w:tc>
        <w:tc>
          <w:tcPr>
            <w:tcW w:w="333" w:type="pct"/>
            <w:vMerge w:val="restart"/>
            <w:shd w:val="clear" w:color="auto" w:fill="auto"/>
            <w:vAlign w:val="center"/>
          </w:tcPr>
          <w:p w14:paraId="6C80345B">
            <w:pPr>
              <w:widowControl/>
              <w:jc w:val="center"/>
              <w:rPr>
                <w:rFonts w:ascii="仿宋" w:hAnsi="仿宋" w:eastAsia="仿宋" w:cs="宋体"/>
                <w:kern w:val="0"/>
                <w:sz w:val="24"/>
              </w:rPr>
            </w:pPr>
            <w:r>
              <w:rPr>
                <w:rFonts w:hint="eastAsia" w:ascii="仿宋" w:hAnsi="仿宋" w:eastAsia="仿宋" w:cs="宋体"/>
                <w:kern w:val="0"/>
                <w:sz w:val="24"/>
              </w:rPr>
              <w:t>18</w:t>
            </w:r>
          </w:p>
        </w:tc>
        <w:tc>
          <w:tcPr>
            <w:tcW w:w="749" w:type="pct"/>
            <w:vMerge w:val="restart"/>
            <w:shd w:val="clear" w:color="auto" w:fill="auto"/>
            <w:vAlign w:val="center"/>
          </w:tcPr>
          <w:p w14:paraId="0437C672">
            <w:pPr>
              <w:widowControl/>
              <w:jc w:val="center"/>
              <w:rPr>
                <w:rFonts w:ascii="仿宋" w:hAnsi="仿宋" w:eastAsia="仿宋" w:cs="宋体"/>
                <w:kern w:val="0"/>
                <w:sz w:val="24"/>
              </w:rPr>
            </w:pPr>
            <w:r>
              <w:rPr>
                <w:rFonts w:hint="eastAsia" w:ascii="仿宋" w:hAnsi="仿宋" w:eastAsia="仿宋" w:cs="宋体"/>
                <w:kern w:val="0"/>
                <w:sz w:val="24"/>
              </w:rPr>
              <w:t>资金</w:t>
            </w:r>
            <w:r>
              <w:rPr>
                <w:rFonts w:hint="eastAsia" w:ascii="仿宋" w:hAnsi="仿宋" w:eastAsia="仿宋" w:cs="宋体"/>
                <w:kern w:val="0"/>
                <w:sz w:val="24"/>
              </w:rPr>
              <w:br w:type="textWrapping"/>
            </w:r>
            <w:r>
              <w:rPr>
                <w:rFonts w:hint="eastAsia" w:ascii="仿宋" w:hAnsi="仿宋" w:eastAsia="仿宋" w:cs="宋体"/>
                <w:kern w:val="0"/>
                <w:sz w:val="24"/>
              </w:rPr>
              <w:t>管理</w:t>
            </w:r>
          </w:p>
        </w:tc>
        <w:tc>
          <w:tcPr>
            <w:tcW w:w="333" w:type="pct"/>
            <w:vMerge w:val="restart"/>
            <w:shd w:val="clear" w:color="auto" w:fill="auto"/>
            <w:vAlign w:val="center"/>
          </w:tcPr>
          <w:p w14:paraId="0A9B3B81">
            <w:pPr>
              <w:widowControl/>
              <w:jc w:val="center"/>
              <w:rPr>
                <w:rFonts w:ascii="仿宋" w:hAnsi="仿宋" w:eastAsia="仿宋" w:cs="宋体"/>
                <w:kern w:val="0"/>
                <w:sz w:val="24"/>
              </w:rPr>
            </w:pPr>
            <w:r>
              <w:rPr>
                <w:rFonts w:hint="eastAsia" w:ascii="仿宋" w:hAnsi="仿宋" w:eastAsia="仿宋" w:cs="宋体"/>
                <w:kern w:val="0"/>
                <w:sz w:val="24"/>
              </w:rPr>
              <w:t>9</w:t>
            </w:r>
          </w:p>
        </w:tc>
        <w:tc>
          <w:tcPr>
            <w:tcW w:w="2142" w:type="pct"/>
            <w:shd w:val="clear" w:color="auto" w:fill="auto"/>
            <w:vAlign w:val="center"/>
          </w:tcPr>
          <w:p w14:paraId="55DF70E8">
            <w:pPr>
              <w:widowControl/>
              <w:jc w:val="center"/>
              <w:rPr>
                <w:rFonts w:ascii="仿宋" w:hAnsi="仿宋" w:eastAsia="仿宋" w:cs="宋体"/>
                <w:kern w:val="0"/>
                <w:sz w:val="24"/>
              </w:rPr>
            </w:pPr>
            <w:r>
              <w:rPr>
                <w:rFonts w:hint="eastAsia" w:ascii="仿宋" w:hAnsi="仿宋" w:eastAsia="仿宋" w:cs="宋体"/>
                <w:kern w:val="0"/>
                <w:sz w:val="24"/>
              </w:rPr>
              <w:t>资金到位及时率</w:t>
            </w:r>
          </w:p>
        </w:tc>
        <w:tc>
          <w:tcPr>
            <w:tcW w:w="322" w:type="pct"/>
            <w:shd w:val="clear" w:color="auto" w:fill="auto"/>
            <w:vAlign w:val="center"/>
          </w:tcPr>
          <w:p w14:paraId="6A0E789D">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0460B49A">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6833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1030846F">
            <w:pPr>
              <w:widowControl/>
              <w:jc w:val="left"/>
              <w:rPr>
                <w:rFonts w:ascii="仿宋" w:hAnsi="仿宋" w:eastAsia="仿宋" w:cs="宋体"/>
                <w:kern w:val="0"/>
                <w:sz w:val="24"/>
              </w:rPr>
            </w:pPr>
          </w:p>
        </w:tc>
        <w:tc>
          <w:tcPr>
            <w:tcW w:w="333" w:type="pct"/>
            <w:vMerge w:val="continue"/>
            <w:vAlign w:val="center"/>
          </w:tcPr>
          <w:p w14:paraId="549E52E8">
            <w:pPr>
              <w:widowControl/>
              <w:jc w:val="left"/>
              <w:rPr>
                <w:rFonts w:ascii="仿宋" w:hAnsi="仿宋" w:eastAsia="仿宋" w:cs="宋体"/>
                <w:kern w:val="0"/>
                <w:sz w:val="24"/>
              </w:rPr>
            </w:pPr>
          </w:p>
        </w:tc>
        <w:tc>
          <w:tcPr>
            <w:tcW w:w="749" w:type="pct"/>
            <w:vMerge w:val="continue"/>
            <w:vAlign w:val="center"/>
          </w:tcPr>
          <w:p w14:paraId="071846A4">
            <w:pPr>
              <w:widowControl/>
              <w:jc w:val="left"/>
              <w:rPr>
                <w:rFonts w:ascii="仿宋" w:hAnsi="仿宋" w:eastAsia="仿宋" w:cs="宋体"/>
                <w:kern w:val="0"/>
                <w:sz w:val="24"/>
              </w:rPr>
            </w:pPr>
          </w:p>
        </w:tc>
        <w:tc>
          <w:tcPr>
            <w:tcW w:w="333" w:type="pct"/>
            <w:vMerge w:val="continue"/>
            <w:vAlign w:val="center"/>
          </w:tcPr>
          <w:p w14:paraId="662012B3">
            <w:pPr>
              <w:widowControl/>
              <w:jc w:val="left"/>
              <w:rPr>
                <w:rFonts w:ascii="仿宋" w:hAnsi="仿宋" w:eastAsia="仿宋" w:cs="宋体"/>
                <w:kern w:val="0"/>
                <w:sz w:val="24"/>
              </w:rPr>
            </w:pPr>
          </w:p>
        </w:tc>
        <w:tc>
          <w:tcPr>
            <w:tcW w:w="2142" w:type="pct"/>
            <w:shd w:val="clear" w:color="auto" w:fill="auto"/>
            <w:vAlign w:val="center"/>
          </w:tcPr>
          <w:p w14:paraId="1EAA9848">
            <w:pPr>
              <w:widowControl/>
              <w:jc w:val="center"/>
              <w:rPr>
                <w:rFonts w:ascii="仿宋" w:hAnsi="仿宋" w:eastAsia="仿宋" w:cs="宋体"/>
                <w:kern w:val="0"/>
                <w:sz w:val="24"/>
              </w:rPr>
            </w:pPr>
            <w:r>
              <w:rPr>
                <w:rFonts w:hint="eastAsia" w:ascii="仿宋" w:hAnsi="仿宋" w:eastAsia="仿宋" w:cs="宋体"/>
                <w:kern w:val="0"/>
                <w:sz w:val="24"/>
              </w:rPr>
              <w:t>预算执行率</w:t>
            </w:r>
          </w:p>
        </w:tc>
        <w:tc>
          <w:tcPr>
            <w:tcW w:w="322" w:type="pct"/>
            <w:shd w:val="clear" w:color="auto" w:fill="auto"/>
            <w:vAlign w:val="center"/>
          </w:tcPr>
          <w:p w14:paraId="620228B9">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4CCAB4D">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1F48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2EEFC9E3">
            <w:pPr>
              <w:widowControl/>
              <w:jc w:val="left"/>
              <w:rPr>
                <w:rFonts w:ascii="仿宋" w:hAnsi="仿宋" w:eastAsia="仿宋" w:cs="宋体"/>
                <w:kern w:val="0"/>
                <w:sz w:val="24"/>
              </w:rPr>
            </w:pPr>
          </w:p>
        </w:tc>
        <w:tc>
          <w:tcPr>
            <w:tcW w:w="333" w:type="pct"/>
            <w:vMerge w:val="continue"/>
            <w:vAlign w:val="center"/>
          </w:tcPr>
          <w:p w14:paraId="063643E4">
            <w:pPr>
              <w:widowControl/>
              <w:jc w:val="left"/>
              <w:rPr>
                <w:rFonts w:ascii="仿宋" w:hAnsi="仿宋" w:eastAsia="仿宋" w:cs="宋体"/>
                <w:kern w:val="0"/>
                <w:sz w:val="24"/>
              </w:rPr>
            </w:pPr>
          </w:p>
        </w:tc>
        <w:tc>
          <w:tcPr>
            <w:tcW w:w="749" w:type="pct"/>
            <w:vMerge w:val="continue"/>
            <w:vAlign w:val="center"/>
          </w:tcPr>
          <w:p w14:paraId="182F5B8B">
            <w:pPr>
              <w:widowControl/>
              <w:jc w:val="left"/>
              <w:rPr>
                <w:rFonts w:ascii="仿宋" w:hAnsi="仿宋" w:eastAsia="仿宋" w:cs="宋体"/>
                <w:kern w:val="0"/>
                <w:sz w:val="24"/>
              </w:rPr>
            </w:pPr>
          </w:p>
        </w:tc>
        <w:tc>
          <w:tcPr>
            <w:tcW w:w="333" w:type="pct"/>
            <w:vMerge w:val="continue"/>
            <w:vAlign w:val="center"/>
          </w:tcPr>
          <w:p w14:paraId="14015B40">
            <w:pPr>
              <w:widowControl/>
              <w:jc w:val="left"/>
              <w:rPr>
                <w:rFonts w:ascii="仿宋" w:hAnsi="仿宋" w:eastAsia="仿宋" w:cs="宋体"/>
                <w:kern w:val="0"/>
                <w:sz w:val="24"/>
              </w:rPr>
            </w:pPr>
          </w:p>
        </w:tc>
        <w:tc>
          <w:tcPr>
            <w:tcW w:w="2142" w:type="pct"/>
            <w:shd w:val="clear" w:color="auto" w:fill="auto"/>
            <w:vAlign w:val="center"/>
          </w:tcPr>
          <w:p w14:paraId="7A3EBF1A">
            <w:pPr>
              <w:widowControl/>
              <w:jc w:val="center"/>
              <w:rPr>
                <w:rFonts w:ascii="仿宋" w:hAnsi="仿宋" w:eastAsia="仿宋" w:cs="宋体"/>
                <w:kern w:val="0"/>
                <w:sz w:val="24"/>
              </w:rPr>
            </w:pPr>
            <w:r>
              <w:rPr>
                <w:rFonts w:hint="eastAsia" w:ascii="仿宋" w:hAnsi="仿宋" w:eastAsia="仿宋" w:cs="宋体"/>
                <w:kern w:val="0"/>
                <w:sz w:val="24"/>
              </w:rPr>
              <w:t>资金使用合规性</w:t>
            </w:r>
          </w:p>
        </w:tc>
        <w:tc>
          <w:tcPr>
            <w:tcW w:w="322" w:type="pct"/>
            <w:shd w:val="clear" w:color="auto" w:fill="auto"/>
            <w:vAlign w:val="center"/>
          </w:tcPr>
          <w:p w14:paraId="4F27415D">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64FE79D">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5708A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0282891A">
            <w:pPr>
              <w:widowControl/>
              <w:jc w:val="left"/>
              <w:rPr>
                <w:rFonts w:ascii="仿宋" w:hAnsi="仿宋" w:eastAsia="仿宋" w:cs="宋体"/>
                <w:kern w:val="0"/>
                <w:sz w:val="24"/>
              </w:rPr>
            </w:pPr>
          </w:p>
        </w:tc>
        <w:tc>
          <w:tcPr>
            <w:tcW w:w="333" w:type="pct"/>
            <w:vMerge w:val="continue"/>
            <w:vAlign w:val="center"/>
          </w:tcPr>
          <w:p w14:paraId="1B971919">
            <w:pPr>
              <w:widowControl/>
              <w:jc w:val="left"/>
              <w:rPr>
                <w:rFonts w:ascii="仿宋" w:hAnsi="仿宋" w:eastAsia="仿宋" w:cs="宋体"/>
                <w:kern w:val="0"/>
                <w:sz w:val="24"/>
              </w:rPr>
            </w:pPr>
          </w:p>
        </w:tc>
        <w:tc>
          <w:tcPr>
            <w:tcW w:w="749" w:type="pct"/>
            <w:vMerge w:val="restart"/>
            <w:shd w:val="clear" w:color="auto" w:fill="auto"/>
            <w:vAlign w:val="center"/>
          </w:tcPr>
          <w:p w14:paraId="2BE18030">
            <w:pPr>
              <w:widowControl/>
              <w:jc w:val="center"/>
              <w:rPr>
                <w:rFonts w:ascii="仿宋" w:hAnsi="仿宋" w:eastAsia="仿宋" w:cs="宋体"/>
                <w:kern w:val="0"/>
                <w:sz w:val="24"/>
              </w:rPr>
            </w:pPr>
            <w:r>
              <w:rPr>
                <w:rFonts w:hint="eastAsia" w:ascii="仿宋" w:hAnsi="仿宋" w:eastAsia="仿宋" w:cs="宋体"/>
                <w:kern w:val="0"/>
                <w:sz w:val="24"/>
              </w:rPr>
              <w:t>组织实施</w:t>
            </w:r>
          </w:p>
        </w:tc>
        <w:tc>
          <w:tcPr>
            <w:tcW w:w="333" w:type="pct"/>
            <w:vMerge w:val="restart"/>
            <w:shd w:val="clear" w:color="auto" w:fill="auto"/>
            <w:vAlign w:val="center"/>
          </w:tcPr>
          <w:p w14:paraId="6BF56A67">
            <w:pPr>
              <w:widowControl/>
              <w:jc w:val="center"/>
              <w:rPr>
                <w:rFonts w:ascii="仿宋" w:hAnsi="仿宋" w:eastAsia="仿宋" w:cs="宋体"/>
                <w:kern w:val="0"/>
                <w:sz w:val="24"/>
              </w:rPr>
            </w:pPr>
            <w:r>
              <w:rPr>
                <w:rFonts w:hint="eastAsia" w:ascii="仿宋" w:hAnsi="仿宋" w:eastAsia="仿宋" w:cs="宋体"/>
                <w:kern w:val="0"/>
                <w:sz w:val="24"/>
              </w:rPr>
              <w:t>9</w:t>
            </w:r>
          </w:p>
        </w:tc>
        <w:tc>
          <w:tcPr>
            <w:tcW w:w="2142" w:type="pct"/>
            <w:shd w:val="clear" w:color="auto" w:fill="auto"/>
            <w:vAlign w:val="center"/>
          </w:tcPr>
          <w:p w14:paraId="439691A3">
            <w:pPr>
              <w:widowControl/>
              <w:jc w:val="center"/>
              <w:rPr>
                <w:rFonts w:ascii="仿宋" w:hAnsi="仿宋" w:eastAsia="仿宋" w:cs="宋体"/>
                <w:kern w:val="0"/>
                <w:sz w:val="24"/>
              </w:rPr>
            </w:pPr>
            <w:r>
              <w:rPr>
                <w:rFonts w:hint="eastAsia" w:ascii="仿宋" w:hAnsi="仿宋" w:eastAsia="仿宋" w:cs="宋体"/>
                <w:kern w:val="0"/>
                <w:sz w:val="24"/>
              </w:rPr>
              <w:t>管理制度健全性</w:t>
            </w:r>
          </w:p>
        </w:tc>
        <w:tc>
          <w:tcPr>
            <w:tcW w:w="322" w:type="pct"/>
            <w:shd w:val="clear" w:color="auto" w:fill="auto"/>
            <w:vAlign w:val="center"/>
          </w:tcPr>
          <w:p w14:paraId="4C4B8D03">
            <w:pPr>
              <w:widowControl/>
              <w:jc w:val="center"/>
              <w:rPr>
                <w:rFonts w:ascii="仿宋" w:hAnsi="仿宋" w:eastAsia="仿宋" w:cs="宋体"/>
                <w:kern w:val="0"/>
                <w:sz w:val="24"/>
              </w:rPr>
            </w:pPr>
            <w:r>
              <w:rPr>
                <w:rFonts w:hint="eastAsia" w:ascii="仿宋" w:hAnsi="仿宋" w:eastAsia="仿宋" w:cs="宋体"/>
                <w:kern w:val="0"/>
                <w:sz w:val="24"/>
              </w:rPr>
              <w:t>2</w:t>
            </w:r>
          </w:p>
        </w:tc>
        <w:tc>
          <w:tcPr>
            <w:tcW w:w="643" w:type="pct"/>
            <w:shd w:val="clear" w:color="auto" w:fill="auto"/>
            <w:noWrap/>
            <w:vAlign w:val="center"/>
          </w:tcPr>
          <w:p w14:paraId="2B84A3FB">
            <w:pPr>
              <w:widowControl/>
              <w:jc w:val="right"/>
              <w:rPr>
                <w:rFonts w:ascii="仿宋" w:hAnsi="仿宋" w:eastAsia="仿宋" w:cs="宋体"/>
                <w:kern w:val="0"/>
                <w:sz w:val="24"/>
              </w:rPr>
            </w:pPr>
            <w:r>
              <w:rPr>
                <w:rFonts w:hint="eastAsia" w:ascii="仿宋" w:hAnsi="仿宋" w:eastAsia="仿宋" w:cs="宋体"/>
                <w:kern w:val="0"/>
                <w:sz w:val="24"/>
              </w:rPr>
              <w:t xml:space="preserve">    1.50 </w:t>
            </w:r>
          </w:p>
        </w:tc>
      </w:tr>
      <w:tr w14:paraId="5653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C852382">
            <w:pPr>
              <w:widowControl/>
              <w:jc w:val="left"/>
              <w:rPr>
                <w:rFonts w:ascii="仿宋" w:hAnsi="仿宋" w:eastAsia="仿宋" w:cs="宋体"/>
                <w:kern w:val="0"/>
                <w:sz w:val="24"/>
              </w:rPr>
            </w:pPr>
          </w:p>
        </w:tc>
        <w:tc>
          <w:tcPr>
            <w:tcW w:w="333" w:type="pct"/>
            <w:vMerge w:val="continue"/>
            <w:vAlign w:val="center"/>
          </w:tcPr>
          <w:p w14:paraId="7A81C099">
            <w:pPr>
              <w:widowControl/>
              <w:jc w:val="left"/>
              <w:rPr>
                <w:rFonts w:ascii="仿宋" w:hAnsi="仿宋" w:eastAsia="仿宋" w:cs="宋体"/>
                <w:kern w:val="0"/>
                <w:sz w:val="24"/>
              </w:rPr>
            </w:pPr>
          </w:p>
        </w:tc>
        <w:tc>
          <w:tcPr>
            <w:tcW w:w="749" w:type="pct"/>
            <w:vMerge w:val="continue"/>
            <w:vAlign w:val="center"/>
          </w:tcPr>
          <w:p w14:paraId="4C510B1E">
            <w:pPr>
              <w:widowControl/>
              <w:jc w:val="left"/>
              <w:rPr>
                <w:rFonts w:ascii="仿宋" w:hAnsi="仿宋" w:eastAsia="仿宋" w:cs="宋体"/>
                <w:kern w:val="0"/>
                <w:sz w:val="24"/>
              </w:rPr>
            </w:pPr>
          </w:p>
        </w:tc>
        <w:tc>
          <w:tcPr>
            <w:tcW w:w="333" w:type="pct"/>
            <w:vMerge w:val="continue"/>
            <w:vAlign w:val="center"/>
          </w:tcPr>
          <w:p w14:paraId="17D67B96">
            <w:pPr>
              <w:widowControl/>
              <w:jc w:val="left"/>
              <w:rPr>
                <w:rFonts w:ascii="仿宋" w:hAnsi="仿宋" w:eastAsia="仿宋" w:cs="宋体"/>
                <w:kern w:val="0"/>
                <w:sz w:val="24"/>
              </w:rPr>
            </w:pPr>
          </w:p>
        </w:tc>
        <w:tc>
          <w:tcPr>
            <w:tcW w:w="2142" w:type="pct"/>
            <w:shd w:val="clear" w:color="auto" w:fill="auto"/>
            <w:vAlign w:val="center"/>
          </w:tcPr>
          <w:p w14:paraId="70C57A38">
            <w:pPr>
              <w:widowControl/>
              <w:jc w:val="center"/>
              <w:rPr>
                <w:rFonts w:ascii="仿宋" w:hAnsi="仿宋" w:eastAsia="仿宋" w:cs="宋体"/>
                <w:kern w:val="0"/>
                <w:sz w:val="24"/>
              </w:rPr>
            </w:pPr>
            <w:r>
              <w:rPr>
                <w:rFonts w:hint="eastAsia" w:ascii="仿宋" w:hAnsi="仿宋" w:eastAsia="仿宋" w:cs="宋体"/>
                <w:kern w:val="0"/>
                <w:sz w:val="24"/>
              </w:rPr>
              <w:t>制度执行有效性</w:t>
            </w:r>
          </w:p>
        </w:tc>
        <w:tc>
          <w:tcPr>
            <w:tcW w:w="322" w:type="pct"/>
            <w:shd w:val="clear" w:color="auto" w:fill="auto"/>
            <w:vAlign w:val="center"/>
          </w:tcPr>
          <w:p w14:paraId="295D509B">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3F27A276">
            <w:pPr>
              <w:widowControl/>
              <w:jc w:val="right"/>
              <w:rPr>
                <w:rFonts w:ascii="仿宋" w:hAnsi="仿宋" w:eastAsia="仿宋" w:cs="宋体"/>
                <w:kern w:val="0"/>
                <w:sz w:val="24"/>
              </w:rPr>
            </w:pPr>
            <w:r>
              <w:rPr>
                <w:rFonts w:hint="eastAsia" w:ascii="仿宋" w:hAnsi="仿宋" w:eastAsia="仿宋" w:cs="宋体"/>
                <w:kern w:val="0"/>
                <w:sz w:val="24"/>
              </w:rPr>
              <w:t xml:space="preserve">    2.50 </w:t>
            </w:r>
          </w:p>
        </w:tc>
      </w:tr>
      <w:tr w14:paraId="37B53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6189E07B">
            <w:pPr>
              <w:widowControl/>
              <w:jc w:val="left"/>
              <w:rPr>
                <w:rFonts w:ascii="仿宋" w:hAnsi="仿宋" w:eastAsia="仿宋" w:cs="宋体"/>
                <w:kern w:val="0"/>
                <w:sz w:val="24"/>
              </w:rPr>
            </w:pPr>
          </w:p>
        </w:tc>
        <w:tc>
          <w:tcPr>
            <w:tcW w:w="333" w:type="pct"/>
            <w:vMerge w:val="continue"/>
            <w:vAlign w:val="center"/>
          </w:tcPr>
          <w:p w14:paraId="04822F78">
            <w:pPr>
              <w:widowControl/>
              <w:jc w:val="left"/>
              <w:rPr>
                <w:rFonts w:ascii="仿宋" w:hAnsi="仿宋" w:eastAsia="仿宋" w:cs="宋体"/>
                <w:kern w:val="0"/>
                <w:sz w:val="24"/>
              </w:rPr>
            </w:pPr>
          </w:p>
        </w:tc>
        <w:tc>
          <w:tcPr>
            <w:tcW w:w="749" w:type="pct"/>
            <w:vMerge w:val="continue"/>
            <w:vAlign w:val="center"/>
          </w:tcPr>
          <w:p w14:paraId="2B2E59AE">
            <w:pPr>
              <w:widowControl/>
              <w:jc w:val="left"/>
              <w:rPr>
                <w:rFonts w:ascii="仿宋" w:hAnsi="仿宋" w:eastAsia="仿宋" w:cs="宋体"/>
                <w:kern w:val="0"/>
                <w:sz w:val="24"/>
              </w:rPr>
            </w:pPr>
          </w:p>
        </w:tc>
        <w:tc>
          <w:tcPr>
            <w:tcW w:w="333" w:type="pct"/>
            <w:vMerge w:val="continue"/>
            <w:vAlign w:val="center"/>
          </w:tcPr>
          <w:p w14:paraId="0E0F22F2">
            <w:pPr>
              <w:widowControl/>
              <w:jc w:val="left"/>
              <w:rPr>
                <w:rFonts w:ascii="仿宋" w:hAnsi="仿宋" w:eastAsia="仿宋" w:cs="宋体"/>
                <w:kern w:val="0"/>
                <w:sz w:val="24"/>
              </w:rPr>
            </w:pPr>
          </w:p>
        </w:tc>
        <w:tc>
          <w:tcPr>
            <w:tcW w:w="2142" w:type="pct"/>
            <w:shd w:val="clear" w:color="auto" w:fill="auto"/>
            <w:vAlign w:val="center"/>
          </w:tcPr>
          <w:p w14:paraId="5AB4A023">
            <w:pPr>
              <w:widowControl/>
              <w:jc w:val="center"/>
              <w:rPr>
                <w:rFonts w:ascii="仿宋" w:hAnsi="仿宋" w:eastAsia="仿宋" w:cs="宋体"/>
                <w:kern w:val="0"/>
                <w:sz w:val="24"/>
              </w:rPr>
            </w:pPr>
            <w:r>
              <w:rPr>
                <w:rFonts w:hint="eastAsia" w:ascii="仿宋" w:hAnsi="仿宋" w:eastAsia="仿宋" w:cs="宋体"/>
                <w:kern w:val="0"/>
                <w:sz w:val="24"/>
              </w:rPr>
              <w:t>项目质量可控性</w:t>
            </w:r>
          </w:p>
        </w:tc>
        <w:tc>
          <w:tcPr>
            <w:tcW w:w="322" w:type="pct"/>
            <w:shd w:val="clear" w:color="auto" w:fill="auto"/>
            <w:vAlign w:val="center"/>
          </w:tcPr>
          <w:p w14:paraId="7E541127">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4F6F0DA1">
            <w:pPr>
              <w:widowControl/>
              <w:jc w:val="right"/>
              <w:rPr>
                <w:rFonts w:ascii="仿宋" w:hAnsi="仿宋" w:eastAsia="仿宋" w:cs="宋体"/>
                <w:kern w:val="0"/>
                <w:sz w:val="24"/>
              </w:rPr>
            </w:pPr>
            <w:r>
              <w:rPr>
                <w:rFonts w:hint="eastAsia" w:ascii="仿宋" w:hAnsi="仿宋" w:eastAsia="仿宋" w:cs="宋体"/>
                <w:kern w:val="0"/>
                <w:sz w:val="24"/>
              </w:rPr>
              <w:t xml:space="preserve">    3.50 </w:t>
            </w:r>
          </w:p>
        </w:tc>
      </w:tr>
      <w:tr w14:paraId="7C044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77E018DC">
            <w:pPr>
              <w:widowControl/>
              <w:jc w:val="center"/>
              <w:rPr>
                <w:rFonts w:ascii="仿宋" w:hAnsi="仿宋" w:eastAsia="仿宋" w:cs="宋体"/>
                <w:kern w:val="0"/>
                <w:sz w:val="24"/>
              </w:rPr>
            </w:pPr>
            <w:r>
              <w:rPr>
                <w:rFonts w:hint="eastAsia" w:ascii="仿宋" w:hAnsi="仿宋" w:eastAsia="仿宋" w:cs="宋体"/>
                <w:kern w:val="0"/>
                <w:sz w:val="24"/>
              </w:rPr>
              <w:t>产出</w:t>
            </w:r>
          </w:p>
        </w:tc>
        <w:tc>
          <w:tcPr>
            <w:tcW w:w="333" w:type="pct"/>
            <w:vMerge w:val="restart"/>
            <w:shd w:val="clear" w:color="auto" w:fill="auto"/>
            <w:vAlign w:val="center"/>
          </w:tcPr>
          <w:p w14:paraId="71D5F93E">
            <w:pPr>
              <w:widowControl/>
              <w:jc w:val="center"/>
              <w:rPr>
                <w:rFonts w:ascii="仿宋" w:hAnsi="仿宋" w:eastAsia="仿宋" w:cs="宋体"/>
                <w:kern w:val="0"/>
                <w:sz w:val="24"/>
              </w:rPr>
            </w:pPr>
            <w:r>
              <w:rPr>
                <w:rFonts w:hint="eastAsia" w:ascii="仿宋" w:hAnsi="仿宋" w:eastAsia="仿宋" w:cs="宋体"/>
                <w:kern w:val="0"/>
                <w:sz w:val="24"/>
              </w:rPr>
              <w:t xml:space="preserve">26 </w:t>
            </w:r>
          </w:p>
        </w:tc>
        <w:tc>
          <w:tcPr>
            <w:tcW w:w="749" w:type="pct"/>
            <w:vMerge w:val="restart"/>
            <w:shd w:val="clear" w:color="auto" w:fill="auto"/>
            <w:vAlign w:val="center"/>
          </w:tcPr>
          <w:p w14:paraId="492B309C">
            <w:pPr>
              <w:widowControl/>
              <w:jc w:val="center"/>
              <w:rPr>
                <w:rFonts w:ascii="仿宋" w:hAnsi="仿宋" w:eastAsia="仿宋" w:cs="宋体"/>
                <w:kern w:val="0"/>
                <w:sz w:val="24"/>
              </w:rPr>
            </w:pPr>
            <w:r>
              <w:rPr>
                <w:rFonts w:hint="eastAsia" w:ascii="仿宋" w:hAnsi="仿宋" w:eastAsia="仿宋" w:cs="宋体"/>
                <w:kern w:val="0"/>
                <w:sz w:val="24"/>
              </w:rPr>
              <w:t>产出数量</w:t>
            </w:r>
          </w:p>
        </w:tc>
        <w:tc>
          <w:tcPr>
            <w:tcW w:w="333" w:type="pct"/>
            <w:vMerge w:val="restart"/>
            <w:shd w:val="clear" w:color="auto" w:fill="auto"/>
            <w:vAlign w:val="center"/>
          </w:tcPr>
          <w:p w14:paraId="39266969">
            <w:pPr>
              <w:widowControl/>
              <w:jc w:val="center"/>
              <w:rPr>
                <w:rFonts w:ascii="仿宋" w:hAnsi="仿宋" w:eastAsia="仿宋" w:cs="宋体"/>
                <w:kern w:val="0"/>
                <w:sz w:val="24"/>
              </w:rPr>
            </w:pPr>
            <w:r>
              <w:rPr>
                <w:rFonts w:hint="eastAsia" w:ascii="仿宋" w:hAnsi="仿宋" w:eastAsia="仿宋" w:cs="宋体"/>
                <w:kern w:val="0"/>
                <w:sz w:val="24"/>
              </w:rPr>
              <w:t xml:space="preserve">20 </w:t>
            </w:r>
          </w:p>
        </w:tc>
        <w:tc>
          <w:tcPr>
            <w:tcW w:w="2142" w:type="pct"/>
            <w:shd w:val="clear" w:color="auto" w:fill="auto"/>
            <w:vAlign w:val="center"/>
          </w:tcPr>
          <w:p w14:paraId="02D32BF7">
            <w:pPr>
              <w:widowControl/>
              <w:jc w:val="center"/>
              <w:rPr>
                <w:rFonts w:ascii="仿宋" w:hAnsi="仿宋" w:eastAsia="仿宋" w:cs="宋体"/>
                <w:kern w:val="0"/>
                <w:sz w:val="24"/>
              </w:rPr>
            </w:pPr>
            <w:r>
              <w:rPr>
                <w:rFonts w:hint="eastAsia" w:ascii="仿宋" w:hAnsi="仿宋" w:eastAsia="仿宋" w:cs="宋体"/>
                <w:kern w:val="0"/>
                <w:sz w:val="24"/>
              </w:rPr>
              <w:t>提升游客咨询服务中心数量</w:t>
            </w:r>
          </w:p>
        </w:tc>
        <w:tc>
          <w:tcPr>
            <w:tcW w:w="322" w:type="pct"/>
            <w:shd w:val="clear" w:color="auto" w:fill="auto"/>
            <w:vAlign w:val="center"/>
          </w:tcPr>
          <w:p w14:paraId="7F12AB11">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643" w:type="pct"/>
            <w:shd w:val="clear" w:color="auto" w:fill="auto"/>
            <w:noWrap/>
            <w:vAlign w:val="center"/>
          </w:tcPr>
          <w:p w14:paraId="3ED82725">
            <w:pPr>
              <w:widowControl/>
              <w:jc w:val="right"/>
              <w:rPr>
                <w:rFonts w:ascii="仿宋" w:hAnsi="仿宋" w:eastAsia="仿宋" w:cs="宋体"/>
                <w:kern w:val="0"/>
                <w:sz w:val="24"/>
              </w:rPr>
            </w:pPr>
            <w:r>
              <w:rPr>
                <w:rFonts w:hint="eastAsia" w:ascii="仿宋" w:hAnsi="仿宋" w:eastAsia="仿宋" w:cs="宋体"/>
                <w:kern w:val="0"/>
                <w:sz w:val="24"/>
              </w:rPr>
              <w:t xml:space="preserve">    1.00 </w:t>
            </w:r>
          </w:p>
        </w:tc>
      </w:tr>
      <w:tr w14:paraId="6B923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78" w:type="pct"/>
            <w:vMerge w:val="continue"/>
            <w:vAlign w:val="center"/>
          </w:tcPr>
          <w:p w14:paraId="1778A284">
            <w:pPr>
              <w:widowControl/>
              <w:jc w:val="left"/>
              <w:rPr>
                <w:rFonts w:ascii="仿宋" w:hAnsi="仿宋" w:eastAsia="仿宋" w:cs="宋体"/>
                <w:kern w:val="0"/>
                <w:sz w:val="24"/>
              </w:rPr>
            </w:pPr>
          </w:p>
        </w:tc>
        <w:tc>
          <w:tcPr>
            <w:tcW w:w="333" w:type="pct"/>
            <w:vMerge w:val="continue"/>
            <w:vAlign w:val="center"/>
          </w:tcPr>
          <w:p w14:paraId="52975BA8">
            <w:pPr>
              <w:widowControl/>
              <w:jc w:val="left"/>
              <w:rPr>
                <w:rFonts w:ascii="仿宋" w:hAnsi="仿宋" w:eastAsia="仿宋" w:cs="宋体"/>
                <w:kern w:val="0"/>
                <w:sz w:val="24"/>
              </w:rPr>
            </w:pPr>
          </w:p>
        </w:tc>
        <w:tc>
          <w:tcPr>
            <w:tcW w:w="749" w:type="pct"/>
            <w:vMerge w:val="continue"/>
            <w:vAlign w:val="center"/>
          </w:tcPr>
          <w:p w14:paraId="2DB14359">
            <w:pPr>
              <w:widowControl/>
              <w:jc w:val="left"/>
              <w:rPr>
                <w:rFonts w:ascii="仿宋" w:hAnsi="仿宋" w:eastAsia="仿宋" w:cs="宋体"/>
                <w:kern w:val="0"/>
                <w:sz w:val="24"/>
              </w:rPr>
            </w:pPr>
          </w:p>
        </w:tc>
        <w:tc>
          <w:tcPr>
            <w:tcW w:w="333" w:type="pct"/>
            <w:vMerge w:val="continue"/>
            <w:vAlign w:val="center"/>
          </w:tcPr>
          <w:p w14:paraId="63C83D23">
            <w:pPr>
              <w:widowControl/>
              <w:jc w:val="left"/>
              <w:rPr>
                <w:rFonts w:ascii="仿宋" w:hAnsi="仿宋" w:eastAsia="仿宋" w:cs="宋体"/>
                <w:kern w:val="0"/>
                <w:sz w:val="24"/>
              </w:rPr>
            </w:pPr>
          </w:p>
        </w:tc>
        <w:tc>
          <w:tcPr>
            <w:tcW w:w="2142" w:type="pct"/>
            <w:shd w:val="clear" w:color="auto" w:fill="auto"/>
            <w:vAlign w:val="center"/>
          </w:tcPr>
          <w:p w14:paraId="05AE982D">
            <w:pPr>
              <w:widowControl/>
              <w:jc w:val="center"/>
              <w:rPr>
                <w:rFonts w:ascii="仿宋" w:hAnsi="仿宋" w:eastAsia="仿宋" w:cs="宋体"/>
                <w:kern w:val="0"/>
                <w:sz w:val="24"/>
              </w:rPr>
            </w:pPr>
            <w:r>
              <w:rPr>
                <w:rFonts w:hint="eastAsia" w:ascii="仿宋" w:hAnsi="仿宋" w:eastAsia="仿宋" w:cs="宋体"/>
                <w:kern w:val="0"/>
                <w:sz w:val="24"/>
              </w:rPr>
              <w:t>武昌旅游综合信息服务平台(一期)建设完成率</w:t>
            </w:r>
          </w:p>
        </w:tc>
        <w:tc>
          <w:tcPr>
            <w:tcW w:w="322" w:type="pct"/>
            <w:shd w:val="clear" w:color="auto" w:fill="auto"/>
            <w:vAlign w:val="center"/>
          </w:tcPr>
          <w:p w14:paraId="043D3827">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42274903">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22DCB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4409AB56">
            <w:pPr>
              <w:widowControl/>
              <w:jc w:val="left"/>
              <w:rPr>
                <w:rFonts w:ascii="仿宋" w:hAnsi="仿宋" w:eastAsia="仿宋" w:cs="宋体"/>
                <w:kern w:val="0"/>
                <w:sz w:val="24"/>
              </w:rPr>
            </w:pPr>
          </w:p>
        </w:tc>
        <w:tc>
          <w:tcPr>
            <w:tcW w:w="333" w:type="pct"/>
            <w:vMerge w:val="continue"/>
            <w:vAlign w:val="center"/>
          </w:tcPr>
          <w:p w14:paraId="16C842DD">
            <w:pPr>
              <w:widowControl/>
              <w:jc w:val="left"/>
              <w:rPr>
                <w:rFonts w:ascii="仿宋" w:hAnsi="仿宋" w:eastAsia="仿宋" w:cs="宋体"/>
                <w:kern w:val="0"/>
                <w:sz w:val="24"/>
              </w:rPr>
            </w:pPr>
          </w:p>
        </w:tc>
        <w:tc>
          <w:tcPr>
            <w:tcW w:w="749" w:type="pct"/>
            <w:vMerge w:val="continue"/>
            <w:vAlign w:val="center"/>
          </w:tcPr>
          <w:p w14:paraId="4818097F">
            <w:pPr>
              <w:widowControl/>
              <w:jc w:val="left"/>
              <w:rPr>
                <w:rFonts w:ascii="仿宋" w:hAnsi="仿宋" w:eastAsia="仿宋" w:cs="宋体"/>
                <w:kern w:val="0"/>
                <w:sz w:val="24"/>
              </w:rPr>
            </w:pPr>
          </w:p>
        </w:tc>
        <w:tc>
          <w:tcPr>
            <w:tcW w:w="333" w:type="pct"/>
            <w:vMerge w:val="continue"/>
            <w:vAlign w:val="center"/>
          </w:tcPr>
          <w:p w14:paraId="35D79969">
            <w:pPr>
              <w:widowControl/>
              <w:jc w:val="left"/>
              <w:rPr>
                <w:rFonts w:ascii="仿宋" w:hAnsi="仿宋" w:eastAsia="仿宋" w:cs="宋体"/>
                <w:kern w:val="0"/>
                <w:sz w:val="24"/>
              </w:rPr>
            </w:pPr>
          </w:p>
        </w:tc>
        <w:tc>
          <w:tcPr>
            <w:tcW w:w="2142" w:type="pct"/>
            <w:shd w:val="clear" w:color="auto" w:fill="auto"/>
            <w:vAlign w:val="center"/>
          </w:tcPr>
          <w:p w14:paraId="736439C8">
            <w:pPr>
              <w:widowControl/>
              <w:jc w:val="center"/>
              <w:rPr>
                <w:rFonts w:ascii="仿宋" w:hAnsi="仿宋" w:eastAsia="仿宋" w:cs="宋体"/>
                <w:kern w:val="0"/>
                <w:sz w:val="24"/>
              </w:rPr>
            </w:pPr>
            <w:r>
              <w:rPr>
                <w:rFonts w:hint="eastAsia" w:ascii="仿宋" w:hAnsi="仿宋" w:eastAsia="仿宋" w:cs="宋体"/>
                <w:kern w:val="0"/>
                <w:sz w:val="24"/>
              </w:rPr>
              <w:t>武昌全域旅游标识标牌建设个数</w:t>
            </w:r>
          </w:p>
        </w:tc>
        <w:tc>
          <w:tcPr>
            <w:tcW w:w="322" w:type="pct"/>
            <w:shd w:val="clear" w:color="auto" w:fill="auto"/>
            <w:vAlign w:val="center"/>
          </w:tcPr>
          <w:p w14:paraId="6ACDEFF5">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643" w:type="pct"/>
            <w:shd w:val="clear" w:color="auto" w:fill="auto"/>
            <w:noWrap/>
            <w:vAlign w:val="center"/>
          </w:tcPr>
          <w:p w14:paraId="5E9059F7">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3175E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667D29D8">
            <w:pPr>
              <w:widowControl/>
              <w:jc w:val="left"/>
              <w:rPr>
                <w:rFonts w:ascii="仿宋" w:hAnsi="仿宋" w:eastAsia="仿宋" w:cs="宋体"/>
                <w:kern w:val="0"/>
                <w:sz w:val="24"/>
              </w:rPr>
            </w:pPr>
          </w:p>
        </w:tc>
        <w:tc>
          <w:tcPr>
            <w:tcW w:w="333" w:type="pct"/>
            <w:vMerge w:val="continue"/>
            <w:vAlign w:val="center"/>
          </w:tcPr>
          <w:p w14:paraId="21CA2BDE">
            <w:pPr>
              <w:widowControl/>
              <w:jc w:val="left"/>
              <w:rPr>
                <w:rFonts w:ascii="仿宋" w:hAnsi="仿宋" w:eastAsia="仿宋" w:cs="宋体"/>
                <w:kern w:val="0"/>
                <w:sz w:val="24"/>
              </w:rPr>
            </w:pPr>
          </w:p>
        </w:tc>
        <w:tc>
          <w:tcPr>
            <w:tcW w:w="749" w:type="pct"/>
            <w:vMerge w:val="continue"/>
            <w:vAlign w:val="center"/>
          </w:tcPr>
          <w:p w14:paraId="4D96C90D">
            <w:pPr>
              <w:widowControl/>
              <w:jc w:val="left"/>
              <w:rPr>
                <w:rFonts w:ascii="仿宋" w:hAnsi="仿宋" w:eastAsia="仿宋" w:cs="宋体"/>
                <w:kern w:val="0"/>
                <w:sz w:val="24"/>
              </w:rPr>
            </w:pPr>
          </w:p>
        </w:tc>
        <w:tc>
          <w:tcPr>
            <w:tcW w:w="333" w:type="pct"/>
            <w:vMerge w:val="continue"/>
            <w:vAlign w:val="center"/>
          </w:tcPr>
          <w:p w14:paraId="32BFD254">
            <w:pPr>
              <w:widowControl/>
              <w:jc w:val="left"/>
              <w:rPr>
                <w:rFonts w:ascii="仿宋" w:hAnsi="仿宋" w:eastAsia="仿宋" w:cs="宋体"/>
                <w:kern w:val="0"/>
                <w:sz w:val="24"/>
              </w:rPr>
            </w:pPr>
          </w:p>
        </w:tc>
        <w:tc>
          <w:tcPr>
            <w:tcW w:w="2142" w:type="pct"/>
            <w:shd w:val="clear" w:color="auto" w:fill="auto"/>
            <w:vAlign w:val="center"/>
          </w:tcPr>
          <w:p w14:paraId="6A4A1BD8">
            <w:pPr>
              <w:widowControl/>
              <w:jc w:val="center"/>
              <w:rPr>
                <w:rFonts w:ascii="仿宋" w:hAnsi="仿宋" w:eastAsia="仿宋" w:cs="宋体"/>
                <w:kern w:val="0"/>
                <w:sz w:val="24"/>
              </w:rPr>
            </w:pPr>
            <w:r>
              <w:rPr>
                <w:rFonts w:hint="eastAsia" w:ascii="仿宋" w:hAnsi="仿宋" w:eastAsia="仿宋" w:cs="宋体"/>
                <w:kern w:val="0"/>
                <w:sz w:val="24"/>
              </w:rPr>
              <w:t>制作并推广武昌旅游形象宣传片</w:t>
            </w:r>
          </w:p>
        </w:tc>
        <w:tc>
          <w:tcPr>
            <w:tcW w:w="322" w:type="pct"/>
            <w:shd w:val="clear" w:color="auto" w:fill="auto"/>
            <w:vAlign w:val="center"/>
          </w:tcPr>
          <w:p w14:paraId="0FC57F88">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2EDBD6DB">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7F877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78" w:type="pct"/>
            <w:vMerge w:val="continue"/>
            <w:vAlign w:val="center"/>
          </w:tcPr>
          <w:p w14:paraId="3017B1F1">
            <w:pPr>
              <w:widowControl/>
              <w:jc w:val="left"/>
              <w:rPr>
                <w:rFonts w:ascii="仿宋" w:hAnsi="仿宋" w:eastAsia="仿宋" w:cs="宋体"/>
                <w:kern w:val="0"/>
                <w:sz w:val="24"/>
              </w:rPr>
            </w:pPr>
          </w:p>
        </w:tc>
        <w:tc>
          <w:tcPr>
            <w:tcW w:w="333" w:type="pct"/>
            <w:vMerge w:val="continue"/>
            <w:vAlign w:val="center"/>
          </w:tcPr>
          <w:p w14:paraId="5B39C4A2">
            <w:pPr>
              <w:widowControl/>
              <w:jc w:val="left"/>
              <w:rPr>
                <w:rFonts w:ascii="仿宋" w:hAnsi="仿宋" w:eastAsia="仿宋" w:cs="宋体"/>
                <w:kern w:val="0"/>
                <w:sz w:val="24"/>
              </w:rPr>
            </w:pPr>
          </w:p>
        </w:tc>
        <w:tc>
          <w:tcPr>
            <w:tcW w:w="749" w:type="pct"/>
            <w:vMerge w:val="continue"/>
            <w:vAlign w:val="center"/>
          </w:tcPr>
          <w:p w14:paraId="423E2E5A">
            <w:pPr>
              <w:widowControl/>
              <w:jc w:val="left"/>
              <w:rPr>
                <w:rFonts w:ascii="仿宋" w:hAnsi="仿宋" w:eastAsia="仿宋" w:cs="宋体"/>
                <w:kern w:val="0"/>
                <w:sz w:val="24"/>
              </w:rPr>
            </w:pPr>
          </w:p>
        </w:tc>
        <w:tc>
          <w:tcPr>
            <w:tcW w:w="333" w:type="pct"/>
            <w:vMerge w:val="continue"/>
            <w:vAlign w:val="center"/>
          </w:tcPr>
          <w:p w14:paraId="1438A1EE">
            <w:pPr>
              <w:widowControl/>
              <w:jc w:val="left"/>
              <w:rPr>
                <w:rFonts w:ascii="仿宋" w:hAnsi="仿宋" w:eastAsia="仿宋" w:cs="宋体"/>
                <w:kern w:val="0"/>
                <w:sz w:val="24"/>
              </w:rPr>
            </w:pPr>
          </w:p>
        </w:tc>
        <w:tc>
          <w:tcPr>
            <w:tcW w:w="2142" w:type="pct"/>
            <w:shd w:val="clear" w:color="auto" w:fill="auto"/>
            <w:vAlign w:val="center"/>
          </w:tcPr>
          <w:p w14:paraId="72AA85D3">
            <w:pPr>
              <w:widowControl/>
              <w:jc w:val="center"/>
              <w:rPr>
                <w:rFonts w:ascii="仿宋" w:hAnsi="仿宋" w:eastAsia="仿宋" w:cs="宋体"/>
                <w:kern w:val="0"/>
                <w:sz w:val="24"/>
              </w:rPr>
            </w:pPr>
            <w:r>
              <w:rPr>
                <w:rFonts w:hint="eastAsia" w:ascii="仿宋" w:hAnsi="仿宋" w:eastAsia="仿宋" w:cs="宋体"/>
                <w:kern w:val="0"/>
                <w:sz w:val="24"/>
              </w:rPr>
              <w:t>组织开展武昌美食节、艺术节、旅游节等节庆活动场次</w:t>
            </w:r>
          </w:p>
        </w:tc>
        <w:tc>
          <w:tcPr>
            <w:tcW w:w="322" w:type="pct"/>
            <w:shd w:val="clear" w:color="auto" w:fill="auto"/>
            <w:vAlign w:val="center"/>
          </w:tcPr>
          <w:p w14:paraId="6BF647D9">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4210314A">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05AED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ED278AB">
            <w:pPr>
              <w:widowControl/>
              <w:jc w:val="left"/>
              <w:rPr>
                <w:rFonts w:ascii="仿宋" w:hAnsi="仿宋" w:eastAsia="仿宋" w:cs="宋体"/>
                <w:kern w:val="0"/>
                <w:sz w:val="24"/>
              </w:rPr>
            </w:pPr>
          </w:p>
        </w:tc>
        <w:tc>
          <w:tcPr>
            <w:tcW w:w="333" w:type="pct"/>
            <w:vMerge w:val="continue"/>
            <w:vAlign w:val="center"/>
          </w:tcPr>
          <w:p w14:paraId="36CF5767">
            <w:pPr>
              <w:widowControl/>
              <w:jc w:val="left"/>
              <w:rPr>
                <w:rFonts w:ascii="仿宋" w:hAnsi="仿宋" w:eastAsia="仿宋" w:cs="宋体"/>
                <w:kern w:val="0"/>
                <w:sz w:val="24"/>
              </w:rPr>
            </w:pPr>
          </w:p>
        </w:tc>
        <w:tc>
          <w:tcPr>
            <w:tcW w:w="749" w:type="pct"/>
            <w:vMerge w:val="continue"/>
            <w:vAlign w:val="center"/>
          </w:tcPr>
          <w:p w14:paraId="2957D88E">
            <w:pPr>
              <w:widowControl/>
              <w:jc w:val="left"/>
              <w:rPr>
                <w:rFonts w:ascii="仿宋" w:hAnsi="仿宋" w:eastAsia="仿宋" w:cs="宋体"/>
                <w:kern w:val="0"/>
                <w:sz w:val="24"/>
              </w:rPr>
            </w:pPr>
          </w:p>
        </w:tc>
        <w:tc>
          <w:tcPr>
            <w:tcW w:w="333" w:type="pct"/>
            <w:vMerge w:val="continue"/>
            <w:vAlign w:val="center"/>
          </w:tcPr>
          <w:p w14:paraId="52D67315">
            <w:pPr>
              <w:widowControl/>
              <w:jc w:val="left"/>
              <w:rPr>
                <w:rFonts w:ascii="仿宋" w:hAnsi="仿宋" w:eastAsia="仿宋" w:cs="宋体"/>
                <w:kern w:val="0"/>
                <w:sz w:val="24"/>
              </w:rPr>
            </w:pPr>
          </w:p>
        </w:tc>
        <w:tc>
          <w:tcPr>
            <w:tcW w:w="2142" w:type="pct"/>
            <w:shd w:val="clear" w:color="auto" w:fill="auto"/>
            <w:vAlign w:val="center"/>
          </w:tcPr>
          <w:p w14:paraId="4E3294B0">
            <w:pPr>
              <w:widowControl/>
              <w:jc w:val="center"/>
              <w:rPr>
                <w:rFonts w:ascii="仿宋" w:hAnsi="仿宋" w:eastAsia="仿宋" w:cs="宋体"/>
                <w:kern w:val="0"/>
                <w:sz w:val="24"/>
              </w:rPr>
            </w:pPr>
            <w:r>
              <w:rPr>
                <w:rFonts w:hint="eastAsia" w:ascii="仿宋" w:hAnsi="仿宋" w:eastAsia="仿宋" w:cs="宋体"/>
                <w:kern w:val="0"/>
                <w:sz w:val="24"/>
              </w:rPr>
              <w:t>开展中国（武昌）辛亥首义文化节</w:t>
            </w:r>
          </w:p>
        </w:tc>
        <w:tc>
          <w:tcPr>
            <w:tcW w:w="322" w:type="pct"/>
            <w:shd w:val="clear" w:color="auto" w:fill="auto"/>
            <w:vAlign w:val="center"/>
          </w:tcPr>
          <w:p w14:paraId="1A6D4AD4">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4D1282F6">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5FED8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2163B92E">
            <w:pPr>
              <w:widowControl/>
              <w:jc w:val="left"/>
              <w:rPr>
                <w:rFonts w:ascii="仿宋" w:hAnsi="仿宋" w:eastAsia="仿宋" w:cs="宋体"/>
                <w:kern w:val="0"/>
                <w:sz w:val="24"/>
              </w:rPr>
            </w:pPr>
          </w:p>
        </w:tc>
        <w:tc>
          <w:tcPr>
            <w:tcW w:w="333" w:type="pct"/>
            <w:vMerge w:val="continue"/>
            <w:vAlign w:val="center"/>
          </w:tcPr>
          <w:p w14:paraId="0856E281">
            <w:pPr>
              <w:widowControl/>
              <w:jc w:val="left"/>
              <w:rPr>
                <w:rFonts w:ascii="仿宋" w:hAnsi="仿宋" w:eastAsia="仿宋" w:cs="宋体"/>
                <w:kern w:val="0"/>
                <w:sz w:val="24"/>
              </w:rPr>
            </w:pPr>
          </w:p>
        </w:tc>
        <w:tc>
          <w:tcPr>
            <w:tcW w:w="749" w:type="pct"/>
            <w:shd w:val="clear" w:color="auto" w:fill="auto"/>
            <w:vAlign w:val="center"/>
          </w:tcPr>
          <w:p w14:paraId="2E96ADBB">
            <w:pPr>
              <w:widowControl/>
              <w:jc w:val="center"/>
              <w:rPr>
                <w:rFonts w:ascii="仿宋" w:hAnsi="仿宋" w:eastAsia="仿宋" w:cs="宋体"/>
                <w:kern w:val="0"/>
                <w:sz w:val="24"/>
              </w:rPr>
            </w:pPr>
            <w:r>
              <w:rPr>
                <w:rFonts w:hint="eastAsia" w:ascii="仿宋" w:hAnsi="仿宋" w:eastAsia="仿宋" w:cs="宋体"/>
                <w:kern w:val="0"/>
                <w:sz w:val="24"/>
              </w:rPr>
              <w:t>产出质量</w:t>
            </w:r>
          </w:p>
        </w:tc>
        <w:tc>
          <w:tcPr>
            <w:tcW w:w="333" w:type="pct"/>
            <w:shd w:val="clear" w:color="auto" w:fill="auto"/>
            <w:vAlign w:val="center"/>
          </w:tcPr>
          <w:p w14:paraId="1374F55E">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2142" w:type="pct"/>
            <w:shd w:val="clear" w:color="auto" w:fill="auto"/>
            <w:vAlign w:val="center"/>
          </w:tcPr>
          <w:p w14:paraId="76BC4017">
            <w:pPr>
              <w:widowControl/>
              <w:jc w:val="center"/>
              <w:rPr>
                <w:rFonts w:ascii="仿宋" w:hAnsi="仿宋" w:eastAsia="仿宋" w:cs="宋体"/>
                <w:kern w:val="0"/>
                <w:sz w:val="24"/>
              </w:rPr>
            </w:pPr>
            <w:r>
              <w:rPr>
                <w:rFonts w:hint="eastAsia" w:ascii="仿宋" w:hAnsi="仿宋" w:eastAsia="仿宋" w:cs="宋体"/>
                <w:kern w:val="0"/>
                <w:sz w:val="24"/>
              </w:rPr>
              <w:t>文化旅游工作全市中心城区排名</w:t>
            </w:r>
          </w:p>
        </w:tc>
        <w:tc>
          <w:tcPr>
            <w:tcW w:w="322" w:type="pct"/>
            <w:shd w:val="clear" w:color="auto" w:fill="auto"/>
            <w:vAlign w:val="center"/>
          </w:tcPr>
          <w:p w14:paraId="4F7C99C3">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643" w:type="pct"/>
            <w:shd w:val="clear" w:color="auto" w:fill="auto"/>
            <w:noWrap/>
            <w:vAlign w:val="center"/>
          </w:tcPr>
          <w:p w14:paraId="18C83E6C">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3798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427493EA">
            <w:pPr>
              <w:widowControl/>
              <w:jc w:val="left"/>
              <w:rPr>
                <w:rFonts w:ascii="仿宋" w:hAnsi="仿宋" w:eastAsia="仿宋" w:cs="宋体"/>
                <w:kern w:val="0"/>
                <w:sz w:val="24"/>
              </w:rPr>
            </w:pPr>
          </w:p>
        </w:tc>
        <w:tc>
          <w:tcPr>
            <w:tcW w:w="333" w:type="pct"/>
            <w:vMerge w:val="continue"/>
            <w:vAlign w:val="center"/>
          </w:tcPr>
          <w:p w14:paraId="598284D9">
            <w:pPr>
              <w:widowControl/>
              <w:jc w:val="left"/>
              <w:rPr>
                <w:rFonts w:ascii="仿宋" w:hAnsi="仿宋" w:eastAsia="仿宋" w:cs="宋体"/>
                <w:kern w:val="0"/>
                <w:sz w:val="24"/>
              </w:rPr>
            </w:pPr>
          </w:p>
        </w:tc>
        <w:tc>
          <w:tcPr>
            <w:tcW w:w="749" w:type="pct"/>
            <w:shd w:val="clear" w:color="auto" w:fill="auto"/>
            <w:vAlign w:val="center"/>
          </w:tcPr>
          <w:p w14:paraId="6281E4A7">
            <w:pPr>
              <w:widowControl/>
              <w:jc w:val="center"/>
              <w:rPr>
                <w:rFonts w:ascii="仿宋" w:hAnsi="仿宋" w:eastAsia="仿宋" w:cs="宋体"/>
                <w:kern w:val="0"/>
                <w:sz w:val="24"/>
              </w:rPr>
            </w:pPr>
            <w:r>
              <w:rPr>
                <w:rFonts w:hint="eastAsia" w:ascii="仿宋" w:hAnsi="仿宋" w:eastAsia="仿宋" w:cs="宋体"/>
                <w:kern w:val="0"/>
                <w:sz w:val="24"/>
              </w:rPr>
              <w:t>产出时效</w:t>
            </w:r>
          </w:p>
        </w:tc>
        <w:tc>
          <w:tcPr>
            <w:tcW w:w="333" w:type="pct"/>
            <w:shd w:val="clear" w:color="auto" w:fill="auto"/>
            <w:vAlign w:val="center"/>
          </w:tcPr>
          <w:p w14:paraId="3993DA6F">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2142" w:type="pct"/>
            <w:shd w:val="clear" w:color="auto" w:fill="auto"/>
            <w:vAlign w:val="center"/>
          </w:tcPr>
          <w:p w14:paraId="48989669">
            <w:pPr>
              <w:widowControl/>
              <w:jc w:val="center"/>
              <w:rPr>
                <w:rFonts w:ascii="仿宋" w:hAnsi="仿宋" w:eastAsia="仿宋" w:cs="宋体"/>
                <w:kern w:val="0"/>
                <w:sz w:val="24"/>
              </w:rPr>
            </w:pPr>
            <w:r>
              <w:rPr>
                <w:rFonts w:hint="eastAsia" w:ascii="仿宋" w:hAnsi="仿宋" w:eastAsia="仿宋" w:cs="宋体"/>
                <w:kern w:val="0"/>
                <w:sz w:val="24"/>
              </w:rPr>
              <w:t>工作清单任务完成及时率</w:t>
            </w:r>
          </w:p>
        </w:tc>
        <w:tc>
          <w:tcPr>
            <w:tcW w:w="322" w:type="pct"/>
            <w:shd w:val="clear" w:color="auto" w:fill="auto"/>
            <w:vAlign w:val="center"/>
          </w:tcPr>
          <w:p w14:paraId="33014222">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643" w:type="pct"/>
            <w:shd w:val="clear" w:color="auto" w:fill="auto"/>
            <w:noWrap/>
            <w:vAlign w:val="center"/>
          </w:tcPr>
          <w:p w14:paraId="72A41ECF">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62C53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0487327D">
            <w:pPr>
              <w:widowControl/>
              <w:jc w:val="center"/>
              <w:rPr>
                <w:rFonts w:ascii="仿宋" w:hAnsi="仿宋" w:eastAsia="仿宋" w:cs="宋体"/>
                <w:kern w:val="0"/>
                <w:sz w:val="24"/>
              </w:rPr>
            </w:pPr>
            <w:r>
              <w:rPr>
                <w:rFonts w:hint="eastAsia" w:ascii="仿宋" w:hAnsi="仿宋" w:eastAsia="仿宋" w:cs="宋体"/>
                <w:kern w:val="0"/>
                <w:sz w:val="24"/>
              </w:rPr>
              <w:t>效果</w:t>
            </w:r>
          </w:p>
        </w:tc>
        <w:tc>
          <w:tcPr>
            <w:tcW w:w="333" w:type="pct"/>
            <w:vMerge w:val="restart"/>
            <w:shd w:val="clear" w:color="auto" w:fill="auto"/>
            <w:vAlign w:val="center"/>
          </w:tcPr>
          <w:p w14:paraId="52DE2BE2">
            <w:pPr>
              <w:widowControl/>
              <w:jc w:val="center"/>
              <w:rPr>
                <w:rFonts w:ascii="仿宋" w:hAnsi="仿宋" w:eastAsia="仿宋" w:cs="宋体"/>
                <w:kern w:val="0"/>
                <w:sz w:val="24"/>
              </w:rPr>
            </w:pPr>
            <w:r>
              <w:rPr>
                <w:rFonts w:hint="eastAsia" w:ascii="仿宋" w:hAnsi="仿宋" w:eastAsia="仿宋" w:cs="宋体"/>
                <w:kern w:val="0"/>
                <w:sz w:val="24"/>
              </w:rPr>
              <w:t>40</w:t>
            </w:r>
          </w:p>
        </w:tc>
        <w:tc>
          <w:tcPr>
            <w:tcW w:w="749" w:type="pct"/>
            <w:vMerge w:val="restart"/>
            <w:shd w:val="clear" w:color="auto" w:fill="auto"/>
            <w:vAlign w:val="center"/>
          </w:tcPr>
          <w:p w14:paraId="2560A405">
            <w:pPr>
              <w:widowControl/>
              <w:jc w:val="center"/>
              <w:rPr>
                <w:rFonts w:ascii="仿宋" w:hAnsi="仿宋" w:eastAsia="仿宋" w:cs="宋体"/>
                <w:kern w:val="0"/>
                <w:sz w:val="24"/>
              </w:rPr>
            </w:pPr>
            <w:r>
              <w:rPr>
                <w:rFonts w:hint="eastAsia" w:ascii="仿宋" w:hAnsi="仿宋" w:eastAsia="仿宋" w:cs="宋体"/>
                <w:kern w:val="0"/>
                <w:sz w:val="24"/>
              </w:rPr>
              <w:t>经济效益</w:t>
            </w:r>
          </w:p>
        </w:tc>
        <w:tc>
          <w:tcPr>
            <w:tcW w:w="333" w:type="pct"/>
            <w:vMerge w:val="restart"/>
            <w:shd w:val="clear" w:color="auto" w:fill="auto"/>
            <w:vAlign w:val="center"/>
          </w:tcPr>
          <w:p w14:paraId="09F31BF3">
            <w:pPr>
              <w:widowControl/>
              <w:jc w:val="center"/>
              <w:rPr>
                <w:rFonts w:ascii="仿宋" w:hAnsi="仿宋" w:eastAsia="仿宋" w:cs="宋体"/>
                <w:kern w:val="0"/>
                <w:sz w:val="24"/>
              </w:rPr>
            </w:pPr>
            <w:r>
              <w:rPr>
                <w:rFonts w:hint="eastAsia" w:ascii="仿宋" w:hAnsi="仿宋" w:eastAsia="仿宋" w:cs="宋体"/>
                <w:kern w:val="0"/>
                <w:sz w:val="24"/>
              </w:rPr>
              <w:t>8</w:t>
            </w:r>
          </w:p>
        </w:tc>
        <w:tc>
          <w:tcPr>
            <w:tcW w:w="2142" w:type="pct"/>
            <w:shd w:val="clear" w:color="auto" w:fill="auto"/>
            <w:vAlign w:val="center"/>
          </w:tcPr>
          <w:p w14:paraId="04CB90A8">
            <w:pPr>
              <w:widowControl/>
              <w:jc w:val="center"/>
              <w:rPr>
                <w:rFonts w:ascii="仿宋" w:hAnsi="仿宋" w:eastAsia="仿宋" w:cs="宋体"/>
                <w:kern w:val="0"/>
                <w:sz w:val="24"/>
              </w:rPr>
            </w:pPr>
            <w:r>
              <w:rPr>
                <w:rFonts w:hint="eastAsia" w:ascii="仿宋" w:hAnsi="仿宋" w:eastAsia="仿宋" w:cs="宋体"/>
                <w:kern w:val="0"/>
                <w:sz w:val="24"/>
              </w:rPr>
              <w:t>全区旅游总收入增长率</w:t>
            </w:r>
          </w:p>
        </w:tc>
        <w:tc>
          <w:tcPr>
            <w:tcW w:w="322" w:type="pct"/>
            <w:shd w:val="clear" w:color="auto" w:fill="auto"/>
            <w:vAlign w:val="center"/>
          </w:tcPr>
          <w:p w14:paraId="29714CD0">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3374BB0C">
            <w:pPr>
              <w:widowControl/>
              <w:jc w:val="right"/>
              <w:rPr>
                <w:rFonts w:ascii="仿宋" w:hAnsi="仿宋" w:eastAsia="仿宋" w:cs="宋体"/>
                <w:kern w:val="0"/>
                <w:sz w:val="24"/>
              </w:rPr>
            </w:pPr>
            <w:r>
              <w:rPr>
                <w:rFonts w:hint="eastAsia" w:ascii="仿宋" w:hAnsi="仿宋" w:eastAsia="仿宋" w:cs="宋体"/>
                <w:kern w:val="0"/>
                <w:sz w:val="24"/>
              </w:rPr>
              <w:t xml:space="preserve">    5.00 </w:t>
            </w:r>
          </w:p>
        </w:tc>
      </w:tr>
      <w:tr w14:paraId="6399B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1A7A9411">
            <w:pPr>
              <w:widowControl/>
              <w:jc w:val="left"/>
              <w:rPr>
                <w:rFonts w:ascii="仿宋" w:hAnsi="仿宋" w:eastAsia="仿宋" w:cs="宋体"/>
                <w:kern w:val="0"/>
                <w:sz w:val="24"/>
              </w:rPr>
            </w:pPr>
          </w:p>
        </w:tc>
        <w:tc>
          <w:tcPr>
            <w:tcW w:w="333" w:type="pct"/>
            <w:vMerge w:val="continue"/>
            <w:vAlign w:val="center"/>
          </w:tcPr>
          <w:p w14:paraId="6E604ED4">
            <w:pPr>
              <w:widowControl/>
              <w:jc w:val="left"/>
              <w:rPr>
                <w:rFonts w:ascii="仿宋" w:hAnsi="仿宋" w:eastAsia="仿宋" w:cs="宋体"/>
                <w:kern w:val="0"/>
                <w:sz w:val="24"/>
              </w:rPr>
            </w:pPr>
          </w:p>
        </w:tc>
        <w:tc>
          <w:tcPr>
            <w:tcW w:w="749" w:type="pct"/>
            <w:vMerge w:val="continue"/>
            <w:vAlign w:val="center"/>
          </w:tcPr>
          <w:p w14:paraId="49D10D54">
            <w:pPr>
              <w:widowControl/>
              <w:jc w:val="left"/>
              <w:rPr>
                <w:rFonts w:ascii="仿宋" w:hAnsi="仿宋" w:eastAsia="仿宋" w:cs="宋体"/>
                <w:kern w:val="0"/>
                <w:sz w:val="24"/>
              </w:rPr>
            </w:pPr>
          </w:p>
        </w:tc>
        <w:tc>
          <w:tcPr>
            <w:tcW w:w="333" w:type="pct"/>
            <w:vMerge w:val="continue"/>
            <w:vAlign w:val="center"/>
          </w:tcPr>
          <w:p w14:paraId="196B6EE8">
            <w:pPr>
              <w:widowControl/>
              <w:jc w:val="left"/>
              <w:rPr>
                <w:rFonts w:ascii="仿宋" w:hAnsi="仿宋" w:eastAsia="仿宋" w:cs="宋体"/>
                <w:kern w:val="0"/>
                <w:sz w:val="24"/>
              </w:rPr>
            </w:pPr>
          </w:p>
        </w:tc>
        <w:tc>
          <w:tcPr>
            <w:tcW w:w="2142" w:type="pct"/>
            <w:shd w:val="clear" w:color="auto" w:fill="auto"/>
            <w:vAlign w:val="center"/>
          </w:tcPr>
          <w:p w14:paraId="084E761F">
            <w:pPr>
              <w:widowControl/>
              <w:jc w:val="center"/>
              <w:rPr>
                <w:rFonts w:ascii="仿宋" w:hAnsi="仿宋" w:eastAsia="仿宋" w:cs="宋体"/>
                <w:kern w:val="0"/>
                <w:sz w:val="24"/>
              </w:rPr>
            </w:pPr>
            <w:r>
              <w:rPr>
                <w:rFonts w:hint="eastAsia" w:ascii="仿宋" w:hAnsi="仿宋" w:eastAsia="仿宋" w:cs="宋体"/>
                <w:kern w:val="0"/>
                <w:sz w:val="24"/>
              </w:rPr>
              <w:t>国内游客人均花费</w:t>
            </w:r>
          </w:p>
        </w:tc>
        <w:tc>
          <w:tcPr>
            <w:tcW w:w="322" w:type="pct"/>
            <w:shd w:val="clear" w:color="auto" w:fill="auto"/>
            <w:vAlign w:val="center"/>
          </w:tcPr>
          <w:p w14:paraId="693F6237">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74E6E47">
            <w:pPr>
              <w:widowControl/>
              <w:jc w:val="right"/>
              <w:rPr>
                <w:rFonts w:ascii="仿宋" w:hAnsi="仿宋" w:eastAsia="仿宋" w:cs="宋体"/>
                <w:kern w:val="0"/>
                <w:sz w:val="24"/>
              </w:rPr>
            </w:pPr>
            <w:r>
              <w:rPr>
                <w:rFonts w:hint="eastAsia" w:ascii="仿宋" w:hAnsi="仿宋" w:eastAsia="仿宋" w:cs="宋体"/>
                <w:kern w:val="0"/>
                <w:sz w:val="24"/>
              </w:rPr>
              <w:t xml:space="preserve">    2.82 </w:t>
            </w:r>
          </w:p>
        </w:tc>
      </w:tr>
      <w:tr w14:paraId="4F0BC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7F5BB4D3">
            <w:pPr>
              <w:widowControl/>
              <w:jc w:val="left"/>
              <w:rPr>
                <w:rFonts w:ascii="仿宋" w:hAnsi="仿宋" w:eastAsia="仿宋" w:cs="宋体"/>
                <w:kern w:val="0"/>
                <w:sz w:val="24"/>
              </w:rPr>
            </w:pPr>
          </w:p>
        </w:tc>
        <w:tc>
          <w:tcPr>
            <w:tcW w:w="333" w:type="pct"/>
            <w:vMerge w:val="continue"/>
            <w:vAlign w:val="center"/>
          </w:tcPr>
          <w:p w14:paraId="69E44676">
            <w:pPr>
              <w:widowControl/>
              <w:jc w:val="left"/>
              <w:rPr>
                <w:rFonts w:ascii="仿宋" w:hAnsi="仿宋" w:eastAsia="仿宋" w:cs="宋体"/>
                <w:kern w:val="0"/>
                <w:sz w:val="24"/>
              </w:rPr>
            </w:pPr>
          </w:p>
        </w:tc>
        <w:tc>
          <w:tcPr>
            <w:tcW w:w="749" w:type="pct"/>
            <w:vMerge w:val="restart"/>
            <w:shd w:val="clear" w:color="auto" w:fill="auto"/>
            <w:vAlign w:val="center"/>
          </w:tcPr>
          <w:p w14:paraId="042D7902">
            <w:pPr>
              <w:widowControl/>
              <w:jc w:val="center"/>
              <w:rPr>
                <w:rFonts w:ascii="仿宋" w:hAnsi="仿宋" w:eastAsia="仿宋" w:cs="宋体"/>
                <w:kern w:val="0"/>
                <w:sz w:val="24"/>
              </w:rPr>
            </w:pPr>
            <w:r>
              <w:rPr>
                <w:rFonts w:hint="eastAsia" w:ascii="仿宋" w:hAnsi="仿宋" w:eastAsia="仿宋" w:cs="宋体"/>
                <w:kern w:val="0"/>
                <w:sz w:val="24"/>
              </w:rPr>
              <w:t>社会效益</w:t>
            </w:r>
          </w:p>
        </w:tc>
        <w:tc>
          <w:tcPr>
            <w:tcW w:w="333" w:type="pct"/>
            <w:vMerge w:val="restart"/>
            <w:shd w:val="clear" w:color="auto" w:fill="auto"/>
            <w:vAlign w:val="center"/>
          </w:tcPr>
          <w:p w14:paraId="5ACAEB7E">
            <w:pPr>
              <w:widowControl/>
              <w:jc w:val="center"/>
              <w:rPr>
                <w:rFonts w:ascii="仿宋" w:hAnsi="仿宋" w:eastAsia="仿宋" w:cs="宋体"/>
                <w:kern w:val="0"/>
                <w:sz w:val="24"/>
              </w:rPr>
            </w:pPr>
            <w:r>
              <w:rPr>
                <w:rFonts w:hint="eastAsia" w:ascii="仿宋" w:hAnsi="仿宋" w:eastAsia="仿宋" w:cs="宋体"/>
                <w:kern w:val="0"/>
                <w:sz w:val="24"/>
              </w:rPr>
              <w:t>17</w:t>
            </w:r>
          </w:p>
        </w:tc>
        <w:tc>
          <w:tcPr>
            <w:tcW w:w="2142" w:type="pct"/>
            <w:shd w:val="clear" w:color="auto" w:fill="auto"/>
            <w:vAlign w:val="center"/>
          </w:tcPr>
          <w:p w14:paraId="72A7F6D0">
            <w:pPr>
              <w:widowControl/>
              <w:jc w:val="center"/>
              <w:rPr>
                <w:rFonts w:ascii="仿宋" w:hAnsi="仿宋" w:eastAsia="仿宋" w:cs="宋体"/>
                <w:kern w:val="0"/>
                <w:sz w:val="24"/>
              </w:rPr>
            </w:pPr>
            <w:r>
              <w:rPr>
                <w:rFonts w:hint="eastAsia" w:ascii="仿宋" w:hAnsi="仿宋" w:eastAsia="仿宋" w:cs="宋体"/>
                <w:kern w:val="0"/>
                <w:sz w:val="24"/>
              </w:rPr>
              <w:t>全区年接待游客总数增长率</w:t>
            </w:r>
          </w:p>
        </w:tc>
        <w:tc>
          <w:tcPr>
            <w:tcW w:w="322" w:type="pct"/>
            <w:shd w:val="clear" w:color="auto" w:fill="auto"/>
            <w:vAlign w:val="center"/>
          </w:tcPr>
          <w:p w14:paraId="0B557252">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2A9C8F05">
            <w:pPr>
              <w:widowControl/>
              <w:jc w:val="right"/>
              <w:rPr>
                <w:rFonts w:ascii="仿宋" w:hAnsi="仿宋" w:eastAsia="仿宋" w:cs="宋体"/>
                <w:kern w:val="0"/>
                <w:sz w:val="24"/>
              </w:rPr>
            </w:pPr>
            <w:r>
              <w:rPr>
                <w:rFonts w:hint="eastAsia" w:ascii="仿宋" w:hAnsi="仿宋" w:eastAsia="仿宋" w:cs="宋体"/>
                <w:kern w:val="0"/>
                <w:sz w:val="24"/>
              </w:rPr>
              <w:t xml:space="preserve">    5.00 </w:t>
            </w:r>
          </w:p>
        </w:tc>
      </w:tr>
      <w:tr w14:paraId="4B470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061497D8">
            <w:pPr>
              <w:widowControl/>
              <w:jc w:val="left"/>
              <w:rPr>
                <w:rFonts w:ascii="仿宋" w:hAnsi="仿宋" w:eastAsia="仿宋" w:cs="宋体"/>
                <w:kern w:val="0"/>
                <w:sz w:val="24"/>
              </w:rPr>
            </w:pPr>
          </w:p>
        </w:tc>
        <w:tc>
          <w:tcPr>
            <w:tcW w:w="333" w:type="pct"/>
            <w:vMerge w:val="continue"/>
            <w:vAlign w:val="center"/>
          </w:tcPr>
          <w:p w14:paraId="096896F3">
            <w:pPr>
              <w:widowControl/>
              <w:jc w:val="left"/>
              <w:rPr>
                <w:rFonts w:ascii="仿宋" w:hAnsi="仿宋" w:eastAsia="仿宋" w:cs="宋体"/>
                <w:kern w:val="0"/>
                <w:sz w:val="24"/>
              </w:rPr>
            </w:pPr>
          </w:p>
        </w:tc>
        <w:tc>
          <w:tcPr>
            <w:tcW w:w="749" w:type="pct"/>
            <w:vMerge w:val="continue"/>
            <w:vAlign w:val="center"/>
          </w:tcPr>
          <w:p w14:paraId="69BAAE71">
            <w:pPr>
              <w:widowControl/>
              <w:jc w:val="left"/>
              <w:rPr>
                <w:rFonts w:ascii="仿宋" w:hAnsi="仿宋" w:eastAsia="仿宋" w:cs="宋体"/>
                <w:kern w:val="0"/>
                <w:sz w:val="24"/>
              </w:rPr>
            </w:pPr>
          </w:p>
        </w:tc>
        <w:tc>
          <w:tcPr>
            <w:tcW w:w="333" w:type="pct"/>
            <w:vMerge w:val="continue"/>
            <w:vAlign w:val="center"/>
          </w:tcPr>
          <w:p w14:paraId="6D7B70EC">
            <w:pPr>
              <w:widowControl/>
              <w:jc w:val="left"/>
              <w:rPr>
                <w:rFonts w:ascii="仿宋" w:hAnsi="仿宋" w:eastAsia="仿宋" w:cs="宋体"/>
                <w:kern w:val="0"/>
                <w:sz w:val="24"/>
              </w:rPr>
            </w:pPr>
          </w:p>
        </w:tc>
        <w:tc>
          <w:tcPr>
            <w:tcW w:w="2142" w:type="pct"/>
            <w:shd w:val="clear" w:color="auto" w:fill="auto"/>
            <w:vAlign w:val="center"/>
          </w:tcPr>
          <w:p w14:paraId="29CF3F66">
            <w:pPr>
              <w:widowControl/>
              <w:jc w:val="center"/>
              <w:rPr>
                <w:rFonts w:ascii="仿宋" w:hAnsi="仿宋" w:eastAsia="仿宋" w:cs="宋体"/>
                <w:kern w:val="0"/>
                <w:sz w:val="24"/>
              </w:rPr>
            </w:pPr>
            <w:r>
              <w:rPr>
                <w:rFonts w:hint="eastAsia" w:ascii="仿宋" w:hAnsi="仿宋" w:eastAsia="仿宋" w:cs="宋体"/>
                <w:kern w:val="0"/>
                <w:sz w:val="24"/>
              </w:rPr>
              <w:t>旅游投诉处置率</w:t>
            </w:r>
          </w:p>
        </w:tc>
        <w:tc>
          <w:tcPr>
            <w:tcW w:w="322" w:type="pct"/>
            <w:shd w:val="clear" w:color="auto" w:fill="auto"/>
            <w:vAlign w:val="center"/>
          </w:tcPr>
          <w:p w14:paraId="6359DCE0">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6C29CCA6">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1A428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15FDB7A3">
            <w:pPr>
              <w:widowControl/>
              <w:jc w:val="left"/>
              <w:rPr>
                <w:rFonts w:ascii="仿宋" w:hAnsi="仿宋" w:eastAsia="仿宋" w:cs="宋体"/>
                <w:kern w:val="0"/>
                <w:sz w:val="24"/>
              </w:rPr>
            </w:pPr>
          </w:p>
        </w:tc>
        <w:tc>
          <w:tcPr>
            <w:tcW w:w="333" w:type="pct"/>
            <w:vMerge w:val="continue"/>
            <w:vAlign w:val="center"/>
          </w:tcPr>
          <w:p w14:paraId="6CF220A8">
            <w:pPr>
              <w:widowControl/>
              <w:jc w:val="left"/>
              <w:rPr>
                <w:rFonts w:ascii="仿宋" w:hAnsi="仿宋" w:eastAsia="仿宋" w:cs="宋体"/>
                <w:kern w:val="0"/>
                <w:sz w:val="24"/>
              </w:rPr>
            </w:pPr>
          </w:p>
        </w:tc>
        <w:tc>
          <w:tcPr>
            <w:tcW w:w="749" w:type="pct"/>
            <w:vMerge w:val="continue"/>
            <w:vAlign w:val="center"/>
          </w:tcPr>
          <w:p w14:paraId="241B4BD2">
            <w:pPr>
              <w:widowControl/>
              <w:jc w:val="left"/>
              <w:rPr>
                <w:rFonts w:ascii="仿宋" w:hAnsi="仿宋" w:eastAsia="仿宋" w:cs="宋体"/>
                <w:kern w:val="0"/>
                <w:sz w:val="24"/>
              </w:rPr>
            </w:pPr>
          </w:p>
        </w:tc>
        <w:tc>
          <w:tcPr>
            <w:tcW w:w="333" w:type="pct"/>
            <w:vMerge w:val="continue"/>
            <w:vAlign w:val="center"/>
          </w:tcPr>
          <w:p w14:paraId="325AEA16">
            <w:pPr>
              <w:widowControl/>
              <w:jc w:val="left"/>
              <w:rPr>
                <w:rFonts w:ascii="仿宋" w:hAnsi="仿宋" w:eastAsia="仿宋" w:cs="宋体"/>
                <w:kern w:val="0"/>
                <w:sz w:val="24"/>
              </w:rPr>
            </w:pPr>
          </w:p>
        </w:tc>
        <w:tc>
          <w:tcPr>
            <w:tcW w:w="2142" w:type="pct"/>
            <w:shd w:val="clear" w:color="auto" w:fill="auto"/>
            <w:vAlign w:val="center"/>
          </w:tcPr>
          <w:p w14:paraId="24E28F55">
            <w:pPr>
              <w:widowControl/>
              <w:jc w:val="center"/>
              <w:rPr>
                <w:rFonts w:ascii="仿宋" w:hAnsi="仿宋" w:eastAsia="仿宋" w:cs="宋体"/>
                <w:kern w:val="0"/>
                <w:sz w:val="24"/>
              </w:rPr>
            </w:pPr>
            <w:r>
              <w:rPr>
                <w:rFonts w:hint="eastAsia" w:ascii="仿宋" w:hAnsi="仿宋" w:eastAsia="仿宋" w:cs="宋体"/>
                <w:kern w:val="0"/>
                <w:sz w:val="24"/>
              </w:rPr>
              <w:t>旅行社服务网点合法合规检查覆盖率</w:t>
            </w:r>
          </w:p>
        </w:tc>
        <w:tc>
          <w:tcPr>
            <w:tcW w:w="322" w:type="pct"/>
            <w:shd w:val="clear" w:color="auto" w:fill="auto"/>
            <w:vAlign w:val="center"/>
          </w:tcPr>
          <w:p w14:paraId="58F7FAE7">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089531B8">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6EB44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E2D917C">
            <w:pPr>
              <w:widowControl/>
              <w:jc w:val="left"/>
              <w:rPr>
                <w:rFonts w:ascii="仿宋" w:hAnsi="仿宋" w:eastAsia="仿宋" w:cs="宋体"/>
                <w:kern w:val="0"/>
                <w:sz w:val="24"/>
              </w:rPr>
            </w:pPr>
          </w:p>
        </w:tc>
        <w:tc>
          <w:tcPr>
            <w:tcW w:w="333" w:type="pct"/>
            <w:vMerge w:val="continue"/>
            <w:vAlign w:val="center"/>
          </w:tcPr>
          <w:p w14:paraId="260B9D0B">
            <w:pPr>
              <w:widowControl/>
              <w:jc w:val="left"/>
              <w:rPr>
                <w:rFonts w:ascii="仿宋" w:hAnsi="仿宋" w:eastAsia="仿宋" w:cs="宋体"/>
                <w:kern w:val="0"/>
                <w:sz w:val="24"/>
              </w:rPr>
            </w:pPr>
          </w:p>
        </w:tc>
        <w:tc>
          <w:tcPr>
            <w:tcW w:w="749" w:type="pct"/>
            <w:vMerge w:val="continue"/>
            <w:vAlign w:val="center"/>
          </w:tcPr>
          <w:p w14:paraId="114CF0A2">
            <w:pPr>
              <w:widowControl/>
              <w:jc w:val="left"/>
              <w:rPr>
                <w:rFonts w:ascii="仿宋" w:hAnsi="仿宋" w:eastAsia="仿宋" w:cs="宋体"/>
                <w:kern w:val="0"/>
                <w:sz w:val="24"/>
              </w:rPr>
            </w:pPr>
          </w:p>
        </w:tc>
        <w:tc>
          <w:tcPr>
            <w:tcW w:w="333" w:type="pct"/>
            <w:vMerge w:val="continue"/>
            <w:vAlign w:val="center"/>
          </w:tcPr>
          <w:p w14:paraId="5261A5AA">
            <w:pPr>
              <w:widowControl/>
              <w:jc w:val="left"/>
              <w:rPr>
                <w:rFonts w:ascii="仿宋" w:hAnsi="仿宋" w:eastAsia="仿宋" w:cs="宋体"/>
                <w:kern w:val="0"/>
                <w:sz w:val="24"/>
              </w:rPr>
            </w:pPr>
          </w:p>
        </w:tc>
        <w:tc>
          <w:tcPr>
            <w:tcW w:w="2142" w:type="pct"/>
            <w:shd w:val="clear" w:color="auto" w:fill="auto"/>
            <w:vAlign w:val="center"/>
          </w:tcPr>
          <w:p w14:paraId="0E2F2994">
            <w:pPr>
              <w:widowControl/>
              <w:jc w:val="center"/>
              <w:rPr>
                <w:rFonts w:ascii="仿宋" w:hAnsi="仿宋" w:eastAsia="仿宋" w:cs="宋体"/>
                <w:kern w:val="0"/>
                <w:sz w:val="24"/>
              </w:rPr>
            </w:pPr>
            <w:r>
              <w:rPr>
                <w:rFonts w:hint="eastAsia" w:ascii="仿宋" w:hAnsi="仿宋" w:eastAsia="仿宋" w:cs="宋体"/>
                <w:kern w:val="0"/>
                <w:sz w:val="24"/>
              </w:rPr>
              <w:t>国内影响力提升</w:t>
            </w:r>
          </w:p>
        </w:tc>
        <w:tc>
          <w:tcPr>
            <w:tcW w:w="322" w:type="pct"/>
            <w:shd w:val="clear" w:color="auto" w:fill="auto"/>
            <w:vAlign w:val="center"/>
          </w:tcPr>
          <w:p w14:paraId="5BCCEB7E">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40C4A5A6">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5D23B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07842449">
            <w:pPr>
              <w:widowControl/>
              <w:jc w:val="left"/>
              <w:rPr>
                <w:rFonts w:ascii="仿宋" w:hAnsi="仿宋" w:eastAsia="仿宋" w:cs="宋体"/>
                <w:kern w:val="0"/>
                <w:sz w:val="24"/>
              </w:rPr>
            </w:pPr>
          </w:p>
        </w:tc>
        <w:tc>
          <w:tcPr>
            <w:tcW w:w="333" w:type="pct"/>
            <w:vMerge w:val="continue"/>
            <w:vAlign w:val="center"/>
          </w:tcPr>
          <w:p w14:paraId="66205C9F">
            <w:pPr>
              <w:widowControl/>
              <w:jc w:val="left"/>
              <w:rPr>
                <w:rFonts w:ascii="仿宋" w:hAnsi="仿宋" w:eastAsia="仿宋" w:cs="宋体"/>
                <w:kern w:val="0"/>
                <w:sz w:val="24"/>
              </w:rPr>
            </w:pPr>
          </w:p>
        </w:tc>
        <w:tc>
          <w:tcPr>
            <w:tcW w:w="749" w:type="pct"/>
            <w:shd w:val="clear" w:color="auto" w:fill="auto"/>
            <w:vAlign w:val="center"/>
          </w:tcPr>
          <w:p w14:paraId="634D3872">
            <w:pPr>
              <w:widowControl/>
              <w:jc w:val="center"/>
              <w:rPr>
                <w:rFonts w:ascii="仿宋" w:hAnsi="仿宋" w:eastAsia="仿宋" w:cs="宋体"/>
                <w:kern w:val="0"/>
                <w:sz w:val="24"/>
              </w:rPr>
            </w:pPr>
            <w:r>
              <w:rPr>
                <w:rFonts w:hint="eastAsia" w:ascii="仿宋" w:hAnsi="仿宋" w:eastAsia="仿宋" w:cs="宋体"/>
                <w:kern w:val="0"/>
                <w:sz w:val="24"/>
              </w:rPr>
              <w:t>可持续影响</w:t>
            </w:r>
          </w:p>
        </w:tc>
        <w:tc>
          <w:tcPr>
            <w:tcW w:w="333" w:type="pct"/>
            <w:shd w:val="clear" w:color="auto" w:fill="auto"/>
            <w:vAlign w:val="center"/>
          </w:tcPr>
          <w:p w14:paraId="742D3FBB">
            <w:pPr>
              <w:widowControl/>
              <w:jc w:val="center"/>
              <w:rPr>
                <w:rFonts w:ascii="仿宋" w:hAnsi="仿宋" w:eastAsia="仿宋" w:cs="宋体"/>
                <w:kern w:val="0"/>
                <w:sz w:val="24"/>
              </w:rPr>
            </w:pPr>
            <w:r>
              <w:rPr>
                <w:rFonts w:hint="eastAsia" w:ascii="仿宋" w:hAnsi="仿宋" w:eastAsia="仿宋" w:cs="宋体"/>
                <w:kern w:val="0"/>
                <w:sz w:val="24"/>
              </w:rPr>
              <w:t>5</w:t>
            </w:r>
          </w:p>
        </w:tc>
        <w:tc>
          <w:tcPr>
            <w:tcW w:w="2142" w:type="pct"/>
            <w:shd w:val="clear" w:color="auto" w:fill="auto"/>
            <w:vAlign w:val="center"/>
          </w:tcPr>
          <w:p w14:paraId="60C2C511">
            <w:pPr>
              <w:widowControl/>
              <w:jc w:val="center"/>
              <w:rPr>
                <w:rFonts w:ascii="仿宋" w:hAnsi="仿宋" w:eastAsia="仿宋" w:cs="宋体"/>
                <w:kern w:val="0"/>
                <w:sz w:val="24"/>
              </w:rPr>
            </w:pPr>
            <w:r>
              <w:rPr>
                <w:rFonts w:hint="eastAsia" w:ascii="仿宋" w:hAnsi="仿宋" w:eastAsia="仿宋" w:cs="宋体"/>
                <w:kern w:val="0"/>
                <w:sz w:val="24"/>
              </w:rPr>
              <w:t>持续推进全域旅游发展体系</w:t>
            </w:r>
          </w:p>
        </w:tc>
        <w:tc>
          <w:tcPr>
            <w:tcW w:w="322" w:type="pct"/>
            <w:shd w:val="clear" w:color="auto" w:fill="auto"/>
            <w:vAlign w:val="center"/>
          </w:tcPr>
          <w:p w14:paraId="224CF5E2">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0303FE70">
            <w:pPr>
              <w:widowControl/>
              <w:jc w:val="right"/>
              <w:rPr>
                <w:rFonts w:ascii="仿宋" w:hAnsi="仿宋" w:eastAsia="仿宋" w:cs="宋体"/>
                <w:kern w:val="0"/>
                <w:sz w:val="24"/>
              </w:rPr>
            </w:pPr>
            <w:r>
              <w:rPr>
                <w:rFonts w:hint="eastAsia" w:ascii="仿宋" w:hAnsi="仿宋" w:eastAsia="仿宋" w:cs="宋体"/>
                <w:kern w:val="0"/>
                <w:sz w:val="24"/>
              </w:rPr>
              <w:t xml:space="preserve">    5.00 </w:t>
            </w:r>
          </w:p>
        </w:tc>
      </w:tr>
      <w:tr w14:paraId="52E85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78" w:type="pct"/>
            <w:vMerge w:val="continue"/>
            <w:vAlign w:val="center"/>
          </w:tcPr>
          <w:p w14:paraId="29824D8A">
            <w:pPr>
              <w:widowControl/>
              <w:jc w:val="left"/>
              <w:rPr>
                <w:rFonts w:ascii="仿宋" w:hAnsi="仿宋" w:eastAsia="仿宋" w:cs="宋体"/>
                <w:kern w:val="0"/>
                <w:sz w:val="24"/>
              </w:rPr>
            </w:pPr>
          </w:p>
        </w:tc>
        <w:tc>
          <w:tcPr>
            <w:tcW w:w="333" w:type="pct"/>
            <w:vMerge w:val="continue"/>
            <w:vAlign w:val="center"/>
          </w:tcPr>
          <w:p w14:paraId="0D76ABAC">
            <w:pPr>
              <w:widowControl/>
              <w:jc w:val="left"/>
              <w:rPr>
                <w:rFonts w:ascii="仿宋" w:hAnsi="仿宋" w:eastAsia="仿宋" w:cs="宋体"/>
                <w:kern w:val="0"/>
                <w:sz w:val="24"/>
              </w:rPr>
            </w:pPr>
          </w:p>
        </w:tc>
        <w:tc>
          <w:tcPr>
            <w:tcW w:w="749" w:type="pct"/>
            <w:vMerge w:val="restart"/>
            <w:shd w:val="clear" w:color="auto" w:fill="auto"/>
            <w:vAlign w:val="center"/>
          </w:tcPr>
          <w:p w14:paraId="03E28BA6">
            <w:pPr>
              <w:widowControl/>
              <w:jc w:val="center"/>
              <w:rPr>
                <w:rFonts w:ascii="仿宋" w:hAnsi="仿宋" w:eastAsia="仿宋" w:cs="宋体"/>
                <w:kern w:val="0"/>
                <w:sz w:val="24"/>
              </w:rPr>
            </w:pPr>
            <w:r>
              <w:rPr>
                <w:rFonts w:hint="eastAsia" w:ascii="仿宋" w:hAnsi="仿宋" w:eastAsia="仿宋" w:cs="宋体"/>
                <w:kern w:val="0"/>
                <w:sz w:val="24"/>
              </w:rPr>
              <w:t>服务对象满意度</w:t>
            </w:r>
          </w:p>
        </w:tc>
        <w:tc>
          <w:tcPr>
            <w:tcW w:w="333" w:type="pct"/>
            <w:vMerge w:val="restart"/>
            <w:shd w:val="clear" w:color="auto" w:fill="auto"/>
            <w:vAlign w:val="center"/>
          </w:tcPr>
          <w:p w14:paraId="46C02445">
            <w:pPr>
              <w:widowControl/>
              <w:jc w:val="center"/>
              <w:rPr>
                <w:rFonts w:ascii="仿宋" w:hAnsi="仿宋" w:eastAsia="仿宋" w:cs="宋体"/>
                <w:kern w:val="0"/>
                <w:sz w:val="24"/>
              </w:rPr>
            </w:pPr>
            <w:r>
              <w:rPr>
                <w:rFonts w:hint="eastAsia" w:ascii="仿宋" w:hAnsi="仿宋" w:eastAsia="仿宋" w:cs="宋体"/>
                <w:kern w:val="0"/>
                <w:sz w:val="24"/>
              </w:rPr>
              <w:t>10</w:t>
            </w:r>
          </w:p>
        </w:tc>
        <w:tc>
          <w:tcPr>
            <w:tcW w:w="2142" w:type="pct"/>
            <w:shd w:val="clear" w:color="auto" w:fill="auto"/>
            <w:vAlign w:val="center"/>
          </w:tcPr>
          <w:p w14:paraId="6AC6D505">
            <w:pPr>
              <w:widowControl/>
              <w:jc w:val="center"/>
              <w:rPr>
                <w:rFonts w:ascii="仿宋" w:hAnsi="仿宋" w:eastAsia="仿宋" w:cs="宋体"/>
                <w:kern w:val="0"/>
                <w:sz w:val="24"/>
              </w:rPr>
            </w:pPr>
            <w:r>
              <w:rPr>
                <w:rFonts w:hint="eastAsia" w:ascii="仿宋" w:hAnsi="仿宋" w:eastAsia="仿宋" w:cs="宋体"/>
                <w:kern w:val="0"/>
                <w:sz w:val="24"/>
              </w:rPr>
              <w:t>国内游客认为武昌区旅游体验满足期望的比例</w:t>
            </w:r>
          </w:p>
        </w:tc>
        <w:tc>
          <w:tcPr>
            <w:tcW w:w="322" w:type="pct"/>
            <w:shd w:val="clear" w:color="auto" w:fill="auto"/>
            <w:vAlign w:val="center"/>
          </w:tcPr>
          <w:p w14:paraId="689E5449">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2B2403E5">
            <w:pPr>
              <w:widowControl/>
              <w:jc w:val="right"/>
              <w:rPr>
                <w:rFonts w:ascii="仿宋" w:hAnsi="仿宋" w:eastAsia="仿宋" w:cs="宋体"/>
                <w:kern w:val="0"/>
                <w:sz w:val="24"/>
              </w:rPr>
            </w:pPr>
            <w:r>
              <w:rPr>
                <w:rFonts w:hint="eastAsia" w:ascii="仿宋" w:hAnsi="仿宋" w:eastAsia="仿宋" w:cs="宋体"/>
                <w:kern w:val="0"/>
                <w:sz w:val="24"/>
              </w:rPr>
              <w:t xml:space="preserve">    4.33 </w:t>
            </w:r>
          </w:p>
        </w:tc>
      </w:tr>
      <w:tr w14:paraId="499CC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78" w:type="pct"/>
            <w:vMerge w:val="continue"/>
            <w:vAlign w:val="center"/>
          </w:tcPr>
          <w:p w14:paraId="78ECA6F3">
            <w:pPr>
              <w:widowControl/>
              <w:jc w:val="left"/>
              <w:rPr>
                <w:rFonts w:ascii="仿宋" w:hAnsi="仿宋" w:eastAsia="仿宋" w:cs="宋体"/>
                <w:kern w:val="0"/>
                <w:sz w:val="24"/>
              </w:rPr>
            </w:pPr>
          </w:p>
        </w:tc>
        <w:tc>
          <w:tcPr>
            <w:tcW w:w="333" w:type="pct"/>
            <w:vMerge w:val="continue"/>
            <w:vAlign w:val="center"/>
          </w:tcPr>
          <w:p w14:paraId="1CAB6352">
            <w:pPr>
              <w:widowControl/>
              <w:jc w:val="left"/>
              <w:rPr>
                <w:rFonts w:ascii="仿宋" w:hAnsi="仿宋" w:eastAsia="仿宋" w:cs="宋体"/>
                <w:kern w:val="0"/>
                <w:sz w:val="24"/>
              </w:rPr>
            </w:pPr>
          </w:p>
        </w:tc>
        <w:tc>
          <w:tcPr>
            <w:tcW w:w="749" w:type="pct"/>
            <w:vMerge w:val="continue"/>
            <w:vAlign w:val="center"/>
          </w:tcPr>
          <w:p w14:paraId="43EC21D9">
            <w:pPr>
              <w:widowControl/>
              <w:jc w:val="left"/>
              <w:rPr>
                <w:rFonts w:ascii="仿宋" w:hAnsi="仿宋" w:eastAsia="仿宋" w:cs="宋体"/>
                <w:kern w:val="0"/>
                <w:sz w:val="24"/>
              </w:rPr>
            </w:pPr>
          </w:p>
        </w:tc>
        <w:tc>
          <w:tcPr>
            <w:tcW w:w="333" w:type="pct"/>
            <w:vMerge w:val="continue"/>
            <w:vAlign w:val="center"/>
          </w:tcPr>
          <w:p w14:paraId="0F812A25">
            <w:pPr>
              <w:widowControl/>
              <w:jc w:val="left"/>
              <w:rPr>
                <w:rFonts w:ascii="仿宋" w:hAnsi="仿宋" w:eastAsia="仿宋" w:cs="宋体"/>
                <w:kern w:val="0"/>
                <w:sz w:val="24"/>
              </w:rPr>
            </w:pPr>
          </w:p>
        </w:tc>
        <w:tc>
          <w:tcPr>
            <w:tcW w:w="2142" w:type="pct"/>
            <w:shd w:val="clear" w:color="auto" w:fill="auto"/>
            <w:vAlign w:val="center"/>
          </w:tcPr>
          <w:p w14:paraId="125ACFDE">
            <w:pPr>
              <w:widowControl/>
              <w:jc w:val="center"/>
              <w:rPr>
                <w:rFonts w:ascii="仿宋" w:hAnsi="仿宋" w:eastAsia="仿宋" w:cs="宋体"/>
                <w:kern w:val="0"/>
                <w:sz w:val="24"/>
              </w:rPr>
            </w:pPr>
            <w:r>
              <w:rPr>
                <w:rFonts w:hint="eastAsia" w:ascii="仿宋" w:hAnsi="仿宋" w:eastAsia="仿宋" w:cs="宋体"/>
                <w:kern w:val="0"/>
                <w:sz w:val="24"/>
              </w:rPr>
              <w:t>国内游客对武昌区总体旅游环境的评价</w:t>
            </w:r>
          </w:p>
        </w:tc>
        <w:tc>
          <w:tcPr>
            <w:tcW w:w="322" w:type="pct"/>
            <w:shd w:val="clear" w:color="auto" w:fill="auto"/>
            <w:vAlign w:val="center"/>
          </w:tcPr>
          <w:p w14:paraId="6FE340B1">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4B65C641">
            <w:pPr>
              <w:widowControl/>
              <w:jc w:val="right"/>
              <w:rPr>
                <w:rFonts w:ascii="仿宋" w:hAnsi="仿宋" w:eastAsia="仿宋" w:cs="宋体"/>
                <w:kern w:val="0"/>
                <w:sz w:val="24"/>
              </w:rPr>
            </w:pPr>
            <w:r>
              <w:rPr>
                <w:rFonts w:hint="eastAsia" w:ascii="仿宋" w:hAnsi="仿宋" w:eastAsia="仿宋" w:cs="宋体"/>
                <w:kern w:val="0"/>
                <w:sz w:val="24"/>
              </w:rPr>
              <w:t xml:space="preserve">    4.23 </w:t>
            </w:r>
          </w:p>
        </w:tc>
      </w:tr>
      <w:tr w14:paraId="026C5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shd w:val="clear" w:color="auto" w:fill="auto"/>
            <w:vAlign w:val="center"/>
          </w:tcPr>
          <w:p w14:paraId="338C6859">
            <w:pPr>
              <w:widowControl/>
              <w:jc w:val="center"/>
              <w:rPr>
                <w:rFonts w:ascii="仿宋" w:hAnsi="仿宋" w:eastAsia="仿宋" w:cs="宋体"/>
                <w:b/>
                <w:bCs/>
                <w:kern w:val="0"/>
                <w:sz w:val="24"/>
              </w:rPr>
            </w:pPr>
            <w:r>
              <w:rPr>
                <w:rFonts w:hint="eastAsia" w:ascii="仿宋" w:hAnsi="仿宋" w:eastAsia="仿宋" w:cs="宋体"/>
                <w:b/>
                <w:bCs/>
                <w:kern w:val="0"/>
                <w:sz w:val="24"/>
              </w:rPr>
              <w:t>总分</w:t>
            </w:r>
          </w:p>
        </w:tc>
        <w:tc>
          <w:tcPr>
            <w:tcW w:w="333" w:type="pct"/>
            <w:shd w:val="clear" w:color="auto" w:fill="auto"/>
            <w:vAlign w:val="center"/>
          </w:tcPr>
          <w:p w14:paraId="32C78E87">
            <w:pPr>
              <w:widowControl/>
              <w:jc w:val="center"/>
              <w:rPr>
                <w:rFonts w:ascii="仿宋" w:hAnsi="仿宋" w:eastAsia="仿宋" w:cs="宋体"/>
                <w:b/>
                <w:bCs/>
                <w:kern w:val="0"/>
                <w:sz w:val="24"/>
              </w:rPr>
            </w:pPr>
            <w:r>
              <w:rPr>
                <w:rFonts w:hint="eastAsia" w:ascii="仿宋" w:hAnsi="仿宋" w:eastAsia="仿宋" w:cs="宋体"/>
                <w:b/>
                <w:bCs/>
                <w:kern w:val="0"/>
                <w:sz w:val="24"/>
              </w:rPr>
              <w:t>100</w:t>
            </w:r>
          </w:p>
        </w:tc>
        <w:tc>
          <w:tcPr>
            <w:tcW w:w="749" w:type="pct"/>
            <w:shd w:val="clear" w:color="auto" w:fill="auto"/>
            <w:vAlign w:val="center"/>
          </w:tcPr>
          <w:p w14:paraId="30F3FAE2">
            <w:pPr>
              <w:widowControl/>
              <w:jc w:val="left"/>
              <w:rPr>
                <w:rFonts w:ascii="仿宋" w:hAnsi="仿宋" w:eastAsia="仿宋" w:cs="宋体"/>
                <w:b/>
                <w:bCs/>
                <w:kern w:val="0"/>
                <w:sz w:val="24"/>
              </w:rPr>
            </w:pPr>
            <w:r>
              <w:rPr>
                <w:rFonts w:hint="eastAsia" w:ascii="仿宋" w:hAnsi="仿宋" w:eastAsia="仿宋" w:cs="宋体"/>
                <w:b/>
                <w:bCs/>
                <w:kern w:val="0"/>
                <w:sz w:val="24"/>
              </w:rPr>
              <w:t>　</w:t>
            </w:r>
          </w:p>
        </w:tc>
        <w:tc>
          <w:tcPr>
            <w:tcW w:w="333" w:type="pct"/>
            <w:shd w:val="clear" w:color="auto" w:fill="auto"/>
            <w:vAlign w:val="center"/>
          </w:tcPr>
          <w:p w14:paraId="0F444032">
            <w:pPr>
              <w:widowControl/>
              <w:jc w:val="center"/>
              <w:rPr>
                <w:rFonts w:ascii="仿宋" w:hAnsi="仿宋" w:eastAsia="仿宋" w:cs="宋体"/>
                <w:b/>
                <w:bCs/>
                <w:kern w:val="0"/>
                <w:sz w:val="24"/>
              </w:rPr>
            </w:pPr>
            <w:r>
              <w:rPr>
                <w:rFonts w:hint="eastAsia" w:ascii="仿宋" w:hAnsi="仿宋" w:eastAsia="仿宋" w:cs="宋体"/>
                <w:b/>
                <w:bCs/>
                <w:kern w:val="0"/>
                <w:sz w:val="24"/>
              </w:rPr>
              <w:t>100</w:t>
            </w:r>
          </w:p>
        </w:tc>
        <w:tc>
          <w:tcPr>
            <w:tcW w:w="2142" w:type="pct"/>
            <w:shd w:val="clear" w:color="auto" w:fill="auto"/>
            <w:vAlign w:val="center"/>
          </w:tcPr>
          <w:p w14:paraId="5F38E0A4">
            <w:pPr>
              <w:widowControl/>
              <w:jc w:val="left"/>
              <w:rPr>
                <w:rFonts w:ascii="仿宋" w:hAnsi="仿宋" w:eastAsia="仿宋" w:cs="宋体"/>
                <w:b/>
                <w:bCs/>
                <w:kern w:val="0"/>
                <w:sz w:val="24"/>
              </w:rPr>
            </w:pPr>
            <w:r>
              <w:rPr>
                <w:rFonts w:hint="eastAsia" w:ascii="仿宋" w:hAnsi="仿宋" w:eastAsia="仿宋" w:cs="宋体"/>
                <w:b/>
                <w:bCs/>
                <w:kern w:val="0"/>
                <w:sz w:val="24"/>
              </w:rPr>
              <w:t>　</w:t>
            </w:r>
          </w:p>
        </w:tc>
        <w:tc>
          <w:tcPr>
            <w:tcW w:w="322" w:type="pct"/>
            <w:shd w:val="clear" w:color="auto" w:fill="auto"/>
            <w:vAlign w:val="center"/>
          </w:tcPr>
          <w:p w14:paraId="093F2422">
            <w:pPr>
              <w:widowControl/>
              <w:jc w:val="right"/>
              <w:rPr>
                <w:rFonts w:ascii="仿宋" w:hAnsi="仿宋" w:eastAsia="仿宋" w:cs="宋体"/>
                <w:b/>
                <w:bCs/>
                <w:kern w:val="0"/>
                <w:sz w:val="24"/>
              </w:rPr>
            </w:pPr>
            <w:r>
              <w:rPr>
                <w:rFonts w:hint="eastAsia" w:ascii="仿宋" w:hAnsi="仿宋" w:eastAsia="仿宋" w:cs="宋体"/>
                <w:b/>
                <w:bCs/>
                <w:kern w:val="0"/>
                <w:sz w:val="24"/>
              </w:rPr>
              <w:t>100</w:t>
            </w:r>
          </w:p>
        </w:tc>
        <w:tc>
          <w:tcPr>
            <w:tcW w:w="643" w:type="pct"/>
            <w:shd w:val="clear" w:color="auto" w:fill="auto"/>
            <w:vAlign w:val="center"/>
          </w:tcPr>
          <w:p w14:paraId="150E9866">
            <w:pPr>
              <w:widowControl/>
              <w:jc w:val="right"/>
              <w:rPr>
                <w:rFonts w:ascii="仿宋" w:hAnsi="仿宋" w:eastAsia="仿宋" w:cs="宋体"/>
                <w:b/>
                <w:bCs/>
                <w:kern w:val="0"/>
                <w:sz w:val="24"/>
              </w:rPr>
            </w:pPr>
            <w:r>
              <w:rPr>
                <w:rFonts w:hint="eastAsia" w:ascii="仿宋" w:hAnsi="仿宋" w:eastAsia="仿宋" w:cs="宋体"/>
                <w:b/>
                <w:bCs/>
                <w:kern w:val="0"/>
                <w:sz w:val="24"/>
              </w:rPr>
              <w:t xml:space="preserve">  89.38 </w:t>
            </w:r>
          </w:p>
        </w:tc>
      </w:tr>
    </w:tbl>
    <w:p w14:paraId="16753DA7">
      <w:pPr>
        <w:pStyle w:val="4"/>
        <w:spacing w:beforeLines="50" w:after="0" w:line="600" w:lineRule="exact"/>
        <w:ind w:firstLine="630" w:firstLineChars="196"/>
        <w:rPr>
          <w:rFonts w:ascii="仿宋" w:hAnsi="仿宋" w:eastAsia="仿宋"/>
          <w:bCs w:val="0"/>
          <w:sz w:val="32"/>
          <w:szCs w:val="32"/>
        </w:rPr>
      </w:pPr>
      <w:r>
        <w:rPr>
          <w:rFonts w:hint="eastAsia" w:ascii="仿宋" w:hAnsi="仿宋" w:eastAsia="仿宋"/>
          <w:bCs w:val="0"/>
          <w:sz w:val="32"/>
          <w:szCs w:val="32"/>
        </w:rPr>
        <w:t>（二）主要结论</w:t>
      </w:r>
    </w:p>
    <w:p w14:paraId="3552DBF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综上，评价小组认为：</w:t>
      </w:r>
      <w:bookmarkStart w:id="1" w:name="_Hlk20231856"/>
    </w:p>
    <w:p w14:paraId="1A1540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2019年旅游科（产业科）基本能较好的完成全域旅游三年行动项目2019年的年度目标。全域旅游三年行动项目立项充分，符合市政府相关会议纪要精神；单位内部制订了比较健全的内部控制制度，并基本得到有效执行。全年全域旅游三年行动项目年度相关工作任务大部分完成，</w:t>
      </w:r>
      <w:bookmarkEnd w:id="1"/>
      <w:r>
        <w:rPr>
          <w:rFonts w:hint="eastAsia" w:ascii="仿宋_GB2312" w:hAnsi="仿宋" w:eastAsia="仿宋_GB2312"/>
          <w:sz w:val="32"/>
          <w:szCs w:val="32"/>
        </w:rPr>
        <w:t>并取得不错的成绩。全区接待游客和旅游总收入双增长。2019年，全区共接待国内游客4386.12万人次，同比增长12.93%，全区实现旅游总收入446.82亿元，同比增长13.85%。</w:t>
      </w:r>
    </w:p>
    <w:p w14:paraId="3D2BE85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资金的使用符合国家财经法规和财务管理制度规定以及有关专项资金管理办法的规定；符合部门预算批复的用途；资金的拨付有完整的审批程序和手续；不存在截留、挤占、挪用、虚列支出等情况。</w:t>
      </w:r>
    </w:p>
    <w:p w14:paraId="657F4B7D">
      <w:pPr>
        <w:spacing w:line="600" w:lineRule="exact"/>
        <w:ind w:firstLine="640" w:firstLineChars="200"/>
        <w:rPr>
          <w:rFonts w:ascii="仿宋_GB2312" w:hAnsi="仿宋" w:eastAsia="仿宋_GB2312"/>
          <w:sz w:val="32"/>
          <w:szCs w:val="32"/>
        </w:rPr>
      </w:pPr>
    </w:p>
    <w:p w14:paraId="63D892DD">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四、绩效评价指标分析</w:t>
      </w:r>
    </w:p>
    <w:p w14:paraId="3E8BDE5B">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（一）项目决策情况。</w:t>
      </w:r>
    </w:p>
    <w:p w14:paraId="3EDC4B1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决策指标满分为16分，根据评分细则，决策评价得分为11.50分，评价结果为中。</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9"/>
        <w:gridCol w:w="1217"/>
        <w:gridCol w:w="1219"/>
        <w:gridCol w:w="1217"/>
        <w:gridCol w:w="1217"/>
      </w:tblGrid>
      <w:tr w14:paraId="0808E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tcBorders>
              <w:top w:val="single" w:color="auto" w:sz="12" w:space="0"/>
              <w:bottom w:val="single" w:color="auto" w:sz="4" w:space="0"/>
            </w:tcBorders>
            <w:shd w:val="clear" w:color="auto" w:fill="D8D8D8" w:themeFill="background1" w:themeFillShade="D9"/>
            <w:noWrap/>
            <w:vAlign w:val="center"/>
          </w:tcPr>
          <w:p w14:paraId="34082645">
            <w:pPr>
              <w:jc w:val="center"/>
              <w:rPr>
                <w:rFonts w:ascii="仿宋" w:hAnsi="仿宋" w:eastAsia="仿宋"/>
                <w:b/>
                <w:bCs/>
                <w:color w:val="000000"/>
                <w:sz w:val="24"/>
              </w:rPr>
            </w:pPr>
            <w:bookmarkStart w:id="2" w:name="_Hlk16924590"/>
            <w:r>
              <w:rPr>
                <w:rFonts w:hint="eastAsia" w:ascii="仿宋" w:hAnsi="仿宋" w:eastAsia="仿宋"/>
                <w:b/>
                <w:bCs/>
                <w:color w:val="000000"/>
                <w:sz w:val="24"/>
              </w:rPr>
              <w:t>项目</w:t>
            </w:r>
          </w:p>
        </w:tc>
        <w:tc>
          <w:tcPr>
            <w:tcW w:w="714" w:type="pct"/>
            <w:tcBorders>
              <w:top w:val="single" w:color="auto" w:sz="12" w:space="0"/>
              <w:bottom w:val="single" w:color="auto" w:sz="4" w:space="0"/>
            </w:tcBorders>
            <w:shd w:val="clear" w:color="auto" w:fill="D8D8D8" w:themeFill="background1" w:themeFillShade="D9"/>
            <w:noWrap/>
          </w:tcPr>
          <w:p w14:paraId="3AFA9872">
            <w:pPr>
              <w:jc w:val="center"/>
              <w:rPr>
                <w:rFonts w:ascii="仿宋" w:hAnsi="仿宋" w:eastAsia="仿宋"/>
                <w:b/>
                <w:bCs/>
                <w:color w:val="000000"/>
                <w:sz w:val="24"/>
              </w:rPr>
            </w:pPr>
            <w:r>
              <w:rPr>
                <w:rFonts w:hint="eastAsia" w:ascii="仿宋" w:hAnsi="仿宋" w:eastAsia="仿宋"/>
                <w:b/>
                <w:bCs/>
                <w:color w:val="000000"/>
                <w:sz w:val="24"/>
              </w:rPr>
              <w:t>立项依据充分性</w:t>
            </w:r>
          </w:p>
        </w:tc>
        <w:tc>
          <w:tcPr>
            <w:tcW w:w="715" w:type="pct"/>
            <w:tcBorders>
              <w:top w:val="single" w:color="auto" w:sz="12" w:space="0"/>
              <w:bottom w:val="single" w:color="auto" w:sz="4" w:space="0"/>
            </w:tcBorders>
            <w:shd w:val="clear" w:color="auto" w:fill="D8D8D8" w:themeFill="background1" w:themeFillShade="D9"/>
            <w:noWrap/>
          </w:tcPr>
          <w:p w14:paraId="24A07974">
            <w:pPr>
              <w:jc w:val="center"/>
              <w:rPr>
                <w:rFonts w:ascii="仿宋" w:hAnsi="仿宋" w:eastAsia="仿宋"/>
                <w:b/>
                <w:bCs/>
                <w:color w:val="000000"/>
                <w:sz w:val="24"/>
              </w:rPr>
            </w:pPr>
            <w:r>
              <w:rPr>
                <w:rFonts w:hint="eastAsia" w:ascii="仿宋" w:hAnsi="仿宋" w:eastAsia="仿宋"/>
                <w:b/>
                <w:bCs/>
                <w:color w:val="000000"/>
                <w:sz w:val="24"/>
              </w:rPr>
              <w:t>立项程序规范性</w:t>
            </w:r>
          </w:p>
        </w:tc>
        <w:tc>
          <w:tcPr>
            <w:tcW w:w="714" w:type="pct"/>
            <w:tcBorders>
              <w:top w:val="single" w:color="auto" w:sz="12" w:space="0"/>
              <w:bottom w:val="single" w:color="auto" w:sz="4" w:space="0"/>
            </w:tcBorders>
            <w:shd w:val="clear" w:color="auto" w:fill="D8D8D8" w:themeFill="background1" w:themeFillShade="D9"/>
          </w:tcPr>
          <w:p w14:paraId="139FADEA">
            <w:pPr>
              <w:jc w:val="center"/>
              <w:rPr>
                <w:rFonts w:ascii="仿宋" w:hAnsi="仿宋" w:eastAsia="仿宋"/>
                <w:b/>
                <w:bCs/>
                <w:color w:val="000000"/>
                <w:sz w:val="24"/>
              </w:rPr>
            </w:pPr>
            <w:r>
              <w:rPr>
                <w:rFonts w:hint="eastAsia" w:ascii="仿宋" w:hAnsi="仿宋" w:eastAsia="仿宋"/>
                <w:b/>
                <w:bCs/>
                <w:color w:val="000000"/>
                <w:sz w:val="24"/>
              </w:rPr>
              <w:t>绩效目标合理性</w:t>
            </w:r>
          </w:p>
        </w:tc>
        <w:tc>
          <w:tcPr>
            <w:tcW w:w="715" w:type="pct"/>
            <w:tcBorders>
              <w:top w:val="single" w:color="auto" w:sz="12" w:space="0"/>
              <w:bottom w:val="single" w:color="auto" w:sz="4" w:space="0"/>
            </w:tcBorders>
            <w:shd w:val="clear" w:color="auto" w:fill="D8D8D8" w:themeFill="background1" w:themeFillShade="D9"/>
            <w:noWrap/>
          </w:tcPr>
          <w:p w14:paraId="6B9DCF13">
            <w:pPr>
              <w:jc w:val="center"/>
              <w:rPr>
                <w:rFonts w:ascii="仿宋" w:hAnsi="仿宋" w:eastAsia="仿宋"/>
                <w:b/>
                <w:bCs/>
                <w:color w:val="000000"/>
                <w:sz w:val="24"/>
              </w:rPr>
            </w:pPr>
            <w:r>
              <w:rPr>
                <w:rFonts w:hint="eastAsia" w:ascii="仿宋" w:hAnsi="仿宋" w:eastAsia="仿宋"/>
                <w:b/>
                <w:bCs/>
                <w:color w:val="000000"/>
                <w:sz w:val="24"/>
              </w:rPr>
              <w:t>绩效指标明确性</w:t>
            </w:r>
          </w:p>
        </w:tc>
        <w:tc>
          <w:tcPr>
            <w:tcW w:w="714" w:type="pct"/>
            <w:tcBorders>
              <w:top w:val="single" w:color="auto" w:sz="12" w:space="0"/>
              <w:bottom w:val="single" w:color="auto" w:sz="4" w:space="0"/>
            </w:tcBorders>
            <w:shd w:val="clear" w:color="auto" w:fill="D8D8D8" w:themeFill="background1" w:themeFillShade="D9"/>
          </w:tcPr>
          <w:p w14:paraId="117B18EC">
            <w:pPr>
              <w:jc w:val="center"/>
              <w:rPr>
                <w:rFonts w:ascii="仿宋" w:hAnsi="仿宋" w:eastAsia="仿宋"/>
                <w:b/>
                <w:bCs/>
                <w:color w:val="000000"/>
                <w:sz w:val="24"/>
              </w:rPr>
            </w:pPr>
            <w:r>
              <w:rPr>
                <w:rFonts w:hint="eastAsia" w:ascii="仿宋" w:hAnsi="仿宋" w:eastAsia="仿宋"/>
                <w:b/>
                <w:bCs/>
                <w:color w:val="000000"/>
                <w:sz w:val="24"/>
              </w:rPr>
              <w:t>预算编制科学性</w:t>
            </w:r>
          </w:p>
        </w:tc>
        <w:tc>
          <w:tcPr>
            <w:tcW w:w="714" w:type="pct"/>
            <w:tcBorders>
              <w:top w:val="single" w:color="auto" w:sz="12" w:space="0"/>
              <w:bottom w:val="single" w:color="auto" w:sz="4" w:space="0"/>
            </w:tcBorders>
            <w:shd w:val="clear" w:color="auto" w:fill="D8D8D8" w:themeFill="background1" w:themeFillShade="D9"/>
            <w:noWrap/>
          </w:tcPr>
          <w:p w14:paraId="15DAF4F9">
            <w:pPr>
              <w:jc w:val="center"/>
              <w:rPr>
                <w:rFonts w:ascii="仿宋" w:hAnsi="仿宋" w:eastAsia="仿宋"/>
                <w:b/>
                <w:bCs/>
                <w:color w:val="000000"/>
                <w:sz w:val="24"/>
              </w:rPr>
            </w:pPr>
            <w:r>
              <w:rPr>
                <w:rFonts w:hint="eastAsia" w:ascii="仿宋" w:hAnsi="仿宋" w:eastAsia="仿宋"/>
                <w:b/>
                <w:bCs/>
                <w:color w:val="000000"/>
                <w:sz w:val="24"/>
              </w:rPr>
              <w:t>资金分配合理性</w:t>
            </w:r>
          </w:p>
        </w:tc>
      </w:tr>
      <w:tr w14:paraId="4E650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tcBorders>
              <w:top w:val="single" w:color="auto" w:sz="4" w:space="0"/>
            </w:tcBorders>
            <w:shd w:val="clear" w:color="auto" w:fill="auto"/>
            <w:noWrap/>
            <w:vAlign w:val="center"/>
          </w:tcPr>
          <w:p w14:paraId="0BFF3487">
            <w:pPr>
              <w:jc w:val="center"/>
              <w:rPr>
                <w:rFonts w:ascii="仿宋" w:hAnsi="仿宋" w:eastAsia="仿宋"/>
                <w:color w:val="000000"/>
                <w:sz w:val="24"/>
              </w:rPr>
            </w:pPr>
            <w:r>
              <w:rPr>
                <w:rFonts w:hint="eastAsia" w:ascii="仿宋" w:hAnsi="仿宋" w:eastAsia="仿宋"/>
                <w:color w:val="000000"/>
                <w:sz w:val="24"/>
              </w:rPr>
              <w:t>标准分值</w:t>
            </w:r>
          </w:p>
        </w:tc>
        <w:tc>
          <w:tcPr>
            <w:tcW w:w="714" w:type="pct"/>
            <w:tcBorders>
              <w:top w:val="single" w:color="auto" w:sz="4" w:space="0"/>
            </w:tcBorders>
            <w:shd w:val="clear" w:color="auto" w:fill="auto"/>
            <w:noWrap/>
            <w:vAlign w:val="center"/>
          </w:tcPr>
          <w:p w14:paraId="67665616">
            <w:pPr>
              <w:jc w:val="center"/>
              <w:rPr>
                <w:rFonts w:ascii="仿宋" w:hAnsi="仿宋" w:eastAsia="仿宋"/>
                <w:color w:val="000000"/>
                <w:sz w:val="24"/>
              </w:rPr>
            </w:pPr>
            <w:r>
              <w:rPr>
                <w:rFonts w:hint="eastAsia" w:ascii="仿宋" w:hAnsi="仿宋" w:eastAsia="仿宋"/>
                <w:color w:val="000000"/>
                <w:sz w:val="24"/>
              </w:rPr>
              <w:t>3</w:t>
            </w:r>
          </w:p>
        </w:tc>
        <w:tc>
          <w:tcPr>
            <w:tcW w:w="715" w:type="pct"/>
            <w:tcBorders>
              <w:top w:val="single" w:color="auto" w:sz="4" w:space="0"/>
            </w:tcBorders>
            <w:shd w:val="clear" w:color="auto" w:fill="auto"/>
            <w:noWrap/>
            <w:vAlign w:val="center"/>
          </w:tcPr>
          <w:p w14:paraId="34549089">
            <w:pPr>
              <w:jc w:val="center"/>
              <w:rPr>
                <w:rFonts w:ascii="仿宋" w:hAnsi="仿宋" w:eastAsia="仿宋"/>
                <w:color w:val="000000"/>
                <w:sz w:val="24"/>
              </w:rPr>
            </w:pPr>
            <w:r>
              <w:rPr>
                <w:rFonts w:hint="eastAsia" w:ascii="仿宋" w:hAnsi="仿宋" w:eastAsia="仿宋"/>
                <w:color w:val="000000"/>
                <w:sz w:val="24"/>
              </w:rPr>
              <w:t>2</w:t>
            </w:r>
          </w:p>
        </w:tc>
        <w:tc>
          <w:tcPr>
            <w:tcW w:w="714" w:type="pct"/>
            <w:tcBorders>
              <w:top w:val="single" w:color="auto" w:sz="4" w:space="0"/>
            </w:tcBorders>
            <w:vAlign w:val="center"/>
          </w:tcPr>
          <w:p w14:paraId="7F077332">
            <w:pPr>
              <w:jc w:val="center"/>
              <w:rPr>
                <w:rFonts w:ascii="仿宋" w:hAnsi="仿宋" w:eastAsia="仿宋"/>
                <w:color w:val="000000"/>
                <w:sz w:val="24"/>
              </w:rPr>
            </w:pPr>
            <w:r>
              <w:rPr>
                <w:rFonts w:hint="eastAsia" w:ascii="仿宋" w:hAnsi="仿宋" w:eastAsia="仿宋"/>
                <w:color w:val="000000"/>
                <w:sz w:val="24"/>
              </w:rPr>
              <w:t>2</w:t>
            </w:r>
          </w:p>
        </w:tc>
        <w:tc>
          <w:tcPr>
            <w:tcW w:w="715" w:type="pct"/>
            <w:tcBorders>
              <w:top w:val="single" w:color="auto" w:sz="4" w:space="0"/>
            </w:tcBorders>
            <w:shd w:val="clear" w:color="auto" w:fill="auto"/>
            <w:noWrap/>
            <w:vAlign w:val="center"/>
          </w:tcPr>
          <w:p w14:paraId="01CC0769">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vAlign w:val="center"/>
          </w:tcPr>
          <w:p w14:paraId="3ED78997">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shd w:val="clear" w:color="auto" w:fill="auto"/>
            <w:noWrap/>
            <w:vAlign w:val="center"/>
          </w:tcPr>
          <w:p w14:paraId="778CF026">
            <w:pPr>
              <w:jc w:val="center"/>
              <w:rPr>
                <w:rFonts w:ascii="仿宋" w:hAnsi="仿宋" w:eastAsia="仿宋"/>
                <w:color w:val="000000"/>
                <w:sz w:val="24"/>
              </w:rPr>
            </w:pPr>
            <w:r>
              <w:rPr>
                <w:rFonts w:hint="eastAsia" w:ascii="仿宋" w:hAnsi="仿宋" w:eastAsia="仿宋"/>
                <w:color w:val="000000"/>
                <w:sz w:val="24"/>
              </w:rPr>
              <w:t>3</w:t>
            </w:r>
          </w:p>
        </w:tc>
      </w:tr>
      <w:tr w14:paraId="54F70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shd w:val="clear" w:color="auto" w:fill="auto"/>
            <w:noWrap/>
            <w:vAlign w:val="center"/>
          </w:tcPr>
          <w:p w14:paraId="040A50A8">
            <w:pPr>
              <w:jc w:val="center"/>
              <w:rPr>
                <w:rFonts w:ascii="仿宋" w:hAnsi="仿宋" w:eastAsia="仿宋"/>
                <w:color w:val="000000"/>
                <w:sz w:val="24"/>
              </w:rPr>
            </w:pPr>
            <w:r>
              <w:rPr>
                <w:rFonts w:hint="eastAsia" w:ascii="仿宋" w:hAnsi="仿宋" w:eastAsia="仿宋"/>
                <w:color w:val="000000"/>
                <w:sz w:val="24"/>
              </w:rPr>
              <w:t>实际得分</w:t>
            </w:r>
          </w:p>
        </w:tc>
        <w:tc>
          <w:tcPr>
            <w:tcW w:w="714" w:type="pct"/>
            <w:shd w:val="clear" w:color="auto" w:fill="auto"/>
            <w:noWrap/>
            <w:vAlign w:val="center"/>
          </w:tcPr>
          <w:p w14:paraId="4201E0B5">
            <w:pPr>
              <w:jc w:val="center"/>
              <w:rPr>
                <w:rFonts w:ascii="仿宋" w:hAnsi="仿宋" w:eastAsia="仿宋"/>
                <w:color w:val="000000"/>
                <w:sz w:val="24"/>
              </w:rPr>
            </w:pPr>
            <w:r>
              <w:rPr>
                <w:rFonts w:hint="eastAsia" w:ascii="仿宋" w:hAnsi="仿宋" w:eastAsia="仿宋"/>
                <w:color w:val="000000"/>
                <w:sz w:val="24"/>
              </w:rPr>
              <w:t>3</w:t>
            </w:r>
          </w:p>
        </w:tc>
        <w:tc>
          <w:tcPr>
            <w:tcW w:w="715" w:type="pct"/>
            <w:shd w:val="clear" w:color="auto" w:fill="auto"/>
            <w:noWrap/>
            <w:vAlign w:val="center"/>
          </w:tcPr>
          <w:p w14:paraId="70DE7EDE">
            <w:pPr>
              <w:jc w:val="center"/>
              <w:rPr>
                <w:rFonts w:ascii="仿宋" w:hAnsi="仿宋" w:eastAsia="仿宋"/>
                <w:color w:val="000000"/>
                <w:sz w:val="24"/>
              </w:rPr>
            </w:pPr>
            <w:r>
              <w:rPr>
                <w:rFonts w:hint="eastAsia" w:ascii="仿宋" w:hAnsi="仿宋" w:eastAsia="仿宋"/>
                <w:color w:val="000000"/>
                <w:sz w:val="24"/>
              </w:rPr>
              <w:t>2</w:t>
            </w:r>
          </w:p>
        </w:tc>
        <w:tc>
          <w:tcPr>
            <w:tcW w:w="714" w:type="pct"/>
            <w:vAlign w:val="center"/>
          </w:tcPr>
          <w:p w14:paraId="4CAA0A8E">
            <w:pPr>
              <w:jc w:val="center"/>
              <w:rPr>
                <w:rFonts w:ascii="仿宋" w:hAnsi="仿宋" w:eastAsia="仿宋"/>
                <w:color w:val="000000"/>
                <w:sz w:val="24"/>
              </w:rPr>
            </w:pPr>
            <w:r>
              <w:rPr>
                <w:rFonts w:hint="eastAsia" w:ascii="仿宋" w:hAnsi="仿宋" w:eastAsia="仿宋"/>
                <w:color w:val="000000"/>
                <w:sz w:val="24"/>
              </w:rPr>
              <w:t>0.75</w:t>
            </w:r>
          </w:p>
        </w:tc>
        <w:tc>
          <w:tcPr>
            <w:tcW w:w="715" w:type="pct"/>
            <w:shd w:val="clear" w:color="auto" w:fill="auto"/>
            <w:noWrap/>
            <w:vAlign w:val="center"/>
          </w:tcPr>
          <w:p w14:paraId="05DF5B44">
            <w:pPr>
              <w:jc w:val="center"/>
              <w:rPr>
                <w:rFonts w:ascii="仿宋" w:hAnsi="仿宋" w:eastAsia="仿宋"/>
                <w:color w:val="000000"/>
                <w:sz w:val="24"/>
              </w:rPr>
            </w:pPr>
            <w:r>
              <w:rPr>
                <w:rFonts w:hint="eastAsia" w:ascii="仿宋" w:hAnsi="仿宋" w:eastAsia="仿宋"/>
                <w:color w:val="000000"/>
                <w:sz w:val="24"/>
              </w:rPr>
              <w:t>1.5</w:t>
            </w:r>
          </w:p>
        </w:tc>
        <w:tc>
          <w:tcPr>
            <w:tcW w:w="714" w:type="pct"/>
            <w:vAlign w:val="center"/>
          </w:tcPr>
          <w:p w14:paraId="45E35A4F">
            <w:pPr>
              <w:jc w:val="center"/>
              <w:rPr>
                <w:rFonts w:ascii="仿宋" w:hAnsi="仿宋" w:eastAsia="仿宋"/>
                <w:color w:val="000000"/>
                <w:sz w:val="24"/>
              </w:rPr>
            </w:pPr>
            <w:r>
              <w:rPr>
                <w:rFonts w:hint="eastAsia" w:ascii="仿宋" w:hAnsi="仿宋" w:eastAsia="仿宋"/>
                <w:color w:val="000000"/>
                <w:sz w:val="24"/>
              </w:rPr>
              <w:t>2.25</w:t>
            </w:r>
          </w:p>
        </w:tc>
        <w:tc>
          <w:tcPr>
            <w:tcW w:w="714" w:type="pct"/>
            <w:shd w:val="clear" w:color="auto" w:fill="auto"/>
            <w:noWrap/>
            <w:vAlign w:val="center"/>
          </w:tcPr>
          <w:p w14:paraId="51EA1498">
            <w:pPr>
              <w:jc w:val="center"/>
              <w:rPr>
                <w:rFonts w:ascii="仿宋" w:hAnsi="仿宋" w:eastAsia="仿宋"/>
                <w:color w:val="000000"/>
                <w:sz w:val="24"/>
              </w:rPr>
            </w:pPr>
            <w:r>
              <w:rPr>
                <w:rFonts w:hint="eastAsia" w:ascii="仿宋" w:hAnsi="仿宋" w:eastAsia="仿宋"/>
                <w:color w:val="000000"/>
                <w:sz w:val="24"/>
              </w:rPr>
              <w:t>2</w:t>
            </w:r>
          </w:p>
        </w:tc>
      </w:tr>
      <w:bookmarkEnd w:id="2"/>
    </w:tbl>
    <w:p w14:paraId="2921F12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决策指标主要评价项目立项依据是否充分性和立项程序是否规范性、绩效目标设置是否合理性以及绩效指标设置是否明确性、预算编制是否科学以及资金分配是否合理，下设“立项依据充分性”、“立项程序规范性”、“绩效目标合理性”、 “绩效指标明确性”、“预算编制科学性”以及“资金分配合理性”六个三级指标。</w:t>
      </w:r>
    </w:p>
    <w:p w14:paraId="78DB489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于决策指标的评价，主要采取查阅资料的方法，如查阅预算批复、决算表及决算报告分析、社发局内部控制手册、2019年度全域旅游三年行动项目经费绩效目标申报表、项目资金的收付款凭证等，了解项目立项、目标设置以及资金投入情况，对项目决策涉及的指标打分。</w:t>
      </w:r>
    </w:p>
    <w:p w14:paraId="6242C0EB">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立项依据充分性（3分）</w:t>
      </w:r>
    </w:p>
    <w:p w14:paraId="68D1C7E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立项</w:t>
      </w:r>
      <w:r>
        <w:rPr>
          <w:rFonts w:hint="eastAsia" w:ascii="仿宋_GB2312" w:hAnsi="Times New Roman" w:eastAsia="仿宋_GB2312" w:cs="Times New Roman"/>
          <w:bCs/>
          <w:sz w:val="32"/>
          <w:szCs w:val="32"/>
        </w:rPr>
        <w:t>依据充分性是指项目立项</w:t>
      </w:r>
      <w:r>
        <w:rPr>
          <w:rFonts w:hint="eastAsia" w:ascii="仿宋_GB2312" w:hAnsi="Times New Roman" w:eastAsia="仿宋_GB2312" w:cs="Times New Roman"/>
          <w:sz w:val="32"/>
          <w:szCs w:val="32"/>
        </w:rPr>
        <w:t>是否符合法律法规、相关政策、发展规划以及部门职责，用以反映和考核项目立项依据情况。</w:t>
      </w:r>
    </w:p>
    <w:p w14:paraId="28A125A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均依据国家、省、市以及区级相关文件精神设立，如《国务院办公厅关于促进全域旅游发展的指导意见》（国办发[2018]15号)、《湖北省人民政府关于促进全域游发展的实施意见》(鄂政发[2018]35号)、《武汉市全域旅游大发展三年行动计划（2018-2020）》、《武昌区全域旅游大发展三年行动计划（2018—2020）》等，</w:t>
      </w:r>
      <w:r>
        <w:rPr>
          <w:rFonts w:hint="eastAsia" w:ascii="仿宋_GB2312" w:hAnsi="仿宋" w:eastAsia="仿宋_GB2312" w:cs="Times New Roman"/>
          <w:sz w:val="32"/>
          <w:szCs w:val="32"/>
        </w:rPr>
        <w:t>立项依据充分，</w:t>
      </w:r>
      <w:r>
        <w:rPr>
          <w:rFonts w:hint="eastAsia" w:ascii="仿宋_GB2312" w:hAnsi="Times New Roman" w:eastAsia="仿宋_GB2312" w:cs="Times New Roman"/>
          <w:sz w:val="32"/>
          <w:szCs w:val="32"/>
        </w:rPr>
        <w:t>根据评分细则，得3分。</w:t>
      </w:r>
    </w:p>
    <w:p w14:paraId="3774EA2E">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立项程序规范性（2分）</w:t>
      </w:r>
    </w:p>
    <w:p w14:paraId="48B085E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立项程序规范性是指项目申请、设立过程是否符合相关要求，用以反映和考核项目立项的规范情况。</w:t>
      </w:r>
    </w:p>
    <w:p w14:paraId="1174371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区委常委会和区政府常务会议精神，区文旅局拟从2018年度开始实施武昌区全域旅游发展相关基础设施及管理服务项目清单（2018-2020年）中的9个项目，共需资金975万元，已报区财政局并经余松区长审批。2019年度按规定程序申报预算，并经财政（武昌财预[2019]46号）批复。立项符合政策，资金按照规定的程序申请、批复，根据评分细则，得2分。</w:t>
      </w:r>
    </w:p>
    <w:p w14:paraId="355A7B5F">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绩效目标合理性（2</w:t>
      </w:r>
      <w:r>
        <w:rPr>
          <w:rFonts w:ascii="仿宋_GB2312" w:hAnsi="Times New Roman" w:eastAsia="仿宋_GB2312" w:cs="Times New Roman"/>
          <w:bCs w:val="0"/>
          <w:kern w:val="2"/>
          <w:sz w:val="32"/>
          <w:szCs w:val="32"/>
        </w:rPr>
        <w:t>分）</w:t>
      </w:r>
    </w:p>
    <w:p w14:paraId="5E93D8C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绩效目标合理性是指项目是否设定绩效目标和绩效指标，所设定的绩效目标和指标是否符合实际，与预算确定的项目投资额或资金量相匹配，用以反映和考核项目绩效目标与项目实施的相符情况。</w:t>
      </w:r>
    </w:p>
    <w:p w14:paraId="49EA482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该项目设置了年度绩效目标，但年度绩效目标不够具体、明确、不符合绩效管理要求；年度绩效目标与项目资金量不完全匹配。根据评分细则，扣1.25分，得0.75分。</w:t>
      </w:r>
    </w:p>
    <w:p w14:paraId="6D57C2B3">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绩效指标明确性（3分）</w:t>
      </w:r>
    </w:p>
    <w:p w14:paraId="14BFAFF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绩效指标明确性是指设定的绩效指标是否清晰、细化、可衡量等，用以反映和考核项目绩效目标的明细化情况。</w:t>
      </w:r>
    </w:p>
    <w:p w14:paraId="6958907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该项目设置了具体细化指标，但未设置清晰可衡量的指标值，指标无法完全与年度工作任务及目标相对应。根据评分细则，扣1.5分，得1.5分。</w:t>
      </w:r>
    </w:p>
    <w:p w14:paraId="5E260565">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预算编制科学性</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3</w:t>
      </w:r>
      <w:r>
        <w:rPr>
          <w:rFonts w:ascii="仿宋_GB2312" w:hAnsi="Times New Roman" w:eastAsia="仿宋_GB2312" w:cs="Times New Roman"/>
          <w:bCs w:val="0"/>
          <w:kern w:val="2"/>
          <w:sz w:val="32"/>
          <w:szCs w:val="32"/>
        </w:rPr>
        <w:t>分）</w:t>
      </w:r>
    </w:p>
    <w:p w14:paraId="6C79F0F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预算编制科学性是指项目预算编制是否经过科学论证、有明确标准，资金额度与年度目标是否相适应，用以反映和考核项目预算编制的科学性、合理性情况。</w:t>
      </w:r>
    </w:p>
    <w:p w14:paraId="4846F4B4">
      <w:pPr>
        <w:widowControl/>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年度预算内容与项目内容大部分匹配，预算额度测算依据充分，但预算资金与年度工作内容未完全匹配。根据评分细则，扣0.75分，得2.25分。</w:t>
      </w:r>
    </w:p>
    <w:p w14:paraId="49BDFB24">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资金分配合理性</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3</w:t>
      </w:r>
      <w:r>
        <w:rPr>
          <w:rFonts w:ascii="仿宋_GB2312" w:hAnsi="Times New Roman" w:eastAsia="仿宋_GB2312" w:cs="Times New Roman"/>
          <w:bCs w:val="0"/>
          <w:kern w:val="2"/>
          <w:sz w:val="32"/>
          <w:szCs w:val="32"/>
        </w:rPr>
        <w:t>分）</w:t>
      </w:r>
    </w:p>
    <w:p w14:paraId="725B62A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资金分配合理性是指项目预算资金分配是否有测算依据，与补助单位或地方实际是否相适应，用以反映和考核项目预算资金分配的科学性、合理性情况。</w:t>
      </w:r>
    </w:p>
    <w:p w14:paraId="64214FA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预算资金分配依据充分，项目实际资金使用与预算资金分配不完全匹配。根据评分细则，扣1分，得2分。</w:t>
      </w:r>
    </w:p>
    <w:p w14:paraId="6C957018">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（二）项目过程情况。</w:t>
      </w:r>
    </w:p>
    <w:p w14:paraId="35E57A6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过程指标满分为18分，根据评分细则，过程评价得分为16.50分，评价结果为优。</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9"/>
        <w:gridCol w:w="1217"/>
        <w:gridCol w:w="1219"/>
        <w:gridCol w:w="1217"/>
        <w:gridCol w:w="1217"/>
      </w:tblGrid>
      <w:tr w14:paraId="61AC8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3" w:type="pct"/>
            <w:tcBorders>
              <w:top w:val="single" w:color="auto" w:sz="12" w:space="0"/>
              <w:bottom w:val="single" w:color="auto" w:sz="4" w:space="0"/>
            </w:tcBorders>
            <w:shd w:val="clear" w:color="auto" w:fill="D8D8D8" w:themeFill="background1" w:themeFillShade="D9"/>
            <w:noWrap/>
            <w:vAlign w:val="center"/>
          </w:tcPr>
          <w:p w14:paraId="6B77BF87">
            <w:pPr>
              <w:jc w:val="center"/>
              <w:rPr>
                <w:rFonts w:ascii="仿宋" w:hAnsi="仿宋" w:eastAsia="仿宋"/>
                <w:b/>
                <w:bCs/>
                <w:color w:val="000000"/>
                <w:sz w:val="24"/>
              </w:rPr>
            </w:pPr>
            <w:r>
              <w:rPr>
                <w:rFonts w:hint="eastAsia" w:ascii="仿宋" w:hAnsi="仿宋" w:eastAsia="仿宋"/>
                <w:b/>
                <w:bCs/>
                <w:color w:val="000000"/>
                <w:sz w:val="24"/>
              </w:rPr>
              <w:t>项目</w:t>
            </w:r>
          </w:p>
        </w:tc>
        <w:tc>
          <w:tcPr>
            <w:tcW w:w="714" w:type="pct"/>
            <w:tcBorders>
              <w:top w:val="single" w:color="auto" w:sz="12" w:space="0"/>
              <w:bottom w:val="single" w:color="auto" w:sz="4" w:space="0"/>
            </w:tcBorders>
            <w:shd w:val="clear" w:color="auto" w:fill="D8D8D8" w:themeFill="background1" w:themeFillShade="D9"/>
            <w:noWrap/>
            <w:vAlign w:val="center"/>
          </w:tcPr>
          <w:p w14:paraId="6B891E04">
            <w:pPr>
              <w:jc w:val="center"/>
              <w:rPr>
                <w:rFonts w:ascii="仿宋" w:hAnsi="仿宋" w:eastAsia="仿宋"/>
                <w:b/>
                <w:bCs/>
                <w:color w:val="000000"/>
                <w:sz w:val="24"/>
              </w:rPr>
            </w:pPr>
            <w:r>
              <w:rPr>
                <w:rFonts w:hint="eastAsia" w:ascii="仿宋" w:hAnsi="仿宋" w:eastAsia="仿宋"/>
                <w:b/>
                <w:bCs/>
                <w:color w:val="000000"/>
                <w:sz w:val="24"/>
              </w:rPr>
              <w:t>资金到位率</w:t>
            </w:r>
          </w:p>
        </w:tc>
        <w:tc>
          <w:tcPr>
            <w:tcW w:w="715" w:type="pct"/>
            <w:tcBorders>
              <w:top w:val="single" w:color="auto" w:sz="12" w:space="0"/>
              <w:bottom w:val="single" w:color="auto" w:sz="4" w:space="0"/>
            </w:tcBorders>
            <w:shd w:val="clear" w:color="auto" w:fill="D8D8D8" w:themeFill="background1" w:themeFillShade="D9"/>
            <w:noWrap/>
            <w:vAlign w:val="center"/>
          </w:tcPr>
          <w:p w14:paraId="467E148D">
            <w:pPr>
              <w:jc w:val="center"/>
              <w:rPr>
                <w:rFonts w:ascii="仿宋" w:hAnsi="仿宋" w:eastAsia="仿宋"/>
                <w:b/>
                <w:bCs/>
                <w:color w:val="000000"/>
                <w:sz w:val="24"/>
              </w:rPr>
            </w:pPr>
            <w:r>
              <w:rPr>
                <w:rFonts w:hint="eastAsia" w:ascii="仿宋" w:hAnsi="仿宋" w:eastAsia="仿宋"/>
                <w:b/>
                <w:bCs/>
                <w:color w:val="000000"/>
                <w:sz w:val="24"/>
              </w:rPr>
              <w:t>预算执行率</w:t>
            </w:r>
          </w:p>
        </w:tc>
        <w:tc>
          <w:tcPr>
            <w:tcW w:w="714" w:type="pct"/>
            <w:tcBorders>
              <w:top w:val="single" w:color="auto" w:sz="12" w:space="0"/>
              <w:bottom w:val="single" w:color="auto" w:sz="4" w:space="0"/>
            </w:tcBorders>
            <w:shd w:val="clear" w:color="auto" w:fill="D8D8D8" w:themeFill="background1" w:themeFillShade="D9"/>
            <w:vAlign w:val="center"/>
          </w:tcPr>
          <w:p w14:paraId="002226AC">
            <w:pPr>
              <w:jc w:val="center"/>
              <w:rPr>
                <w:rFonts w:ascii="仿宋" w:hAnsi="仿宋" w:eastAsia="仿宋"/>
                <w:b/>
                <w:bCs/>
                <w:color w:val="000000"/>
                <w:sz w:val="24"/>
              </w:rPr>
            </w:pPr>
            <w:r>
              <w:rPr>
                <w:rFonts w:hint="eastAsia" w:ascii="仿宋" w:hAnsi="仿宋" w:eastAsia="仿宋"/>
                <w:b/>
                <w:bCs/>
                <w:color w:val="000000"/>
                <w:sz w:val="24"/>
              </w:rPr>
              <w:t>资金使用合规性</w:t>
            </w:r>
          </w:p>
        </w:tc>
        <w:tc>
          <w:tcPr>
            <w:tcW w:w="715" w:type="pct"/>
            <w:tcBorders>
              <w:top w:val="single" w:color="auto" w:sz="12" w:space="0"/>
              <w:bottom w:val="single" w:color="auto" w:sz="4" w:space="0"/>
            </w:tcBorders>
            <w:shd w:val="clear" w:color="auto" w:fill="D8D8D8" w:themeFill="background1" w:themeFillShade="D9"/>
            <w:vAlign w:val="center"/>
          </w:tcPr>
          <w:p w14:paraId="101A4974">
            <w:pPr>
              <w:jc w:val="center"/>
              <w:rPr>
                <w:rFonts w:ascii="仿宋" w:hAnsi="仿宋" w:eastAsia="仿宋"/>
                <w:b/>
                <w:bCs/>
                <w:color w:val="000000"/>
                <w:sz w:val="24"/>
              </w:rPr>
            </w:pPr>
            <w:r>
              <w:rPr>
                <w:rFonts w:hint="eastAsia" w:ascii="仿宋" w:hAnsi="仿宋" w:eastAsia="仿宋"/>
                <w:b/>
                <w:bCs/>
                <w:color w:val="000000"/>
                <w:sz w:val="24"/>
              </w:rPr>
              <w:t>管理制度健全性</w:t>
            </w:r>
          </w:p>
        </w:tc>
        <w:tc>
          <w:tcPr>
            <w:tcW w:w="714" w:type="pct"/>
            <w:tcBorders>
              <w:top w:val="single" w:color="auto" w:sz="12" w:space="0"/>
              <w:bottom w:val="single" w:color="auto" w:sz="4" w:space="0"/>
            </w:tcBorders>
            <w:shd w:val="clear" w:color="auto" w:fill="D8D8D8" w:themeFill="background1" w:themeFillShade="D9"/>
            <w:noWrap/>
            <w:vAlign w:val="center"/>
          </w:tcPr>
          <w:p w14:paraId="6041B722">
            <w:pPr>
              <w:jc w:val="center"/>
              <w:rPr>
                <w:rFonts w:ascii="仿宋" w:hAnsi="仿宋" w:eastAsia="仿宋"/>
                <w:b/>
                <w:bCs/>
                <w:color w:val="000000"/>
                <w:sz w:val="24"/>
              </w:rPr>
            </w:pPr>
            <w:r>
              <w:rPr>
                <w:rFonts w:hint="eastAsia" w:ascii="仿宋" w:hAnsi="仿宋" w:eastAsia="仿宋"/>
                <w:b/>
                <w:bCs/>
                <w:color w:val="000000"/>
                <w:sz w:val="24"/>
              </w:rPr>
              <w:t>制度执行有效性</w:t>
            </w:r>
          </w:p>
        </w:tc>
        <w:tc>
          <w:tcPr>
            <w:tcW w:w="714" w:type="pct"/>
            <w:tcBorders>
              <w:top w:val="single" w:color="auto" w:sz="12" w:space="0"/>
              <w:bottom w:val="single" w:color="auto" w:sz="4" w:space="0"/>
            </w:tcBorders>
            <w:shd w:val="clear" w:color="auto" w:fill="D8D8D8" w:themeFill="background1" w:themeFillShade="D9"/>
            <w:noWrap/>
            <w:vAlign w:val="center"/>
          </w:tcPr>
          <w:p w14:paraId="6F1FA4B4">
            <w:pPr>
              <w:jc w:val="center"/>
              <w:rPr>
                <w:rFonts w:ascii="仿宋" w:hAnsi="仿宋" w:eastAsia="仿宋"/>
                <w:b/>
                <w:bCs/>
                <w:color w:val="000000"/>
                <w:sz w:val="24"/>
              </w:rPr>
            </w:pPr>
            <w:r>
              <w:rPr>
                <w:rFonts w:hint="eastAsia" w:ascii="仿宋" w:hAnsi="仿宋" w:eastAsia="仿宋"/>
                <w:b/>
                <w:bCs/>
                <w:color w:val="000000"/>
                <w:sz w:val="24"/>
              </w:rPr>
              <w:t>项目质量可控性</w:t>
            </w:r>
          </w:p>
        </w:tc>
      </w:tr>
      <w:tr w14:paraId="31D70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tcBorders>
              <w:top w:val="single" w:color="auto" w:sz="4" w:space="0"/>
            </w:tcBorders>
            <w:shd w:val="clear" w:color="auto" w:fill="auto"/>
            <w:noWrap/>
            <w:vAlign w:val="center"/>
          </w:tcPr>
          <w:p w14:paraId="4487B03D">
            <w:pPr>
              <w:jc w:val="center"/>
              <w:rPr>
                <w:rFonts w:ascii="仿宋" w:hAnsi="仿宋" w:eastAsia="仿宋"/>
                <w:color w:val="000000"/>
                <w:sz w:val="24"/>
              </w:rPr>
            </w:pPr>
            <w:r>
              <w:rPr>
                <w:rFonts w:hint="eastAsia" w:ascii="仿宋" w:hAnsi="仿宋" w:eastAsia="仿宋"/>
                <w:color w:val="000000"/>
                <w:sz w:val="24"/>
              </w:rPr>
              <w:t>标准分值</w:t>
            </w:r>
          </w:p>
        </w:tc>
        <w:tc>
          <w:tcPr>
            <w:tcW w:w="714" w:type="pct"/>
            <w:tcBorders>
              <w:top w:val="single" w:color="auto" w:sz="4" w:space="0"/>
            </w:tcBorders>
            <w:shd w:val="clear" w:color="auto" w:fill="auto"/>
            <w:noWrap/>
            <w:vAlign w:val="center"/>
          </w:tcPr>
          <w:p w14:paraId="706B8858">
            <w:pPr>
              <w:jc w:val="center"/>
              <w:rPr>
                <w:rFonts w:ascii="仿宋" w:hAnsi="仿宋" w:eastAsia="仿宋"/>
                <w:color w:val="000000"/>
                <w:sz w:val="24"/>
              </w:rPr>
            </w:pPr>
            <w:r>
              <w:rPr>
                <w:rFonts w:hint="eastAsia" w:ascii="仿宋" w:hAnsi="仿宋" w:eastAsia="仿宋"/>
                <w:color w:val="000000"/>
                <w:sz w:val="24"/>
              </w:rPr>
              <w:t>3</w:t>
            </w:r>
          </w:p>
        </w:tc>
        <w:tc>
          <w:tcPr>
            <w:tcW w:w="715" w:type="pct"/>
            <w:tcBorders>
              <w:top w:val="single" w:color="auto" w:sz="4" w:space="0"/>
            </w:tcBorders>
            <w:shd w:val="clear" w:color="auto" w:fill="auto"/>
            <w:noWrap/>
            <w:vAlign w:val="center"/>
          </w:tcPr>
          <w:p w14:paraId="50D16A1D">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vAlign w:val="center"/>
          </w:tcPr>
          <w:p w14:paraId="7E954F43">
            <w:pPr>
              <w:jc w:val="center"/>
              <w:rPr>
                <w:rFonts w:ascii="仿宋" w:hAnsi="仿宋" w:eastAsia="仿宋"/>
                <w:color w:val="000000"/>
                <w:sz w:val="24"/>
              </w:rPr>
            </w:pPr>
            <w:r>
              <w:rPr>
                <w:rFonts w:hint="eastAsia" w:ascii="仿宋" w:hAnsi="仿宋" w:eastAsia="仿宋"/>
                <w:color w:val="000000"/>
                <w:sz w:val="24"/>
              </w:rPr>
              <w:t>3</w:t>
            </w:r>
          </w:p>
        </w:tc>
        <w:tc>
          <w:tcPr>
            <w:tcW w:w="715" w:type="pct"/>
            <w:tcBorders>
              <w:top w:val="single" w:color="auto" w:sz="4" w:space="0"/>
            </w:tcBorders>
            <w:vAlign w:val="center"/>
          </w:tcPr>
          <w:p w14:paraId="5D629E2F">
            <w:pPr>
              <w:jc w:val="center"/>
              <w:rPr>
                <w:rFonts w:ascii="仿宋" w:hAnsi="仿宋" w:eastAsia="仿宋"/>
                <w:color w:val="000000"/>
                <w:sz w:val="24"/>
              </w:rPr>
            </w:pPr>
            <w:r>
              <w:rPr>
                <w:rFonts w:hint="eastAsia" w:ascii="仿宋" w:hAnsi="仿宋" w:eastAsia="仿宋"/>
                <w:color w:val="000000"/>
                <w:sz w:val="24"/>
              </w:rPr>
              <w:t>2</w:t>
            </w:r>
          </w:p>
        </w:tc>
        <w:tc>
          <w:tcPr>
            <w:tcW w:w="714" w:type="pct"/>
            <w:tcBorders>
              <w:top w:val="single" w:color="auto" w:sz="4" w:space="0"/>
            </w:tcBorders>
            <w:shd w:val="clear" w:color="auto" w:fill="auto"/>
            <w:noWrap/>
            <w:vAlign w:val="center"/>
          </w:tcPr>
          <w:p w14:paraId="5F5B65A5">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shd w:val="clear" w:color="auto" w:fill="auto"/>
            <w:noWrap/>
            <w:vAlign w:val="center"/>
          </w:tcPr>
          <w:p w14:paraId="2F4ED70F">
            <w:pPr>
              <w:jc w:val="center"/>
              <w:rPr>
                <w:rFonts w:ascii="仿宋" w:hAnsi="仿宋" w:eastAsia="仿宋"/>
                <w:color w:val="000000"/>
                <w:sz w:val="24"/>
              </w:rPr>
            </w:pPr>
            <w:r>
              <w:rPr>
                <w:rFonts w:hint="eastAsia" w:ascii="仿宋" w:hAnsi="仿宋" w:eastAsia="仿宋"/>
                <w:color w:val="000000"/>
                <w:sz w:val="24"/>
              </w:rPr>
              <w:t>4</w:t>
            </w:r>
          </w:p>
        </w:tc>
      </w:tr>
      <w:tr w14:paraId="7C865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shd w:val="clear" w:color="auto" w:fill="auto"/>
            <w:noWrap/>
            <w:vAlign w:val="center"/>
          </w:tcPr>
          <w:p w14:paraId="1DD5E56C">
            <w:pPr>
              <w:jc w:val="center"/>
              <w:rPr>
                <w:rFonts w:ascii="仿宋" w:hAnsi="仿宋" w:eastAsia="仿宋"/>
                <w:color w:val="000000"/>
                <w:sz w:val="24"/>
              </w:rPr>
            </w:pPr>
            <w:r>
              <w:rPr>
                <w:rFonts w:hint="eastAsia" w:ascii="仿宋" w:hAnsi="仿宋" w:eastAsia="仿宋"/>
                <w:color w:val="000000"/>
                <w:sz w:val="24"/>
              </w:rPr>
              <w:t>实际得分</w:t>
            </w:r>
          </w:p>
        </w:tc>
        <w:tc>
          <w:tcPr>
            <w:tcW w:w="714" w:type="pct"/>
            <w:shd w:val="clear" w:color="auto" w:fill="auto"/>
            <w:noWrap/>
            <w:vAlign w:val="center"/>
          </w:tcPr>
          <w:p w14:paraId="4B34C6E3">
            <w:pPr>
              <w:jc w:val="center"/>
              <w:rPr>
                <w:rFonts w:ascii="仿宋" w:hAnsi="仿宋" w:eastAsia="仿宋"/>
                <w:color w:val="000000"/>
                <w:sz w:val="24"/>
              </w:rPr>
            </w:pPr>
            <w:r>
              <w:rPr>
                <w:rFonts w:hint="eastAsia" w:ascii="仿宋" w:hAnsi="仿宋" w:eastAsia="仿宋"/>
                <w:color w:val="000000"/>
                <w:sz w:val="24"/>
              </w:rPr>
              <w:t>3</w:t>
            </w:r>
          </w:p>
        </w:tc>
        <w:tc>
          <w:tcPr>
            <w:tcW w:w="715" w:type="pct"/>
            <w:shd w:val="clear" w:color="auto" w:fill="auto"/>
            <w:noWrap/>
            <w:vAlign w:val="center"/>
          </w:tcPr>
          <w:p w14:paraId="5A956F03">
            <w:pPr>
              <w:jc w:val="center"/>
              <w:rPr>
                <w:rFonts w:ascii="仿宋" w:hAnsi="仿宋" w:eastAsia="仿宋"/>
                <w:color w:val="000000"/>
                <w:sz w:val="24"/>
              </w:rPr>
            </w:pPr>
            <w:r>
              <w:rPr>
                <w:rFonts w:hint="eastAsia" w:ascii="仿宋" w:hAnsi="仿宋" w:eastAsia="仿宋"/>
                <w:color w:val="000000"/>
                <w:sz w:val="24"/>
              </w:rPr>
              <w:t>3</w:t>
            </w:r>
          </w:p>
        </w:tc>
        <w:tc>
          <w:tcPr>
            <w:tcW w:w="714" w:type="pct"/>
            <w:vAlign w:val="center"/>
          </w:tcPr>
          <w:p w14:paraId="437435E2">
            <w:pPr>
              <w:jc w:val="center"/>
              <w:rPr>
                <w:rFonts w:ascii="仿宋" w:hAnsi="仿宋" w:eastAsia="仿宋"/>
                <w:color w:val="000000"/>
                <w:sz w:val="24"/>
              </w:rPr>
            </w:pPr>
            <w:r>
              <w:rPr>
                <w:rFonts w:hint="eastAsia" w:ascii="仿宋" w:hAnsi="仿宋" w:eastAsia="仿宋"/>
                <w:color w:val="000000"/>
                <w:sz w:val="24"/>
              </w:rPr>
              <w:t>3</w:t>
            </w:r>
          </w:p>
        </w:tc>
        <w:tc>
          <w:tcPr>
            <w:tcW w:w="715" w:type="pct"/>
            <w:vAlign w:val="center"/>
          </w:tcPr>
          <w:p w14:paraId="6B469959">
            <w:pPr>
              <w:jc w:val="center"/>
              <w:rPr>
                <w:rFonts w:ascii="仿宋" w:hAnsi="仿宋" w:eastAsia="仿宋"/>
                <w:color w:val="000000"/>
                <w:sz w:val="24"/>
              </w:rPr>
            </w:pPr>
            <w:r>
              <w:rPr>
                <w:rFonts w:hint="eastAsia" w:ascii="仿宋" w:hAnsi="仿宋" w:eastAsia="仿宋"/>
                <w:color w:val="000000"/>
                <w:sz w:val="24"/>
              </w:rPr>
              <w:t>1.5</w:t>
            </w:r>
          </w:p>
        </w:tc>
        <w:tc>
          <w:tcPr>
            <w:tcW w:w="714" w:type="pct"/>
            <w:shd w:val="clear" w:color="auto" w:fill="auto"/>
            <w:noWrap/>
            <w:vAlign w:val="center"/>
          </w:tcPr>
          <w:p w14:paraId="1579AAC6">
            <w:pPr>
              <w:jc w:val="center"/>
              <w:rPr>
                <w:rFonts w:ascii="仿宋" w:hAnsi="仿宋" w:eastAsia="仿宋"/>
                <w:color w:val="000000"/>
                <w:sz w:val="24"/>
              </w:rPr>
            </w:pPr>
            <w:r>
              <w:rPr>
                <w:rFonts w:hint="eastAsia" w:ascii="仿宋" w:hAnsi="仿宋" w:eastAsia="仿宋"/>
                <w:color w:val="000000"/>
                <w:sz w:val="24"/>
              </w:rPr>
              <w:t>2.5</w:t>
            </w:r>
          </w:p>
        </w:tc>
        <w:tc>
          <w:tcPr>
            <w:tcW w:w="714" w:type="pct"/>
            <w:shd w:val="clear" w:color="auto" w:fill="auto"/>
            <w:noWrap/>
            <w:vAlign w:val="center"/>
          </w:tcPr>
          <w:p w14:paraId="4216B7D8">
            <w:pPr>
              <w:jc w:val="center"/>
              <w:rPr>
                <w:rFonts w:ascii="仿宋" w:hAnsi="仿宋" w:eastAsia="仿宋"/>
                <w:color w:val="000000"/>
                <w:sz w:val="24"/>
              </w:rPr>
            </w:pPr>
            <w:r>
              <w:rPr>
                <w:rFonts w:hint="eastAsia" w:ascii="仿宋" w:hAnsi="仿宋" w:eastAsia="仿宋"/>
                <w:color w:val="000000"/>
                <w:sz w:val="24"/>
              </w:rPr>
              <w:t>3.5</w:t>
            </w:r>
          </w:p>
        </w:tc>
      </w:tr>
    </w:tbl>
    <w:p w14:paraId="6DFDE6C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过程</w:t>
      </w:r>
      <w:r>
        <w:rPr>
          <w:rFonts w:hint="eastAsia" w:ascii="Times New Roman" w:hAnsi="Times New Roman" w:eastAsia="仿宋_GB2312" w:cs="Times New Roman"/>
          <w:sz w:val="32"/>
          <w:szCs w:val="32"/>
        </w:rPr>
        <w:t>指标</w:t>
      </w:r>
      <w:r>
        <w:rPr>
          <w:rFonts w:ascii="Times New Roman" w:hAnsi="Times New Roman" w:eastAsia="仿宋_GB2312" w:cs="Times New Roman"/>
          <w:sz w:val="32"/>
          <w:szCs w:val="32"/>
        </w:rPr>
        <w:t>主要评价对</w:t>
      </w:r>
      <w:r>
        <w:rPr>
          <w:rFonts w:hint="eastAsia" w:ascii="Times New Roman" w:hAnsi="Times New Roman" w:eastAsia="仿宋_GB2312" w:cs="Times New Roman"/>
          <w:sz w:val="32"/>
          <w:szCs w:val="32"/>
        </w:rPr>
        <w:t>项目资产</w:t>
      </w:r>
      <w:r>
        <w:rPr>
          <w:rFonts w:ascii="Times New Roman" w:hAnsi="Times New Roman" w:eastAsia="仿宋_GB2312" w:cs="Times New Roman"/>
          <w:sz w:val="32"/>
          <w:szCs w:val="32"/>
        </w:rPr>
        <w:t>管理及</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控制情况，下设</w:t>
      </w:r>
      <w:r>
        <w:rPr>
          <w:rFonts w:hint="eastAsia" w:ascii="Times New Roman" w:hAnsi="Times New Roman" w:eastAsia="仿宋_GB2312" w:cs="Times New Roman"/>
          <w:sz w:val="32"/>
          <w:szCs w:val="32"/>
        </w:rPr>
        <w:t>“资金管理”和“组织实施”两个二级指标，再细分六个三级指标，</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“资金到位率”、“预算执行率”、“资金使用合规性”、“管理制度健全性”、“制度执行有效性”和“项目质量可控性”。</w:t>
      </w: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过程指标</w:t>
      </w:r>
      <w:r>
        <w:rPr>
          <w:rFonts w:ascii="Times New Roman" w:hAnsi="Times New Roman" w:eastAsia="仿宋_GB2312" w:cs="Times New Roman"/>
          <w:sz w:val="32"/>
          <w:szCs w:val="32"/>
        </w:rPr>
        <w:t>的评价，主要采取了</w:t>
      </w:r>
      <w:r>
        <w:rPr>
          <w:rFonts w:hint="eastAsia" w:ascii="Times New Roman" w:hAnsi="Times New Roman" w:eastAsia="仿宋_GB2312" w:cs="Times New Roman"/>
          <w:sz w:val="32"/>
          <w:szCs w:val="32"/>
        </w:rPr>
        <w:t>查阅资料、</w:t>
      </w:r>
      <w:r>
        <w:rPr>
          <w:rFonts w:ascii="Times New Roman" w:hAnsi="Times New Roman" w:eastAsia="仿宋_GB2312" w:cs="Times New Roman"/>
          <w:sz w:val="32"/>
          <w:szCs w:val="32"/>
        </w:rPr>
        <w:t>访谈</w:t>
      </w:r>
      <w:r>
        <w:rPr>
          <w:rFonts w:hint="eastAsia" w:ascii="Times New Roman" w:hAnsi="Times New Roman" w:eastAsia="仿宋_GB2312" w:cs="Times New Roman"/>
          <w:sz w:val="32"/>
          <w:szCs w:val="32"/>
        </w:rPr>
        <w:t>座谈、抽查记录</w:t>
      </w:r>
      <w:r>
        <w:rPr>
          <w:rFonts w:ascii="Times New Roman" w:hAnsi="Times New Roman" w:eastAsia="仿宋_GB2312" w:cs="Times New Roman"/>
          <w:sz w:val="32"/>
          <w:szCs w:val="32"/>
        </w:rPr>
        <w:t>等方式，收集了项目单位的</w:t>
      </w:r>
      <w:r>
        <w:rPr>
          <w:rFonts w:hint="eastAsia" w:ascii="Times New Roman" w:hAnsi="Times New Roman" w:eastAsia="仿宋_GB2312" w:cs="Times New Roman"/>
          <w:sz w:val="32"/>
          <w:szCs w:val="32"/>
        </w:rPr>
        <w:t>内控制度和</w:t>
      </w:r>
      <w:r>
        <w:rPr>
          <w:rFonts w:ascii="Times New Roman" w:hAnsi="Times New Roman" w:eastAsia="仿宋_GB2312" w:cs="Times New Roman"/>
          <w:sz w:val="32"/>
          <w:szCs w:val="32"/>
        </w:rPr>
        <w:t>财务管理制度，查看了</w:t>
      </w:r>
      <w:r>
        <w:rPr>
          <w:rFonts w:hint="eastAsia" w:ascii="Times New Roman" w:hAnsi="Times New Roman" w:eastAsia="仿宋_GB2312" w:cs="Times New Roman"/>
          <w:sz w:val="32"/>
          <w:szCs w:val="32"/>
        </w:rPr>
        <w:t>财政</w:t>
      </w:r>
      <w:r>
        <w:rPr>
          <w:rFonts w:ascii="Times New Roman" w:hAnsi="Times New Roman" w:eastAsia="仿宋_GB2312" w:cs="Times New Roman"/>
          <w:sz w:val="32"/>
          <w:szCs w:val="32"/>
        </w:rPr>
        <w:t>专项资金的收付</w:t>
      </w:r>
      <w:r>
        <w:rPr>
          <w:rFonts w:hint="eastAsia" w:ascii="Times New Roman" w:hAnsi="Times New Roman" w:eastAsia="仿宋_GB2312" w:cs="Times New Roman"/>
          <w:sz w:val="32"/>
          <w:szCs w:val="32"/>
        </w:rPr>
        <w:t>款</w:t>
      </w:r>
      <w:r>
        <w:rPr>
          <w:rFonts w:ascii="Times New Roman" w:hAnsi="Times New Roman" w:eastAsia="仿宋_GB2312" w:cs="Times New Roman"/>
          <w:sz w:val="32"/>
          <w:szCs w:val="32"/>
        </w:rPr>
        <w:t>凭证，核查其账务处理是否符合规范、项目质量是否可控、监管是否有效、</w:t>
      </w:r>
      <w:r>
        <w:rPr>
          <w:rFonts w:hint="eastAsia" w:ascii="Times New Roman" w:hAnsi="Times New Roman" w:eastAsia="仿宋_GB2312" w:cs="Times New Roman"/>
          <w:sz w:val="32"/>
          <w:szCs w:val="32"/>
        </w:rPr>
        <w:t>重大项目开支是否严格按照规定履行手续等情况，对项目过程涉及的指标进行打分。</w:t>
      </w:r>
    </w:p>
    <w:p w14:paraId="51A0CA13">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1、资金到位率</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2</w:t>
      </w:r>
      <w:r>
        <w:rPr>
          <w:rFonts w:ascii="仿宋_GB2312" w:hAnsi="Times New Roman" w:eastAsia="仿宋_GB2312" w:cs="Times New Roman"/>
          <w:bCs w:val="0"/>
          <w:kern w:val="2"/>
          <w:sz w:val="32"/>
          <w:szCs w:val="32"/>
        </w:rPr>
        <w:t>分）</w:t>
      </w:r>
    </w:p>
    <w:p w14:paraId="02E8AC6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资金到位率是指实际到位资金与预算资金的比率，用以反映和考核资金落实情况对项目实施的总体保障程度。</w:t>
      </w:r>
    </w:p>
    <w:p w14:paraId="6FDBF675">
      <w:pPr>
        <w:spacing w:line="600" w:lineRule="exact"/>
        <w:ind w:firstLine="640" w:firstLineChars="200"/>
        <w:rPr>
          <w:rFonts w:ascii="Times New Roman" w:hAnsi="Times New Roman" w:eastAsia="仿宋_GB2312" w:cs="Times New Roman"/>
          <w:sz w:val="32"/>
          <w:szCs w:val="32"/>
        </w:rPr>
      </w:pPr>
      <w:r>
        <w:rPr>
          <w:rFonts w:hint="eastAsia" w:ascii="仿宋_GB2312" w:hAnsi="仿宋" w:eastAsia="仿宋_GB2312" w:cs="Times New Roman"/>
          <w:sz w:val="32"/>
          <w:szCs w:val="32"/>
        </w:rPr>
        <w:t>根据《武昌区财政局关于武昌区文体旅游发展委员会2019年部门预算的批复》（武昌财预[2019]46号），全域旅游三年行动计划项目经费预算</w:t>
      </w:r>
      <w:r>
        <w:rPr>
          <w:rFonts w:ascii="仿宋_GB2312" w:hAnsi="仿宋" w:eastAsia="仿宋_GB2312" w:cs="Times New Roman"/>
          <w:sz w:val="32"/>
          <w:szCs w:val="32"/>
        </w:rPr>
        <w:t>3,000,000.00</w:t>
      </w:r>
      <w:r>
        <w:rPr>
          <w:rFonts w:hint="eastAsia" w:ascii="仿宋_GB2312" w:hAnsi="仿宋" w:eastAsia="仿宋_GB2312" w:cs="Times New Roman"/>
          <w:sz w:val="32"/>
          <w:szCs w:val="32"/>
        </w:rPr>
        <w:t>元，年中依据《武昌区财政局关于贯彻落实过“紧日子”要求进一步压减一般性支出的通知》调整减少项目经费</w:t>
      </w:r>
      <w:r>
        <w:rPr>
          <w:rFonts w:ascii="仿宋_GB2312" w:hAnsi="仿宋" w:eastAsia="仿宋_GB2312" w:cs="Times New Roman"/>
          <w:sz w:val="32"/>
          <w:szCs w:val="32"/>
        </w:rPr>
        <w:t>50,000.00</w:t>
      </w:r>
      <w:r>
        <w:rPr>
          <w:rFonts w:hint="eastAsia" w:ascii="仿宋_GB2312" w:hAnsi="仿宋" w:eastAsia="仿宋_GB2312" w:cs="Times New Roman"/>
          <w:sz w:val="32"/>
          <w:szCs w:val="32"/>
        </w:rPr>
        <w:t>元，全年全域旅游三年行动计划项目经费预算</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元，实际到位</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元，资金到位率100%。</w:t>
      </w:r>
      <w:r>
        <w:rPr>
          <w:rFonts w:hint="eastAsia" w:ascii="Times New Roman" w:hAnsi="Times New Roman" w:eastAsia="仿宋_GB2312" w:cs="Times New Roman"/>
          <w:sz w:val="32"/>
          <w:szCs w:val="32"/>
        </w:rPr>
        <w:t>根据评分细则，得2分。</w:t>
      </w:r>
    </w:p>
    <w:p w14:paraId="2320384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2、预算执行率</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3</w:t>
      </w:r>
      <w:r>
        <w:rPr>
          <w:rFonts w:ascii="仿宋_GB2312" w:hAnsi="Times New Roman" w:eastAsia="仿宋_GB2312" w:cs="Times New Roman"/>
          <w:bCs w:val="0"/>
          <w:kern w:val="2"/>
          <w:sz w:val="32"/>
          <w:szCs w:val="32"/>
        </w:rPr>
        <w:t>分）</w:t>
      </w:r>
    </w:p>
    <w:p w14:paraId="1D8FDC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预算执行率是指项目预算资金是否按照计划执行，用以反映或考核项目预算执行情况。</w:t>
      </w:r>
    </w:p>
    <w:p w14:paraId="524DB7C8">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全域旅游三年行动计划项目经费预算</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元，实际使用</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元，其中：文化产业发展</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十四五</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规划支出180,000.00元，全域旅游标识标牌建设支出40,932.00元，武昌旅游综合信息服务平台（一期）建设支出112,368.00元，各类形象宣传支出612,800.00元，开展中国（武昌）辛亥首义文化节支出970,000.00元，游客咨询服务中心建设支出450,000.00元，开展各类节庆活动支出409,736.00元，惠民演出支出174,164.00元。预算执行率100%，根据评分细则，得3分。</w:t>
      </w:r>
    </w:p>
    <w:p w14:paraId="14D3548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3、资金使用合规性（4</w:t>
      </w:r>
      <w:r>
        <w:rPr>
          <w:rFonts w:ascii="仿宋_GB2312" w:hAnsi="Times New Roman" w:eastAsia="仿宋_GB2312" w:cs="Times New Roman"/>
          <w:bCs w:val="0"/>
          <w:kern w:val="2"/>
          <w:sz w:val="32"/>
          <w:szCs w:val="32"/>
        </w:rPr>
        <w:t>分）</w:t>
      </w:r>
    </w:p>
    <w:p w14:paraId="62F244F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资金使用合规性是指项目资金使用是否符合相关的财务管理制度规定，用以反映和考核项目资金的规范运行情况。</w:t>
      </w:r>
    </w:p>
    <w:p w14:paraId="21C835F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过查阅项目资金支出相关材料，暂未发现明显异常，项目资金的使用符合国家财经法规和财务管理制度规定以及有关专项资金管理办法的规定；资金的拨付有完整的审批程序和手续；符合部门预算批复的用途；不存在截留、挤占、挪用、虚列支出等情况。根据评分细则，得4分。</w:t>
      </w:r>
    </w:p>
    <w:p w14:paraId="32B729F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4、管理制度健全性（2</w:t>
      </w:r>
      <w:r>
        <w:rPr>
          <w:rFonts w:ascii="仿宋_GB2312" w:hAnsi="Times New Roman" w:eastAsia="仿宋_GB2312" w:cs="Times New Roman"/>
          <w:bCs w:val="0"/>
          <w:kern w:val="2"/>
          <w:sz w:val="32"/>
          <w:szCs w:val="32"/>
        </w:rPr>
        <w:t>分）</w:t>
      </w:r>
    </w:p>
    <w:p w14:paraId="737086A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管理制度健全性是指项目管理制度是否健全，用以反映和考核项目管理制度对项目顺利实施的保障情况。</w:t>
      </w:r>
    </w:p>
    <w:p w14:paraId="07B7313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已提供预算管理、收支管理、政府采购、资产管理、基本建设项目投资管理、合同管理等内控制度，相关制度合法、合规、但未制定相关的专项资金管理及质量控制要求或标准。根据评分细则，扣0.5分，1.5分。</w:t>
      </w:r>
    </w:p>
    <w:p w14:paraId="1CC8F00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5、制度执行有效性（3</w:t>
      </w:r>
      <w:r>
        <w:rPr>
          <w:rFonts w:ascii="仿宋_GB2312" w:hAnsi="Times New Roman" w:eastAsia="仿宋_GB2312" w:cs="Times New Roman"/>
          <w:bCs w:val="0"/>
          <w:kern w:val="2"/>
          <w:sz w:val="32"/>
          <w:szCs w:val="32"/>
        </w:rPr>
        <w:t>分）</w:t>
      </w:r>
    </w:p>
    <w:p w14:paraId="075B8DB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制度执行有效性是项目实施是否符合相关项目管理规定，用以反映和考核项目管理制度的有效执行情况。</w:t>
      </w:r>
    </w:p>
    <w:p w14:paraId="6BCF42C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经抽查，单位项目预算、经费收支均按照规定的流程在申报和使用。项目支出调整减少5万元手续完备。部分项目相关资料未及时归档。根据评分细则，扣0.5分，2.5分。</w:t>
      </w:r>
    </w:p>
    <w:p w14:paraId="4F0DEFA3">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6、项目质量可控性（4分）</w:t>
      </w:r>
    </w:p>
    <w:p w14:paraId="5759355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项目质量可控性是指项目实施单位是否为达到项目质量要求而采取了必需的措施,用以反映和考核项目实施单位对项目质量的控制情况。</w:t>
      </w:r>
    </w:p>
    <w:p w14:paraId="052E3239">
      <w:pPr>
        <w:spacing w:line="600" w:lineRule="exact"/>
        <w:ind w:firstLine="640" w:firstLineChars="200"/>
        <w:rPr>
          <w:rStyle w:val="19"/>
          <w:rFonts w:ascii="仿宋_GB2312" w:hAnsi="仿宋" w:eastAsia="仿宋_GB2312"/>
          <w:sz w:val="32"/>
          <w:szCs w:val="32"/>
        </w:rPr>
      </w:pPr>
      <w:r>
        <w:rPr>
          <w:rFonts w:hint="eastAsia" w:ascii="仿宋_GB2312" w:hAnsi="Times New Roman" w:eastAsia="仿宋_GB2312" w:cs="Times New Roman"/>
          <w:sz w:val="32"/>
          <w:szCs w:val="32"/>
        </w:rPr>
        <w:t>经了解，项目实施单位未制定项目相关质量要求或标准；但在实际执行过程中，采取了相关的质量检查、验收等控制措施：成立武昌区文化旅游发展工作领导小组，对于全域旅游大发展项目，年初召开项目调度会，征求各责任单位意见，确定年度工作清单；项目清单确定后，下发各责任单位，后期进行跟踪调度，按月（季度）形成工作进度、半年度总结、年度总结等；</w:t>
      </w:r>
      <w:r>
        <w:rPr>
          <w:rFonts w:hint="eastAsia" w:ascii="仿宋_GB2312" w:hAnsi="仿宋" w:eastAsia="仿宋_GB2312" w:cs="仿宋_GB2312"/>
          <w:sz w:val="32"/>
          <w:szCs w:val="32"/>
        </w:rPr>
        <w:t>区委、区政府、区人大、区政协高度重视全域旅游工作开展情况，多次听取全域旅游发展情况汇报，并组织</w:t>
      </w:r>
      <w:r>
        <w:rPr>
          <w:rStyle w:val="19"/>
          <w:rFonts w:hint="eastAsia" w:ascii="仿宋_GB2312" w:hAnsi="仿宋" w:eastAsia="仿宋_GB2312"/>
          <w:sz w:val="32"/>
          <w:szCs w:val="32"/>
        </w:rPr>
        <w:t>区各民主党派、工商联、无党派、新阶层代表人士实地考察黄鹤楼5A级景区，提出了很好的意见和建议，对下一步推动武昌全域旅游发展有非常好的指导和借鉴意义。</w:t>
      </w:r>
    </w:p>
    <w:p w14:paraId="7428C4D1">
      <w:pPr>
        <w:spacing w:line="600" w:lineRule="exact"/>
        <w:ind w:firstLine="640" w:firstLineChars="200"/>
        <w:rPr>
          <w:rFonts w:ascii="仿宋_GB2312" w:hAnsi="Times New Roman" w:eastAsia="仿宋_GB2312" w:cs="Times New Roman"/>
          <w:sz w:val="32"/>
          <w:szCs w:val="32"/>
        </w:rPr>
      </w:pPr>
      <w:r>
        <w:rPr>
          <w:rStyle w:val="19"/>
          <w:rFonts w:hint="eastAsia" w:ascii="仿宋_GB2312" w:hAnsi="仿宋" w:eastAsia="仿宋_GB2312"/>
          <w:sz w:val="32"/>
          <w:szCs w:val="32"/>
        </w:rPr>
        <w:t>年度内上线的旅游综合信息服务平台委托第三方进行检测，对平台功能完备性和性能效率进行测试，同时召开专家验收会，对项目进行验收。</w:t>
      </w:r>
    </w:p>
    <w:p w14:paraId="32CC7A8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强化旅游监管，专人负责相关的投诉事项的处理，并对辖区星级景区、星级酒店以及旅行社服务网点开展各项合法合规检查。</w:t>
      </w:r>
    </w:p>
    <w:p w14:paraId="1220E37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根据评分细则，扣0.5分，得3.5分。</w:t>
      </w:r>
    </w:p>
    <w:p w14:paraId="7E95E11A">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（三）项目产出情况。</w:t>
      </w:r>
    </w:p>
    <w:p w14:paraId="6EF7FEA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产出指标满分为26分，根据评分细则，产出评价得分为23分，评价结果为良。</w:t>
      </w:r>
    </w:p>
    <w:tbl>
      <w:tblPr>
        <w:tblStyle w:val="9"/>
        <w:tblW w:w="5000" w:type="pct"/>
        <w:tblInd w:w="0" w:type="dxa"/>
        <w:tblLayout w:type="autofit"/>
        <w:tblCellMar>
          <w:top w:w="0" w:type="dxa"/>
          <w:left w:w="108" w:type="dxa"/>
          <w:bottom w:w="0" w:type="dxa"/>
          <w:right w:w="108" w:type="dxa"/>
        </w:tblCellMar>
      </w:tblPr>
      <w:tblGrid>
        <w:gridCol w:w="1244"/>
        <w:gridCol w:w="706"/>
        <w:gridCol w:w="1133"/>
        <w:gridCol w:w="994"/>
        <w:gridCol w:w="707"/>
        <w:gridCol w:w="1282"/>
        <w:gridCol w:w="850"/>
        <w:gridCol w:w="852"/>
        <w:gridCol w:w="754"/>
      </w:tblGrid>
      <w:tr w14:paraId="1B1AD57E">
        <w:tblPrEx>
          <w:tblCellMar>
            <w:top w:w="0" w:type="dxa"/>
            <w:left w:w="108" w:type="dxa"/>
            <w:bottom w:w="0" w:type="dxa"/>
            <w:right w:w="108" w:type="dxa"/>
          </w:tblCellMar>
        </w:tblPrEx>
        <w:trPr>
          <w:trHeight w:val="285" w:hRule="atLeast"/>
        </w:trPr>
        <w:tc>
          <w:tcPr>
            <w:tcW w:w="730" w:type="pct"/>
            <w:vMerge w:val="restart"/>
            <w:tcBorders>
              <w:top w:val="single" w:color="auto" w:sz="12" w:space="0"/>
              <w:left w:val="single" w:color="auto" w:sz="12" w:space="0"/>
              <w:bottom w:val="single" w:color="auto" w:sz="6" w:space="0"/>
              <w:right w:val="single" w:color="auto" w:sz="6" w:space="0"/>
            </w:tcBorders>
            <w:shd w:val="clear" w:color="000000" w:fill="D9D9D9"/>
            <w:noWrap/>
            <w:vAlign w:val="center"/>
          </w:tcPr>
          <w:p w14:paraId="45BD564C">
            <w:pPr>
              <w:jc w:val="center"/>
              <w:rPr>
                <w:rFonts w:ascii="仿宋" w:hAnsi="仿宋" w:eastAsia="仿宋" w:cs="Arial"/>
                <w:b/>
                <w:bCs/>
                <w:color w:val="000000"/>
                <w:sz w:val="22"/>
              </w:rPr>
            </w:pPr>
            <w:r>
              <w:rPr>
                <w:rFonts w:hint="eastAsia" w:ascii="仿宋" w:hAnsi="仿宋" w:eastAsia="仿宋" w:cs="Arial"/>
                <w:b/>
                <w:bCs/>
                <w:color w:val="000000"/>
                <w:sz w:val="22"/>
              </w:rPr>
              <w:t>项目</w:t>
            </w:r>
          </w:p>
        </w:tc>
        <w:tc>
          <w:tcPr>
            <w:tcW w:w="3328" w:type="pct"/>
            <w:gridSpan w:val="6"/>
            <w:tcBorders>
              <w:top w:val="single" w:color="auto" w:sz="12" w:space="0"/>
              <w:left w:val="single" w:color="auto" w:sz="6" w:space="0"/>
              <w:bottom w:val="single" w:color="auto" w:sz="6" w:space="0"/>
              <w:right w:val="single" w:color="auto" w:sz="6" w:space="0"/>
            </w:tcBorders>
            <w:shd w:val="clear" w:color="000000" w:fill="D9D9D9"/>
            <w:vAlign w:val="center"/>
          </w:tcPr>
          <w:p w14:paraId="171CD042">
            <w:pPr>
              <w:jc w:val="center"/>
              <w:rPr>
                <w:rFonts w:ascii="仿宋" w:hAnsi="仿宋" w:eastAsia="仿宋" w:cs="Arial"/>
                <w:b/>
                <w:bCs/>
                <w:color w:val="000000"/>
                <w:sz w:val="22"/>
              </w:rPr>
            </w:pPr>
            <w:r>
              <w:rPr>
                <w:rFonts w:hint="eastAsia" w:ascii="仿宋" w:hAnsi="仿宋" w:eastAsia="仿宋" w:cs="Arial"/>
                <w:b/>
                <w:bCs/>
                <w:color w:val="000000"/>
                <w:sz w:val="22"/>
              </w:rPr>
              <w:t>产出数量</w:t>
            </w:r>
          </w:p>
        </w:tc>
        <w:tc>
          <w:tcPr>
            <w:tcW w:w="500" w:type="pct"/>
            <w:tcBorders>
              <w:top w:val="single" w:color="auto" w:sz="12" w:space="0"/>
              <w:left w:val="single" w:color="auto" w:sz="6" w:space="0"/>
              <w:bottom w:val="single" w:color="auto" w:sz="6" w:space="0"/>
              <w:right w:val="single" w:color="auto" w:sz="6" w:space="0"/>
            </w:tcBorders>
            <w:shd w:val="clear" w:color="000000" w:fill="D9D9D9"/>
            <w:vAlign w:val="center"/>
          </w:tcPr>
          <w:p w14:paraId="27BE22A4">
            <w:pPr>
              <w:jc w:val="center"/>
              <w:rPr>
                <w:rFonts w:ascii="仿宋" w:hAnsi="仿宋" w:eastAsia="仿宋" w:cs="Arial"/>
                <w:b/>
                <w:bCs/>
                <w:color w:val="000000"/>
                <w:sz w:val="22"/>
              </w:rPr>
            </w:pPr>
            <w:r>
              <w:rPr>
                <w:rFonts w:hint="eastAsia" w:ascii="仿宋" w:hAnsi="仿宋" w:eastAsia="仿宋" w:cs="Arial"/>
                <w:b/>
                <w:bCs/>
                <w:color w:val="000000"/>
                <w:sz w:val="22"/>
              </w:rPr>
              <w:t>产出质量</w:t>
            </w:r>
          </w:p>
        </w:tc>
        <w:tc>
          <w:tcPr>
            <w:tcW w:w="442" w:type="pct"/>
            <w:tcBorders>
              <w:top w:val="single" w:color="auto" w:sz="12" w:space="0"/>
              <w:left w:val="single" w:color="auto" w:sz="6" w:space="0"/>
              <w:bottom w:val="single" w:color="auto" w:sz="6" w:space="0"/>
              <w:right w:val="single" w:color="auto" w:sz="12" w:space="0"/>
            </w:tcBorders>
            <w:shd w:val="clear" w:color="000000" w:fill="D9D9D9"/>
            <w:vAlign w:val="center"/>
          </w:tcPr>
          <w:p w14:paraId="4ED3A031">
            <w:pPr>
              <w:jc w:val="center"/>
              <w:rPr>
                <w:rFonts w:ascii="仿宋" w:hAnsi="仿宋" w:eastAsia="仿宋" w:cs="Arial"/>
                <w:b/>
                <w:bCs/>
                <w:color w:val="000000"/>
                <w:sz w:val="22"/>
              </w:rPr>
            </w:pPr>
            <w:r>
              <w:rPr>
                <w:rFonts w:hint="eastAsia" w:ascii="仿宋" w:hAnsi="仿宋" w:eastAsia="仿宋" w:cs="Arial"/>
                <w:b/>
                <w:bCs/>
                <w:color w:val="000000"/>
                <w:sz w:val="22"/>
              </w:rPr>
              <w:t>产出时效</w:t>
            </w:r>
          </w:p>
        </w:tc>
      </w:tr>
      <w:tr w14:paraId="44A53083">
        <w:tblPrEx>
          <w:tblCellMar>
            <w:top w:w="0" w:type="dxa"/>
            <w:left w:w="108" w:type="dxa"/>
            <w:bottom w:w="0" w:type="dxa"/>
            <w:right w:w="108" w:type="dxa"/>
          </w:tblCellMar>
        </w:tblPrEx>
        <w:trPr>
          <w:trHeight w:val="721" w:hRule="atLeast"/>
        </w:trPr>
        <w:tc>
          <w:tcPr>
            <w:tcW w:w="730" w:type="pct"/>
            <w:vMerge w:val="continue"/>
            <w:tcBorders>
              <w:top w:val="single" w:color="auto" w:sz="6" w:space="0"/>
              <w:left w:val="single" w:color="auto" w:sz="12" w:space="0"/>
              <w:bottom w:val="single" w:color="auto" w:sz="6" w:space="0"/>
              <w:right w:val="single" w:color="auto" w:sz="6" w:space="0"/>
            </w:tcBorders>
            <w:vAlign w:val="center"/>
          </w:tcPr>
          <w:p w14:paraId="6BBF121B">
            <w:pPr>
              <w:rPr>
                <w:rFonts w:ascii="仿宋" w:hAnsi="仿宋" w:eastAsia="仿宋" w:cs="Arial"/>
                <w:b/>
                <w:bCs/>
                <w:color w:val="000000"/>
                <w:sz w:val="22"/>
              </w:rPr>
            </w:pPr>
          </w:p>
        </w:tc>
        <w:tc>
          <w:tcPr>
            <w:tcW w:w="414" w:type="pct"/>
            <w:tcBorders>
              <w:top w:val="single" w:color="auto" w:sz="6" w:space="0"/>
              <w:left w:val="single" w:color="auto" w:sz="6" w:space="0"/>
              <w:bottom w:val="single" w:color="auto" w:sz="6" w:space="0"/>
              <w:right w:val="single" w:color="auto" w:sz="6" w:space="0"/>
            </w:tcBorders>
            <w:shd w:val="clear" w:color="000000" w:fill="D9D9D9"/>
          </w:tcPr>
          <w:p w14:paraId="68D198B8">
            <w:pPr>
              <w:jc w:val="center"/>
              <w:rPr>
                <w:rFonts w:ascii="仿宋" w:hAnsi="仿宋" w:eastAsia="仿宋" w:cs="Arial"/>
                <w:b/>
                <w:color w:val="000000"/>
                <w:sz w:val="22"/>
                <w:szCs w:val="22"/>
              </w:rPr>
            </w:pPr>
            <w:r>
              <w:rPr>
                <w:rFonts w:hint="eastAsia" w:ascii="仿宋" w:hAnsi="仿宋" w:eastAsia="仿宋" w:cs="Arial"/>
                <w:b/>
                <w:color w:val="000000"/>
                <w:sz w:val="22"/>
                <w:szCs w:val="22"/>
              </w:rPr>
              <w:t>提升游客咨询服务中心数量</w:t>
            </w:r>
          </w:p>
        </w:tc>
        <w:tc>
          <w:tcPr>
            <w:tcW w:w="665" w:type="pct"/>
            <w:tcBorders>
              <w:top w:val="single" w:color="auto" w:sz="6" w:space="0"/>
              <w:left w:val="single" w:color="auto" w:sz="6" w:space="0"/>
              <w:bottom w:val="single" w:color="auto" w:sz="6" w:space="0"/>
              <w:right w:val="single" w:color="auto" w:sz="6" w:space="0"/>
            </w:tcBorders>
            <w:shd w:val="clear" w:color="000000" w:fill="D9D9D9"/>
          </w:tcPr>
          <w:p w14:paraId="2977CB66">
            <w:pPr>
              <w:jc w:val="center"/>
              <w:rPr>
                <w:rFonts w:ascii="仿宋" w:hAnsi="仿宋" w:eastAsia="仿宋" w:cs="Arial"/>
                <w:b/>
                <w:color w:val="000000"/>
                <w:sz w:val="22"/>
                <w:szCs w:val="22"/>
              </w:rPr>
            </w:pPr>
            <w:r>
              <w:rPr>
                <w:rFonts w:hint="eastAsia" w:ascii="仿宋" w:hAnsi="仿宋" w:eastAsia="仿宋" w:cs="Arial"/>
                <w:b/>
                <w:color w:val="000000"/>
                <w:sz w:val="22"/>
                <w:szCs w:val="22"/>
              </w:rPr>
              <w:t>武昌旅游综合信息服务平台(一期)建设完成率</w:t>
            </w:r>
          </w:p>
        </w:tc>
        <w:tc>
          <w:tcPr>
            <w:tcW w:w="583" w:type="pct"/>
            <w:tcBorders>
              <w:top w:val="single" w:color="auto" w:sz="6" w:space="0"/>
              <w:left w:val="single" w:color="auto" w:sz="6" w:space="0"/>
              <w:bottom w:val="single" w:color="auto" w:sz="6" w:space="0"/>
              <w:right w:val="single" w:color="auto" w:sz="6" w:space="0"/>
            </w:tcBorders>
            <w:shd w:val="clear" w:color="000000" w:fill="D9D9D9"/>
          </w:tcPr>
          <w:p w14:paraId="59F86B24">
            <w:pPr>
              <w:jc w:val="center"/>
              <w:rPr>
                <w:rFonts w:ascii="仿宋" w:hAnsi="仿宋" w:eastAsia="仿宋" w:cs="Arial"/>
                <w:b/>
                <w:color w:val="000000"/>
                <w:sz w:val="22"/>
                <w:szCs w:val="22"/>
              </w:rPr>
            </w:pPr>
            <w:r>
              <w:rPr>
                <w:rFonts w:hint="eastAsia" w:ascii="仿宋" w:hAnsi="仿宋" w:eastAsia="仿宋" w:cs="Arial"/>
                <w:b/>
                <w:color w:val="000000"/>
                <w:sz w:val="22"/>
                <w:szCs w:val="22"/>
              </w:rPr>
              <w:t>武昌全域旅游标识标牌建设个数</w:t>
            </w:r>
          </w:p>
        </w:tc>
        <w:tc>
          <w:tcPr>
            <w:tcW w:w="415" w:type="pct"/>
            <w:tcBorders>
              <w:top w:val="single" w:color="auto" w:sz="6" w:space="0"/>
              <w:left w:val="single" w:color="auto" w:sz="6" w:space="0"/>
              <w:bottom w:val="single" w:color="auto" w:sz="6" w:space="0"/>
              <w:right w:val="single" w:color="auto" w:sz="6" w:space="0"/>
            </w:tcBorders>
            <w:shd w:val="clear" w:color="000000" w:fill="D9D9D9"/>
          </w:tcPr>
          <w:p w14:paraId="0B53C701">
            <w:pPr>
              <w:jc w:val="center"/>
              <w:rPr>
                <w:rFonts w:ascii="仿宋" w:hAnsi="仿宋" w:eastAsia="仿宋" w:cs="Arial"/>
                <w:b/>
                <w:color w:val="000000"/>
                <w:sz w:val="22"/>
                <w:szCs w:val="22"/>
              </w:rPr>
            </w:pPr>
            <w:r>
              <w:rPr>
                <w:rFonts w:hint="eastAsia" w:ascii="仿宋" w:hAnsi="仿宋" w:eastAsia="仿宋" w:cs="Arial"/>
                <w:b/>
                <w:color w:val="000000"/>
                <w:sz w:val="22"/>
                <w:szCs w:val="22"/>
              </w:rPr>
              <w:t>制作并推广武昌旅游形象宣传片</w:t>
            </w:r>
          </w:p>
        </w:tc>
        <w:tc>
          <w:tcPr>
            <w:tcW w:w="752" w:type="pct"/>
            <w:tcBorders>
              <w:top w:val="single" w:color="auto" w:sz="6" w:space="0"/>
              <w:left w:val="single" w:color="auto" w:sz="6" w:space="0"/>
              <w:bottom w:val="single" w:color="auto" w:sz="6" w:space="0"/>
              <w:right w:val="single" w:color="auto" w:sz="6" w:space="0"/>
            </w:tcBorders>
            <w:shd w:val="clear" w:color="000000" w:fill="D9D9D9"/>
          </w:tcPr>
          <w:p w14:paraId="650E4323">
            <w:pPr>
              <w:jc w:val="center"/>
              <w:rPr>
                <w:rFonts w:ascii="仿宋" w:hAnsi="仿宋" w:eastAsia="仿宋" w:cs="Arial"/>
                <w:b/>
                <w:color w:val="000000"/>
                <w:sz w:val="22"/>
                <w:szCs w:val="22"/>
              </w:rPr>
            </w:pPr>
            <w:r>
              <w:rPr>
                <w:rFonts w:hint="eastAsia" w:ascii="仿宋" w:hAnsi="仿宋" w:eastAsia="仿宋" w:cs="Arial"/>
                <w:b/>
                <w:color w:val="000000"/>
                <w:sz w:val="22"/>
                <w:szCs w:val="22"/>
              </w:rPr>
              <w:t>组织开展武昌美食节、艺术节、旅游节等节庆活动场次</w:t>
            </w:r>
          </w:p>
        </w:tc>
        <w:tc>
          <w:tcPr>
            <w:tcW w:w="499" w:type="pct"/>
            <w:tcBorders>
              <w:top w:val="single" w:color="auto" w:sz="6" w:space="0"/>
              <w:left w:val="single" w:color="auto" w:sz="6" w:space="0"/>
              <w:bottom w:val="single" w:color="auto" w:sz="6" w:space="0"/>
              <w:right w:val="single" w:color="auto" w:sz="6" w:space="0"/>
            </w:tcBorders>
            <w:shd w:val="clear" w:color="000000" w:fill="D9D9D9"/>
          </w:tcPr>
          <w:p w14:paraId="369EEA0B">
            <w:pPr>
              <w:jc w:val="center"/>
              <w:rPr>
                <w:rFonts w:ascii="仿宋" w:hAnsi="仿宋" w:eastAsia="仿宋" w:cs="Arial"/>
                <w:b/>
                <w:color w:val="000000"/>
                <w:sz w:val="22"/>
                <w:szCs w:val="22"/>
              </w:rPr>
            </w:pPr>
            <w:r>
              <w:rPr>
                <w:rFonts w:hint="eastAsia" w:ascii="仿宋" w:hAnsi="仿宋" w:eastAsia="仿宋" w:cs="Arial"/>
                <w:b/>
                <w:color w:val="000000"/>
                <w:sz w:val="22"/>
                <w:szCs w:val="22"/>
              </w:rPr>
              <w:t>开展中国（武昌）辛亥首义文化节</w:t>
            </w:r>
          </w:p>
        </w:tc>
        <w:tc>
          <w:tcPr>
            <w:tcW w:w="500" w:type="pct"/>
            <w:tcBorders>
              <w:top w:val="single" w:color="auto" w:sz="6" w:space="0"/>
              <w:left w:val="single" w:color="auto" w:sz="6" w:space="0"/>
              <w:bottom w:val="single" w:color="auto" w:sz="6" w:space="0"/>
              <w:right w:val="single" w:color="auto" w:sz="6" w:space="0"/>
            </w:tcBorders>
            <w:shd w:val="clear" w:color="000000" w:fill="D9D9D9"/>
          </w:tcPr>
          <w:p w14:paraId="294DF3D0">
            <w:pPr>
              <w:jc w:val="center"/>
              <w:rPr>
                <w:rFonts w:ascii="仿宋" w:hAnsi="仿宋" w:eastAsia="仿宋" w:cs="Arial"/>
                <w:b/>
                <w:color w:val="000000"/>
                <w:sz w:val="22"/>
                <w:szCs w:val="22"/>
              </w:rPr>
            </w:pPr>
            <w:r>
              <w:rPr>
                <w:rFonts w:hint="eastAsia" w:ascii="仿宋" w:hAnsi="仿宋" w:eastAsia="仿宋" w:cs="Arial"/>
                <w:b/>
                <w:color w:val="000000"/>
                <w:sz w:val="22"/>
                <w:szCs w:val="22"/>
              </w:rPr>
              <w:t>文化旅游工作全市中心城区排名</w:t>
            </w:r>
          </w:p>
        </w:tc>
        <w:tc>
          <w:tcPr>
            <w:tcW w:w="442" w:type="pct"/>
            <w:tcBorders>
              <w:top w:val="single" w:color="auto" w:sz="6" w:space="0"/>
              <w:left w:val="single" w:color="auto" w:sz="6" w:space="0"/>
              <w:bottom w:val="single" w:color="auto" w:sz="6" w:space="0"/>
              <w:right w:val="single" w:color="auto" w:sz="8" w:space="0"/>
            </w:tcBorders>
            <w:shd w:val="clear" w:color="000000" w:fill="D9D9D9"/>
          </w:tcPr>
          <w:p w14:paraId="10FDEAB7">
            <w:pPr>
              <w:jc w:val="center"/>
              <w:rPr>
                <w:rFonts w:ascii="仿宋" w:hAnsi="仿宋" w:eastAsia="仿宋" w:cs="Arial"/>
                <w:b/>
                <w:color w:val="000000"/>
                <w:sz w:val="22"/>
                <w:szCs w:val="22"/>
              </w:rPr>
            </w:pPr>
            <w:r>
              <w:rPr>
                <w:rFonts w:hint="eastAsia" w:ascii="仿宋" w:hAnsi="仿宋" w:eastAsia="仿宋" w:cs="Arial"/>
                <w:b/>
                <w:color w:val="000000"/>
                <w:sz w:val="22"/>
                <w:szCs w:val="22"/>
              </w:rPr>
              <w:t>工作清单任务完成及时率</w:t>
            </w:r>
          </w:p>
        </w:tc>
      </w:tr>
      <w:tr w14:paraId="2FF7E53E">
        <w:tblPrEx>
          <w:tblCellMar>
            <w:top w:w="0" w:type="dxa"/>
            <w:left w:w="108" w:type="dxa"/>
            <w:bottom w:w="0" w:type="dxa"/>
            <w:right w:w="108" w:type="dxa"/>
          </w:tblCellMar>
        </w:tblPrEx>
        <w:trPr>
          <w:trHeight w:val="270" w:hRule="atLeast"/>
        </w:trPr>
        <w:tc>
          <w:tcPr>
            <w:tcW w:w="730" w:type="pct"/>
            <w:tcBorders>
              <w:top w:val="single" w:color="auto" w:sz="6" w:space="0"/>
              <w:left w:val="single" w:color="auto" w:sz="12" w:space="0"/>
              <w:bottom w:val="single" w:color="auto" w:sz="6" w:space="0"/>
              <w:right w:val="single" w:color="auto" w:sz="6" w:space="0"/>
            </w:tcBorders>
            <w:shd w:val="clear" w:color="auto" w:fill="auto"/>
            <w:noWrap/>
            <w:vAlign w:val="center"/>
          </w:tcPr>
          <w:p w14:paraId="56F550F9">
            <w:pPr>
              <w:jc w:val="center"/>
              <w:rPr>
                <w:rFonts w:ascii="仿宋" w:hAnsi="仿宋" w:eastAsia="仿宋" w:cs="Arial"/>
                <w:color w:val="000000"/>
                <w:sz w:val="24"/>
              </w:rPr>
            </w:pPr>
            <w:r>
              <w:rPr>
                <w:rFonts w:hint="eastAsia" w:ascii="仿宋" w:hAnsi="仿宋" w:eastAsia="仿宋" w:cs="Arial"/>
                <w:color w:val="000000"/>
                <w:sz w:val="24"/>
              </w:rPr>
              <w:t>标准分值</w:t>
            </w:r>
          </w:p>
        </w:tc>
        <w:tc>
          <w:tcPr>
            <w:tcW w:w="41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D87085D">
            <w:pPr>
              <w:jc w:val="center"/>
              <w:rPr>
                <w:rFonts w:ascii="仿宋" w:hAnsi="仿宋" w:eastAsia="仿宋"/>
                <w:color w:val="000000"/>
                <w:sz w:val="22"/>
              </w:rPr>
            </w:pPr>
            <w:r>
              <w:rPr>
                <w:rFonts w:hint="eastAsia" w:ascii="仿宋" w:hAnsi="仿宋" w:eastAsia="仿宋"/>
                <w:color w:val="000000"/>
                <w:sz w:val="22"/>
              </w:rPr>
              <w:t>2</w:t>
            </w:r>
          </w:p>
        </w:tc>
        <w:tc>
          <w:tcPr>
            <w:tcW w:w="66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2CDA0F0D">
            <w:pPr>
              <w:jc w:val="center"/>
              <w:rPr>
                <w:rFonts w:ascii="仿宋" w:hAnsi="仿宋" w:eastAsia="仿宋"/>
                <w:color w:val="000000"/>
                <w:sz w:val="22"/>
              </w:rPr>
            </w:pPr>
            <w:r>
              <w:rPr>
                <w:rFonts w:hint="eastAsia" w:ascii="仿宋" w:hAnsi="仿宋" w:eastAsia="仿宋"/>
                <w:color w:val="000000"/>
                <w:sz w:val="22"/>
              </w:rPr>
              <w:t>4</w:t>
            </w:r>
          </w:p>
        </w:tc>
        <w:tc>
          <w:tcPr>
            <w:tcW w:w="583" w:type="pct"/>
            <w:tcBorders>
              <w:top w:val="single" w:color="auto" w:sz="6" w:space="0"/>
              <w:left w:val="single" w:color="auto" w:sz="6" w:space="0"/>
              <w:bottom w:val="single" w:color="auto" w:sz="6" w:space="0"/>
              <w:right w:val="single" w:color="auto" w:sz="6" w:space="0"/>
            </w:tcBorders>
            <w:vAlign w:val="center"/>
          </w:tcPr>
          <w:p w14:paraId="214F0A60">
            <w:pPr>
              <w:jc w:val="center"/>
              <w:rPr>
                <w:rFonts w:ascii="仿宋" w:hAnsi="仿宋" w:eastAsia="仿宋"/>
                <w:color w:val="000000"/>
                <w:sz w:val="22"/>
              </w:rPr>
            </w:pPr>
            <w:r>
              <w:rPr>
                <w:rFonts w:hint="eastAsia" w:ascii="仿宋" w:hAnsi="仿宋" w:eastAsia="仿宋"/>
                <w:color w:val="000000"/>
                <w:sz w:val="22"/>
              </w:rPr>
              <w:t>2</w:t>
            </w:r>
          </w:p>
        </w:tc>
        <w:tc>
          <w:tcPr>
            <w:tcW w:w="41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7FD670CB">
            <w:pPr>
              <w:jc w:val="center"/>
              <w:rPr>
                <w:rFonts w:ascii="仿宋" w:hAnsi="仿宋" w:eastAsia="仿宋"/>
                <w:color w:val="000000"/>
                <w:sz w:val="22"/>
              </w:rPr>
            </w:pPr>
            <w:r>
              <w:rPr>
                <w:rFonts w:hint="eastAsia" w:ascii="仿宋" w:hAnsi="仿宋" w:eastAsia="仿宋"/>
                <w:color w:val="000000"/>
                <w:sz w:val="22"/>
              </w:rPr>
              <w:t>4</w:t>
            </w:r>
          </w:p>
        </w:tc>
        <w:tc>
          <w:tcPr>
            <w:tcW w:w="75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6A0A05B">
            <w:pPr>
              <w:jc w:val="center"/>
              <w:rPr>
                <w:rFonts w:ascii="仿宋" w:hAnsi="仿宋" w:eastAsia="仿宋"/>
                <w:color w:val="000000"/>
                <w:sz w:val="22"/>
              </w:rPr>
            </w:pPr>
            <w:r>
              <w:rPr>
                <w:rFonts w:hint="eastAsia" w:ascii="仿宋" w:hAnsi="仿宋" w:eastAsia="仿宋"/>
                <w:color w:val="000000"/>
                <w:sz w:val="22"/>
              </w:rPr>
              <w:t>4</w:t>
            </w:r>
          </w:p>
        </w:tc>
        <w:tc>
          <w:tcPr>
            <w:tcW w:w="499"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D7A6713">
            <w:pPr>
              <w:jc w:val="center"/>
              <w:rPr>
                <w:rFonts w:ascii="仿宋" w:hAnsi="仿宋" w:eastAsia="仿宋"/>
                <w:color w:val="000000"/>
                <w:sz w:val="22"/>
              </w:rPr>
            </w:pPr>
            <w:r>
              <w:rPr>
                <w:rFonts w:hint="eastAsia" w:ascii="仿宋" w:hAnsi="仿宋" w:eastAsia="仿宋"/>
                <w:color w:val="000000"/>
                <w:sz w:val="22"/>
              </w:rPr>
              <w:t>4</w:t>
            </w:r>
          </w:p>
        </w:tc>
        <w:tc>
          <w:tcPr>
            <w:tcW w:w="50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044EC28">
            <w:pPr>
              <w:jc w:val="center"/>
              <w:rPr>
                <w:rFonts w:ascii="仿宋" w:hAnsi="仿宋" w:eastAsia="仿宋"/>
                <w:color w:val="000000"/>
                <w:sz w:val="22"/>
              </w:rPr>
            </w:pPr>
            <w:r>
              <w:rPr>
                <w:rFonts w:hint="eastAsia" w:ascii="仿宋" w:hAnsi="仿宋" w:eastAsia="仿宋"/>
                <w:color w:val="000000"/>
                <w:sz w:val="22"/>
              </w:rPr>
              <w:t>3</w:t>
            </w:r>
          </w:p>
        </w:tc>
        <w:tc>
          <w:tcPr>
            <w:tcW w:w="442" w:type="pct"/>
            <w:tcBorders>
              <w:top w:val="single" w:color="auto" w:sz="6" w:space="0"/>
              <w:left w:val="single" w:color="auto" w:sz="6" w:space="0"/>
              <w:bottom w:val="single" w:color="auto" w:sz="6" w:space="0"/>
              <w:right w:val="single" w:color="auto" w:sz="8" w:space="0"/>
            </w:tcBorders>
            <w:shd w:val="clear" w:color="auto" w:fill="auto"/>
            <w:noWrap/>
            <w:vAlign w:val="center"/>
          </w:tcPr>
          <w:p w14:paraId="6EE4F67F">
            <w:pPr>
              <w:jc w:val="center"/>
              <w:rPr>
                <w:rFonts w:ascii="仿宋" w:hAnsi="仿宋" w:eastAsia="仿宋"/>
                <w:color w:val="000000"/>
                <w:sz w:val="22"/>
              </w:rPr>
            </w:pPr>
            <w:r>
              <w:rPr>
                <w:rFonts w:hint="eastAsia" w:ascii="仿宋" w:hAnsi="仿宋" w:eastAsia="仿宋"/>
                <w:color w:val="000000"/>
                <w:sz w:val="22"/>
              </w:rPr>
              <w:t>3</w:t>
            </w:r>
          </w:p>
        </w:tc>
      </w:tr>
      <w:tr w14:paraId="0BCD7D96">
        <w:tblPrEx>
          <w:tblCellMar>
            <w:top w:w="0" w:type="dxa"/>
            <w:left w:w="108" w:type="dxa"/>
            <w:bottom w:w="0" w:type="dxa"/>
            <w:right w:w="108" w:type="dxa"/>
          </w:tblCellMar>
        </w:tblPrEx>
        <w:trPr>
          <w:trHeight w:val="270" w:hRule="atLeast"/>
        </w:trPr>
        <w:tc>
          <w:tcPr>
            <w:tcW w:w="730" w:type="pct"/>
            <w:tcBorders>
              <w:top w:val="single" w:color="auto" w:sz="6" w:space="0"/>
              <w:left w:val="single" w:color="auto" w:sz="12" w:space="0"/>
              <w:bottom w:val="single" w:color="auto" w:sz="12" w:space="0"/>
              <w:right w:val="single" w:color="auto" w:sz="6" w:space="0"/>
            </w:tcBorders>
            <w:shd w:val="clear" w:color="auto" w:fill="auto"/>
            <w:noWrap/>
            <w:vAlign w:val="center"/>
          </w:tcPr>
          <w:p w14:paraId="1FF491C6">
            <w:pPr>
              <w:jc w:val="center"/>
              <w:rPr>
                <w:rFonts w:ascii="仿宋" w:hAnsi="仿宋" w:eastAsia="仿宋" w:cs="Arial"/>
                <w:color w:val="000000"/>
                <w:sz w:val="24"/>
              </w:rPr>
            </w:pPr>
            <w:r>
              <w:rPr>
                <w:rFonts w:hint="eastAsia" w:ascii="仿宋" w:hAnsi="仿宋" w:eastAsia="仿宋" w:cs="Arial"/>
                <w:color w:val="000000"/>
                <w:sz w:val="24"/>
              </w:rPr>
              <w:t>实际得分</w:t>
            </w:r>
          </w:p>
        </w:tc>
        <w:tc>
          <w:tcPr>
            <w:tcW w:w="414"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64690951">
            <w:pPr>
              <w:jc w:val="center"/>
              <w:rPr>
                <w:rFonts w:ascii="仿宋" w:hAnsi="仿宋" w:eastAsia="仿宋"/>
                <w:color w:val="000000"/>
                <w:sz w:val="22"/>
              </w:rPr>
            </w:pPr>
            <w:r>
              <w:rPr>
                <w:rFonts w:hint="eastAsia" w:ascii="仿宋" w:hAnsi="仿宋" w:eastAsia="仿宋"/>
                <w:color w:val="000000"/>
                <w:sz w:val="22"/>
              </w:rPr>
              <w:t>1</w:t>
            </w:r>
          </w:p>
        </w:tc>
        <w:tc>
          <w:tcPr>
            <w:tcW w:w="665"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022657F6">
            <w:pPr>
              <w:jc w:val="center"/>
              <w:rPr>
                <w:rFonts w:ascii="仿宋" w:hAnsi="仿宋" w:eastAsia="仿宋"/>
                <w:color w:val="000000"/>
                <w:sz w:val="22"/>
              </w:rPr>
            </w:pPr>
            <w:r>
              <w:rPr>
                <w:rFonts w:hint="eastAsia" w:ascii="仿宋" w:hAnsi="仿宋" w:eastAsia="仿宋"/>
                <w:color w:val="000000"/>
                <w:sz w:val="22"/>
              </w:rPr>
              <w:t>4</w:t>
            </w:r>
          </w:p>
        </w:tc>
        <w:tc>
          <w:tcPr>
            <w:tcW w:w="583" w:type="pct"/>
            <w:tcBorders>
              <w:top w:val="single" w:color="auto" w:sz="6" w:space="0"/>
              <w:left w:val="single" w:color="auto" w:sz="6" w:space="0"/>
              <w:bottom w:val="single" w:color="auto" w:sz="12" w:space="0"/>
              <w:right w:val="single" w:color="auto" w:sz="6" w:space="0"/>
            </w:tcBorders>
            <w:vAlign w:val="center"/>
          </w:tcPr>
          <w:p w14:paraId="50E92080">
            <w:pPr>
              <w:jc w:val="center"/>
              <w:rPr>
                <w:rFonts w:ascii="仿宋" w:hAnsi="仿宋" w:eastAsia="仿宋"/>
                <w:color w:val="000000"/>
                <w:sz w:val="22"/>
              </w:rPr>
            </w:pPr>
            <w:r>
              <w:rPr>
                <w:rFonts w:hint="eastAsia" w:ascii="仿宋" w:hAnsi="仿宋" w:eastAsia="仿宋"/>
                <w:color w:val="000000"/>
                <w:sz w:val="22"/>
              </w:rPr>
              <w:t>2</w:t>
            </w:r>
          </w:p>
        </w:tc>
        <w:tc>
          <w:tcPr>
            <w:tcW w:w="415"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5815226C">
            <w:pPr>
              <w:jc w:val="center"/>
              <w:rPr>
                <w:rFonts w:ascii="仿宋" w:hAnsi="仿宋" w:eastAsia="仿宋"/>
                <w:color w:val="000000"/>
                <w:sz w:val="22"/>
              </w:rPr>
            </w:pPr>
            <w:r>
              <w:rPr>
                <w:rFonts w:hint="eastAsia" w:ascii="仿宋" w:hAnsi="仿宋" w:eastAsia="仿宋"/>
                <w:color w:val="000000"/>
                <w:sz w:val="22"/>
              </w:rPr>
              <w:t>3</w:t>
            </w:r>
          </w:p>
        </w:tc>
        <w:tc>
          <w:tcPr>
            <w:tcW w:w="752"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20C8A643">
            <w:pPr>
              <w:jc w:val="center"/>
              <w:rPr>
                <w:rFonts w:ascii="仿宋" w:hAnsi="仿宋" w:eastAsia="仿宋"/>
                <w:color w:val="000000"/>
                <w:sz w:val="22"/>
              </w:rPr>
            </w:pPr>
            <w:r>
              <w:rPr>
                <w:rFonts w:hint="eastAsia" w:ascii="仿宋" w:hAnsi="仿宋" w:eastAsia="仿宋"/>
                <w:color w:val="000000"/>
                <w:sz w:val="22"/>
              </w:rPr>
              <w:t>4</w:t>
            </w:r>
          </w:p>
        </w:tc>
        <w:tc>
          <w:tcPr>
            <w:tcW w:w="499"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2B943E1A">
            <w:pPr>
              <w:jc w:val="center"/>
              <w:rPr>
                <w:rFonts w:ascii="仿宋" w:hAnsi="仿宋" w:eastAsia="仿宋"/>
                <w:color w:val="000000"/>
                <w:sz w:val="22"/>
              </w:rPr>
            </w:pPr>
            <w:r>
              <w:rPr>
                <w:rFonts w:hint="eastAsia" w:ascii="仿宋" w:hAnsi="仿宋" w:eastAsia="仿宋"/>
                <w:color w:val="000000"/>
                <w:sz w:val="22"/>
              </w:rPr>
              <w:t>4</w:t>
            </w:r>
          </w:p>
        </w:tc>
        <w:tc>
          <w:tcPr>
            <w:tcW w:w="500"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315101E2">
            <w:pPr>
              <w:jc w:val="center"/>
              <w:rPr>
                <w:rFonts w:ascii="仿宋" w:hAnsi="仿宋" w:eastAsia="仿宋"/>
                <w:color w:val="000000"/>
                <w:sz w:val="22"/>
              </w:rPr>
            </w:pPr>
            <w:r>
              <w:rPr>
                <w:rFonts w:hint="eastAsia" w:ascii="仿宋" w:hAnsi="仿宋" w:eastAsia="仿宋"/>
                <w:color w:val="000000"/>
                <w:sz w:val="22"/>
              </w:rPr>
              <w:t>3</w:t>
            </w:r>
          </w:p>
        </w:tc>
        <w:tc>
          <w:tcPr>
            <w:tcW w:w="442" w:type="pct"/>
            <w:tcBorders>
              <w:top w:val="single" w:color="auto" w:sz="6" w:space="0"/>
              <w:left w:val="single" w:color="auto" w:sz="6" w:space="0"/>
              <w:bottom w:val="single" w:color="auto" w:sz="12" w:space="0"/>
              <w:right w:val="single" w:color="auto" w:sz="8" w:space="0"/>
            </w:tcBorders>
            <w:shd w:val="clear" w:color="auto" w:fill="auto"/>
            <w:noWrap/>
            <w:vAlign w:val="center"/>
          </w:tcPr>
          <w:p w14:paraId="29F95F57">
            <w:pPr>
              <w:jc w:val="center"/>
              <w:rPr>
                <w:rFonts w:ascii="仿宋" w:hAnsi="仿宋" w:eastAsia="仿宋"/>
                <w:color w:val="000000"/>
                <w:sz w:val="22"/>
              </w:rPr>
            </w:pPr>
            <w:r>
              <w:rPr>
                <w:rFonts w:hint="eastAsia" w:ascii="仿宋" w:hAnsi="仿宋" w:eastAsia="仿宋"/>
                <w:color w:val="000000"/>
                <w:sz w:val="22"/>
              </w:rPr>
              <w:t>2</w:t>
            </w:r>
          </w:p>
        </w:tc>
      </w:tr>
    </w:tbl>
    <w:p w14:paraId="2E88FCC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出指标主要评价项目实施完成情况，包括数量、质量和时效的完成程度。下设“产出数量”、“产出质量”以及“产出时效”3个二级指标，再细分8个三级指标，包括“提升游客咨询服务中心数量”、“武昌旅游综合信息服务平台(一期)建设完成率”、“武昌全域旅游标识标牌建设个数”、“制作并推广武昌旅游形象宣传片”、“组织开展武昌美食节、艺术节、旅游节等节庆活动场次”、“开展中国（武昌）辛亥首义文化节”、“文化旅游工作全市中心城区排名”以及“工作清单任务完成及时率”。对于产出指标的评价，主要采取了查阅资料和访谈、座谈进行资料收集、整理和分析，收集了与各项指标相关的项目资料，了解项目的具体产出情况及成果，对项目产出涉及的指标进行打分并逐级加权计算结果。</w:t>
      </w:r>
    </w:p>
    <w:p w14:paraId="6447D3E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1、提升游客咨询服务中心数量（2分）</w:t>
      </w:r>
    </w:p>
    <w:p w14:paraId="5584E3D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提升游客咨询服务中心数量用以反映和考核项目产出数量目标的实现程度。</w:t>
      </w:r>
    </w:p>
    <w:p w14:paraId="35B0E11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新建户部巷、昙华林2个游客咨询服务中心，户部巷游客咨询服务中心已建设完成，并于2019年12月1日起正式运营，昙华林核心区预计2020年能全面开放。根据评分细则，扣1分，得1分。</w:t>
      </w:r>
    </w:p>
    <w:p w14:paraId="479A1D11">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2、武昌旅游综合信息服务平台(一期)建设完成率（4分）</w:t>
      </w:r>
    </w:p>
    <w:p w14:paraId="3491DF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武昌旅游综合信息服务平台(一期)建设完成率用以反映和考核项目产出数量目标的实现程度。</w:t>
      </w:r>
    </w:p>
    <w:p w14:paraId="04460D8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完成武昌旅游综合信息服务平台(一期)建设工作。2019年5月19日，区文旅局在黄鹤楼公园落梅轩举行“一部手机游武昌”上线仪式，微信公众号正式投入使用；武昌区全域旅游综合平台(一期)项目经湖北省电子信息产品质量监督检验院进行检测，功能完备性和性能效率符合测试依据及判定依据的要求；2019年11月14日，区文旅局组织召开武昌区全域旅游综合平台(一期)项目专家验收会，项目通过验收。根据评分细则，得4分。</w:t>
      </w:r>
    </w:p>
    <w:p w14:paraId="28C729FC">
      <w:pPr>
        <w:pStyle w:val="13"/>
        <w:spacing w:line="600" w:lineRule="exact"/>
        <w:ind w:firstLine="0"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3、武昌全域旅游标识标牌建设个数（2分）</w:t>
      </w:r>
    </w:p>
    <w:p w14:paraId="174397B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武昌全域旅游标识标牌建设个数用以反映和考核项目产出数量目标的实现程度。</w:t>
      </w:r>
    </w:p>
    <w:p w14:paraId="02AA678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进-步优化黄鹤楼景区至户部巷的导向标识系统，在黄鹤楼西门下桥处、解放路上黄鹤楼台阶处及广东商城二楼司门口天桥处等3处增加安装黄鹤楼周边导向牌引导游客。该事项已于2019年8月份安装完成，根据评分细则，得2分。</w:t>
      </w:r>
    </w:p>
    <w:p w14:paraId="093D5A6B">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4、制作并推广武昌旅游形象宣传片（4分）</w:t>
      </w:r>
    </w:p>
    <w:p w14:paraId="508F3D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制作并推广武昌旅游形象宣传片用以反映和考核项目产出数量目标的实现程度。</w:t>
      </w:r>
    </w:p>
    <w:p w14:paraId="2D9C2B7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制作并推广武昌旅游形象宣传片。2018年8月，区文旅局启动武昌旅游形象宣传片的公开招投标工作，湖北电视台以258万元中标。根据双方签订的联合制作合同， 制作标的物含8分钟宣传片1部，5色旅游宣传片（每色1分钟，共5分钟），30分钟媒体插播宣传片1部，截止2019年年底，五色武昌系列5个一分钟宣传片已制作完成，并在国庆节期间在湖北卫视播出；8分钟《大美武昌》主宣传片已完成交稿，正在修改；30秒媒体插播宣传片待主宣传片定稿后进行剪辑。根据评分细则，扣1分，得3分。</w:t>
      </w:r>
    </w:p>
    <w:p w14:paraId="0EEADAD5">
      <w:pPr>
        <w:pStyle w:val="13"/>
        <w:spacing w:line="600" w:lineRule="exact"/>
        <w:ind w:firstLine="0"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5、组织开展武昌美食节、艺术节、旅游节等节庆活动场次（4分）</w:t>
      </w:r>
    </w:p>
    <w:p w14:paraId="7471F46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组织开展武昌美食节、艺术节、旅游节等节庆活动场次用以反映和考核项目产出数量目标的实现程度。</w:t>
      </w:r>
    </w:p>
    <w:p w14:paraId="7020D27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根据2019年武昌区全域旅游大发展项目工作清单，区文旅局2019年度拟开展武昌美食节、艺术节、旅游节等节庆活动8场次。</w:t>
      </w:r>
    </w:p>
    <w:p w14:paraId="24D80A52">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①</w:t>
      </w:r>
      <w:r>
        <w:rPr>
          <w:rFonts w:hint="eastAsia" w:ascii="仿宋_GB2312" w:hAnsi="Times New Roman" w:eastAsia="仿宋_GB2312" w:cs="Times New Roman"/>
          <w:sz w:val="32"/>
          <w:szCs w:val="32"/>
        </w:rPr>
        <w:t>2019年2月15日至2月19日，在户部巷大戏台举行特色小吃现场制作、非遗文艺汇演等活动。</w:t>
      </w:r>
    </w:p>
    <w:p w14:paraId="451F0189">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②</w:t>
      </w:r>
      <w:r>
        <w:rPr>
          <w:rFonts w:hint="eastAsia" w:ascii="仿宋_GB2312" w:hAnsi="Times New Roman" w:eastAsia="仿宋_GB2312" w:cs="Times New Roman"/>
          <w:sz w:val="32"/>
          <w:szCs w:val="32"/>
        </w:rPr>
        <w:t>年度内完成2018年“魅力武昌”摄影比赛评选，评选出获奖作品62幅，并在非遗过早节上展出。</w:t>
      </w:r>
    </w:p>
    <w:p w14:paraId="0F3AC339">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③</w:t>
      </w:r>
      <w:r>
        <w:rPr>
          <w:rFonts w:hint="eastAsia" w:ascii="仿宋_GB2312" w:hAnsi="Times New Roman" w:eastAsia="仿宋_GB2312" w:cs="Times New Roman"/>
          <w:sz w:val="32"/>
          <w:szCs w:val="32"/>
        </w:rPr>
        <w:t>参与举办第二十九届“首义之春”龙腾狮跃“闹元宵”舞龙锣鼓大赛、“黄鹤乘风振玉羽青春飞扬新时代”——新春公益游园会。</w:t>
      </w:r>
    </w:p>
    <w:p w14:paraId="0E6F3C81">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④</w:t>
      </w:r>
      <w:r>
        <w:rPr>
          <w:rFonts w:hint="eastAsia" w:ascii="仿宋_GB2312" w:hAnsi="Times New Roman" w:eastAsia="仿宋_GB2312" w:cs="Times New Roman"/>
          <w:sz w:val="32"/>
          <w:szCs w:val="32"/>
        </w:rPr>
        <w:t>承办中国2019世界集邮展览全城15区联动武昌站宣传推广活动(6月5日)。</w:t>
      </w:r>
    </w:p>
    <w:p w14:paraId="4C5A959B">
      <w:pPr>
        <w:spacing w:line="600" w:lineRule="exact"/>
        <w:ind w:firstLine="640" w:firstLineChars="200"/>
        <w:rPr>
          <w:rFonts w:ascii="仿宋_GB2312" w:hAnsi="Times New Roman" w:eastAsia="仿宋_GB2312" w:cs="Times New Roman"/>
          <w:sz w:val="32"/>
          <w:szCs w:val="32"/>
        </w:rPr>
      </w:pPr>
      <w:r>
        <w:rPr>
          <w:rFonts w:hint="eastAsia" w:ascii="仿宋_GB2312" w:hAnsi="仿宋" w:eastAsia="仿宋_GB2312" w:cs="Times New Roman"/>
          <w:sz w:val="32"/>
          <w:szCs w:val="32"/>
        </w:rPr>
        <w:t>⑤</w:t>
      </w:r>
      <w:r>
        <w:rPr>
          <w:rFonts w:hint="eastAsia" w:ascii="仿宋_GB2312" w:hAnsi="Times New Roman" w:eastAsia="仿宋_GB2312" w:cs="Times New Roman"/>
          <w:sz w:val="32"/>
          <w:szCs w:val="32"/>
        </w:rPr>
        <w:t>参加全市“寻找武汉十大特色文旅体IP”活动，与长江日报合作，宣传报道武昌文化旅游。8月26日长江日报特刊以一个联通版(两个版面)篇幅，以“一城荆楚风韵，千载大成武昌”为题，重点报道了大黄鹤楼-武昌古城资源型IP,并在长江日报官微、APP等新媒体上同步发布。</w:t>
      </w:r>
    </w:p>
    <w:p w14:paraId="4EEF470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⑥举办“世界军运</w:t>
      </w:r>
      <w:r>
        <w:rPr>
          <w:rFonts w:hint="eastAsia" w:ascii="仿宋_GB2312" w:hAnsi="仿宋" w:eastAsia="仿宋_GB2312" w:cs="Times New Roman"/>
          <w:sz w:val="32"/>
          <w:szCs w:val="32"/>
        </w:rPr>
        <w:t>·</w:t>
      </w:r>
      <w:r>
        <w:rPr>
          <w:rFonts w:hint="eastAsia" w:ascii="仿宋_GB2312" w:hAnsi="Times New Roman" w:eastAsia="仿宋_GB2312" w:cs="Times New Roman"/>
          <w:sz w:val="32"/>
          <w:szCs w:val="32"/>
        </w:rPr>
        <w:t>文旅为媒——2019首季大学生花样组合武昌行”活动。9月19日上午，活动在武汉革命博物馆正式启动，并在农讲所旧址、毛泽东旧居及中国共产党纪律建设历史陈列馆开展内容丰富的情景党课。9月19日-20日由18位大学生分为3组，打卡体验户部巷、黄鹤楼、县华林等武昌经典文旅线路。</w:t>
      </w:r>
    </w:p>
    <w:p w14:paraId="6312F19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⑦举办户部巷“最汉味小吃”评选活动。8月25日开始线上投票。9月25日上午在户部巷大戏台举办活动，15家经典汉味小吃的商户现场制作展示美食，评审团点评、打分，游客免费品尝。</w:t>
      </w:r>
    </w:p>
    <w:p w14:paraId="60AFFC5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⑧做好10月2日杨泗港长江大桥市民开放日活动。组织群众2000名，在下午</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:00-</w:t>
      </w:r>
      <w:r>
        <w:rPr>
          <w:rFonts w:hint="eastAsia" w:ascii="仿宋_GB2312" w:hAnsi="Times New Roman" w:eastAsia="仿宋_GB2312" w:cs="Times New Roman"/>
          <w:sz w:val="32"/>
          <w:szCs w:val="32"/>
          <w:lang w:val="en-US" w:eastAsia="zh-CN"/>
        </w:rPr>
        <w:t>5</w:t>
      </w:r>
      <w:bookmarkStart w:id="5" w:name="_GoBack"/>
      <w:bookmarkEnd w:id="5"/>
      <w:r>
        <w:rPr>
          <w:rFonts w:hint="eastAsia" w:ascii="仿宋_GB2312" w:hAnsi="Times New Roman" w:eastAsia="仿宋_GB2312" w:cs="Times New Roman"/>
          <w:sz w:val="32"/>
          <w:szCs w:val="32"/>
        </w:rPr>
        <w:t>:00期间分批登上杨泗港长江大桥。</w:t>
      </w:r>
    </w:p>
    <w:p w14:paraId="1A7B812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根据评分细则，得4分。</w:t>
      </w:r>
    </w:p>
    <w:p w14:paraId="170D62E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6、开展中国（武昌）辛亥首义文化节（4分）</w:t>
      </w:r>
    </w:p>
    <w:p w14:paraId="1F1D3357">
      <w:pPr>
        <w:pStyle w:val="18"/>
        <w:spacing w:line="600" w:lineRule="exact"/>
        <w:ind w:firstLine="640"/>
        <w:rPr>
          <w:rFonts w:hAnsi="Times New Roman"/>
          <w:sz w:val="32"/>
          <w:szCs w:val="32"/>
        </w:rPr>
      </w:pPr>
      <w:r>
        <w:rPr>
          <w:rFonts w:hint="eastAsia" w:hAnsi="Times New Roman"/>
          <w:sz w:val="32"/>
          <w:szCs w:val="32"/>
        </w:rPr>
        <w:t>开展中国（武昌）辛亥首义文化节用以反映和考核项目产出数量目标的实现程度。</w:t>
      </w:r>
    </w:p>
    <w:p w14:paraId="64165745">
      <w:pPr>
        <w:pStyle w:val="18"/>
        <w:spacing w:line="600" w:lineRule="exact"/>
        <w:ind w:firstLine="640"/>
        <w:rPr>
          <w:rFonts w:hAnsi="Times New Roman"/>
          <w:sz w:val="32"/>
          <w:szCs w:val="32"/>
        </w:rPr>
      </w:pPr>
      <w:r>
        <w:rPr>
          <w:rFonts w:hint="eastAsia" w:hAnsi="Times New Roman"/>
          <w:sz w:val="32"/>
          <w:szCs w:val="32"/>
        </w:rPr>
        <w:t>根据2019年武昌区全域旅游大发展项目工作清单，区文旅局2019年度拟开展中国（武昌）辛亥首义文化节。2019年9月24日，在汉秀剧场举办第十八届中国(武昌)辛亥首义文化节活动。根据评分细则，得4分。</w:t>
      </w:r>
    </w:p>
    <w:p w14:paraId="43214485">
      <w:pPr>
        <w:pStyle w:val="13"/>
        <w:spacing w:line="600" w:lineRule="exact"/>
        <w:ind w:firstLine="0"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7、文化旅游工作全市中心城区排名（3分）</w:t>
      </w:r>
    </w:p>
    <w:p w14:paraId="5C8061D0">
      <w:pPr>
        <w:pStyle w:val="18"/>
        <w:spacing w:line="600" w:lineRule="exact"/>
        <w:ind w:firstLine="640"/>
        <w:rPr>
          <w:rFonts w:hAnsi="Times New Roman"/>
          <w:sz w:val="32"/>
          <w:szCs w:val="32"/>
        </w:rPr>
      </w:pPr>
      <w:r>
        <w:rPr>
          <w:rFonts w:hint="eastAsia" w:hAnsi="Times New Roman"/>
          <w:sz w:val="32"/>
          <w:szCs w:val="32"/>
        </w:rPr>
        <w:t>文化旅游工作全市中心城区排名用以反映和考核项目产出质量目标的实现程度。</w:t>
      </w:r>
    </w:p>
    <w:p w14:paraId="3D1B7ADB">
      <w:pPr>
        <w:pStyle w:val="18"/>
        <w:spacing w:line="600" w:lineRule="exact"/>
        <w:ind w:firstLine="640"/>
        <w:rPr>
          <w:rFonts w:hAnsi="Times New Roman"/>
          <w:sz w:val="32"/>
          <w:szCs w:val="32"/>
        </w:rPr>
      </w:pPr>
      <w:r>
        <w:rPr>
          <w:rFonts w:hint="eastAsia" w:hAnsi="Times New Roman"/>
          <w:sz w:val="32"/>
          <w:szCs w:val="32"/>
        </w:rPr>
        <w:t>根据区文旅局2019年绩效管理目标，武昌区文化旅游工作在全市中心城区中拟排名前三。</w:t>
      </w:r>
    </w:p>
    <w:p w14:paraId="4838429D">
      <w:pPr>
        <w:adjustRightInd w:val="0"/>
        <w:spacing w:line="600" w:lineRule="exact"/>
        <w:ind w:firstLine="640" w:firstLineChars="200"/>
        <w:contextualSpacing/>
        <w:rPr>
          <w:rFonts w:ascii="仿宋_GB2312" w:hAnsi="仿宋" w:eastAsia="仿宋_GB2312" w:cs="Arial Narrow"/>
          <w:bCs/>
          <w:sz w:val="32"/>
          <w:szCs w:val="28"/>
        </w:rPr>
      </w:pPr>
      <w:r>
        <w:rPr>
          <w:rFonts w:hint="eastAsia" w:ascii="仿宋_GB2312" w:hAnsi="仿宋" w:eastAsia="仿宋_GB2312" w:cs="Arial Narrow"/>
          <w:bCs/>
          <w:sz w:val="32"/>
          <w:szCs w:val="28"/>
        </w:rPr>
        <w:t>武汉市内旅游资源比较凸出的几个区当属武昌区、黄陂区和东湖风景区，而其他城区的旅游不太行。黄陂区打造木兰风景区，形成了许多景区集群；东湖风景区本身就是依托东湖这个5A级景区设立的。武汉市最核心的旅游资源在武昌，最多的旅游酒店也在武昌。</w:t>
      </w:r>
    </w:p>
    <w:p w14:paraId="0E8955E9">
      <w:pPr>
        <w:pStyle w:val="18"/>
        <w:spacing w:line="600" w:lineRule="exact"/>
        <w:ind w:firstLine="640"/>
        <w:rPr>
          <w:rFonts w:hAnsi="Times New Roman"/>
          <w:sz w:val="32"/>
          <w:szCs w:val="32"/>
        </w:rPr>
      </w:pPr>
      <w:r>
        <w:rPr>
          <w:rFonts w:hint="eastAsia" w:hAnsi="仿宋" w:cs="Arial Narrow"/>
          <w:bCs/>
          <w:sz w:val="32"/>
          <w:szCs w:val="28"/>
        </w:rPr>
        <w:t>基于前期的成绩以及本年度旅游资源丰富的几个区的旅游数据，武昌区应排名第一。</w:t>
      </w:r>
      <w:r>
        <w:rPr>
          <w:rFonts w:hint="eastAsia" w:hAnsi="Times New Roman"/>
          <w:sz w:val="32"/>
          <w:szCs w:val="32"/>
        </w:rPr>
        <w:t>黄陂区全年接待旅游人数2600万人次，旅游综合收入157亿元。武昌区2019年度接待国内游客4386.12万人次，实现国内旅游收入446.82亿元，约占武汉市总量的1/10。对比一下其他区的数据，武昌区排名第一。</w:t>
      </w:r>
    </w:p>
    <w:p w14:paraId="1955DE9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8、工作清单任务完成及时率（3分）</w:t>
      </w:r>
    </w:p>
    <w:p w14:paraId="7A4C4B66">
      <w:pPr>
        <w:pStyle w:val="18"/>
        <w:spacing w:line="600" w:lineRule="exact"/>
        <w:ind w:firstLine="640"/>
        <w:rPr>
          <w:rFonts w:hAnsi="Times New Roman"/>
          <w:sz w:val="32"/>
          <w:szCs w:val="32"/>
        </w:rPr>
      </w:pPr>
      <w:r>
        <w:rPr>
          <w:rFonts w:hint="eastAsia" w:hAnsi="Times New Roman"/>
          <w:sz w:val="32"/>
          <w:szCs w:val="32"/>
        </w:rPr>
        <w:t>工作清单任务完成及时率是指项目实际完成时间与计划完成时间的比较，用以反映和考核项目产出时效目标的实现程度。</w:t>
      </w:r>
    </w:p>
    <w:p w14:paraId="0E42E395">
      <w:pPr>
        <w:pStyle w:val="18"/>
        <w:spacing w:line="600" w:lineRule="exact"/>
        <w:ind w:firstLine="640"/>
        <w:rPr>
          <w:rFonts w:hAnsi="Times New Roman"/>
          <w:sz w:val="32"/>
          <w:szCs w:val="32"/>
        </w:rPr>
      </w:pPr>
      <w:r>
        <w:rPr>
          <w:rFonts w:hint="eastAsia" w:hAnsi="Times New Roman"/>
          <w:sz w:val="32"/>
          <w:szCs w:val="32"/>
        </w:rPr>
        <w:t>根据2019年武昌区全域旅游大发展项目工作清单的计划任务安排，应于2019年12月份完成新建户部巷、昙华林2个游客咨询服务中心；2019年6月建成武昌旅游综合信息服务平台（一期）；2019年8月完成全域旅游标识标牌建设；2019年8月完成制作并推广武昌旅游形象宣传片；2019年12月前开展完成武昌美食节、艺术节、旅游节等节庆活动；2019年10月开展中国（武昌）辛亥首义文化节。</w:t>
      </w:r>
    </w:p>
    <w:p w14:paraId="3D23A86F">
      <w:pPr>
        <w:pStyle w:val="18"/>
        <w:spacing w:line="600" w:lineRule="exact"/>
        <w:ind w:firstLine="640"/>
        <w:rPr>
          <w:rFonts w:hAnsi="Times New Roman"/>
          <w:sz w:val="32"/>
          <w:szCs w:val="32"/>
        </w:rPr>
      </w:pPr>
      <w:r>
        <w:rPr>
          <w:rFonts w:hint="eastAsia" w:hAnsi="Times New Roman"/>
          <w:sz w:val="32"/>
          <w:szCs w:val="32"/>
        </w:rPr>
        <w:t>截止2019年年末，县华林游客咨询服务中心暂未建成， 8分钟《大美武昌》主宣传片及30秒媒体插播宣传片尚未定稿并投入宣传，根据评分细则，扣1分，得2分。</w:t>
      </w:r>
    </w:p>
    <w:p w14:paraId="032CFC5F">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（四）项目效益情况。</w:t>
      </w:r>
    </w:p>
    <w:p w14:paraId="681595EA">
      <w:pPr>
        <w:spacing w:line="600" w:lineRule="exact"/>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效果指标满分40分，根据评分细则，效果评价得分为38.38分，评价结果为优。</w:t>
      </w:r>
    </w:p>
    <w:tbl>
      <w:tblPr>
        <w:tblStyle w:val="9"/>
        <w:tblW w:w="5053" w:type="pct"/>
        <w:jc w:val="center"/>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16"/>
        <w:gridCol w:w="792"/>
        <w:gridCol w:w="710"/>
        <w:gridCol w:w="711"/>
        <w:gridCol w:w="706"/>
        <w:gridCol w:w="849"/>
        <w:gridCol w:w="710"/>
        <w:gridCol w:w="992"/>
        <w:gridCol w:w="1180"/>
        <w:gridCol w:w="946"/>
      </w:tblGrid>
      <w:tr w14:paraId="615CCC90">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PrEx>
        <w:trPr>
          <w:trHeight w:val="381" w:hRule="atLeast"/>
          <w:jc w:val="center"/>
        </w:trPr>
        <w:tc>
          <w:tcPr>
            <w:tcW w:w="590" w:type="pct"/>
            <w:vMerge w:val="restart"/>
            <w:shd w:val="clear" w:color="auto" w:fill="D8D8D8" w:themeFill="background1" w:themeFillShade="D9"/>
            <w:noWrap/>
            <w:vAlign w:val="center"/>
          </w:tcPr>
          <w:p w14:paraId="429316C7">
            <w:pPr>
              <w:jc w:val="center"/>
              <w:rPr>
                <w:rFonts w:ascii="仿宋" w:hAnsi="仿宋" w:eastAsia="仿宋"/>
                <w:b/>
                <w:bCs/>
                <w:color w:val="000000"/>
                <w:sz w:val="22"/>
              </w:rPr>
            </w:pPr>
            <w:r>
              <w:rPr>
                <w:rFonts w:hint="eastAsia" w:ascii="仿宋" w:hAnsi="仿宋" w:eastAsia="仿宋"/>
                <w:b/>
                <w:bCs/>
                <w:color w:val="000000"/>
                <w:sz w:val="20"/>
              </w:rPr>
              <w:t>项目</w:t>
            </w:r>
          </w:p>
        </w:tc>
        <w:tc>
          <w:tcPr>
            <w:tcW w:w="872" w:type="pct"/>
            <w:gridSpan w:val="2"/>
            <w:shd w:val="clear" w:color="auto" w:fill="D8D8D8" w:themeFill="background1" w:themeFillShade="D9"/>
            <w:vAlign w:val="center"/>
          </w:tcPr>
          <w:p w14:paraId="1ADACDDB">
            <w:pPr>
              <w:jc w:val="center"/>
              <w:rPr>
                <w:rFonts w:ascii="仿宋" w:hAnsi="仿宋" w:eastAsia="仿宋"/>
                <w:b/>
                <w:bCs/>
                <w:color w:val="000000"/>
                <w:sz w:val="20"/>
              </w:rPr>
            </w:pPr>
            <w:r>
              <w:rPr>
                <w:rFonts w:hint="eastAsia" w:ascii="仿宋" w:hAnsi="仿宋" w:eastAsia="仿宋"/>
                <w:b/>
                <w:bCs/>
                <w:color w:val="000000"/>
                <w:sz w:val="20"/>
              </w:rPr>
              <w:t>经济效益</w:t>
            </w:r>
          </w:p>
        </w:tc>
        <w:tc>
          <w:tcPr>
            <w:tcW w:w="1728" w:type="pct"/>
            <w:gridSpan w:val="4"/>
            <w:shd w:val="clear" w:color="auto" w:fill="D8D8D8" w:themeFill="background1" w:themeFillShade="D9"/>
            <w:vAlign w:val="center"/>
          </w:tcPr>
          <w:p w14:paraId="774D74AA">
            <w:pPr>
              <w:jc w:val="center"/>
              <w:rPr>
                <w:rFonts w:ascii="仿宋" w:hAnsi="仿宋" w:eastAsia="仿宋"/>
                <w:b/>
                <w:bCs/>
                <w:color w:val="000000"/>
                <w:sz w:val="20"/>
              </w:rPr>
            </w:pPr>
            <w:r>
              <w:rPr>
                <w:rFonts w:ascii="仿宋" w:hAnsi="仿宋" w:eastAsia="仿宋"/>
                <w:b/>
                <w:bCs/>
                <w:color w:val="000000"/>
                <w:sz w:val="20"/>
              </w:rPr>
              <w:t>社会效益</w:t>
            </w:r>
          </w:p>
        </w:tc>
        <w:tc>
          <w:tcPr>
            <w:tcW w:w="576" w:type="pct"/>
            <w:shd w:val="clear" w:color="auto" w:fill="D8D8D8" w:themeFill="background1" w:themeFillShade="D9"/>
            <w:vAlign w:val="center"/>
          </w:tcPr>
          <w:p w14:paraId="7E30E891">
            <w:pPr>
              <w:jc w:val="center"/>
              <w:rPr>
                <w:rFonts w:ascii="仿宋" w:hAnsi="仿宋" w:eastAsia="仿宋"/>
                <w:b/>
                <w:bCs/>
                <w:color w:val="000000"/>
                <w:sz w:val="20"/>
              </w:rPr>
            </w:pPr>
            <w:r>
              <w:rPr>
                <w:rFonts w:ascii="仿宋" w:hAnsi="仿宋" w:eastAsia="仿宋"/>
                <w:b/>
                <w:bCs/>
                <w:color w:val="000000"/>
                <w:sz w:val="20"/>
              </w:rPr>
              <w:t>可持续影响</w:t>
            </w:r>
          </w:p>
        </w:tc>
        <w:tc>
          <w:tcPr>
            <w:tcW w:w="1234" w:type="pct"/>
            <w:gridSpan w:val="2"/>
            <w:shd w:val="clear" w:color="auto" w:fill="D8D8D8" w:themeFill="background1" w:themeFillShade="D9"/>
            <w:vAlign w:val="center"/>
          </w:tcPr>
          <w:p w14:paraId="44082567">
            <w:pPr>
              <w:jc w:val="center"/>
              <w:rPr>
                <w:rFonts w:ascii="仿宋" w:hAnsi="仿宋" w:eastAsia="仿宋"/>
                <w:b/>
                <w:bCs/>
                <w:color w:val="000000"/>
                <w:sz w:val="20"/>
              </w:rPr>
            </w:pPr>
            <w:r>
              <w:rPr>
                <w:rFonts w:ascii="仿宋" w:hAnsi="仿宋" w:eastAsia="仿宋"/>
                <w:b/>
                <w:bCs/>
                <w:color w:val="000000"/>
                <w:sz w:val="20"/>
              </w:rPr>
              <w:t>满意度</w:t>
            </w:r>
          </w:p>
        </w:tc>
      </w:tr>
      <w:tr w14:paraId="4DA42EEE">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590" w:type="pct"/>
            <w:vMerge w:val="continue"/>
            <w:shd w:val="clear" w:color="auto" w:fill="D8D8D8" w:themeFill="background1" w:themeFillShade="D9"/>
            <w:noWrap/>
            <w:vAlign w:val="center"/>
          </w:tcPr>
          <w:p w14:paraId="2FE4E0B8">
            <w:pPr>
              <w:jc w:val="center"/>
              <w:rPr>
                <w:rFonts w:ascii="仿宋" w:hAnsi="仿宋" w:eastAsia="仿宋"/>
                <w:b/>
                <w:bCs/>
                <w:color w:val="000000"/>
                <w:sz w:val="22"/>
              </w:rPr>
            </w:pPr>
          </w:p>
        </w:tc>
        <w:tc>
          <w:tcPr>
            <w:tcW w:w="460" w:type="pct"/>
            <w:shd w:val="clear" w:color="auto" w:fill="D8D8D8" w:themeFill="background1" w:themeFillShade="D9"/>
          </w:tcPr>
          <w:p w14:paraId="2B8AD878">
            <w:pPr>
              <w:jc w:val="center"/>
              <w:rPr>
                <w:rFonts w:ascii="仿宋" w:hAnsi="仿宋" w:eastAsia="仿宋"/>
                <w:b/>
                <w:bCs/>
                <w:color w:val="000000"/>
                <w:sz w:val="20"/>
              </w:rPr>
            </w:pPr>
            <w:r>
              <w:rPr>
                <w:rFonts w:hint="eastAsia" w:ascii="仿宋" w:hAnsi="仿宋" w:eastAsia="仿宋"/>
                <w:b/>
                <w:bCs/>
                <w:color w:val="000000"/>
                <w:sz w:val="20"/>
              </w:rPr>
              <w:t>全区旅游总收入增长率</w:t>
            </w:r>
          </w:p>
        </w:tc>
        <w:tc>
          <w:tcPr>
            <w:tcW w:w="412" w:type="pct"/>
            <w:shd w:val="clear" w:color="auto" w:fill="D8D8D8" w:themeFill="background1" w:themeFillShade="D9"/>
          </w:tcPr>
          <w:p w14:paraId="5ED7901D">
            <w:pPr>
              <w:jc w:val="center"/>
              <w:rPr>
                <w:rFonts w:ascii="仿宋" w:hAnsi="仿宋" w:eastAsia="仿宋"/>
                <w:b/>
                <w:bCs/>
                <w:color w:val="000000"/>
                <w:sz w:val="20"/>
              </w:rPr>
            </w:pPr>
            <w:r>
              <w:rPr>
                <w:rFonts w:hint="eastAsia" w:ascii="仿宋" w:hAnsi="仿宋" w:eastAsia="仿宋"/>
                <w:b/>
                <w:bCs/>
                <w:color w:val="000000"/>
                <w:sz w:val="20"/>
              </w:rPr>
              <w:t>国内游客人均花费</w:t>
            </w:r>
          </w:p>
        </w:tc>
        <w:tc>
          <w:tcPr>
            <w:tcW w:w="413" w:type="pct"/>
            <w:shd w:val="clear" w:color="auto" w:fill="D8D8D8" w:themeFill="background1" w:themeFillShade="D9"/>
          </w:tcPr>
          <w:p w14:paraId="717C2786">
            <w:pPr>
              <w:jc w:val="center"/>
              <w:rPr>
                <w:rFonts w:ascii="仿宋" w:hAnsi="仿宋" w:eastAsia="仿宋"/>
                <w:b/>
                <w:bCs/>
                <w:color w:val="000000"/>
                <w:sz w:val="20"/>
              </w:rPr>
            </w:pPr>
            <w:r>
              <w:rPr>
                <w:rFonts w:hint="eastAsia" w:ascii="仿宋" w:hAnsi="仿宋" w:eastAsia="仿宋"/>
                <w:b/>
                <w:bCs/>
                <w:color w:val="000000"/>
                <w:sz w:val="20"/>
              </w:rPr>
              <w:t>全区年接待游客总数增长率</w:t>
            </w:r>
          </w:p>
        </w:tc>
        <w:tc>
          <w:tcPr>
            <w:tcW w:w="410" w:type="pct"/>
            <w:shd w:val="clear" w:color="auto" w:fill="D8D8D8" w:themeFill="background1" w:themeFillShade="D9"/>
          </w:tcPr>
          <w:p w14:paraId="0E98CFDB">
            <w:pPr>
              <w:jc w:val="center"/>
              <w:rPr>
                <w:rFonts w:ascii="仿宋" w:hAnsi="仿宋" w:eastAsia="仿宋"/>
                <w:b/>
                <w:bCs/>
                <w:color w:val="000000"/>
                <w:sz w:val="20"/>
              </w:rPr>
            </w:pPr>
            <w:r>
              <w:rPr>
                <w:rFonts w:hint="eastAsia" w:ascii="仿宋" w:hAnsi="仿宋" w:eastAsia="仿宋"/>
                <w:b/>
                <w:bCs/>
                <w:color w:val="000000"/>
                <w:sz w:val="20"/>
              </w:rPr>
              <w:t>旅游投诉处置率</w:t>
            </w:r>
          </w:p>
        </w:tc>
        <w:tc>
          <w:tcPr>
            <w:tcW w:w="493" w:type="pct"/>
            <w:shd w:val="clear" w:color="auto" w:fill="D8D8D8" w:themeFill="background1" w:themeFillShade="D9"/>
          </w:tcPr>
          <w:p w14:paraId="7D832965">
            <w:pPr>
              <w:jc w:val="center"/>
              <w:rPr>
                <w:rFonts w:ascii="仿宋" w:hAnsi="仿宋" w:eastAsia="仿宋"/>
                <w:b/>
                <w:bCs/>
                <w:color w:val="000000"/>
                <w:sz w:val="20"/>
              </w:rPr>
            </w:pPr>
            <w:r>
              <w:rPr>
                <w:rFonts w:hint="eastAsia" w:ascii="仿宋" w:hAnsi="仿宋" w:eastAsia="仿宋"/>
                <w:b/>
                <w:bCs/>
                <w:color w:val="000000"/>
                <w:sz w:val="20"/>
              </w:rPr>
              <w:t>旅行社服务网点合法合规检查覆盖率</w:t>
            </w:r>
          </w:p>
        </w:tc>
        <w:tc>
          <w:tcPr>
            <w:tcW w:w="412" w:type="pct"/>
            <w:shd w:val="clear" w:color="auto" w:fill="D8D8D8" w:themeFill="background1" w:themeFillShade="D9"/>
          </w:tcPr>
          <w:p w14:paraId="436F2DCD">
            <w:pPr>
              <w:jc w:val="center"/>
              <w:rPr>
                <w:rFonts w:ascii="仿宋" w:hAnsi="仿宋" w:eastAsia="仿宋"/>
                <w:b/>
                <w:bCs/>
                <w:color w:val="000000"/>
                <w:sz w:val="20"/>
              </w:rPr>
            </w:pPr>
            <w:r>
              <w:rPr>
                <w:rFonts w:hint="eastAsia" w:ascii="仿宋" w:hAnsi="仿宋" w:eastAsia="仿宋"/>
                <w:b/>
                <w:bCs/>
                <w:color w:val="000000"/>
                <w:sz w:val="20"/>
              </w:rPr>
              <w:t>国内影响力提升</w:t>
            </w:r>
          </w:p>
        </w:tc>
        <w:tc>
          <w:tcPr>
            <w:tcW w:w="576" w:type="pct"/>
            <w:shd w:val="clear" w:color="auto" w:fill="D8D8D8" w:themeFill="background1" w:themeFillShade="D9"/>
          </w:tcPr>
          <w:p w14:paraId="4006CF65">
            <w:pPr>
              <w:jc w:val="center"/>
              <w:rPr>
                <w:rFonts w:ascii="仿宋" w:hAnsi="仿宋" w:eastAsia="仿宋"/>
                <w:b/>
                <w:bCs/>
                <w:color w:val="000000"/>
                <w:sz w:val="20"/>
              </w:rPr>
            </w:pPr>
            <w:r>
              <w:rPr>
                <w:rFonts w:hint="eastAsia" w:ascii="仿宋" w:hAnsi="仿宋" w:eastAsia="仿宋"/>
                <w:b/>
                <w:bCs/>
                <w:color w:val="000000"/>
                <w:sz w:val="20"/>
              </w:rPr>
              <w:t>持续推进全域旅游发展体系</w:t>
            </w:r>
          </w:p>
        </w:tc>
        <w:tc>
          <w:tcPr>
            <w:tcW w:w="685" w:type="pct"/>
            <w:shd w:val="clear" w:color="auto" w:fill="D8D8D8" w:themeFill="background1" w:themeFillShade="D9"/>
          </w:tcPr>
          <w:p w14:paraId="2FCCB4AA">
            <w:pPr>
              <w:jc w:val="center"/>
              <w:rPr>
                <w:rFonts w:ascii="仿宋" w:hAnsi="仿宋" w:eastAsia="仿宋"/>
                <w:b/>
                <w:bCs/>
                <w:color w:val="000000"/>
                <w:sz w:val="20"/>
              </w:rPr>
            </w:pPr>
            <w:r>
              <w:rPr>
                <w:rFonts w:hint="eastAsia" w:ascii="仿宋" w:hAnsi="仿宋" w:eastAsia="仿宋"/>
                <w:b/>
                <w:bCs/>
                <w:color w:val="000000"/>
                <w:sz w:val="20"/>
              </w:rPr>
              <w:t>国内游客认为武昌区旅游体验满足期望的比例</w:t>
            </w:r>
          </w:p>
        </w:tc>
        <w:tc>
          <w:tcPr>
            <w:tcW w:w="549" w:type="pct"/>
            <w:shd w:val="clear" w:color="auto" w:fill="D8D8D8" w:themeFill="background1" w:themeFillShade="D9"/>
          </w:tcPr>
          <w:p w14:paraId="0974C878">
            <w:pPr>
              <w:jc w:val="center"/>
              <w:rPr>
                <w:rFonts w:ascii="仿宋" w:hAnsi="仿宋" w:eastAsia="仿宋"/>
                <w:b/>
                <w:bCs/>
                <w:color w:val="000000"/>
                <w:sz w:val="20"/>
              </w:rPr>
            </w:pPr>
            <w:r>
              <w:rPr>
                <w:rFonts w:hint="eastAsia" w:ascii="仿宋" w:hAnsi="仿宋" w:eastAsia="仿宋"/>
                <w:b/>
                <w:bCs/>
                <w:color w:val="000000"/>
                <w:sz w:val="20"/>
              </w:rPr>
              <w:t>国内游客对武昌区总体旅游环境的评价</w:t>
            </w:r>
          </w:p>
        </w:tc>
      </w:tr>
      <w:tr w14:paraId="46588770">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90" w:type="pct"/>
            <w:shd w:val="clear" w:color="auto" w:fill="auto"/>
            <w:noWrap/>
            <w:vAlign w:val="center"/>
          </w:tcPr>
          <w:p w14:paraId="1C7CB826">
            <w:pPr>
              <w:jc w:val="center"/>
              <w:rPr>
                <w:rFonts w:ascii="仿宋" w:hAnsi="仿宋" w:eastAsia="仿宋"/>
                <w:color w:val="000000"/>
                <w:sz w:val="20"/>
                <w:szCs w:val="20"/>
              </w:rPr>
            </w:pPr>
            <w:r>
              <w:rPr>
                <w:rFonts w:hint="eastAsia" w:ascii="仿宋" w:hAnsi="仿宋" w:eastAsia="仿宋"/>
                <w:color w:val="000000"/>
                <w:sz w:val="20"/>
                <w:szCs w:val="20"/>
              </w:rPr>
              <w:t>标准分值</w:t>
            </w:r>
          </w:p>
        </w:tc>
        <w:tc>
          <w:tcPr>
            <w:tcW w:w="460" w:type="pct"/>
            <w:shd w:val="clear" w:color="auto" w:fill="auto"/>
            <w:noWrap/>
            <w:vAlign w:val="center"/>
          </w:tcPr>
          <w:p w14:paraId="13D32DE4">
            <w:pPr>
              <w:jc w:val="center"/>
              <w:rPr>
                <w:rFonts w:ascii="仿宋" w:hAnsi="仿宋" w:eastAsia="仿宋"/>
                <w:color w:val="000000"/>
                <w:sz w:val="24"/>
              </w:rPr>
            </w:pPr>
            <w:r>
              <w:rPr>
                <w:rFonts w:hint="eastAsia" w:ascii="仿宋" w:hAnsi="仿宋" w:eastAsia="仿宋"/>
                <w:color w:val="000000"/>
                <w:sz w:val="24"/>
              </w:rPr>
              <w:t>5</w:t>
            </w:r>
          </w:p>
        </w:tc>
        <w:tc>
          <w:tcPr>
            <w:tcW w:w="412" w:type="pct"/>
            <w:shd w:val="clear" w:color="auto" w:fill="auto"/>
            <w:noWrap/>
            <w:vAlign w:val="center"/>
          </w:tcPr>
          <w:p w14:paraId="44D9F7AB">
            <w:pPr>
              <w:jc w:val="center"/>
              <w:rPr>
                <w:rFonts w:ascii="仿宋" w:hAnsi="仿宋" w:eastAsia="仿宋"/>
                <w:color w:val="000000"/>
                <w:sz w:val="24"/>
              </w:rPr>
            </w:pPr>
            <w:r>
              <w:rPr>
                <w:rFonts w:hint="eastAsia" w:ascii="仿宋" w:hAnsi="仿宋" w:eastAsia="仿宋"/>
                <w:color w:val="000000"/>
                <w:sz w:val="24"/>
              </w:rPr>
              <w:t>3</w:t>
            </w:r>
          </w:p>
        </w:tc>
        <w:tc>
          <w:tcPr>
            <w:tcW w:w="413" w:type="pct"/>
            <w:vAlign w:val="center"/>
          </w:tcPr>
          <w:p w14:paraId="5E959CE7">
            <w:pPr>
              <w:jc w:val="center"/>
              <w:rPr>
                <w:rFonts w:ascii="仿宋" w:hAnsi="仿宋" w:eastAsia="仿宋"/>
                <w:color w:val="000000"/>
                <w:sz w:val="24"/>
              </w:rPr>
            </w:pPr>
            <w:r>
              <w:rPr>
                <w:rFonts w:hint="eastAsia" w:ascii="仿宋" w:hAnsi="仿宋" w:eastAsia="仿宋"/>
                <w:color w:val="000000"/>
                <w:sz w:val="24"/>
              </w:rPr>
              <w:t>5</w:t>
            </w:r>
          </w:p>
        </w:tc>
        <w:tc>
          <w:tcPr>
            <w:tcW w:w="410" w:type="pct"/>
            <w:vAlign w:val="center"/>
          </w:tcPr>
          <w:p w14:paraId="033C8ACD">
            <w:pPr>
              <w:jc w:val="center"/>
              <w:rPr>
                <w:rFonts w:ascii="仿宋" w:hAnsi="仿宋" w:eastAsia="仿宋"/>
                <w:color w:val="000000"/>
                <w:sz w:val="24"/>
              </w:rPr>
            </w:pPr>
            <w:r>
              <w:rPr>
                <w:rFonts w:hint="eastAsia" w:ascii="仿宋" w:hAnsi="仿宋" w:eastAsia="仿宋"/>
                <w:color w:val="000000"/>
                <w:sz w:val="24"/>
              </w:rPr>
              <w:t>4</w:t>
            </w:r>
          </w:p>
        </w:tc>
        <w:tc>
          <w:tcPr>
            <w:tcW w:w="493" w:type="pct"/>
            <w:vAlign w:val="center"/>
          </w:tcPr>
          <w:p w14:paraId="332D5B40">
            <w:pPr>
              <w:jc w:val="center"/>
              <w:rPr>
                <w:rFonts w:ascii="仿宋" w:hAnsi="仿宋" w:eastAsia="仿宋"/>
                <w:color w:val="000000"/>
                <w:sz w:val="24"/>
              </w:rPr>
            </w:pPr>
            <w:r>
              <w:rPr>
                <w:rFonts w:hint="eastAsia" w:ascii="仿宋" w:hAnsi="仿宋" w:eastAsia="仿宋"/>
                <w:color w:val="000000"/>
                <w:sz w:val="24"/>
              </w:rPr>
              <w:t>4</w:t>
            </w:r>
          </w:p>
        </w:tc>
        <w:tc>
          <w:tcPr>
            <w:tcW w:w="412" w:type="pct"/>
            <w:vAlign w:val="center"/>
          </w:tcPr>
          <w:p w14:paraId="269686AF">
            <w:pPr>
              <w:jc w:val="center"/>
              <w:rPr>
                <w:rFonts w:ascii="仿宋" w:hAnsi="仿宋" w:eastAsia="仿宋"/>
                <w:color w:val="000000"/>
                <w:sz w:val="24"/>
              </w:rPr>
            </w:pPr>
            <w:r>
              <w:rPr>
                <w:rFonts w:hint="eastAsia" w:ascii="仿宋" w:hAnsi="仿宋" w:eastAsia="仿宋"/>
                <w:color w:val="000000"/>
                <w:sz w:val="24"/>
              </w:rPr>
              <w:t>4</w:t>
            </w:r>
          </w:p>
        </w:tc>
        <w:tc>
          <w:tcPr>
            <w:tcW w:w="576" w:type="pct"/>
            <w:shd w:val="clear" w:color="auto" w:fill="auto"/>
            <w:noWrap/>
            <w:vAlign w:val="center"/>
          </w:tcPr>
          <w:p w14:paraId="1EBF5962">
            <w:pPr>
              <w:jc w:val="center"/>
              <w:rPr>
                <w:rFonts w:ascii="仿宋" w:hAnsi="仿宋" w:eastAsia="仿宋"/>
                <w:color w:val="000000"/>
                <w:sz w:val="24"/>
              </w:rPr>
            </w:pPr>
            <w:r>
              <w:rPr>
                <w:rFonts w:hint="eastAsia" w:ascii="仿宋" w:hAnsi="仿宋" w:eastAsia="仿宋"/>
                <w:color w:val="000000"/>
                <w:sz w:val="24"/>
              </w:rPr>
              <w:t>5</w:t>
            </w:r>
          </w:p>
        </w:tc>
        <w:tc>
          <w:tcPr>
            <w:tcW w:w="685" w:type="pct"/>
            <w:shd w:val="clear" w:color="auto" w:fill="auto"/>
            <w:noWrap/>
            <w:vAlign w:val="center"/>
          </w:tcPr>
          <w:p w14:paraId="76DD9DD6">
            <w:pPr>
              <w:jc w:val="center"/>
              <w:rPr>
                <w:rFonts w:ascii="仿宋" w:hAnsi="仿宋" w:eastAsia="仿宋"/>
                <w:color w:val="000000"/>
                <w:sz w:val="24"/>
              </w:rPr>
            </w:pPr>
            <w:r>
              <w:rPr>
                <w:rFonts w:hint="eastAsia" w:ascii="仿宋" w:hAnsi="仿宋" w:eastAsia="仿宋"/>
                <w:color w:val="000000"/>
                <w:sz w:val="24"/>
              </w:rPr>
              <w:t>5</w:t>
            </w:r>
          </w:p>
        </w:tc>
        <w:tc>
          <w:tcPr>
            <w:tcW w:w="549" w:type="pct"/>
            <w:shd w:val="clear" w:color="auto" w:fill="auto"/>
            <w:noWrap/>
            <w:vAlign w:val="center"/>
          </w:tcPr>
          <w:p w14:paraId="18A993DF">
            <w:pPr>
              <w:jc w:val="center"/>
              <w:rPr>
                <w:rFonts w:ascii="仿宋" w:hAnsi="仿宋" w:eastAsia="仿宋"/>
                <w:color w:val="000000"/>
                <w:sz w:val="24"/>
              </w:rPr>
            </w:pPr>
            <w:r>
              <w:rPr>
                <w:rFonts w:hint="eastAsia" w:ascii="仿宋" w:hAnsi="仿宋" w:eastAsia="仿宋"/>
                <w:color w:val="000000"/>
                <w:sz w:val="24"/>
              </w:rPr>
              <w:t>5</w:t>
            </w:r>
          </w:p>
        </w:tc>
      </w:tr>
      <w:tr w14:paraId="77437096">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PrEx>
        <w:trPr>
          <w:trHeight w:val="508" w:hRule="atLeast"/>
          <w:jc w:val="center"/>
        </w:trPr>
        <w:tc>
          <w:tcPr>
            <w:tcW w:w="590" w:type="pct"/>
            <w:shd w:val="clear" w:color="auto" w:fill="auto"/>
            <w:noWrap/>
            <w:vAlign w:val="center"/>
          </w:tcPr>
          <w:p w14:paraId="7DFA805E">
            <w:pPr>
              <w:jc w:val="center"/>
              <w:rPr>
                <w:rFonts w:ascii="仿宋" w:hAnsi="仿宋" w:eastAsia="仿宋"/>
                <w:color w:val="000000"/>
                <w:sz w:val="20"/>
                <w:szCs w:val="20"/>
              </w:rPr>
            </w:pPr>
            <w:r>
              <w:rPr>
                <w:rFonts w:hint="eastAsia" w:ascii="仿宋" w:hAnsi="仿宋" w:eastAsia="仿宋"/>
                <w:color w:val="000000"/>
                <w:sz w:val="20"/>
                <w:szCs w:val="20"/>
              </w:rPr>
              <w:t>实际得分</w:t>
            </w:r>
          </w:p>
        </w:tc>
        <w:tc>
          <w:tcPr>
            <w:tcW w:w="460" w:type="pct"/>
            <w:shd w:val="clear" w:color="auto" w:fill="auto"/>
            <w:noWrap/>
            <w:vAlign w:val="center"/>
          </w:tcPr>
          <w:p w14:paraId="6F730CC7">
            <w:pPr>
              <w:jc w:val="center"/>
              <w:rPr>
                <w:rFonts w:ascii="仿宋" w:hAnsi="仿宋" w:eastAsia="仿宋"/>
                <w:color w:val="000000"/>
                <w:sz w:val="24"/>
              </w:rPr>
            </w:pPr>
            <w:r>
              <w:rPr>
                <w:rFonts w:hint="eastAsia" w:ascii="仿宋" w:hAnsi="仿宋" w:eastAsia="仿宋"/>
                <w:color w:val="000000"/>
                <w:sz w:val="24"/>
              </w:rPr>
              <w:t>5</w:t>
            </w:r>
          </w:p>
        </w:tc>
        <w:tc>
          <w:tcPr>
            <w:tcW w:w="412" w:type="pct"/>
            <w:shd w:val="clear" w:color="auto" w:fill="auto"/>
            <w:noWrap/>
            <w:vAlign w:val="center"/>
          </w:tcPr>
          <w:p w14:paraId="261A5688">
            <w:pPr>
              <w:jc w:val="center"/>
              <w:rPr>
                <w:rFonts w:ascii="仿宋" w:hAnsi="仿宋" w:eastAsia="仿宋"/>
                <w:color w:val="000000"/>
                <w:sz w:val="24"/>
              </w:rPr>
            </w:pPr>
            <w:r>
              <w:rPr>
                <w:rFonts w:hint="eastAsia" w:ascii="仿宋" w:hAnsi="仿宋" w:eastAsia="仿宋"/>
                <w:color w:val="000000"/>
                <w:sz w:val="24"/>
              </w:rPr>
              <w:t>2.82</w:t>
            </w:r>
          </w:p>
        </w:tc>
        <w:tc>
          <w:tcPr>
            <w:tcW w:w="413" w:type="pct"/>
            <w:vAlign w:val="center"/>
          </w:tcPr>
          <w:p w14:paraId="6338B645">
            <w:pPr>
              <w:jc w:val="center"/>
              <w:rPr>
                <w:rFonts w:ascii="仿宋" w:hAnsi="仿宋" w:eastAsia="仿宋"/>
                <w:color w:val="000000"/>
                <w:sz w:val="24"/>
              </w:rPr>
            </w:pPr>
            <w:r>
              <w:rPr>
                <w:rFonts w:hint="eastAsia" w:ascii="仿宋" w:hAnsi="仿宋" w:eastAsia="仿宋"/>
                <w:color w:val="000000"/>
                <w:sz w:val="24"/>
              </w:rPr>
              <w:t>5</w:t>
            </w:r>
          </w:p>
        </w:tc>
        <w:tc>
          <w:tcPr>
            <w:tcW w:w="410" w:type="pct"/>
            <w:vAlign w:val="center"/>
          </w:tcPr>
          <w:p w14:paraId="66A81360">
            <w:pPr>
              <w:jc w:val="center"/>
              <w:rPr>
                <w:rFonts w:ascii="仿宋" w:hAnsi="仿宋" w:eastAsia="仿宋"/>
                <w:color w:val="000000"/>
                <w:sz w:val="24"/>
              </w:rPr>
            </w:pPr>
            <w:r>
              <w:rPr>
                <w:rFonts w:hint="eastAsia" w:ascii="仿宋" w:hAnsi="仿宋" w:eastAsia="仿宋"/>
                <w:color w:val="000000"/>
                <w:sz w:val="24"/>
              </w:rPr>
              <w:t>4</w:t>
            </w:r>
          </w:p>
        </w:tc>
        <w:tc>
          <w:tcPr>
            <w:tcW w:w="493" w:type="pct"/>
            <w:vAlign w:val="center"/>
          </w:tcPr>
          <w:p w14:paraId="0F5B74FD">
            <w:pPr>
              <w:jc w:val="center"/>
              <w:rPr>
                <w:rFonts w:ascii="仿宋" w:hAnsi="仿宋" w:eastAsia="仿宋"/>
                <w:color w:val="000000"/>
                <w:sz w:val="24"/>
              </w:rPr>
            </w:pPr>
            <w:r>
              <w:rPr>
                <w:rFonts w:hint="eastAsia" w:ascii="仿宋" w:hAnsi="仿宋" w:eastAsia="仿宋"/>
                <w:color w:val="000000"/>
                <w:sz w:val="24"/>
              </w:rPr>
              <w:t>4</w:t>
            </w:r>
          </w:p>
        </w:tc>
        <w:tc>
          <w:tcPr>
            <w:tcW w:w="412" w:type="pct"/>
            <w:vAlign w:val="center"/>
          </w:tcPr>
          <w:p w14:paraId="196E2725">
            <w:pPr>
              <w:jc w:val="center"/>
              <w:rPr>
                <w:rFonts w:ascii="仿宋" w:hAnsi="仿宋" w:eastAsia="仿宋"/>
                <w:color w:val="000000"/>
                <w:sz w:val="24"/>
              </w:rPr>
            </w:pPr>
            <w:r>
              <w:rPr>
                <w:rFonts w:hint="eastAsia" w:ascii="仿宋" w:hAnsi="仿宋" w:eastAsia="仿宋"/>
                <w:color w:val="000000"/>
                <w:sz w:val="24"/>
              </w:rPr>
              <w:t>4</w:t>
            </w:r>
          </w:p>
        </w:tc>
        <w:tc>
          <w:tcPr>
            <w:tcW w:w="576" w:type="pct"/>
            <w:shd w:val="clear" w:color="auto" w:fill="auto"/>
            <w:noWrap/>
            <w:vAlign w:val="center"/>
          </w:tcPr>
          <w:p w14:paraId="4C4B1CA9">
            <w:pPr>
              <w:jc w:val="center"/>
              <w:rPr>
                <w:rFonts w:ascii="仿宋" w:hAnsi="仿宋" w:eastAsia="仿宋"/>
                <w:color w:val="000000"/>
                <w:sz w:val="24"/>
              </w:rPr>
            </w:pPr>
            <w:r>
              <w:rPr>
                <w:rFonts w:hint="eastAsia" w:ascii="仿宋" w:hAnsi="仿宋" w:eastAsia="仿宋"/>
                <w:color w:val="000000"/>
                <w:sz w:val="24"/>
              </w:rPr>
              <w:t>5</w:t>
            </w:r>
          </w:p>
        </w:tc>
        <w:tc>
          <w:tcPr>
            <w:tcW w:w="685" w:type="pct"/>
            <w:shd w:val="clear" w:color="auto" w:fill="auto"/>
            <w:noWrap/>
            <w:vAlign w:val="center"/>
          </w:tcPr>
          <w:p w14:paraId="74B42628">
            <w:pPr>
              <w:jc w:val="center"/>
              <w:rPr>
                <w:rFonts w:ascii="仿宋" w:hAnsi="仿宋" w:eastAsia="仿宋"/>
                <w:color w:val="000000"/>
                <w:sz w:val="24"/>
              </w:rPr>
            </w:pPr>
            <w:r>
              <w:rPr>
                <w:rFonts w:hint="eastAsia" w:ascii="仿宋" w:hAnsi="仿宋" w:eastAsia="仿宋"/>
                <w:color w:val="000000"/>
                <w:sz w:val="24"/>
              </w:rPr>
              <w:t>4.33</w:t>
            </w:r>
          </w:p>
        </w:tc>
        <w:tc>
          <w:tcPr>
            <w:tcW w:w="549" w:type="pct"/>
            <w:shd w:val="clear" w:color="auto" w:fill="auto"/>
            <w:noWrap/>
            <w:vAlign w:val="center"/>
          </w:tcPr>
          <w:p w14:paraId="2F5A7920">
            <w:pPr>
              <w:jc w:val="center"/>
              <w:rPr>
                <w:rFonts w:ascii="仿宋" w:hAnsi="仿宋" w:eastAsia="仿宋"/>
                <w:color w:val="000000"/>
                <w:sz w:val="24"/>
              </w:rPr>
            </w:pPr>
            <w:r>
              <w:rPr>
                <w:rFonts w:hint="eastAsia" w:ascii="仿宋" w:hAnsi="仿宋" w:eastAsia="仿宋"/>
                <w:color w:val="000000"/>
                <w:sz w:val="24"/>
              </w:rPr>
              <w:t>4.23</w:t>
            </w:r>
          </w:p>
        </w:tc>
      </w:tr>
    </w:tbl>
    <w:p w14:paraId="7430581C">
      <w:pPr>
        <w:spacing w:line="600" w:lineRule="exact"/>
        <w:ind w:firstLine="561"/>
        <w:rPr>
          <w:rFonts w:ascii="仿宋_GB2312" w:hAnsi="Times New Roman" w:eastAsia="仿宋_GB2312" w:cs="Times New Roman"/>
          <w:sz w:val="32"/>
          <w:szCs w:val="32"/>
        </w:rPr>
      </w:pPr>
      <w:r>
        <w:rPr>
          <w:rFonts w:hint="eastAsia" w:ascii="仿宋_GB2312" w:hAnsi="Times New Roman" w:eastAsia="仿宋_GB2312" w:cs="Times New Roman"/>
          <w:sz w:val="32"/>
          <w:szCs w:val="32"/>
        </w:rPr>
        <w:t>效果方面主要评价项目实施对社会发展所带来的直接或间接影响，项目后续运行及成效发挥的可持续影响以及社会公众或服务对象对项目实施效果的满意程度。对于效果指标的评价，主要采取了查阅资料、现场访谈等方式进行资料收集、整理和分析，对项目效果涉及的指标进行打分，并逐级加权计算结果。</w:t>
      </w:r>
      <w:bookmarkStart w:id="3" w:name="_Toc394490603"/>
      <w:bookmarkStart w:id="4" w:name="_Toc394181016"/>
    </w:p>
    <w:p w14:paraId="42B0DB6B">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1、全区旅游总收入增长率（5分）</w:t>
      </w:r>
    </w:p>
    <w:p w14:paraId="33FDC3F4">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全区旅游总收入增长率用以反映</w:t>
      </w:r>
      <w:r>
        <w:rPr>
          <w:rFonts w:hint="eastAsia" w:ascii="仿宋_GB2312" w:eastAsia="仿宋_GB2312"/>
          <w:sz w:val="32"/>
          <w:szCs w:val="32"/>
        </w:rPr>
        <w:t>项目实施所产生的经济效益。</w:t>
      </w:r>
    </w:p>
    <w:p w14:paraId="16ADB72C">
      <w:pPr>
        <w:spacing w:line="600" w:lineRule="exact"/>
        <w:ind w:firstLine="643" w:firstLineChars="200"/>
        <w:rPr>
          <w:rFonts w:ascii="仿宋_GB2312" w:eastAsia="仿宋_GB2312"/>
          <w:b/>
          <w:sz w:val="32"/>
          <w:szCs w:val="32"/>
        </w:rPr>
      </w:pPr>
      <w:r>
        <w:rPr>
          <w:rFonts w:hint="eastAsia" w:ascii="仿宋_GB2312" w:eastAsia="仿宋_GB2312"/>
          <w:b/>
          <w:sz w:val="32"/>
          <w:szCs w:val="32"/>
        </w:rPr>
        <w:t>由于在各区开展入境旅游人数调查的准确度不高、可操作性弱，且相较国内旅游市场，入境旅游市场对全市旅游市场的影响微乎其微（2017年武汉市入境游客仅占全市游客接待总量的1.0%，入境旅游收入仅占全市旅游总收入的4.1%），此处在计算指标时未考虑境外游客，下同。</w:t>
      </w:r>
    </w:p>
    <w:p w14:paraId="374BBD55">
      <w:pPr>
        <w:spacing w:line="600" w:lineRule="exact"/>
        <w:ind w:firstLine="640" w:firstLineChars="200"/>
        <w:rPr>
          <w:rFonts w:ascii="仿宋_GB2312" w:eastAsia="仿宋_GB2312"/>
          <w:sz w:val="32"/>
          <w:szCs w:val="32"/>
        </w:rPr>
      </w:pPr>
      <w:r>
        <w:rPr>
          <w:rFonts w:hint="eastAsia" w:ascii="仿宋_GB2312" w:eastAsia="仿宋_GB2312"/>
          <w:sz w:val="32"/>
          <w:szCs w:val="32"/>
        </w:rPr>
        <w:t>根据2019年1月湖北维度统计师事务所有限公司出具的《2018年武昌区国内旅游抽样调查分析报告》，经测算，2018年武昌区实现国内旅游收入392.48亿元。根据2020年1月湖北维度统计师事务所有限公司出具的《2019年武昌区旅游抽样调查分析报告》，经测算，2019年武昌区实现国内旅游收入446.82亿元，同比增长13.85%，达到绩效目标要求的12%。</w:t>
      </w:r>
      <w:r>
        <w:rPr>
          <w:rFonts w:hint="eastAsia" w:ascii="仿宋_GB2312" w:hAnsi="Times New Roman" w:eastAsia="仿宋_GB2312" w:cs="Times New Roman"/>
          <w:sz w:val="32"/>
          <w:szCs w:val="32"/>
        </w:rPr>
        <w:t>根据评分细则，得5分。</w:t>
      </w:r>
    </w:p>
    <w:bookmarkEnd w:id="3"/>
    <w:bookmarkEnd w:id="4"/>
    <w:p w14:paraId="6E282A92">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2、国内游客人均花费（3分）</w:t>
      </w:r>
    </w:p>
    <w:p w14:paraId="1AF1DC1D">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国内游客人均花费用以反映项目实施所产生的经济效益。主要考虑将武昌区国内旅游人均花费与武汉市国内游客人均花费进行比较。</w:t>
      </w:r>
    </w:p>
    <w:p w14:paraId="76E2A7E9">
      <w:pPr>
        <w:spacing w:line="600" w:lineRule="exact"/>
        <w:ind w:firstLine="640" w:firstLineChars="200"/>
        <w:rPr>
          <w:rFonts w:ascii="仿宋_GB2312" w:hAnsi="Times New Roman" w:eastAsia="仿宋_GB2312" w:cs="Times New Roman"/>
          <w:bCs/>
          <w:sz w:val="32"/>
          <w:szCs w:val="32"/>
        </w:rPr>
      </w:pPr>
      <w:r>
        <w:rPr>
          <w:rFonts w:hint="eastAsia" w:ascii="仿宋_GB2312" w:eastAsia="仿宋_GB2312"/>
          <w:sz w:val="32"/>
          <w:szCs w:val="32"/>
        </w:rPr>
        <w:t>根据2020年1月湖北维度统计师事务所有限公司出具的《2019年武昌区旅游抽样调查分析报告》，经测算，</w:t>
      </w:r>
      <w:r>
        <w:rPr>
          <w:rFonts w:hint="eastAsia" w:ascii="仿宋_GB2312" w:hAnsi="Times New Roman" w:eastAsia="仿宋_GB2312" w:cs="Times New Roman"/>
          <w:bCs/>
          <w:sz w:val="32"/>
          <w:szCs w:val="32"/>
        </w:rPr>
        <w:t>2019年武昌区接待的国内游客人均花费1018.71元，低于武汉市2019年接待的国内游客人均花费1082.76元（根据武汉市文化和旅游局公示的武汉市2019年度旅游统计信息，2019年度武汉市共计接待国内游客3.16亿人次，实现国内旅游收入3421.52亿元），达到武汉市国内游客人均花费的94.08%。根据评分细则，扣0.18分，得2.82分。</w:t>
      </w:r>
    </w:p>
    <w:p w14:paraId="7C68176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3、全区年接待游客总数增长率（5分）</w:t>
      </w:r>
    </w:p>
    <w:p w14:paraId="49E085A6">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全区年接待游客总数增长率用以反映</w:t>
      </w:r>
      <w:r>
        <w:rPr>
          <w:rFonts w:hint="eastAsia" w:ascii="仿宋_GB2312" w:eastAsia="仿宋_GB2312"/>
          <w:sz w:val="32"/>
          <w:szCs w:val="32"/>
        </w:rPr>
        <w:t>项目实施所产生的社会效益。</w:t>
      </w:r>
    </w:p>
    <w:p w14:paraId="55F7063A">
      <w:pPr>
        <w:spacing w:line="600" w:lineRule="exact"/>
        <w:ind w:firstLine="640" w:firstLineChars="200"/>
        <w:rPr>
          <w:rFonts w:ascii="仿宋_GB2312" w:eastAsia="仿宋_GB2312"/>
          <w:sz w:val="32"/>
          <w:szCs w:val="32"/>
        </w:rPr>
      </w:pPr>
      <w:r>
        <w:rPr>
          <w:rFonts w:hint="eastAsia" w:ascii="仿宋_GB2312" w:eastAsia="仿宋_GB2312"/>
          <w:sz w:val="32"/>
          <w:szCs w:val="32"/>
        </w:rPr>
        <w:t>根据2019年1月湖北维度统计师事务所有限公司出具的《2018年武昌区国内旅游抽样调查分析报告》，经测算，2018年武昌区接待国内游客3883.87万人次。根据2020年1月湖北维度统计师事务所有限公司出具的《2019年武昌区旅游抽样调查分析报告》，经测算，2019年武昌区接待国内游客4386.12万人次，同比增长12.96%。达到绩效目标要求的10%。</w:t>
      </w:r>
      <w:r>
        <w:rPr>
          <w:rFonts w:hint="eastAsia" w:ascii="仿宋_GB2312" w:hAnsi="Times New Roman" w:eastAsia="仿宋_GB2312" w:cs="Times New Roman"/>
          <w:sz w:val="32"/>
          <w:szCs w:val="32"/>
        </w:rPr>
        <w:t>根据评分细则，得5分。</w:t>
      </w:r>
    </w:p>
    <w:p w14:paraId="04D3EA4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4、旅游投诉处置率（4分）</w:t>
      </w:r>
    </w:p>
    <w:p w14:paraId="20E2864B">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旅游投诉处置率用以反映</w:t>
      </w:r>
      <w:r>
        <w:rPr>
          <w:rFonts w:hint="eastAsia" w:ascii="仿宋_GB2312" w:eastAsia="仿宋_GB2312"/>
          <w:sz w:val="32"/>
          <w:szCs w:val="32"/>
        </w:rPr>
        <w:t>项目实施所产生的社会效益。</w:t>
      </w:r>
    </w:p>
    <w:p w14:paraId="355EDDEE">
      <w:pPr>
        <w:spacing w:line="600" w:lineRule="exact"/>
        <w:ind w:firstLine="640" w:firstLineChars="200"/>
        <w:rPr>
          <w:rFonts w:ascii="仿宋_GB2312" w:eastAsia="仿宋_GB2312"/>
          <w:sz w:val="32"/>
          <w:szCs w:val="32"/>
        </w:rPr>
      </w:pPr>
      <w:r>
        <w:rPr>
          <w:rFonts w:hint="eastAsia" w:ascii="仿宋_GB2312" w:eastAsia="仿宋_GB2312"/>
          <w:sz w:val="32"/>
          <w:szCs w:val="32"/>
        </w:rPr>
        <w:t>为深化旅游消费维权工作，保障旅游市场健康的消费环境，树立良好旅游形象，切实保护游客的合法权益，文旅局利用12301全国旅游监管服务平台、市长热线、城市留言板、12315景区消费维权服务站等，积极开展旅游消费维权服务行动。2019年共受理来自12301和市长热线、城市留言板、12315景区消费维权服务站等的投诉共计276起，旅游投诉处置率为100%，为游客挽回经济损失约43万元。根据评分细则，得4分。</w:t>
      </w:r>
    </w:p>
    <w:p w14:paraId="786A7A4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5、旅行社服务网点合法合规检查覆盖率（4分）</w:t>
      </w:r>
    </w:p>
    <w:p w14:paraId="2AFC2B3E">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旅行社服务网点合法合规检查覆盖率用以反映</w:t>
      </w:r>
      <w:r>
        <w:rPr>
          <w:rFonts w:hint="eastAsia" w:ascii="仿宋_GB2312" w:eastAsia="仿宋_GB2312"/>
          <w:sz w:val="32"/>
          <w:szCs w:val="32"/>
        </w:rPr>
        <w:t>项目实施所产生的社会效益。</w:t>
      </w:r>
    </w:p>
    <w:p w14:paraId="6260DC54">
      <w:pPr>
        <w:spacing w:line="600" w:lineRule="exact"/>
        <w:ind w:firstLine="640" w:firstLineChars="200"/>
        <w:rPr>
          <w:rFonts w:ascii="仿宋_GB2312" w:eastAsia="仿宋_GB2312"/>
          <w:sz w:val="32"/>
          <w:szCs w:val="32"/>
        </w:rPr>
      </w:pPr>
      <w:r>
        <w:rPr>
          <w:rFonts w:hint="eastAsia" w:ascii="仿宋_GB2312" w:eastAsia="仿宋_GB2312"/>
          <w:sz w:val="32"/>
          <w:szCs w:val="32"/>
        </w:rPr>
        <w:t>2019年，区文旅局开展了旅游市场秩序综合整治“利剑行动”之“春季会战”、打非治违专项整治、节前安全生产大检查、庆祝改革开放40周年旅游市场秩序专项整治保障行动、安全生产大暗访、深入推进“保健”市场乱象整治百日行动、文明创建季度测评迎检、旅游安全风险隐患专项排查督查、暑期旅游市场秩序专项整治、全省A级旅游集中检查、“双随机”抽查、全市文化和旅游市场整治等专项行动，全年开展50余次，出动检查人员813人次，检查旅游景区、星级酒店、旅行社1194家次，旅行社服务网点季度检查覆盖率100%，不断优化旅游环境和服务，提升区域旅游综合竞争力。根据评分细则，得4分。</w:t>
      </w:r>
    </w:p>
    <w:p w14:paraId="0B36F99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6、国内影响力提升（4分）</w:t>
      </w:r>
    </w:p>
    <w:p w14:paraId="78C74E52">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国内影响力提升用以反映项目实施所产生的社会效益。主要考虑项目实施后，武汉市外的其他地方（不考虑境外）的游客接待比例是否增长。</w:t>
      </w:r>
    </w:p>
    <w:p w14:paraId="50ADED35">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区文旅局不断加大智慧旅游建设力度，以宣传视频、专业讲解、成果发布、文化演出等多种形式展示武昌旅游的独特魅力以及武昌历史之城丰富的旅游资源和深厚的历史文化、提升武昌旅游品牌的竞争力和知名度，年度内实现国内游客人数和旅游收入的双增长。</w:t>
      </w:r>
    </w:p>
    <w:p w14:paraId="737EBE25">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2019年度编印《画境武昌》旅游画册中英文版1万册、《漫游武昌》手绘地图2万册、《武昌城》杂志、户部巷折页、昙华林折页、武昌旅游立体书；制作反映武汉过早及户部巷美食短视频15集，在长江日报两个版面刊发大黄鹤楼-武昌古城资源型IP。完成2019年“魅力武昌”摄影比赛评选，评选出获奖作品62幅。举办“2019武汉非遗过早节”，吸引游客人数达21万人次，人民网等20余家媒体跟踪报道，斗鱼等网络平台参与人数13.5万人次；举办“世界军运</w:t>
      </w:r>
      <w:r>
        <w:rPr>
          <w:rFonts w:hint="eastAsia" w:ascii="宋体" w:hAnsi="宋体" w:eastAsia="宋体" w:cs="宋体"/>
          <w:bCs/>
          <w:sz w:val="32"/>
          <w:szCs w:val="32"/>
        </w:rPr>
        <w:t>•</w:t>
      </w:r>
      <w:r>
        <w:rPr>
          <w:rFonts w:hint="eastAsia" w:ascii="仿宋" w:hAnsi="仿宋" w:eastAsia="仿宋" w:cs="仿宋"/>
          <w:bCs/>
          <w:sz w:val="32"/>
          <w:szCs w:val="32"/>
        </w:rPr>
        <w:t>文旅为媒——</w:t>
      </w:r>
      <w:r>
        <w:rPr>
          <w:rFonts w:hint="eastAsia" w:ascii="仿宋_GB2312" w:hAnsi="Times New Roman" w:eastAsia="仿宋_GB2312" w:cs="Times New Roman"/>
          <w:bCs/>
          <w:sz w:val="32"/>
          <w:szCs w:val="32"/>
        </w:rPr>
        <w:t>2019首季大学生花样组合武昌行”，647.5万微博话题阅读、1021条媒体曝光数据、30余家全国重点网站联动转发；举办户部巷“最汉味小吃”评选活动，腾讯新闻网络直播累计76.4万人次观看。</w:t>
      </w:r>
    </w:p>
    <w:p w14:paraId="34643138">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根据2019年1月湖北维度统计师事务所有限公司出具的《2018年武昌区国内旅游抽样调查分析报告》，经调查统计，2018年武汉市内的游客占国内游客客源市场的32.97%，武汉市外游客占国内游客客源市场的67.03%。</w:t>
      </w:r>
    </w:p>
    <w:p w14:paraId="4DDD728F">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2019年武汉市内的游客占国内游客客源市场的27.94%，武汉市外游客占国内游客客源市场的72.06%，高于上年的67.03%。根据评分细则，得4分。</w:t>
      </w:r>
    </w:p>
    <w:p w14:paraId="4694A918">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7、持续推进全域旅游发展体系（5分）</w:t>
      </w:r>
    </w:p>
    <w:p w14:paraId="60B5C66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持续推进全域旅游发展体系用以反映项目实施所产生的可持续影响。主要考虑全域旅游是否建立完善的组织分工体系以及项目实施能否推进全域旅游体系建设以及服务品质的提升。</w:t>
      </w:r>
    </w:p>
    <w:p w14:paraId="0E3CEA82">
      <w:pPr>
        <w:spacing w:line="600" w:lineRule="exact"/>
        <w:ind w:firstLine="643" w:firstLineChars="200"/>
        <w:rPr>
          <w:rFonts w:ascii="仿宋_GB2312" w:eastAsia="仿宋_GB2312"/>
          <w:bCs/>
          <w:sz w:val="32"/>
          <w:szCs w:val="32"/>
        </w:rPr>
      </w:pPr>
      <w:r>
        <w:rPr>
          <w:rFonts w:hint="eastAsia" w:ascii="仿宋_GB2312" w:eastAsia="仿宋_GB2312"/>
          <w:b/>
          <w:bCs/>
          <w:sz w:val="32"/>
          <w:szCs w:val="32"/>
        </w:rPr>
        <w:t>成立武昌区文化旅游发展领导小组，组建区文体旅游发展委员会（后更名区文旅局），加强旅游发展统筹、调度。</w:t>
      </w:r>
      <w:r>
        <w:rPr>
          <w:rFonts w:hint="eastAsia" w:ascii="仿宋_GB2312" w:hAnsi="Times New Roman" w:eastAsia="仿宋_GB2312" w:cs="Times New Roman"/>
          <w:bCs/>
          <w:sz w:val="32"/>
          <w:szCs w:val="32"/>
        </w:rPr>
        <w:t>2018年4月19日，中共武昌区委办公室、武昌区人民政府下发《关于成立武昌区文化旅游发展工作领导小组》的通知，同意成立武昌区文化旅游发展领导小组，以进一步加强对全区文化旅游发展工作的组织领导，推动全区文化旅游产业快速发展。</w:t>
      </w:r>
    </w:p>
    <w:p w14:paraId="38B2D97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2019年3月17日组建武汉市武昌区文化和旅游局，下设旅游客（产业科），负责全区全域旅游发展规划的编定和组织指导实施，负责指导旅游景区、旅游特色街区创建，负责全区文化、旅游、体育产业发展战略规划的制定以及意见和相关政策措施的制定，同时协调全区文化、旅游、体育产业的交流与合作等工作。</w:t>
      </w:r>
    </w:p>
    <w:p w14:paraId="49C151D3">
      <w:pPr>
        <w:spacing w:line="60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成立旅游发展联盟，整合旅游要素资源，激发市场主体活力，推进旅游景区、旅行社、旅游酒店及相关产业和服务机构互动合作、联动发展，构建务实高效、互惠互利的全域旅游合作体系。</w:t>
      </w:r>
      <w:r>
        <w:rPr>
          <w:rFonts w:hint="eastAsia" w:ascii="仿宋_GB2312" w:hAnsi="Times New Roman" w:eastAsia="仿宋_GB2312" w:cs="Times New Roman"/>
          <w:bCs/>
          <w:sz w:val="32"/>
          <w:szCs w:val="32"/>
        </w:rPr>
        <w:t>2018年成立武昌旅游发展联盟，联盟成员50家，2019年新增加成员10家；2020年新增加成员21家。</w:t>
      </w:r>
    </w:p>
    <w:p w14:paraId="59977485">
      <w:pPr>
        <w:spacing w:line="60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加快武昌智慧旅游综合信息服务平台建设，实现主要旅游景区内电子讲解、智慧导游全覆盖。</w:t>
      </w:r>
      <w:r>
        <w:rPr>
          <w:rFonts w:hint="eastAsia" w:ascii="仿宋_GB2312" w:hAnsi="Times New Roman" w:eastAsia="仿宋_GB2312" w:cs="Times New Roman"/>
          <w:bCs/>
          <w:sz w:val="32"/>
          <w:szCs w:val="32"/>
        </w:rPr>
        <w:t>整合区域优质资源、接入城管、公安、交管等信息，建设武昌旅游大数据中心，促进信息资源的有效共享、综合利用。2019年5月，文化和旅游局开发的一部手机游武昌智慧软件上线运营，获得腾讯公司2019年度数字文旅创新奖（全国共十个创新奖单位）。</w:t>
      </w:r>
    </w:p>
    <w:p w14:paraId="35699D1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根据评分细则，得5分。</w:t>
      </w:r>
    </w:p>
    <w:p w14:paraId="33D40B6E">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8、国内游客认为武昌区旅游体验满足期望的比例（5分）</w:t>
      </w:r>
    </w:p>
    <w:p w14:paraId="6FB7886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国内游客认为武昌区旅游体验满足期望的比例用以社会公众或服务对象对项目实施效果的满意程度。</w:t>
      </w:r>
    </w:p>
    <w:p w14:paraId="7F952E80">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武昌区旅游体验维持在较高水平，86.61%的国内游客认为，武昌区旅游体验能够满足期望（明显高于期望比重+略高于期望比重+与期望基本持平比重）。具体来看，认为旅游体验明显高于期望的国内游客占11.24%；认为旅游体验略高于期望的国内游客占25.54%；认为旅游体验和期望基本持平的国内游客占49.83%。</w:t>
      </w:r>
    </w:p>
    <w:p w14:paraId="02BBB7C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根据评分细则，扣0.67分，得4.33分。</w:t>
      </w:r>
    </w:p>
    <w:p w14:paraId="01FD096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9、国内游客对武昌区总体旅游环境的评价（5分）</w:t>
      </w:r>
    </w:p>
    <w:p w14:paraId="4491734C">
      <w:pPr>
        <w:spacing w:line="600" w:lineRule="exact"/>
        <w:ind w:firstLine="640" w:firstLineChars="200"/>
        <w:rPr>
          <w:rFonts w:ascii="仿宋_GB2312" w:hAnsi="Times New Roman" w:eastAsia="仿宋_GB2312" w:cs="Times New Roman"/>
          <w:bCs/>
          <w:sz w:val="32"/>
          <w:szCs w:val="32"/>
          <w:u w:val="single"/>
        </w:rPr>
      </w:pPr>
      <w:r>
        <w:rPr>
          <w:rFonts w:hint="eastAsia" w:ascii="仿宋_GB2312" w:hAnsi="Times New Roman" w:eastAsia="仿宋_GB2312" w:cs="Times New Roman"/>
          <w:bCs/>
          <w:sz w:val="32"/>
          <w:szCs w:val="32"/>
        </w:rPr>
        <w:t>国内游客对武昌区总体旅游环境的评价用以社会公众或服务对象对项目实施效果的满意程度。采用10分制，让被调查游客对武昌总体旅游环境进行评价打分。</w:t>
      </w:r>
    </w:p>
    <w:p w14:paraId="6413D88C">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国内游客对武昌区各项旅游服务项目和总体旅游环境评价有所提高，国内游客对武昌区总体旅游环境评价得分为8.45分（满分为10分），同比增加0.29分。</w:t>
      </w:r>
    </w:p>
    <w:p w14:paraId="425C580E">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根据评分细则，扣0.77分，得4.23分。</w:t>
      </w:r>
    </w:p>
    <w:p w14:paraId="332576A7">
      <w:pPr>
        <w:spacing w:line="600" w:lineRule="exact"/>
        <w:ind w:firstLine="640" w:firstLineChars="200"/>
        <w:rPr>
          <w:rFonts w:ascii="仿宋_GB2312" w:hAnsi="Times New Roman" w:eastAsia="仿宋_GB2312" w:cs="Times New Roman"/>
          <w:bCs/>
          <w:sz w:val="32"/>
          <w:szCs w:val="32"/>
        </w:rPr>
      </w:pPr>
    </w:p>
    <w:p w14:paraId="3E5010E5">
      <w:pPr>
        <w:pStyle w:val="2"/>
        <w:spacing w:before="0" w:after="0" w:line="600" w:lineRule="exact"/>
        <w:ind w:firstLine="643" w:firstLineChars="200"/>
        <w:rPr>
          <w:rFonts w:ascii="Times New Roman" w:hAnsi="Times New Roman" w:eastAsia="黑体" w:cs="Times New Roman"/>
          <w:color w:val="000000"/>
          <w:kern w:val="0"/>
          <w:sz w:val="32"/>
          <w:szCs w:val="32"/>
        </w:rPr>
      </w:pPr>
      <w:r>
        <w:rPr>
          <w:rFonts w:ascii="黑体" w:hAnsi="黑体" w:eastAsia="黑体"/>
          <w:sz w:val="32"/>
          <w:szCs w:val="32"/>
        </w:rPr>
        <w:t>五、主要经验及做法、存在的问题及原因分析</w:t>
      </w:r>
    </w:p>
    <w:p w14:paraId="19E7A440">
      <w:pPr>
        <w:spacing w:line="600" w:lineRule="exact"/>
        <w:ind w:firstLine="643" w:firstLineChars="200"/>
        <w:outlineLvl w:val="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（一）主要经验及做法</w:t>
      </w:r>
    </w:p>
    <w:p w14:paraId="5082C2E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1、精心谋划，主动作为，构建武昌全域旅游大发展工作格局</w:t>
      </w:r>
    </w:p>
    <w:p w14:paraId="286FDA40">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高位统筹，合力推进全域旅游纵深发展。武昌于2018年3月在全市率先成立最高规格工作机构，书记、区长亲任组长的武昌区文化旅游发展工作领导小组；同年4月率先召开全域旅游大会，率先启动《武昌区全域旅游大发展三年行动计划（2018-2020）》，实现旅游业从单一部门管理向以旅游主管部门为主、相关部门协同管理的重大转变。</w:t>
      </w:r>
    </w:p>
    <w:p w14:paraId="53389FC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多规融合，优化全域旅游空间布局。结合长江主轴和武汉市历史之城、当代之城、未来之城“三城”建设，详细挖掘了武昌两大重点旅游片区的文化脉络及空间价值，通过重点空间项目、游赏线路设计等一揽子解决方案，明确武昌重点区块全域旅游资源开发、产业融合发展、基础设施建设等方面的发展思路和方法，形成武昌全域旅游发展的特色路径。</w:t>
      </w:r>
    </w:p>
    <w:p w14:paraId="680DB305">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2、策划线路，拓展市场，提升武昌全域旅游美誉度</w:t>
      </w:r>
    </w:p>
    <w:p w14:paraId="6FAA8733">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宣传造势，展示武昌丰富的旅游资源。一是借助传统媒体资源，全方位、多角度宣传武昌旅游优势；二是借助新媒体资源，通过运营“一部手机游武昌”微信公众号、开展“花Young武汉48小时”全球主题营销推广活动，借助抖音、头条、喜马拉雅等平台，快速广泛的为武昌旅游发声，进一步提升了景区景点的知名度、美誉度和吸引力；三是创办武昌旅游特刊《武昌城》，目前已陆续推出</w:t>
      </w:r>
      <w:r>
        <w:rPr>
          <w:rFonts w:ascii="仿宋_GB2312" w:hAnsi="Times New Roman" w:eastAsia="仿宋_GB2312" w:cs="Times New Roman"/>
          <w:bCs/>
          <w:sz w:val="32"/>
          <w:szCs w:val="32"/>
        </w:rPr>
        <w:t>5</w:t>
      </w:r>
      <w:r>
        <w:rPr>
          <w:rFonts w:hint="eastAsia" w:ascii="仿宋_GB2312" w:hAnsi="Times New Roman" w:eastAsia="仿宋_GB2312" w:cs="Times New Roman"/>
          <w:bCs/>
          <w:sz w:val="32"/>
          <w:szCs w:val="32"/>
        </w:rPr>
        <w:t>期，每期策划一个旅游主题，推出一批旅游产品，设计数条精品线路，同时制作武昌手绘地图、画境武昌等宣传品，向省内外游客发放各类旅游宣传资料10万余份。</w:t>
      </w:r>
    </w:p>
    <w:p w14:paraId="4E1295C5">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活动营销，组织开展系列特色节庆活动。一是举办别开生面的黄鹤楼中秋诗词歌会，打造武昌版《经典咏流传》，成为本届武汉国际旅游节的一大亮点。二是吆喝独具特色的武汉过早节，活动期间户部巷单日游客接待量超16万人次。三是开展异域风情的法国文化旅游周。通过狂欢花车大巡游、法国香水展示、中法音乐节、中法国际艺术交流日、国际美食嘉年华、法国主题时装秀等系列节目，为市民游客奉献了一场异域文化旅游盛宴。</w:t>
      </w:r>
    </w:p>
    <w:p w14:paraId="1653C15E">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组团推介，不断拓展武昌旅游版图。一年来，武昌依托旅游联盟组织旅游企业前往重庆、成都考察，与当地旅游企业、管理机构座谈交流，学习旅游发达地区的先进理念、运营模式和成功经验；全年不间断的组织联盟理事单位到香港、</w:t>
      </w:r>
      <w:r>
        <w:rPr>
          <w:rFonts w:ascii="仿宋_GB2312" w:hAnsi="Times New Roman" w:eastAsia="仿宋_GB2312" w:cs="Times New Roman"/>
          <w:bCs/>
          <w:sz w:val="32"/>
          <w:szCs w:val="32"/>
        </w:rPr>
        <w:t>重庆、成都、广州、苏州</w:t>
      </w:r>
      <w:r>
        <w:rPr>
          <w:rFonts w:hint="eastAsia" w:ascii="仿宋_GB2312" w:hAnsi="Times New Roman" w:eastAsia="仿宋_GB2312" w:cs="Times New Roman"/>
          <w:bCs/>
          <w:sz w:val="32"/>
          <w:szCs w:val="32"/>
        </w:rPr>
        <w:t>、宁波</w:t>
      </w:r>
      <w:r>
        <w:rPr>
          <w:rFonts w:ascii="仿宋_GB2312" w:hAnsi="Times New Roman" w:eastAsia="仿宋_GB2312" w:cs="Times New Roman"/>
          <w:bCs/>
          <w:sz w:val="32"/>
          <w:szCs w:val="32"/>
        </w:rPr>
        <w:t>等12个重点客源城市以路演或推介会等形式举办旅游宣传促销活动</w:t>
      </w:r>
      <w:r>
        <w:rPr>
          <w:rFonts w:hint="eastAsia" w:ascii="仿宋_GB2312" w:hAnsi="Times New Roman" w:eastAsia="仿宋_GB2312" w:cs="Times New Roman"/>
          <w:bCs/>
          <w:sz w:val="32"/>
          <w:szCs w:val="32"/>
        </w:rPr>
        <w:t>，先后接待英国旅行商代表团、重庆渝中区和杭州上城区等商旅团来武昌考察推介，共谋海外、省外旅游市场发展，助推行业发展。</w:t>
      </w:r>
    </w:p>
    <w:p w14:paraId="43D5547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3、完善配套，强化功能，推进全域旅游公共服务</w:t>
      </w:r>
    </w:p>
    <w:p w14:paraId="4689D90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建设智慧旅游系统。武昌旅游综合信息服务平台建设项目一期建设已基本完成，该项目包括全域旅游标准信息库、全域旅游微信公众号和全域旅游管控中心，以游客为中心，提供全场景智慧旅游服务，</w:t>
      </w:r>
      <w:r>
        <w:rPr>
          <w:rFonts w:ascii="仿宋_GB2312" w:hAnsi="Times New Roman" w:eastAsia="仿宋_GB2312" w:cs="Times New Roman"/>
          <w:bCs/>
          <w:sz w:val="32"/>
          <w:szCs w:val="32"/>
        </w:rPr>
        <w:t>包括</w:t>
      </w:r>
      <w:r>
        <w:rPr>
          <w:rFonts w:hint="eastAsia" w:ascii="仿宋_GB2312" w:hAnsi="Times New Roman" w:eastAsia="仿宋_GB2312" w:cs="Times New Roman"/>
          <w:bCs/>
          <w:sz w:val="32"/>
          <w:szCs w:val="32"/>
        </w:rPr>
        <w:t>微网站</w:t>
      </w:r>
      <w:r>
        <w:rPr>
          <w:rFonts w:ascii="仿宋_GB2312" w:hAnsi="Times New Roman" w:eastAsia="仿宋_GB2312" w:cs="Times New Roman"/>
          <w:bCs/>
          <w:sz w:val="32"/>
          <w:szCs w:val="32"/>
        </w:rPr>
        <w:t>、</w:t>
      </w:r>
      <w:r>
        <w:rPr>
          <w:rFonts w:hint="eastAsia" w:ascii="仿宋_GB2312" w:hAnsi="Times New Roman" w:eastAsia="仿宋_GB2312" w:cs="Times New Roman"/>
          <w:bCs/>
          <w:sz w:val="32"/>
          <w:szCs w:val="32"/>
        </w:rPr>
        <w:t>景区概况、旅游地图</w:t>
      </w:r>
      <w:r>
        <w:rPr>
          <w:rFonts w:ascii="仿宋_GB2312" w:hAnsi="Times New Roman" w:eastAsia="仿宋_GB2312" w:cs="Times New Roman"/>
          <w:bCs/>
          <w:sz w:val="32"/>
          <w:szCs w:val="32"/>
        </w:rPr>
        <w:t>、特色专题、交通贴士、旅游攻略、投诉建议</w:t>
      </w:r>
      <w:r>
        <w:rPr>
          <w:rFonts w:hint="eastAsia" w:ascii="仿宋_GB2312" w:hAnsi="Times New Roman" w:eastAsia="仿宋_GB2312" w:cs="Times New Roman"/>
          <w:bCs/>
          <w:sz w:val="32"/>
          <w:szCs w:val="32"/>
        </w:rPr>
        <w:t>等</w:t>
      </w:r>
      <w:r>
        <w:rPr>
          <w:rFonts w:ascii="仿宋_GB2312" w:hAnsi="Times New Roman" w:eastAsia="仿宋_GB2312" w:cs="Times New Roman"/>
          <w:bCs/>
          <w:sz w:val="32"/>
          <w:szCs w:val="32"/>
        </w:rPr>
        <w:t>功能</w:t>
      </w:r>
      <w:r>
        <w:rPr>
          <w:rFonts w:hint="eastAsia" w:ascii="仿宋_GB2312" w:hAnsi="Times New Roman" w:eastAsia="仿宋_GB2312" w:cs="Times New Roman"/>
          <w:bCs/>
          <w:sz w:val="32"/>
          <w:szCs w:val="32"/>
        </w:rPr>
        <w:t>，满足</w:t>
      </w:r>
      <w:r>
        <w:rPr>
          <w:rFonts w:ascii="仿宋_GB2312" w:hAnsi="Times New Roman" w:eastAsia="仿宋_GB2312" w:cs="Times New Roman"/>
          <w:bCs/>
          <w:sz w:val="32"/>
          <w:szCs w:val="32"/>
        </w:rPr>
        <w:t>游客在游前、游中及游后</w:t>
      </w:r>
      <w:r>
        <w:rPr>
          <w:rFonts w:hint="eastAsia" w:ascii="仿宋_GB2312" w:hAnsi="Times New Roman" w:eastAsia="仿宋_GB2312" w:cs="Times New Roman"/>
          <w:bCs/>
          <w:sz w:val="32"/>
          <w:szCs w:val="32"/>
        </w:rPr>
        <w:t>全过程需求。</w:t>
      </w:r>
    </w:p>
    <w:p w14:paraId="222604A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完善标识标牌系统。完善与提升交通枢纽、入城口等重要节点交通指引标识引导服务功能。目前，已完成户部巷街区旅游标示标牌更新改造和昙华林历史文化街区铭牌整治工作，共计更换旅游标识标牌20个，历史文化街区铭牌2块；正在实施推进都府堤片区、户部巷-黄鹤楼公园双向人行导向标识系统建设。</w:t>
      </w:r>
    </w:p>
    <w:p w14:paraId="6389875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4、依法治旅，创新服务，优化全域旅游市场环境</w:t>
      </w:r>
    </w:p>
    <w:p w14:paraId="63D3D1B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按照全</w:t>
      </w:r>
      <w:r>
        <w:rPr>
          <w:rFonts w:ascii="仿宋_GB2312" w:hAnsi="Times New Roman" w:eastAsia="仿宋_GB2312" w:cs="Times New Roman"/>
          <w:bCs/>
          <w:sz w:val="32"/>
          <w:szCs w:val="32"/>
        </w:rPr>
        <w:t>域</w:t>
      </w:r>
      <w:r>
        <w:rPr>
          <w:rFonts w:hint="eastAsia" w:ascii="仿宋_GB2312" w:hAnsi="Times New Roman" w:eastAsia="仿宋_GB2312" w:cs="Times New Roman"/>
          <w:bCs/>
          <w:sz w:val="32"/>
          <w:szCs w:val="32"/>
        </w:rPr>
        <w:t>旅游发</w:t>
      </w:r>
      <w:r>
        <w:rPr>
          <w:rFonts w:ascii="仿宋_GB2312" w:hAnsi="Times New Roman" w:eastAsia="仿宋_GB2312" w:cs="Times New Roman"/>
          <w:bCs/>
          <w:sz w:val="32"/>
          <w:szCs w:val="32"/>
        </w:rPr>
        <w:t>展规划，</w:t>
      </w:r>
      <w:r>
        <w:rPr>
          <w:rFonts w:hint="eastAsia" w:ascii="仿宋_GB2312" w:hAnsi="Times New Roman" w:eastAsia="仿宋_GB2312" w:cs="Times New Roman"/>
          <w:bCs/>
          <w:sz w:val="32"/>
          <w:szCs w:val="32"/>
        </w:rPr>
        <w:t>紧密围绕旅游行政执法体系，完善执法责任制。着重开展</w:t>
      </w:r>
      <w:r>
        <w:rPr>
          <w:rFonts w:ascii="仿宋_GB2312" w:hAnsi="Times New Roman" w:eastAsia="仿宋_GB2312" w:cs="Times New Roman"/>
          <w:bCs/>
          <w:sz w:val="32"/>
          <w:szCs w:val="32"/>
        </w:rPr>
        <w:t>了</w:t>
      </w:r>
      <w:r>
        <w:rPr>
          <w:rFonts w:hint="eastAsia" w:ascii="仿宋_GB2312" w:hAnsi="Times New Roman" w:eastAsia="仿宋_GB2312" w:cs="Times New Roman"/>
          <w:bCs/>
          <w:sz w:val="32"/>
          <w:szCs w:val="32"/>
        </w:rPr>
        <w:t>改革开放40周年旅游市场秩序专项整治保障行动、深入推进“保健”市场乱象整治百日行动工作、整治“不合理低价游”、超范围经营等市场秩序督查。同时开展旅游消费维权服务行动，创新旅游</w:t>
      </w:r>
      <w:r>
        <w:rPr>
          <w:rFonts w:ascii="仿宋_GB2312" w:hAnsi="Times New Roman" w:eastAsia="仿宋_GB2312" w:cs="Times New Roman"/>
          <w:bCs/>
          <w:sz w:val="32"/>
          <w:szCs w:val="32"/>
        </w:rPr>
        <w:t>调解工作方式</w:t>
      </w:r>
      <w:r>
        <w:rPr>
          <w:rFonts w:hint="eastAsia" w:ascii="仿宋_GB2312" w:hAnsi="Times New Roman" w:eastAsia="仿宋_GB2312" w:cs="Times New Roman"/>
          <w:bCs/>
          <w:sz w:val="32"/>
          <w:szCs w:val="32"/>
        </w:rPr>
        <w:t>。2019年武昌在全市率先成立旅游调解工作站，依托专业调解机构提升旅游纠纷调解的办理质量。旨在</w:t>
      </w:r>
      <w:r>
        <w:rPr>
          <w:rFonts w:ascii="仿宋_GB2312" w:hAnsi="Times New Roman" w:eastAsia="仿宋_GB2312" w:cs="Times New Roman"/>
          <w:bCs/>
          <w:sz w:val="32"/>
          <w:szCs w:val="32"/>
        </w:rPr>
        <w:t>妥善处理旅游者和旅游经营者之间的旅游纠纷，依法保护旅游者和旅游经营者的合法权益，营造和谐的旅游消费环境</w:t>
      </w:r>
      <w:r>
        <w:rPr>
          <w:rFonts w:hint="eastAsia" w:ascii="仿宋_GB2312" w:hAnsi="Times New Roman" w:eastAsia="仿宋_GB2312" w:cs="Times New Roman"/>
          <w:bCs/>
          <w:sz w:val="32"/>
          <w:szCs w:val="32"/>
        </w:rPr>
        <w:t>。</w:t>
      </w:r>
    </w:p>
    <w:p w14:paraId="2EFAF45F">
      <w:pPr>
        <w:spacing w:line="600" w:lineRule="exact"/>
        <w:ind w:firstLine="643" w:firstLineChars="200"/>
        <w:outlineLvl w:val="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（二）存在的问题及原因分析</w:t>
      </w:r>
    </w:p>
    <w:p w14:paraId="6791C1E5">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1、预算绩效指标设置须进一步细化、明确</w:t>
      </w:r>
    </w:p>
    <w:p w14:paraId="1EC695A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区文旅局提供的年度全域旅游三年行动项目绩效目标申报表以及相关预算申报材料，项目绩效申报表上的指标未设置指标值，无法量化考核；另外设置的指标未与项目全年的工作内容和目标完全匹配，仅体现了项目实施的部分内容，不全面。</w:t>
      </w:r>
    </w:p>
    <w:p w14:paraId="1BDB9D3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2、旅游</w:t>
      </w:r>
      <w:r>
        <w:rPr>
          <w:rFonts w:ascii="仿宋_GB2312" w:hAnsi="Times New Roman" w:eastAsia="仿宋_GB2312" w:cs="Times New Roman"/>
          <w:bCs w:val="0"/>
          <w:kern w:val="2"/>
          <w:sz w:val="32"/>
          <w:szCs w:val="32"/>
        </w:rPr>
        <w:t>资源</w:t>
      </w:r>
      <w:r>
        <w:rPr>
          <w:rFonts w:hint="eastAsia" w:ascii="仿宋_GB2312" w:hAnsi="Times New Roman" w:eastAsia="仿宋_GB2312" w:cs="Times New Roman"/>
          <w:bCs w:val="0"/>
          <w:kern w:val="2"/>
          <w:sz w:val="32"/>
          <w:szCs w:val="32"/>
        </w:rPr>
        <w:t>仍需整合利用</w:t>
      </w:r>
    </w:p>
    <w:p w14:paraId="65D5AE2F">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武昌旅游已</w:t>
      </w:r>
      <w:r>
        <w:rPr>
          <w:rFonts w:ascii="仿宋_GB2312" w:hAnsi="Times New Roman" w:eastAsia="仿宋_GB2312" w:cs="Times New Roman"/>
          <w:bCs/>
          <w:sz w:val="32"/>
          <w:szCs w:val="32"/>
        </w:rPr>
        <w:t>有极高的社会知名度和影响力</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但部分资源仍为浅层利用</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品牌价值未充分释放，旅游产品的延展度较低</w:t>
      </w:r>
      <w:r>
        <w:rPr>
          <w:rFonts w:hint="eastAsia" w:ascii="仿宋_GB2312" w:hAnsi="Times New Roman" w:eastAsia="仿宋_GB2312" w:cs="Times New Roman"/>
          <w:bCs/>
          <w:sz w:val="32"/>
          <w:szCs w:val="32"/>
        </w:rPr>
        <w:t>。旅游与相关产业融合不足。武昌区旅游与相关产业融合的广度和深度还不足，制约了全域旅游的进一步发展。</w:t>
      </w:r>
    </w:p>
    <w:p w14:paraId="30B16CB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2019年武昌区国内游客人均花费低于武汉市国内游客人均花费水平。</w:t>
      </w:r>
      <w:r>
        <w:rPr>
          <w:rFonts w:ascii="仿宋_GB2312" w:hAnsi="Times New Roman" w:eastAsia="仿宋_GB2312" w:cs="Times New Roman"/>
          <w:bCs/>
          <w:sz w:val="32"/>
          <w:szCs w:val="32"/>
        </w:rPr>
        <w:t>户部巷年接待量</w:t>
      </w:r>
      <w:r>
        <w:rPr>
          <w:rFonts w:hint="eastAsia" w:ascii="仿宋_GB2312" w:hAnsi="Times New Roman" w:eastAsia="仿宋_GB2312" w:cs="Times New Roman"/>
          <w:bCs/>
          <w:sz w:val="32"/>
          <w:szCs w:val="32"/>
        </w:rPr>
        <w:t>1800万人次，人气极高，但</w:t>
      </w:r>
      <w:r>
        <w:rPr>
          <w:rFonts w:ascii="仿宋_GB2312" w:hAnsi="Times New Roman" w:eastAsia="仿宋_GB2312" w:cs="Times New Roman"/>
          <w:bCs/>
          <w:sz w:val="32"/>
          <w:szCs w:val="32"/>
        </w:rPr>
        <w:t>整体</w:t>
      </w:r>
      <w:r>
        <w:rPr>
          <w:rFonts w:hint="eastAsia" w:ascii="仿宋_GB2312" w:hAnsi="Times New Roman" w:eastAsia="仿宋_GB2312" w:cs="Times New Roman"/>
          <w:bCs/>
          <w:sz w:val="32"/>
          <w:szCs w:val="32"/>
        </w:rPr>
        <w:t>消费</w:t>
      </w:r>
      <w:r>
        <w:rPr>
          <w:rFonts w:ascii="仿宋_GB2312" w:hAnsi="Times New Roman" w:eastAsia="仿宋_GB2312" w:cs="Times New Roman"/>
          <w:bCs/>
          <w:sz w:val="32"/>
          <w:szCs w:val="32"/>
        </w:rPr>
        <w:t>水平不高</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实际旅游经济贡献</w:t>
      </w:r>
      <w:r>
        <w:rPr>
          <w:rFonts w:hint="eastAsia" w:ascii="仿宋_GB2312" w:hAnsi="Times New Roman" w:eastAsia="仿宋_GB2312" w:cs="Times New Roman"/>
          <w:bCs/>
          <w:sz w:val="32"/>
          <w:szCs w:val="32"/>
        </w:rPr>
        <w:t>度</w:t>
      </w:r>
      <w:r>
        <w:rPr>
          <w:rFonts w:ascii="仿宋_GB2312" w:hAnsi="Times New Roman" w:eastAsia="仿宋_GB2312" w:cs="Times New Roman"/>
          <w:bCs/>
          <w:sz w:val="32"/>
          <w:szCs w:val="32"/>
        </w:rPr>
        <w:t>并不突出</w:t>
      </w:r>
      <w:r>
        <w:rPr>
          <w:rFonts w:hint="eastAsia" w:ascii="仿宋_GB2312" w:hAnsi="Times New Roman" w:eastAsia="仿宋_GB2312" w:cs="Times New Roman"/>
          <w:bCs/>
          <w:sz w:val="32"/>
          <w:szCs w:val="32"/>
        </w:rPr>
        <w:t>。</w:t>
      </w:r>
    </w:p>
    <w:p w14:paraId="2AEDA32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3、旅游基础设施仍需提升完善</w:t>
      </w:r>
    </w:p>
    <w:p w14:paraId="7D62224C">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国内游客对武昌区各项旅游服务项目和总体旅游环境评价有所提高，得分8.45分。分项目看，国内游客对武昌区食、住、游、购、娱五大旅游要素服务评价均较好，得分均达到8分。交通和厕所卫生评价得分稍低，游客反映部分厕所存在不干净、不卫生的情况，有待进一步改善。</w:t>
      </w:r>
    </w:p>
    <w:p w14:paraId="19184980">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特别是武昌主城区受铁路道、山体湖泊及古城路网限制，部分景区</w:t>
      </w:r>
      <w:r>
        <w:rPr>
          <w:rFonts w:ascii="仿宋_GB2312" w:hAnsi="Times New Roman" w:eastAsia="仿宋_GB2312" w:cs="Times New Roman"/>
          <w:bCs/>
          <w:sz w:val="32"/>
          <w:szCs w:val="32"/>
        </w:rPr>
        <w:t>之间通畅性、串联性较差，旅游体验感</w:t>
      </w:r>
      <w:r>
        <w:rPr>
          <w:rFonts w:hint="eastAsia" w:ascii="仿宋_GB2312" w:hAnsi="Times New Roman" w:eastAsia="仿宋_GB2312" w:cs="Times New Roman"/>
          <w:bCs/>
          <w:sz w:val="32"/>
          <w:szCs w:val="32"/>
        </w:rPr>
        <w:t>有待进一步提升</w:t>
      </w:r>
      <w:r>
        <w:rPr>
          <w:rFonts w:ascii="仿宋_GB2312" w:hAnsi="Times New Roman" w:eastAsia="仿宋_GB2312" w:cs="Times New Roman"/>
          <w:bCs/>
          <w:sz w:val="32"/>
          <w:szCs w:val="32"/>
        </w:rPr>
        <w:t>。</w:t>
      </w:r>
    </w:p>
    <w:p w14:paraId="1017E170">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4、旅游业各类矛盾凸显</w:t>
      </w:r>
    </w:p>
    <w:p w14:paraId="14368732">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武昌旅游业将继续处于黄金发展期，同时也是结构调整期及各类矛盾凸显期，当下旅游</w:t>
      </w:r>
      <w:r>
        <w:rPr>
          <w:rFonts w:ascii="仿宋_GB2312" w:hAnsi="Times New Roman" w:eastAsia="仿宋_GB2312" w:cs="Times New Roman"/>
          <w:bCs/>
          <w:sz w:val="32"/>
          <w:szCs w:val="32"/>
        </w:rPr>
        <w:t>社会关注度高，容易成为管理质量舆论热点</w:t>
      </w:r>
      <w:r>
        <w:rPr>
          <w:rFonts w:hint="eastAsia" w:ascii="仿宋_GB2312" w:hAnsi="Times New Roman" w:eastAsia="仿宋_GB2312" w:cs="Times New Roman"/>
          <w:bCs/>
          <w:sz w:val="32"/>
          <w:szCs w:val="32"/>
        </w:rPr>
        <w:t>，旅游管理难度大。</w:t>
      </w:r>
      <w:r>
        <w:rPr>
          <w:rFonts w:hint="eastAsia" w:ascii="仿宋_GB2312" w:eastAsia="仿宋_GB2312"/>
          <w:sz w:val="32"/>
          <w:szCs w:val="32"/>
        </w:rPr>
        <w:t>2019年共受理来自12301和市长热线、城市留言板、12315景区消费维权服务站等的投诉共计276起。</w:t>
      </w:r>
    </w:p>
    <w:p w14:paraId="04DF7178">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六、有关建议</w:t>
      </w:r>
    </w:p>
    <w:p w14:paraId="7D05808B">
      <w:pPr>
        <w:pStyle w:val="13"/>
        <w:spacing w:line="600" w:lineRule="exact"/>
        <w:ind w:firstLineChars="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1、强化绩效管理理念,提升绩效管理水平</w:t>
      </w:r>
    </w:p>
    <w:p w14:paraId="77C99B3C">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加强项目绩效管理学习，培养绩效管理骨干，设置合理的绩效评价指标，在申报项目绩效考核指标时，充分考虑年度主要目标及工作重点，以重点工作为导向，结合部门履职特性，制定出覆盖面广、全面、可衡量的绩效指标，并能与项目产出和效益密切相关。对绩效目标切实做好细化和量化，跟踪实施情况，明确项目实施效益，以便更好地实施项目绩效管理和绩效评价。</w:t>
      </w:r>
    </w:p>
    <w:p w14:paraId="3E89C72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2、整合文旅资源、丰富产品体系，强化品牌推广。</w:t>
      </w:r>
    </w:p>
    <w:p w14:paraId="40A55D4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全面推进全域旅游工作向纵深发展，从建设历史之城、打造长江文明之心、重塑古城风貌的高度，按照人无我有、人有我优的工作思路，构建武昌文化旅游整体框架，形成武昌全域旅游发展新的特色路径。</w:t>
      </w:r>
    </w:p>
    <w:p w14:paraId="01D5D1F9">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以打造国家级夜间文化和旅游消费集聚区为抓手，策划一批夜游武昌的精品线路；加大武昌区域内旅游资源整合力度，鼓励发展武昌红色研学游、首义寻踪游、花漾古城游、夜赏武昌城等旅游新业态，拓展旅游新空间。</w:t>
      </w:r>
    </w:p>
    <w:p w14:paraId="40DD5F2D">
      <w:pPr>
        <w:pStyle w:val="8"/>
        <w:shd w:val="clear" w:color="auto" w:fill="FFFFFF"/>
        <w:spacing w:before="0" w:beforeAutospacing="0" w:after="0" w:afterAutospacing="0" w:line="560" w:lineRule="exact"/>
        <w:ind w:firstLine="636" w:firstLineChars="199"/>
        <w:rPr>
          <w:rFonts w:ascii="仿宋" w:hAnsi="仿宋" w:eastAsia="仿宋" w:cs="仿宋"/>
          <w:color w:val="000000"/>
          <w:sz w:val="32"/>
          <w:szCs w:val="32"/>
        </w:rPr>
      </w:pPr>
      <w:r>
        <w:rPr>
          <w:rFonts w:hint="eastAsia" w:ascii="仿宋_GB2312" w:hAnsi="Times New Roman" w:eastAsia="仿宋_GB2312" w:cs="Times New Roman"/>
          <w:bCs/>
          <w:sz w:val="32"/>
          <w:szCs w:val="32"/>
        </w:rPr>
        <w:t>同时，</w:t>
      </w:r>
      <w:r>
        <w:rPr>
          <w:rFonts w:hint="eastAsia" w:ascii="仿宋" w:hAnsi="仿宋" w:eastAsia="仿宋" w:cs="仿宋"/>
          <w:color w:val="000000"/>
          <w:sz w:val="32"/>
          <w:szCs w:val="32"/>
        </w:rPr>
        <w:t>做好武昌旅游品牌形象宣传，加强客源地旅游市场营销。运用传统媒体和新媒体，做好武昌旅游品牌形象宣传。在运营好一部手机游武昌的基础上，加强与旅游自媒体及旅游达人的合作，举办线上推广活动，积极制造“网络热点”。抓好活动节庆营销，举办好各类文化节庆活动，扩大武昌旅游吸引力，提高游客来武昌旅游的热情。针对市场类型制定营销策略、设计旅游线路和包装旅游产品，构建“政府主导、企业参与、各方配合”的立体营销体系。充分调动旅行社、涉旅企业、旅游团体、行业组织的积极性，加强客源地旅游市场营销。</w:t>
      </w:r>
    </w:p>
    <w:p w14:paraId="0BCB7F9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3、强化旅游标准化建设</w:t>
      </w:r>
    </w:p>
    <w:p w14:paraId="1ADAF609">
      <w:pPr>
        <w:pStyle w:val="8"/>
        <w:spacing w:before="0" w:beforeAutospacing="0" w:after="0" w:afterAutospacing="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对照三年行动计划，进一步优化古城交通游赏系统设计、完善旅游信息咨询和标识导视、规范提升街巷卫生和旅游厕所，通过一揽子项目建设补齐武昌旅游的基础设施短板，优化品牌形象，提高承载能力；通过构建智慧旅游体系，建立游客新型体验终端，</w:t>
      </w:r>
      <w:r>
        <w:rPr>
          <w:rFonts w:hint="eastAsia" w:ascii="仿宋" w:hAnsi="仿宋" w:eastAsia="仿宋" w:cs="仿宋"/>
          <w:kern w:val="2"/>
          <w:sz w:val="32"/>
          <w:szCs w:val="32"/>
        </w:rPr>
        <w:t>实现对游客行前、行中、行后的全过程服务。</w:t>
      </w:r>
    </w:p>
    <w:p w14:paraId="131925C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4、强化旅游规范管理</w:t>
      </w:r>
    </w:p>
    <w:p w14:paraId="1AE3A3FE">
      <w:pPr>
        <w:pStyle w:val="8"/>
        <w:shd w:val="clear" w:color="auto" w:fill="FFFFFF"/>
        <w:spacing w:before="0" w:beforeAutospacing="0" w:after="0" w:afterAutospacing="0" w:line="560" w:lineRule="exact"/>
        <w:ind w:firstLine="636" w:firstLineChars="199"/>
        <w:rPr>
          <w:rFonts w:ascii="仿宋" w:hAnsi="仿宋" w:eastAsia="仿宋" w:cs="仿宋"/>
          <w:kern w:val="2"/>
          <w:sz w:val="32"/>
          <w:szCs w:val="32"/>
        </w:rPr>
      </w:pPr>
      <w:r>
        <w:rPr>
          <w:rFonts w:hint="eastAsia" w:ascii="仿宋" w:hAnsi="仿宋" w:eastAsia="仿宋" w:cs="仿宋"/>
          <w:bCs/>
          <w:color w:val="000000"/>
          <w:sz w:val="32"/>
          <w:szCs w:val="32"/>
        </w:rPr>
        <w:t>树立全域旅游</w:t>
      </w:r>
      <w:r>
        <w:rPr>
          <w:rFonts w:hint="eastAsia" w:ascii="仿宋" w:hAnsi="仿宋" w:eastAsia="仿宋" w:cs="仿宋"/>
          <w:bCs/>
          <w:kern w:val="2"/>
          <w:sz w:val="32"/>
          <w:szCs w:val="32"/>
        </w:rPr>
        <w:t>“</w:t>
      </w:r>
      <w:r>
        <w:rPr>
          <w:rFonts w:hint="eastAsia" w:ascii="仿宋" w:hAnsi="仿宋" w:eastAsia="仿宋" w:cs="仿宋"/>
          <w:kern w:val="2"/>
          <w:sz w:val="32"/>
          <w:szCs w:val="32"/>
        </w:rPr>
        <w:t>一盘棋”思想，建立和完善部门常态化联合执法机制、行政执法案件查处部门会商机制、旅游纠纷和司法诉调对接机制、重大旅游投诉部门联办机制、重点旅游企业约谈机制，建立权责明确、执法有力、行为规范、保障有效的旅游市场综合监管机制，实现旅游联动、共治共管的实体化运作。不断优化旅游环境和服务，提升区域旅游综合竞争力。</w:t>
      </w:r>
    </w:p>
    <w:p w14:paraId="0405EA2E">
      <w:pPr>
        <w:pStyle w:val="8"/>
        <w:shd w:val="clear" w:color="auto" w:fill="FFFFFF"/>
        <w:spacing w:before="0" w:beforeAutospacing="0" w:after="0" w:afterAutospacing="0" w:line="560" w:lineRule="exact"/>
        <w:ind w:firstLine="636" w:firstLineChars="199"/>
        <w:rPr>
          <w:rFonts w:ascii="仿宋" w:hAnsi="仿宋" w:eastAsia="仿宋" w:cs="仿宋"/>
          <w:sz w:val="32"/>
          <w:szCs w:val="32"/>
        </w:rPr>
      </w:pPr>
    </w:p>
    <w:p w14:paraId="1D78EEBE">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七、其他需要说明的问题</w:t>
      </w:r>
    </w:p>
    <w:p w14:paraId="07761259">
      <w:pPr>
        <w:pStyle w:val="3"/>
        <w:spacing w:before="0" w:after="0" w:line="600" w:lineRule="exact"/>
        <w:ind w:firstLine="640" w:firstLineChars="200"/>
        <w:rPr>
          <w:rFonts w:ascii="仿宋_GB2312" w:hAnsi="仿宋" w:eastAsia="仿宋_GB2312"/>
          <w:sz w:val="28"/>
          <w:szCs w:val="28"/>
        </w:rPr>
      </w:pPr>
      <w:r>
        <w:rPr>
          <w:rFonts w:hint="eastAsia" w:ascii="仿宋_GB2312" w:hAnsi="Times New Roman" w:eastAsia="仿宋_GB2312" w:cs="Times New Roman"/>
          <w:b w:val="0"/>
          <w:bCs w:val="0"/>
        </w:rPr>
        <w:t>（一）本次绩效评价的局限性</w:t>
      </w:r>
    </w:p>
    <w:p w14:paraId="503CCD3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1、本次评价工作是以区文旅局提供的资料和数据为基础进行评价，涉及范围较广、数据多，无法一一核实其真实性，因此，可能对结果的准确性产生一定的影响。</w:t>
      </w:r>
    </w:p>
    <w:p w14:paraId="1AC4594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2、对于绩效评价框架中的部分定性指标，无法根据量化的数据评价并得出分数，评议结果主要依据评价人员的职业判断。</w:t>
      </w:r>
    </w:p>
    <w:p w14:paraId="4341887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社会公众或服务对象满意度我们系采用的湖北维度统计师事务所有限公司出具的《2019年武昌区旅游抽样调查分析报告》结果，受范围和时间限制，我们无法进一步核实评价结果，收集的信息存在一定的局限性和片面性。同时样本和样本量的选取可能会导致统计性偏差，也可能影响最终的评价结果。</w:t>
      </w:r>
    </w:p>
    <w:p w14:paraId="09175C4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评价结论是第三方机构出具的，受具体参加本次项目的时间、评价人员的水平和能力的限制，未能全面获悉区文旅局的所有内部管理制度和业务流程，亦未能全面了解全域旅游三年行动项目实施的规章制度及行业规范。鉴于这种评价工作存在资料的有限性和认知、调查、分析、判断的局限性，因此，评价结论无法考虑影响资金使用的所有因素，尤其是有关专业指标设定问题以及相关问题和建议提出的全面性等方面，评价结论存在一定的局限性。</w:t>
      </w:r>
    </w:p>
    <w:p w14:paraId="4308E422">
      <w:pPr>
        <w:pStyle w:val="3"/>
        <w:spacing w:before="0" w:after="0" w:line="600" w:lineRule="exact"/>
        <w:ind w:firstLine="640" w:firstLineChars="200"/>
        <w:rPr>
          <w:rFonts w:ascii="仿宋_GB2312" w:hAnsi="仿宋" w:eastAsia="仿宋_GB2312"/>
          <w:sz w:val="28"/>
          <w:szCs w:val="28"/>
        </w:rPr>
      </w:pPr>
      <w:r>
        <w:rPr>
          <w:rFonts w:hint="eastAsia" w:ascii="仿宋_GB2312" w:hAnsi="Times New Roman" w:eastAsia="仿宋_GB2312" w:cs="Times New Roman"/>
          <w:b w:val="0"/>
          <w:bCs w:val="0"/>
        </w:rPr>
        <w:t>（二）关于评价责任的说明</w:t>
      </w:r>
    </w:p>
    <w:p w14:paraId="2F5CD5C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本评价结果依据评价客体提供的各项基础资料，运用规定的评价方法，评价工作组保证本次评价工作全过程的公正和公平，各项评价基础资料的真实性、完整性、准确性由评价客体负责。</w:t>
      </w:r>
    </w:p>
    <w:p w14:paraId="7891B6F6">
      <w:pPr>
        <w:pStyle w:val="3"/>
        <w:spacing w:before="0" w:after="0" w:line="600" w:lineRule="exact"/>
        <w:ind w:firstLine="640" w:firstLineChars="200"/>
        <w:rPr>
          <w:rFonts w:ascii="仿宋_GB2312" w:hAnsi="Times New Roman" w:eastAsia="仿宋_GB2312" w:cs="Times New Roman"/>
          <w:b w:val="0"/>
          <w:bCs w:val="0"/>
        </w:rPr>
      </w:pPr>
      <w:r>
        <w:rPr>
          <w:rFonts w:hint="eastAsia" w:ascii="仿宋_GB2312" w:hAnsi="Times New Roman" w:eastAsia="仿宋_GB2312" w:cs="Times New Roman"/>
          <w:b w:val="0"/>
          <w:bCs w:val="0"/>
        </w:rPr>
        <w:t>（三）未经评价组织机构同意，任何单位和个人不得将本评价结果对外公布。</w:t>
      </w:r>
    </w:p>
    <w:p w14:paraId="36418B5A"/>
    <w:p w14:paraId="658107BC">
      <w:pPr>
        <w:pStyle w:val="2"/>
        <w:spacing w:before="0" w:after="0" w:line="600" w:lineRule="exact"/>
        <w:ind w:firstLine="643" w:firstLineChars="200"/>
        <w:rPr>
          <w:rFonts w:ascii="黑体" w:hAnsi="黑体" w:eastAsia="黑体"/>
          <w:sz w:val="32"/>
          <w:szCs w:val="32"/>
        </w:rPr>
      </w:pPr>
      <w:r>
        <w:rPr>
          <w:rFonts w:hint="eastAsia" w:ascii="黑体" w:hAnsi="黑体" w:eastAsia="黑体"/>
          <w:sz w:val="32"/>
          <w:szCs w:val="32"/>
        </w:rPr>
        <w:t>附件</w:t>
      </w:r>
    </w:p>
    <w:p w14:paraId="33BA0251">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级别评定对照表</w:t>
      </w:r>
    </w:p>
    <w:p w14:paraId="0B4C2BD5">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2019年全域旅游三年行动项目绩效评价指标评分表</w:t>
      </w:r>
    </w:p>
    <w:p w14:paraId="02656F80">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2019年全域旅游三年行动项目绩效评价指标体系及评分明细</w:t>
      </w:r>
    </w:p>
    <w:p w14:paraId="0DF13527">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访谈主要信息记录</w:t>
      </w:r>
    </w:p>
    <w:p w14:paraId="2982B621">
      <w:pPr>
        <w:spacing w:line="300" w:lineRule="exact"/>
        <w:rPr>
          <w:rFonts w:ascii="Times New Roman" w:hAnsi="Times New Roman" w:eastAsia="黑体" w:cs="Times New Roman"/>
          <w:sz w:val="32"/>
          <w:szCs w:val="32"/>
        </w:rPr>
      </w:pPr>
    </w:p>
    <w:p w14:paraId="7B96446E">
      <w:pPr>
        <w:spacing w:line="300" w:lineRule="exact"/>
        <w:rPr>
          <w:rFonts w:ascii="Times New Roman" w:hAnsi="Times New Roman" w:eastAsia="黑体" w:cs="Times New Roman"/>
          <w:sz w:val="32"/>
          <w:szCs w:val="32"/>
        </w:rPr>
      </w:pPr>
    </w:p>
    <w:p w14:paraId="4CD157E7">
      <w:pPr>
        <w:spacing w:line="300" w:lineRule="exact"/>
        <w:rPr>
          <w:rFonts w:ascii="Times New Roman" w:hAnsi="Times New Roman" w:eastAsia="黑体" w:cs="Times New Roman"/>
          <w:sz w:val="32"/>
          <w:szCs w:val="32"/>
        </w:rPr>
      </w:pPr>
    </w:p>
    <w:p w14:paraId="6EDA7617">
      <w:pPr>
        <w:spacing w:line="300" w:lineRule="exact"/>
        <w:rPr>
          <w:rFonts w:ascii="Times New Roman" w:hAnsi="Times New Roman" w:eastAsia="黑体" w:cs="Times New Roman"/>
          <w:sz w:val="32"/>
          <w:szCs w:val="32"/>
        </w:rPr>
      </w:pPr>
    </w:p>
    <w:p w14:paraId="1AFC8F18">
      <w:pPr>
        <w:spacing w:line="300" w:lineRule="exact"/>
        <w:rPr>
          <w:rFonts w:ascii="Times New Roman" w:hAnsi="Times New Roman" w:eastAsia="黑体" w:cs="Times New Roman"/>
          <w:sz w:val="32"/>
          <w:szCs w:val="32"/>
        </w:rPr>
      </w:pPr>
    </w:p>
    <w:p w14:paraId="5849E970">
      <w:pPr>
        <w:spacing w:line="300" w:lineRule="exact"/>
        <w:rPr>
          <w:rFonts w:ascii="Times New Roman" w:hAnsi="Times New Roman" w:eastAsia="黑体" w:cs="Times New Roman"/>
          <w:sz w:val="32"/>
          <w:szCs w:val="32"/>
        </w:rPr>
      </w:pPr>
    </w:p>
    <w:p w14:paraId="35B3FF8C">
      <w:pPr>
        <w:spacing w:line="300" w:lineRule="exact"/>
        <w:rPr>
          <w:rFonts w:ascii="Times New Roman" w:hAnsi="Times New Roman" w:eastAsia="黑体" w:cs="Times New Roman"/>
          <w:sz w:val="32"/>
          <w:szCs w:val="32"/>
        </w:rPr>
      </w:pPr>
    </w:p>
    <w:p w14:paraId="0254ADE5">
      <w:pPr>
        <w:spacing w:line="300" w:lineRule="exact"/>
        <w:rPr>
          <w:rFonts w:ascii="Times New Roman" w:hAnsi="Times New Roman" w:eastAsia="黑体" w:cs="Times New Roman"/>
          <w:sz w:val="32"/>
          <w:szCs w:val="32"/>
        </w:rPr>
      </w:pPr>
    </w:p>
    <w:p w14:paraId="6A8BF390">
      <w:pPr>
        <w:spacing w:line="300" w:lineRule="exact"/>
        <w:rPr>
          <w:rFonts w:ascii="Times New Roman" w:hAnsi="Times New Roman" w:eastAsia="黑体" w:cs="Times New Roman"/>
          <w:sz w:val="32"/>
          <w:szCs w:val="32"/>
        </w:rPr>
      </w:pPr>
    </w:p>
    <w:p w14:paraId="6ADD0DB6">
      <w:pPr>
        <w:spacing w:line="300" w:lineRule="exact"/>
        <w:rPr>
          <w:rFonts w:ascii="Times New Roman" w:hAnsi="Times New Roman" w:eastAsia="黑体" w:cs="Times New Roman"/>
          <w:sz w:val="32"/>
          <w:szCs w:val="32"/>
        </w:rPr>
      </w:pPr>
    </w:p>
    <w:p w14:paraId="7E705B08">
      <w:pPr>
        <w:spacing w:line="300" w:lineRule="exact"/>
        <w:rPr>
          <w:rFonts w:ascii="Times New Roman" w:hAnsi="Times New Roman" w:eastAsia="黑体" w:cs="Times New Roman"/>
          <w:sz w:val="32"/>
          <w:szCs w:val="32"/>
        </w:rPr>
      </w:pPr>
    </w:p>
    <w:p w14:paraId="11079FBB">
      <w:pPr>
        <w:spacing w:line="300" w:lineRule="exact"/>
        <w:rPr>
          <w:rFonts w:ascii="Times New Roman" w:hAnsi="Times New Roman" w:eastAsia="黑体" w:cs="Times New Roman"/>
          <w:sz w:val="32"/>
          <w:szCs w:val="32"/>
        </w:rPr>
      </w:pPr>
    </w:p>
    <w:p w14:paraId="3AC77A5A">
      <w:pPr>
        <w:spacing w:line="300" w:lineRule="exact"/>
        <w:rPr>
          <w:rFonts w:ascii="Times New Roman" w:hAnsi="Times New Roman" w:eastAsia="黑体" w:cs="Times New Roman"/>
          <w:sz w:val="32"/>
          <w:szCs w:val="32"/>
        </w:rPr>
      </w:pPr>
    </w:p>
    <w:p w14:paraId="54A17685">
      <w:pPr>
        <w:spacing w:line="300" w:lineRule="exact"/>
        <w:rPr>
          <w:rFonts w:ascii="Times New Roman" w:hAnsi="Times New Roman" w:eastAsia="黑体" w:cs="Times New Roman"/>
          <w:sz w:val="32"/>
          <w:szCs w:val="32"/>
        </w:rPr>
      </w:pPr>
    </w:p>
    <w:p w14:paraId="0F1056C8">
      <w:pPr>
        <w:spacing w:line="300" w:lineRule="exact"/>
        <w:rPr>
          <w:rFonts w:ascii="Times New Roman" w:hAnsi="Times New Roman" w:eastAsia="黑体" w:cs="Times New Roman"/>
          <w:sz w:val="32"/>
          <w:szCs w:val="32"/>
        </w:rPr>
      </w:pPr>
    </w:p>
    <w:p w14:paraId="1CB46645">
      <w:pPr>
        <w:spacing w:line="300" w:lineRule="exact"/>
        <w:rPr>
          <w:rFonts w:ascii="Times New Roman" w:hAnsi="Times New Roman" w:eastAsia="黑体" w:cs="Times New Roman"/>
          <w:sz w:val="32"/>
          <w:szCs w:val="32"/>
        </w:rPr>
      </w:pPr>
    </w:p>
    <w:p w14:paraId="34A9AF26">
      <w:pPr>
        <w:spacing w:line="300" w:lineRule="exact"/>
        <w:rPr>
          <w:rFonts w:ascii="Times New Roman" w:hAnsi="Times New Roman" w:eastAsia="黑体" w:cs="Times New Roman"/>
          <w:sz w:val="32"/>
          <w:szCs w:val="32"/>
        </w:rPr>
      </w:pPr>
    </w:p>
    <w:p w14:paraId="4F3D6CAB">
      <w:pPr>
        <w:spacing w:line="300" w:lineRule="exact"/>
        <w:rPr>
          <w:rFonts w:ascii="Times New Roman" w:hAnsi="Times New Roman" w:eastAsia="黑体" w:cs="Times New Roman"/>
          <w:sz w:val="32"/>
          <w:szCs w:val="32"/>
        </w:rPr>
      </w:pPr>
    </w:p>
    <w:p w14:paraId="01E78FB3">
      <w:pPr>
        <w:spacing w:line="300" w:lineRule="exact"/>
        <w:rPr>
          <w:rFonts w:ascii="Times New Roman" w:hAnsi="Times New Roman" w:eastAsia="黑体" w:cs="Times New Roman"/>
          <w:sz w:val="32"/>
          <w:szCs w:val="32"/>
        </w:rPr>
      </w:pPr>
    </w:p>
    <w:p w14:paraId="66459AB5">
      <w:pPr>
        <w:spacing w:line="700" w:lineRule="exact"/>
        <w:jc w:val="right"/>
        <w:rPr>
          <w:rFonts w:ascii="仿宋_GB2312" w:hAnsi="Arial Narrow" w:eastAsia="仿宋_GB2312" w:cs="Times New Roman"/>
          <w:b/>
          <w:sz w:val="32"/>
          <w:szCs w:val="32"/>
        </w:rPr>
      </w:pPr>
      <w:r>
        <w:rPr>
          <w:rFonts w:hint="eastAsia" w:ascii="仿宋_GB2312" w:hAnsi="Arial Narrow" w:eastAsia="仿宋_GB2312" w:cs="Times New Roman"/>
          <w:b/>
          <w:sz w:val="32"/>
          <w:szCs w:val="32"/>
        </w:rPr>
        <w:t>武汉康力会计师事务有限责任公司</w:t>
      </w:r>
    </w:p>
    <w:p w14:paraId="3971A523">
      <w:pPr>
        <w:spacing w:line="700" w:lineRule="exact"/>
        <w:ind w:right="1284" w:firstLine="4510" w:firstLineChars="1404"/>
        <w:rPr>
          <w:rFonts w:ascii="仿宋_GB2312" w:hAnsi="Arial Narrow" w:eastAsia="仿宋_GB2312" w:cs="Times New Roman"/>
          <w:b/>
          <w:sz w:val="32"/>
          <w:szCs w:val="32"/>
        </w:rPr>
      </w:pPr>
      <w:r>
        <w:rPr>
          <w:rFonts w:hint="eastAsia" w:ascii="仿宋_GB2312" w:hAnsi="Arial Narrow" w:eastAsia="仿宋_GB2312" w:cs="Times New Roman"/>
          <w:b/>
          <w:sz w:val="32"/>
          <w:szCs w:val="32"/>
        </w:rPr>
        <w:t>2020年8月19日</w:t>
      </w:r>
    </w:p>
    <w:p w14:paraId="132CD466">
      <w:pPr>
        <w:spacing w:line="300" w:lineRule="exact"/>
        <w:rPr>
          <w:rFonts w:ascii="Times New Roman" w:hAnsi="Times New Roman" w:eastAsia="黑体" w:cs="Times New Roman"/>
          <w:sz w:val="32"/>
          <w:szCs w:val="32"/>
        </w:rPr>
      </w:pPr>
    </w:p>
    <w:p w14:paraId="15F0C063">
      <w:pPr>
        <w:spacing w:line="300" w:lineRule="exact"/>
        <w:rPr>
          <w:rFonts w:ascii="Times New Roman" w:hAnsi="Times New Roman" w:eastAsia="黑体" w:cs="Times New Roman"/>
          <w:sz w:val="32"/>
          <w:szCs w:val="32"/>
        </w:rPr>
      </w:pPr>
    </w:p>
    <w:p w14:paraId="20D0C977">
      <w:pPr>
        <w:spacing w:line="300" w:lineRule="exact"/>
        <w:rPr>
          <w:rFonts w:ascii="Times New Roman" w:hAnsi="Times New Roman" w:eastAsia="黑体" w:cs="Times New Roman"/>
          <w:sz w:val="32"/>
          <w:szCs w:val="32"/>
        </w:rPr>
      </w:pPr>
    </w:p>
    <w:p w14:paraId="7A784EB3">
      <w:pPr>
        <w:spacing w:line="300" w:lineRule="exact"/>
        <w:rPr>
          <w:rFonts w:ascii="Times New Roman" w:hAnsi="Times New Roman" w:eastAsia="黑体" w:cs="Times New Roman"/>
          <w:sz w:val="32"/>
          <w:szCs w:val="32"/>
        </w:rPr>
      </w:pPr>
    </w:p>
    <w:p w14:paraId="280E8B54">
      <w:pPr>
        <w:spacing w:line="300" w:lineRule="exact"/>
        <w:rPr>
          <w:rFonts w:ascii="Times New Roman" w:hAnsi="Times New Roman" w:eastAsia="黑体" w:cs="Times New Roman"/>
          <w:sz w:val="32"/>
          <w:szCs w:val="32"/>
        </w:rPr>
      </w:pPr>
    </w:p>
    <w:p w14:paraId="413DF53A">
      <w:pPr>
        <w:spacing w:line="300" w:lineRule="exact"/>
        <w:rPr>
          <w:rFonts w:ascii="Times New Roman" w:hAnsi="Times New Roman" w:eastAsia="黑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A3EEE"/>
    <w:multiLevelType w:val="multilevel"/>
    <w:tmpl w:val="133A3E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0E606E"/>
    <w:multiLevelType w:val="multilevel"/>
    <w:tmpl w:val="790E606E"/>
    <w:lvl w:ilvl="0" w:tentative="0">
      <w:start w:val="1"/>
      <w:numFmt w:val="decimal"/>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FA76834"/>
    <w:rsid w:val="00000C69"/>
    <w:rsid w:val="00001C6E"/>
    <w:rsid w:val="0001028E"/>
    <w:rsid w:val="000123C2"/>
    <w:rsid w:val="0001789C"/>
    <w:rsid w:val="000203F9"/>
    <w:rsid w:val="000239C0"/>
    <w:rsid w:val="000244DF"/>
    <w:rsid w:val="000272CD"/>
    <w:rsid w:val="00032B18"/>
    <w:rsid w:val="00040733"/>
    <w:rsid w:val="00043928"/>
    <w:rsid w:val="00044502"/>
    <w:rsid w:val="000445B1"/>
    <w:rsid w:val="00050EF4"/>
    <w:rsid w:val="000540DD"/>
    <w:rsid w:val="00063611"/>
    <w:rsid w:val="000636D4"/>
    <w:rsid w:val="0006667C"/>
    <w:rsid w:val="000709C2"/>
    <w:rsid w:val="00071A58"/>
    <w:rsid w:val="0007246C"/>
    <w:rsid w:val="00075B0A"/>
    <w:rsid w:val="000763D7"/>
    <w:rsid w:val="00076CF2"/>
    <w:rsid w:val="00083091"/>
    <w:rsid w:val="00084740"/>
    <w:rsid w:val="000878A5"/>
    <w:rsid w:val="000913FF"/>
    <w:rsid w:val="000933A8"/>
    <w:rsid w:val="00096E3F"/>
    <w:rsid w:val="000A1DB4"/>
    <w:rsid w:val="000A5C17"/>
    <w:rsid w:val="000B3E46"/>
    <w:rsid w:val="000B4BC3"/>
    <w:rsid w:val="000C5958"/>
    <w:rsid w:val="000D6B24"/>
    <w:rsid w:val="000E6415"/>
    <w:rsid w:val="000E751B"/>
    <w:rsid w:val="000F08DB"/>
    <w:rsid w:val="000F35B8"/>
    <w:rsid w:val="000F3C5C"/>
    <w:rsid w:val="00102F51"/>
    <w:rsid w:val="00103F2A"/>
    <w:rsid w:val="00120631"/>
    <w:rsid w:val="00121670"/>
    <w:rsid w:val="00123D4D"/>
    <w:rsid w:val="00125334"/>
    <w:rsid w:val="0012727F"/>
    <w:rsid w:val="0012792F"/>
    <w:rsid w:val="00127FE2"/>
    <w:rsid w:val="00130FC0"/>
    <w:rsid w:val="001341E6"/>
    <w:rsid w:val="00136676"/>
    <w:rsid w:val="00137822"/>
    <w:rsid w:val="00141BFD"/>
    <w:rsid w:val="00144C2D"/>
    <w:rsid w:val="001539E0"/>
    <w:rsid w:val="001554F8"/>
    <w:rsid w:val="001555BA"/>
    <w:rsid w:val="001555F9"/>
    <w:rsid w:val="00155A2F"/>
    <w:rsid w:val="001624A8"/>
    <w:rsid w:val="0016682F"/>
    <w:rsid w:val="001707B2"/>
    <w:rsid w:val="001707CC"/>
    <w:rsid w:val="00173FA4"/>
    <w:rsid w:val="00175D8F"/>
    <w:rsid w:val="00187130"/>
    <w:rsid w:val="00187625"/>
    <w:rsid w:val="00187F15"/>
    <w:rsid w:val="00190387"/>
    <w:rsid w:val="00194353"/>
    <w:rsid w:val="001A2055"/>
    <w:rsid w:val="001A7BA6"/>
    <w:rsid w:val="001B2A48"/>
    <w:rsid w:val="001C0EFD"/>
    <w:rsid w:val="001C3259"/>
    <w:rsid w:val="001C4E12"/>
    <w:rsid w:val="001C5F06"/>
    <w:rsid w:val="001D2CC6"/>
    <w:rsid w:val="001D3665"/>
    <w:rsid w:val="001D44B7"/>
    <w:rsid w:val="001E6357"/>
    <w:rsid w:val="001E7C41"/>
    <w:rsid w:val="001F1F59"/>
    <w:rsid w:val="001F40A6"/>
    <w:rsid w:val="0020017D"/>
    <w:rsid w:val="002006A1"/>
    <w:rsid w:val="002009FB"/>
    <w:rsid w:val="00202EF0"/>
    <w:rsid w:val="002040A8"/>
    <w:rsid w:val="00204FC7"/>
    <w:rsid w:val="00205B3F"/>
    <w:rsid w:val="00207AB1"/>
    <w:rsid w:val="0021214B"/>
    <w:rsid w:val="002131D4"/>
    <w:rsid w:val="00225507"/>
    <w:rsid w:val="002303B8"/>
    <w:rsid w:val="002309CA"/>
    <w:rsid w:val="00230CD6"/>
    <w:rsid w:val="00235972"/>
    <w:rsid w:val="00236454"/>
    <w:rsid w:val="00242063"/>
    <w:rsid w:val="00242B5B"/>
    <w:rsid w:val="00243077"/>
    <w:rsid w:val="00250307"/>
    <w:rsid w:val="0025129E"/>
    <w:rsid w:val="0025653B"/>
    <w:rsid w:val="00265203"/>
    <w:rsid w:val="00265A54"/>
    <w:rsid w:val="0027181C"/>
    <w:rsid w:val="002729EF"/>
    <w:rsid w:val="00273AE3"/>
    <w:rsid w:val="00274737"/>
    <w:rsid w:val="00274955"/>
    <w:rsid w:val="0028066C"/>
    <w:rsid w:val="0028230B"/>
    <w:rsid w:val="00283B47"/>
    <w:rsid w:val="00283E3F"/>
    <w:rsid w:val="00287F4B"/>
    <w:rsid w:val="002907A3"/>
    <w:rsid w:val="00293DD3"/>
    <w:rsid w:val="00294D82"/>
    <w:rsid w:val="0029536A"/>
    <w:rsid w:val="002A0600"/>
    <w:rsid w:val="002A6685"/>
    <w:rsid w:val="002B151B"/>
    <w:rsid w:val="002B462C"/>
    <w:rsid w:val="002B66ED"/>
    <w:rsid w:val="002B6B47"/>
    <w:rsid w:val="002C01C0"/>
    <w:rsid w:val="002C1E9B"/>
    <w:rsid w:val="002C2D8C"/>
    <w:rsid w:val="002C47F5"/>
    <w:rsid w:val="002D4A50"/>
    <w:rsid w:val="002D7F49"/>
    <w:rsid w:val="002E4F59"/>
    <w:rsid w:val="002E78AF"/>
    <w:rsid w:val="002F01CA"/>
    <w:rsid w:val="00301A89"/>
    <w:rsid w:val="00306F9D"/>
    <w:rsid w:val="00307A1A"/>
    <w:rsid w:val="00313ABC"/>
    <w:rsid w:val="00313CEA"/>
    <w:rsid w:val="00313E37"/>
    <w:rsid w:val="00333978"/>
    <w:rsid w:val="0033409F"/>
    <w:rsid w:val="00341BDF"/>
    <w:rsid w:val="00342D5C"/>
    <w:rsid w:val="00351DBF"/>
    <w:rsid w:val="003546A1"/>
    <w:rsid w:val="003548AD"/>
    <w:rsid w:val="00355844"/>
    <w:rsid w:val="00363C9C"/>
    <w:rsid w:val="003648B0"/>
    <w:rsid w:val="00365A53"/>
    <w:rsid w:val="00367DB0"/>
    <w:rsid w:val="003708D7"/>
    <w:rsid w:val="0037137B"/>
    <w:rsid w:val="003742DB"/>
    <w:rsid w:val="00377F87"/>
    <w:rsid w:val="00380048"/>
    <w:rsid w:val="00382432"/>
    <w:rsid w:val="003854EE"/>
    <w:rsid w:val="00397A31"/>
    <w:rsid w:val="003A0592"/>
    <w:rsid w:val="003A0933"/>
    <w:rsid w:val="003A3B3C"/>
    <w:rsid w:val="003A4852"/>
    <w:rsid w:val="003A5011"/>
    <w:rsid w:val="003A5CF3"/>
    <w:rsid w:val="003B2707"/>
    <w:rsid w:val="003B3989"/>
    <w:rsid w:val="003C1D3F"/>
    <w:rsid w:val="003C4EC5"/>
    <w:rsid w:val="003D18E6"/>
    <w:rsid w:val="003D3646"/>
    <w:rsid w:val="003D41FA"/>
    <w:rsid w:val="003E263A"/>
    <w:rsid w:val="003E389D"/>
    <w:rsid w:val="003E7473"/>
    <w:rsid w:val="003F0C64"/>
    <w:rsid w:val="003F3D55"/>
    <w:rsid w:val="003F440B"/>
    <w:rsid w:val="00400CF4"/>
    <w:rsid w:val="00401FBB"/>
    <w:rsid w:val="00410472"/>
    <w:rsid w:val="00410C6C"/>
    <w:rsid w:val="00412AA6"/>
    <w:rsid w:val="0041397D"/>
    <w:rsid w:val="00422D74"/>
    <w:rsid w:val="00423B09"/>
    <w:rsid w:val="00424935"/>
    <w:rsid w:val="004265BE"/>
    <w:rsid w:val="0042766B"/>
    <w:rsid w:val="00433795"/>
    <w:rsid w:val="00442DEE"/>
    <w:rsid w:val="0044341B"/>
    <w:rsid w:val="00444FF0"/>
    <w:rsid w:val="00447C55"/>
    <w:rsid w:val="00454E67"/>
    <w:rsid w:val="004563D3"/>
    <w:rsid w:val="00463AE8"/>
    <w:rsid w:val="004673E4"/>
    <w:rsid w:val="00472300"/>
    <w:rsid w:val="0049500E"/>
    <w:rsid w:val="004A0BCF"/>
    <w:rsid w:val="004A1E98"/>
    <w:rsid w:val="004A49F9"/>
    <w:rsid w:val="004B04E2"/>
    <w:rsid w:val="004B4A1A"/>
    <w:rsid w:val="004B527E"/>
    <w:rsid w:val="004C11EC"/>
    <w:rsid w:val="004C2454"/>
    <w:rsid w:val="004C5B17"/>
    <w:rsid w:val="004D161A"/>
    <w:rsid w:val="004D2690"/>
    <w:rsid w:val="004D31BD"/>
    <w:rsid w:val="004D4ECE"/>
    <w:rsid w:val="004D6302"/>
    <w:rsid w:val="004D75A0"/>
    <w:rsid w:val="004E30CA"/>
    <w:rsid w:val="004E4AB7"/>
    <w:rsid w:val="004E4E13"/>
    <w:rsid w:val="004E662A"/>
    <w:rsid w:val="004E7234"/>
    <w:rsid w:val="004E73D7"/>
    <w:rsid w:val="004F0DDE"/>
    <w:rsid w:val="004F41D4"/>
    <w:rsid w:val="004F44ED"/>
    <w:rsid w:val="004F46D1"/>
    <w:rsid w:val="004F571E"/>
    <w:rsid w:val="004F5B1F"/>
    <w:rsid w:val="004F697C"/>
    <w:rsid w:val="0050102F"/>
    <w:rsid w:val="00501C54"/>
    <w:rsid w:val="00502A33"/>
    <w:rsid w:val="00503E41"/>
    <w:rsid w:val="00507C9F"/>
    <w:rsid w:val="00510E0D"/>
    <w:rsid w:val="00515233"/>
    <w:rsid w:val="005203B4"/>
    <w:rsid w:val="00522E4C"/>
    <w:rsid w:val="00524D09"/>
    <w:rsid w:val="0052543C"/>
    <w:rsid w:val="00527252"/>
    <w:rsid w:val="005338E9"/>
    <w:rsid w:val="00534676"/>
    <w:rsid w:val="00545CBD"/>
    <w:rsid w:val="00546706"/>
    <w:rsid w:val="005554FC"/>
    <w:rsid w:val="00562983"/>
    <w:rsid w:val="005659AB"/>
    <w:rsid w:val="00566F57"/>
    <w:rsid w:val="00577C4A"/>
    <w:rsid w:val="00583533"/>
    <w:rsid w:val="00583BEA"/>
    <w:rsid w:val="005873C8"/>
    <w:rsid w:val="0059164B"/>
    <w:rsid w:val="00592DD2"/>
    <w:rsid w:val="00593175"/>
    <w:rsid w:val="005931A1"/>
    <w:rsid w:val="00595934"/>
    <w:rsid w:val="00597E89"/>
    <w:rsid w:val="005A3152"/>
    <w:rsid w:val="005A528F"/>
    <w:rsid w:val="005A5DD7"/>
    <w:rsid w:val="005A79CA"/>
    <w:rsid w:val="005B1800"/>
    <w:rsid w:val="005B4498"/>
    <w:rsid w:val="005B5B01"/>
    <w:rsid w:val="005C4573"/>
    <w:rsid w:val="005C6A58"/>
    <w:rsid w:val="005C75C5"/>
    <w:rsid w:val="005D1FBF"/>
    <w:rsid w:val="005E1D54"/>
    <w:rsid w:val="005E2539"/>
    <w:rsid w:val="005E2704"/>
    <w:rsid w:val="005F29A0"/>
    <w:rsid w:val="005F4D48"/>
    <w:rsid w:val="005F648C"/>
    <w:rsid w:val="005F6AEE"/>
    <w:rsid w:val="005F7009"/>
    <w:rsid w:val="006005AB"/>
    <w:rsid w:val="00600C03"/>
    <w:rsid w:val="0060538A"/>
    <w:rsid w:val="0061160F"/>
    <w:rsid w:val="006210AE"/>
    <w:rsid w:val="006227C3"/>
    <w:rsid w:val="0063032B"/>
    <w:rsid w:val="006324E5"/>
    <w:rsid w:val="00634E86"/>
    <w:rsid w:val="0063580C"/>
    <w:rsid w:val="00641DA7"/>
    <w:rsid w:val="00646416"/>
    <w:rsid w:val="00650514"/>
    <w:rsid w:val="006539AD"/>
    <w:rsid w:val="00654800"/>
    <w:rsid w:val="006557A3"/>
    <w:rsid w:val="00660882"/>
    <w:rsid w:val="0066467A"/>
    <w:rsid w:val="00664D0D"/>
    <w:rsid w:val="00665794"/>
    <w:rsid w:val="00665929"/>
    <w:rsid w:val="00674C5B"/>
    <w:rsid w:val="00676BFE"/>
    <w:rsid w:val="00680D98"/>
    <w:rsid w:val="0068510C"/>
    <w:rsid w:val="00690676"/>
    <w:rsid w:val="006965B9"/>
    <w:rsid w:val="006A0158"/>
    <w:rsid w:val="006A5C25"/>
    <w:rsid w:val="006B320E"/>
    <w:rsid w:val="006B74CC"/>
    <w:rsid w:val="006C27BF"/>
    <w:rsid w:val="006C3157"/>
    <w:rsid w:val="006C39A0"/>
    <w:rsid w:val="006C5356"/>
    <w:rsid w:val="006C6C72"/>
    <w:rsid w:val="006D5CA2"/>
    <w:rsid w:val="006E457A"/>
    <w:rsid w:val="006E4D9D"/>
    <w:rsid w:val="006E6BBE"/>
    <w:rsid w:val="006F23B5"/>
    <w:rsid w:val="006F2802"/>
    <w:rsid w:val="006F2DF7"/>
    <w:rsid w:val="006F3C32"/>
    <w:rsid w:val="006F4256"/>
    <w:rsid w:val="006F76CB"/>
    <w:rsid w:val="0070036C"/>
    <w:rsid w:val="00700EDB"/>
    <w:rsid w:val="00701DE0"/>
    <w:rsid w:val="00706B9C"/>
    <w:rsid w:val="007076B6"/>
    <w:rsid w:val="00707DBE"/>
    <w:rsid w:val="00710B61"/>
    <w:rsid w:val="00713C14"/>
    <w:rsid w:val="00715D96"/>
    <w:rsid w:val="007224DB"/>
    <w:rsid w:val="007321AC"/>
    <w:rsid w:val="00737EA3"/>
    <w:rsid w:val="00751CA5"/>
    <w:rsid w:val="00752AD4"/>
    <w:rsid w:val="00772AAA"/>
    <w:rsid w:val="00777EA8"/>
    <w:rsid w:val="00782E3A"/>
    <w:rsid w:val="007A72F3"/>
    <w:rsid w:val="007A7821"/>
    <w:rsid w:val="007B5920"/>
    <w:rsid w:val="007B7BF5"/>
    <w:rsid w:val="007C26C2"/>
    <w:rsid w:val="007C3E8D"/>
    <w:rsid w:val="007C410A"/>
    <w:rsid w:val="007C4372"/>
    <w:rsid w:val="007D3540"/>
    <w:rsid w:val="007D579C"/>
    <w:rsid w:val="007D61B3"/>
    <w:rsid w:val="007E6F7F"/>
    <w:rsid w:val="007F1B2E"/>
    <w:rsid w:val="007F1D46"/>
    <w:rsid w:val="007F1D56"/>
    <w:rsid w:val="007F2ABE"/>
    <w:rsid w:val="007F4D0F"/>
    <w:rsid w:val="008009FC"/>
    <w:rsid w:val="00802441"/>
    <w:rsid w:val="008047A5"/>
    <w:rsid w:val="00806FDA"/>
    <w:rsid w:val="008121C9"/>
    <w:rsid w:val="0081641B"/>
    <w:rsid w:val="0081688B"/>
    <w:rsid w:val="00817048"/>
    <w:rsid w:val="00821899"/>
    <w:rsid w:val="008220D5"/>
    <w:rsid w:val="00836CF5"/>
    <w:rsid w:val="00836E86"/>
    <w:rsid w:val="008376FB"/>
    <w:rsid w:val="0084175A"/>
    <w:rsid w:val="00844000"/>
    <w:rsid w:val="0084789C"/>
    <w:rsid w:val="00852C54"/>
    <w:rsid w:val="00853F2B"/>
    <w:rsid w:val="0085745B"/>
    <w:rsid w:val="00857798"/>
    <w:rsid w:val="00870684"/>
    <w:rsid w:val="008713ED"/>
    <w:rsid w:val="00873FED"/>
    <w:rsid w:val="008747F5"/>
    <w:rsid w:val="0087737F"/>
    <w:rsid w:val="0088552B"/>
    <w:rsid w:val="008945C4"/>
    <w:rsid w:val="00896B7B"/>
    <w:rsid w:val="00896C58"/>
    <w:rsid w:val="008A349D"/>
    <w:rsid w:val="008B19C7"/>
    <w:rsid w:val="008B45E3"/>
    <w:rsid w:val="008B6B70"/>
    <w:rsid w:val="008C08FA"/>
    <w:rsid w:val="008C3675"/>
    <w:rsid w:val="008C3CD0"/>
    <w:rsid w:val="008C4F5B"/>
    <w:rsid w:val="008C62BC"/>
    <w:rsid w:val="008D0E9D"/>
    <w:rsid w:val="008D6307"/>
    <w:rsid w:val="008D7EBD"/>
    <w:rsid w:val="008E0324"/>
    <w:rsid w:val="008E0EF7"/>
    <w:rsid w:val="008E3A30"/>
    <w:rsid w:val="008E4858"/>
    <w:rsid w:val="008E532B"/>
    <w:rsid w:val="008E6379"/>
    <w:rsid w:val="00905E66"/>
    <w:rsid w:val="009124BC"/>
    <w:rsid w:val="00912F25"/>
    <w:rsid w:val="00915BEB"/>
    <w:rsid w:val="00916531"/>
    <w:rsid w:val="0092048D"/>
    <w:rsid w:val="00922BD4"/>
    <w:rsid w:val="00922E26"/>
    <w:rsid w:val="00933FAA"/>
    <w:rsid w:val="00934258"/>
    <w:rsid w:val="00935D1B"/>
    <w:rsid w:val="00937F34"/>
    <w:rsid w:val="00941F2C"/>
    <w:rsid w:val="00942B78"/>
    <w:rsid w:val="00951E26"/>
    <w:rsid w:val="0095754E"/>
    <w:rsid w:val="00957DDD"/>
    <w:rsid w:val="009625BD"/>
    <w:rsid w:val="009640C2"/>
    <w:rsid w:val="00965A5C"/>
    <w:rsid w:val="0096781C"/>
    <w:rsid w:val="00970C54"/>
    <w:rsid w:val="009719AB"/>
    <w:rsid w:val="00974956"/>
    <w:rsid w:val="00982202"/>
    <w:rsid w:val="009851DC"/>
    <w:rsid w:val="0098547E"/>
    <w:rsid w:val="00990F7E"/>
    <w:rsid w:val="00991995"/>
    <w:rsid w:val="00992C03"/>
    <w:rsid w:val="0099313C"/>
    <w:rsid w:val="009A2111"/>
    <w:rsid w:val="009A4C83"/>
    <w:rsid w:val="009A530E"/>
    <w:rsid w:val="009B2A71"/>
    <w:rsid w:val="009C0AE1"/>
    <w:rsid w:val="009C2FEE"/>
    <w:rsid w:val="009C4F39"/>
    <w:rsid w:val="009C65C0"/>
    <w:rsid w:val="009D2D15"/>
    <w:rsid w:val="009D5F13"/>
    <w:rsid w:val="009E0232"/>
    <w:rsid w:val="009E4E92"/>
    <w:rsid w:val="009F006A"/>
    <w:rsid w:val="00A044AB"/>
    <w:rsid w:val="00A053CE"/>
    <w:rsid w:val="00A0591F"/>
    <w:rsid w:val="00A26D0F"/>
    <w:rsid w:val="00A33E4F"/>
    <w:rsid w:val="00A34956"/>
    <w:rsid w:val="00A425A1"/>
    <w:rsid w:val="00A42738"/>
    <w:rsid w:val="00A46490"/>
    <w:rsid w:val="00A47FCD"/>
    <w:rsid w:val="00A50EAC"/>
    <w:rsid w:val="00A518D5"/>
    <w:rsid w:val="00A608C0"/>
    <w:rsid w:val="00A61319"/>
    <w:rsid w:val="00A62917"/>
    <w:rsid w:val="00A64325"/>
    <w:rsid w:val="00A67AC0"/>
    <w:rsid w:val="00A70C88"/>
    <w:rsid w:val="00A830B4"/>
    <w:rsid w:val="00A86B9C"/>
    <w:rsid w:val="00A95555"/>
    <w:rsid w:val="00A9608F"/>
    <w:rsid w:val="00A96E59"/>
    <w:rsid w:val="00AA42F1"/>
    <w:rsid w:val="00AA4517"/>
    <w:rsid w:val="00AA45D6"/>
    <w:rsid w:val="00AA498B"/>
    <w:rsid w:val="00AC11D2"/>
    <w:rsid w:val="00AC3E81"/>
    <w:rsid w:val="00AC5FBC"/>
    <w:rsid w:val="00AC74D6"/>
    <w:rsid w:val="00AD0336"/>
    <w:rsid w:val="00AD2925"/>
    <w:rsid w:val="00AE0437"/>
    <w:rsid w:val="00AE0881"/>
    <w:rsid w:val="00AE3D03"/>
    <w:rsid w:val="00AF18E1"/>
    <w:rsid w:val="00AF6582"/>
    <w:rsid w:val="00AF7298"/>
    <w:rsid w:val="00B0244C"/>
    <w:rsid w:val="00B02B27"/>
    <w:rsid w:val="00B04EB6"/>
    <w:rsid w:val="00B0616A"/>
    <w:rsid w:val="00B07F1F"/>
    <w:rsid w:val="00B1061E"/>
    <w:rsid w:val="00B12907"/>
    <w:rsid w:val="00B1430D"/>
    <w:rsid w:val="00B14C01"/>
    <w:rsid w:val="00B14CD1"/>
    <w:rsid w:val="00B171F6"/>
    <w:rsid w:val="00B223BE"/>
    <w:rsid w:val="00B22B7F"/>
    <w:rsid w:val="00B255A4"/>
    <w:rsid w:val="00B26677"/>
    <w:rsid w:val="00B33EF9"/>
    <w:rsid w:val="00B3637B"/>
    <w:rsid w:val="00B37C5E"/>
    <w:rsid w:val="00B416C7"/>
    <w:rsid w:val="00B43C3C"/>
    <w:rsid w:val="00B51288"/>
    <w:rsid w:val="00B52F6B"/>
    <w:rsid w:val="00B54A95"/>
    <w:rsid w:val="00B55E7E"/>
    <w:rsid w:val="00B5754C"/>
    <w:rsid w:val="00B60EFE"/>
    <w:rsid w:val="00B619E8"/>
    <w:rsid w:val="00B6259F"/>
    <w:rsid w:val="00B629DF"/>
    <w:rsid w:val="00B62C63"/>
    <w:rsid w:val="00B700CE"/>
    <w:rsid w:val="00B72F80"/>
    <w:rsid w:val="00B74117"/>
    <w:rsid w:val="00B74222"/>
    <w:rsid w:val="00B74567"/>
    <w:rsid w:val="00B82A36"/>
    <w:rsid w:val="00B85E27"/>
    <w:rsid w:val="00B867DB"/>
    <w:rsid w:val="00B90207"/>
    <w:rsid w:val="00B946FA"/>
    <w:rsid w:val="00BA0288"/>
    <w:rsid w:val="00BA2796"/>
    <w:rsid w:val="00BA76FF"/>
    <w:rsid w:val="00BB2BCC"/>
    <w:rsid w:val="00BB4CFE"/>
    <w:rsid w:val="00BB6483"/>
    <w:rsid w:val="00BB69C3"/>
    <w:rsid w:val="00BC45BA"/>
    <w:rsid w:val="00BC757C"/>
    <w:rsid w:val="00BC78E4"/>
    <w:rsid w:val="00BD787D"/>
    <w:rsid w:val="00BE0CE5"/>
    <w:rsid w:val="00BE4D67"/>
    <w:rsid w:val="00BF5020"/>
    <w:rsid w:val="00BF62FB"/>
    <w:rsid w:val="00BF6E93"/>
    <w:rsid w:val="00C00E5B"/>
    <w:rsid w:val="00C02282"/>
    <w:rsid w:val="00C05B66"/>
    <w:rsid w:val="00C15560"/>
    <w:rsid w:val="00C16A9B"/>
    <w:rsid w:val="00C17A28"/>
    <w:rsid w:val="00C31C9B"/>
    <w:rsid w:val="00C37A2D"/>
    <w:rsid w:val="00C37A2E"/>
    <w:rsid w:val="00C4003D"/>
    <w:rsid w:val="00C44E1C"/>
    <w:rsid w:val="00C47F28"/>
    <w:rsid w:val="00C525AD"/>
    <w:rsid w:val="00C563F8"/>
    <w:rsid w:val="00C57F2D"/>
    <w:rsid w:val="00C64736"/>
    <w:rsid w:val="00C71D09"/>
    <w:rsid w:val="00C72082"/>
    <w:rsid w:val="00C74275"/>
    <w:rsid w:val="00C817A7"/>
    <w:rsid w:val="00C8200D"/>
    <w:rsid w:val="00C82447"/>
    <w:rsid w:val="00C82CA1"/>
    <w:rsid w:val="00C906EE"/>
    <w:rsid w:val="00C90E97"/>
    <w:rsid w:val="00C91FF2"/>
    <w:rsid w:val="00C95978"/>
    <w:rsid w:val="00C95D71"/>
    <w:rsid w:val="00CA2C67"/>
    <w:rsid w:val="00CA3A08"/>
    <w:rsid w:val="00CA5018"/>
    <w:rsid w:val="00CC70C8"/>
    <w:rsid w:val="00CC7E43"/>
    <w:rsid w:val="00CD2BAF"/>
    <w:rsid w:val="00CD46BE"/>
    <w:rsid w:val="00CD575D"/>
    <w:rsid w:val="00CF0A07"/>
    <w:rsid w:val="00CF0D11"/>
    <w:rsid w:val="00CF589D"/>
    <w:rsid w:val="00CF78A4"/>
    <w:rsid w:val="00D06120"/>
    <w:rsid w:val="00D07006"/>
    <w:rsid w:val="00D07FB0"/>
    <w:rsid w:val="00D1044C"/>
    <w:rsid w:val="00D10ACF"/>
    <w:rsid w:val="00D10E35"/>
    <w:rsid w:val="00D32722"/>
    <w:rsid w:val="00D331C9"/>
    <w:rsid w:val="00D338D9"/>
    <w:rsid w:val="00D34CF1"/>
    <w:rsid w:val="00D410EF"/>
    <w:rsid w:val="00D437E0"/>
    <w:rsid w:val="00D468AA"/>
    <w:rsid w:val="00D472C5"/>
    <w:rsid w:val="00D50DEA"/>
    <w:rsid w:val="00D51CBB"/>
    <w:rsid w:val="00D52104"/>
    <w:rsid w:val="00D5220C"/>
    <w:rsid w:val="00D5233C"/>
    <w:rsid w:val="00D536A3"/>
    <w:rsid w:val="00D5585E"/>
    <w:rsid w:val="00D6230B"/>
    <w:rsid w:val="00D64F39"/>
    <w:rsid w:val="00D72245"/>
    <w:rsid w:val="00D72990"/>
    <w:rsid w:val="00D73FBD"/>
    <w:rsid w:val="00D74339"/>
    <w:rsid w:val="00D75E63"/>
    <w:rsid w:val="00D76212"/>
    <w:rsid w:val="00D826ED"/>
    <w:rsid w:val="00D82DCF"/>
    <w:rsid w:val="00D856B8"/>
    <w:rsid w:val="00D92D79"/>
    <w:rsid w:val="00D95094"/>
    <w:rsid w:val="00DA42E6"/>
    <w:rsid w:val="00DB13E9"/>
    <w:rsid w:val="00DD0523"/>
    <w:rsid w:val="00DE03AC"/>
    <w:rsid w:val="00DE0F8E"/>
    <w:rsid w:val="00DE2F72"/>
    <w:rsid w:val="00DE6988"/>
    <w:rsid w:val="00DE777F"/>
    <w:rsid w:val="00DE7867"/>
    <w:rsid w:val="00DF40BF"/>
    <w:rsid w:val="00DF429A"/>
    <w:rsid w:val="00DF4C7E"/>
    <w:rsid w:val="00E044D2"/>
    <w:rsid w:val="00E0685F"/>
    <w:rsid w:val="00E10175"/>
    <w:rsid w:val="00E103AD"/>
    <w:rsid w:val="00E11D85"/>
    <w:rsid w:val="00E1746D"/>
    <w:rsid w:val="00E21663"/>
    <w:rsid w:val="00E21CDA"/>
    <w:rsid w:val="00E30427"/>
    <w:rsid w:val="00E30DC5"/>
    <w:rsid w:val="00E31126"/>
    <w:rsid w:val="00E312A6"/>
    <w:rsid w:val="00E403BA"/>
    <w:rsid w:val="00E42C8A"/>
    <w:rsid w:val="00E50615"/>
    <w:rsid w:val="00E51852"/>
    <w:rsid w:val="00E6486E"/>
    <w:rsid w:val="00E702AB"/>
    <w:rsid w:val="00E70872"/>
    <w:rsid w:val="00E709AB"/>
    <w:rsid w:val="00E70E45"/>
    <w:rsid w:val="00E734CF"/>
    <w:rsid w:val="00E73BB9"/>
    <w:rsid w:val="00E83B28"/>
    <w:rsid w:val="00E86EA8"/>
    <w:rsid w:val="00E9604B"/>
    <w:rsid w:val="00E972C3"/>
    <w:rsid w:val="00EA0D5B"/>
    <w:rsid w:val="00EA129A"/>
    <w:rsid w:val="00EA33A9"/>
    <w:rsid w:val="00EA5A52"/>
    <w:rsid w:val="00EA77B5"/>
    <w:rsid w:val="00EB09DB"/>
    <w:rsid w:val="00EB2E36"/>
    <w:rsid w:val="00EB7958"/>
    <w:rsid w:val="00EC10F7"/>
    <w:rsid w:val="00EC202F"/>
    <w:rsid w:val="00EC5C00"/>
    <w:rsid w:val="00ED0A61"/>
    <w:rsid w:val="00ED27E1"/>
    <w:rsid w:val="00ED355A"/>
    <w:rsid w:val="00ED454C"/>
    <w:rsid w:val="00ED758C"/>
    <w:rsid w:val="00ED7647"/>
    <w:rsid w:val="00EE0387"/>
    <w:rsid w:val="00EE0530"/>
    <w:rsid w:val="00EE4402"/>
    <w:rsid w:val="00EF0D08"/>
    <w:rsid w:val="00EF1515"/>
    <w:rsid w:val="00EF1C72"/>
    <w:rsid w:val="00EF5625"/>
    <w:rsid w:val="00F018BD"/>
    <w:rsid w:val="00F02561"/>
    <w:rsid w:val="00F0273E"/>
    <w:rsid w:val="00F03A26"/>
    <w:rsid w:val="00F047F4"/>
    <w:rsid w:val="00F074BC"/>
    <w:rsid w:val="00F07EBE"/>
    <w:rsid w:val="00F10F68"/>
    <w:rsid w:val="00F1176E"/>
    <w:rsid w:val="00F15B22"/>
    <w:rsid w:val="00F172C7"/>
    <w:rsid w:val="00F27AEB"/>
    <w:rsid w:val="00F32D35"/>
    <w:rsid w:val="00F337B0"/>
    <w:rsid w:val="00F43B4D"/>
    <w:rsid w:val="00F475E7"/>
    <w:rsid w:val="00F51513"/>
    <w:rsid w:val="00F51C1D"/>
    <w:rsid w:val="00F51DB3"/>
    <w:rsid w:val="00F5245E"/>
    <w:rsid w:val="00F534D5"/>
    <w:rsid w:val="00F55570"/>
    <w:rsid w:val="00F62129"/>
    <w:rsid w:val="00F71B48"/>
    <w:rsid w:val="00F72894"/>
    <w:rsid w:val="00F745E2"/>
    <w:rsid w:val="00F80D12"/>
    <w:rsid w:val="00F81B2C"/>
    <w:rsid w:val="00F81F6A"/>
    <w:rsid w:val="00F85365"/>
    <w:rsid w:val="00F86911"/>
    <w:rsid w:val="00F87226"/>
    <w:rsid w:val="00F93068"/>
    <w:rsid w:val="00F954BA"/>
    <w:rsid w:val="00F95BF0"/>
    <w:rsid w:val="00F978EB"/>
    <w:rsid w:val="00FA6681"/>
    <w:rsid w:val="00FB4E70"/>
    <w:rsid w:val="00FB7B7C"/>
    <w:rsid w:val="00FC0665"/>
    <w:rsid w:val="00FC1D13"/>
    <w:rsid w:val="00FC1D79"/>
    <w:rsid w:val="00FC416F"/>
    <w:rsid w:val="00FC5982"/>
    <w:rsid w:val="00FE0B21"/>
    <w:rsid w:val="00FE2C9A"/>
    <w:rsid w:val="00FE3089"/>
    <w:rsid w:val="00FE3230"/>
    <w:rsid w:val="00FE37F8"/>
    <w:rsid w:val="00FE5372"/>
    <w:rsid w:val="00FE6F2C"/>
    <w:rsid w:val="00FF436D"/>
    <w:rsid w:val="00FF5F59"/>
    <w:rsid w:val="00FF6969"/>
    <w:rsid w:val="0FA76834"/>
    <w:rsid w:val="25EF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b/>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99"/>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 w:type="paragraph" w:customStyle="1" w:styleId="13">
    <w:name w:val="1"/>
    <w:basedOn w:val="4"/>
    <w:link w:val="14"/>
    <w:qFormat/>
    <w:uiPriority w:val="0"/>
    <w:pPr>
      <w:widowControl/>
      <w:spacing w:before="0" w:after="0" w:line="360" w:lineRule="auto"/>
      <w:ind w:firstLine="551" w:firstLineChars="196"/>
      <w:jc w:val="left"/>
    </w:pPr>
    <w:rPr>
      <w:rFonts w:ascii="仿宋" w:hAnsi="仿宋" w:eastAsia="仿宋" w:cstheme="majorBidi"/>
      <w:kern w:val="0"/>
      <w:sz w:val="28"/>
    </w:rPr>
  </w:style>
  <w:style w:type="character" w:customStyle="1" w:styleId="14">
    <w:name w:val="1 字符"/>
    <w:basedOn w:val="10"/>
    <w:link w:val="13"/>
    <w:qFormat/>
    <w:uiPriority w:val="0"/>
    <w:rPr>
      <w:rFonts w:ascii="仿宋" w:hAnsi="仿宋" w:eastAsia="仿宋" w:cstheme="majorBidi"/>
      <w:b/>
      <w:bCs/>
      <w:sz w:val="28"/>
      <w:szCs w:val="28"/>
    </w:rPr>
  </w:style>
  <w:style w:type="character" w:customStyle="1" w:styleId="15">
    <w:name w:val="批注框文本 Char"/>
    <w:basedOn w:val="10"/>
    <w:link w:val="5"/>
    <w:qFormat/>
    <w:uiPriority w:val="99"/>
    <w:rPr>
      <w:rFonts w:asciiTheme="minorHAnsi" w:hAnsiTheme="minorHAnsi" w:eastAsiaTheme="minorEastAsia" w:cstheme="minorBidi"/>
      <w:kern w:val="2"/>
      <w:sz w:val="18"/>
      <w:szCs w:val="18"/>
    </w:rPr>
  </w:style>
  <w:style w:type="character" w:customStyle="1" w:styleId="16">
    <w:name w:val="标题 1 Char"/>
    <w:basedOn w:val="10"/>
    <w:link w:val="2"/>
    <w:qFormat/>
    <w:uiPriority w:val="0"/>
    <w:rPr>
      <w:rFonts w:asciiTheme="minorHAnsi" w:hAnsiTheme="minorHAnsi" w:eastAsiaTheme="minorEastAsia" w:cstheme="minorBidi"/>
      <w:b/>
      <w:bCs/>
      <w:kern w:val="44"/>
      <w:sz w:val="44"/>
      <w:szCs w:val="44"/>
    </w:rPr>
  </w:style>
  <w:style w:type="character" w:customStyle="1" w:styleId="17">
    <w:name w:val="报告正文 Char"/>
    <w:link w:val="18"/>
    <w:qFormat/>
    <w:uiPriority w:val="0"/>
    <w:rPr>
      <w:rFonts w:ascii="仿宋_GB2312" w:hAnsi="仿宋_GB2312" w:eastAsia="仿宋_GB2312"/>
      <w:kern w:val="2"/>
      <w:sz w:val="24"/>
      <w:szCs w:val="30"/>
    </w:rPr>
  </w:style>
  <w:style w:type="paragraph" w:customStyle="1" w:styleId="18">
    <w:name w:val="报告正文"/>
    <w:basedOn w:val="1"/>
    <w:link w:val="17"/>
    <w:qFormat/>
    <w:uiPriority w:val="0"/>
    <w:pPr>
      <w:spacing w:line="500" w:lineRule="exact"/>
      <w:ind w:firstLine="200" w:firstLineChars="200"/>
    </w:pPr>
    <w:rPr>
      <w:rFonts w:ascii="仿宋_GB2312" w:hAnsi="仿宋_GB2312" w:eastAsia="仿宋_GB2312" w:cs="Times New Roman"/>
      <w:sz w:val="24"/>
      <w:szCs w:val="30"/>
    </w:rPr>
  </w:style>
  <w:style w:type="character" w:customStyle="1" w:styleId="19">
    <w:name w:val="NormalCharacter"/>
    <w:semiHidden/>
    <w:qFormat/>
    <w:uiPriority w:val="0"/>
  </w:style>
  <w:style w:type="paragraph" w:styleId="20">
    <w:name w:val="List Paragraph"/>
    <w:basedOn w:val="1"/>
    <w:unhideWhenUsed/>
    <w:qFormat/>
    <w:uiPriority w:val="34"/>
    <w:pPr>
      <w:ind w:firstLine="420" w:firstLineChars="200"/>
    </w:pPr>
    <w:rPr>
      <w:rFonts w:ascii="Times New Roman" w:hAnsi="Times New Roman" w:eastAsia="宋体" w:cs="Times New Roman"/>
      <w:szCs w:val="20"/>
    </w:rPr>
  </w:style>
  <w:style w:type="paragraph" w:customStyle="1" w:styleId="21">
    <w:name w:val="Default"/>
    <w:qFormat/>
    <w:uiPriority w:val="0"/>
    <w:pPr>
      <w:widowControl w:val="0"/>
      <w:autoSpaceDE w:val="0"/>
      <w:autoSpaceDN w:val="0"/>
      <w:adjustRightInd w:val="0"/>
    </w:pPr>
    <w:rPr>
      <w:rFonts w:ascii="华文细黑" w:hAnsi="华文细黑" w:eastAsia="宋体" w:cs="华文细黑"/>
      <w:color w:val="000000"/>
      <w:sz w:val="24"/>
      <w:szCs w:val="24"/>
      <w:lang w:val="en-US" w:eastAsia="zh-CN" w:bidi="ar-SA"/>
    </w:rPr>
  </w:style>
  <w:style w:type="character" w:customStyle="1" w:styleId="22">
    <w:name w:val="标题 3 Char"/>
    <w:basedOn w:val="10"/>
    <w:link w:val="3"/>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align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align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alignNode1">
    <dgm:fillClrLst>
      <a:srgbClr val="FFC000"/>
      <a:srgbClr val="4472C4"/>
    </dgm:fillClrLst>
    <dgm:linClrLst>
      <a:srgbClr val="FFC000"/>
      <a:srgbClr val="4472C4"/>
    </dgm:linClrLst>
    <dgm:effectClrLst/>
    <dgm:txLinClrLst/>
    <dgm:txFillClrLst/>
    <dgm:txEffectClrLst/>
  </dgm:styleLbl>
  <dgm:styleLbl name="asst0">
    <dgm:fillClrLst meth="repeat">
      <a:srgbClr val="FFC000"/>
    </dgm:fillClrLst>
    <dgm:linClrLst meth="repeat">
      <a:srgbClr val="E7E7E7">
        <a:shade val="80000"/>
      </a:srgbClr>
    </dgm:linClrLst>
    <dgm:effectClrLst/>
    <dgm:txLinClrLst/>
    <dgm:txFillClrLst/>
    <dgm:txEffectClrLst/>
  </dgm:styleLbl>
  <dgm:styleLbl name="asst1">
    <dgm:fillClrLst meth="repeat">
      <a:srgbClr val="4472C4"/>
    </dgm:fillClrLst>
    <dgm:linClrLst meth="repeat">
      <a:srgbClr val="E7E7E7">
        <a:shade val="80000"/>
      </a:srgbClr>
    </dgm:linClrLst>
    <dgm:effectClrLst/>
    <dgm:txLinClrLst/>
    <dgm:txFillClrLst/>
    <dgm:txEffectClrLst/>
  </dgm:styleLbl>
  <dgm:styleLbl name="asst2">
    <dgm:fillClrLst>
      <a:srgbClr val="70AD47"/>
    </dgm:fillClrLst>
    <dgm:linClrLst meth="repeat">
      <a:srgbClr val="FFFFFF"/>
    </dgm:linClrLst>
    <dgm:effectClrLst/>
    <dgm:txLinClrLst/>
    <dgm:txFillClrLst/>
    <dgm:txEffectClrLst/>
  </dgm:styleLbl>
  <dgm:styleLbl name="asst3">
    <dgm:fillClrLst>
      <a:srgbClr val="5B9BD5"/>
    </dgm:fillClrLst>
    <dgm:linClrLst meth="repeat">
      <a:srgbClr val="FFFFFF"/>
    </dgm:linClrLst>
    <dgm:effectClrLst/>
    <dgm:txLinClrLst/>
    <dgm:txFillClrLst/>
    <dgm:txEffectClrLst/>
  </dgm:styleLbl>
  <dgm:styleLbl name="asst4">
    <dgm:fillClrLst>
      <a:srgbClr val="ED7D31"/>
    </dgm:fillClrLst>
    <dgm:linClrLst meth="repeat">
      <a:srgbClr val="FFFFFF"/>
    </dgm:linClrLst>
    <dgm:effectClrLst/>
    <dgm:txLinClrLst/>
    <dgm:txFillClrLst/>
    <dgm:txEffectClrLst/>
  </dgm:styleLbl>
  <dgm:styleLbl name="b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b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bg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bgShp">
    <dgm:fillClrLst meth="repeat">
      <a:srgbClr val="FFE8CB">
        <a:tint val="40000"/>
      </a:srgbClr>
    </dgm:fillClrLst>
    <dgm:linClrLst meth="repeat">
      <a:srgbClr val="000000"/>
    </dgm:linClrLst>
    <dgm:effectClrLst/>
    <dgm:txLinClrLst/>
    <dgm:txFillClrLst meth="repeat">
      <a:srgbClr val="000000"/>
    </dgm:txFillClrLst>
    <dgm:txEffectClrLst/>
  </dgm:styleLbl>
  <dgm:styleLbl name="bgSibTrans2D1">
    <dgm:fillClrLst>
      <a:srgbClr val="FFC000"/>
      <a:srgbClr val="4472C4"/>
    </dgm:fillClrLst>
    <dgm:linClrLst meth="repeat">
      <a:srgbClr val="FFFFFF"/>
    </dgm:linClrLst>
    <dgm:effectClrLst/>
    <dgm:txLinClrLst/>
    <dgm:txFillClrLst meth="repeat">
      <a:srgbClr val="FFFFFF"/>
    </dgm:txFillClrLst>
    <dgm:txEffectClrLst/>
  </dgm:styleLbl>
  <dgm:styleLbl name="callout">
    <dgm:fillClrLst meth="repeat">
      <a:srgbClr val="FFC000"/>
    </dgm:fillClrLst>
    <dgm:linClrLst meth="repeat">
      <a:srgbClr val="FFE2BC">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dkBgShp">
    <dgm:fillClrLst meth="repeat">
      <a:srgbClr val="F3B700">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A5A5A5"/>
    </dgm:linClrLst>
    <dgm:effectClrLst/>
    <dgm:txLinClrLst/>
    <dgm:txFillClrLst meth="repeat">
      <a:srgbClr val="000000"/>
    </dgm:txFillClrLst>
    <dgm:txEffectClrLst/>
  </dgm:styleLbl>
  <dgm:styleLbl name="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fgAcc2">
    <dgm:fillClrLst meth="repeat">
      <a:srgbClr val="FFFFFF">
        <a:alpha val="90000"/>
      </a:srgbClr>
    </dgm:fillClrLst>
    <dgm:linClrLst>
      <a:srgbClr val="4472C4"/>
    </dgm:linClrLst>
    <dgm:effectClrLst/>
    <dgm:txLinClrLst/>
    <dgm:txFillClrLst meth="repeat">
      <a:srgbClr val="000000"/>
    </dgm:txFillClrLst>
    <dgm:txEffectClrLst/>
  </dgm:styleLbl>
  <dgm:styleLbl name="fgAcc3">
    <dgm:fillClrLst meth="repeat">
      <a:srgbClr val="FFFFFF">
        <a:alpha val="90000"/>
      </a:srgbClr>
    </dgm:fillClrLst>
    <dgm:linClrLst>
      <a:srgbClr val="70AD47"/>
    </dgm:linClrLst>
    <dgm:effectClrLst/>
    <dgm:txLinClrLst/>
    <dgm:txFillClrLst meth="repeat">
      <a:srgbClr val="000000"/>
    </dgm:txFillClrLst>
    <dgm:txEffectClrLst/>
  </dgm:styleLbl>
  <dgm:styleLbl name="fgAcc4">
    <dgm:fillClrLst meth="repeat">
      <a:srgbClr val="FFFFFF">
        <a:alpha val="90000"/>
      </a:srgbClr>
    </dgm:fillClrLst>
    <dgm:linClrLst>
      <a:srgbClr val="5B9BD5"/>
    </dgm:linClrLst>
    <dgm:effectClrLst/>
    <dgm:txLinClrLst/>
    <dgm:txFillClrLst meth="repeat">
      <a:srgbClr val="000000"/>
    </dgm:txFillClrLst>
    <dgm:txEffectClrLst/>
  </dgm:styleLbl>
  <dgm:styleLbl name="f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fgImgPlace1">
    <dgm:fillClrLst>
      <a:srgbClr val="FFE2BC">
        <a:tint val="50000"/>
      </a:srgbClr>
      <a:srgbClr val="C0C9E4">
        <a:tint val="50000"/>
      </a:srgbClr>
    </dgm:fillClrLst>
    <dgm:linClrLst meth="repeat">
      <a:srgbClr val="FFFFFF"/>
    </dgm:linClrLst>
    <dgm:effectClrLst/>
    <dgm:txLinClrLst/>
    <dgm:txFillClrLst meth="repeat">
      <a:srgbClr val="FFFFFF"/>
    </dgm:txFillClrLst>
    <dgm:txEffectClrLst/>
  </dgm:styleLbl>
  <dgm:styleLbl name="fgShp">
    <dgm:fillClrLst meth="repeat">
      <a:srgbClr val="FFE8CB">
        <a:tint val="40000"/>
      </a:srgbClr>
    </dgm:fillClrLst>
    <dgm:linClrLst meth="repeat">
      <a:srgbClr val="FFFFFF"/>
    </dgm:linClrLst>
    <dgm:effectClrLst/>
    <dgm:txLinClrLst/>
    <dgm:txFillClrLst meth="repeat">
      <a:srgbClr val="000000"/>
    </dgm:txFillClrLst>
    <dgm:txEffectClrLst/>
  </dgm:styleLbl>
  <dgm:styleLbl name="fgSibTrans2D1">
    <dgm:fillClrLst>
      <a:srgbClr val="FFC000"/>
      <a:srgbClr val="4472C4"/>
    </dgm:fillClrLst>
    <dgm:linClrLst meth="repeat">
      <a:srgbClr val="FFFFFF"/>
    </dgm:linClrLst>
    <dgm:effectClrLst/>
    <dgm:txLinClrLst/>
    <dgm:txFillClrLst meth="repeat">
      <a:srgbClr val="FFFFFF"/>
    </dgm:txFillClrLst>
    <dgm:txEffectClrLst/>
  </dgm:styleLbl>
  <dgm:styleLbl name="lnNode1">
    <dgm:fillClrLst>
      <a:srgbClr val="FFC000"/>
      <a:srgbClr val="4472C4"/>
    </dgm:fillClrLst>
    <dgm:linClrLst meth="repeat">
      <a:srgbClr val="FFFFFF"/>
    </dgm:linClrLst>
    <dgm:effectClrLst/>
    <dgm:txLinClrLst/>
    <dgm:txFillClrLst/>
    <dgm:txEffectClrLst/>
  </dgm:styleLbl>
  <dgm:styleLbl name="node0">
    <dgm:fillClrLst meth="repeat">
      <a:srgbClr val="A5A5A5"/>
    </dgm:fillClrLst>
    <dgm:linClrLst meth="repeat">
      <a:srgbClr val="FFFFFF"/>
    </dgm:linClrLst>
    <dgm:effectClrLst/>
    <dgm:txLinClrLst/>
    <dgm:txFillClrLst/>
    <dgm:txEffectClrLst/>
  </dgm:styleLbl>
  <dgm:styleLbl name="node1">
    <dgm:fillClrLst>
      <a:srgbClr val="FFC000"/>
      <a:srgbClr val="4472C4"/>
    </dgm:fillClrLst>
    <dgm:linClrLst meth="repeat">
      <a:srgbClr val="FFFFFF"/>
    </dgm:linClrLst>
    <dgm:effectClrLst/>
    <dgm:txLinClrLst/>
    <dgm:txFillClrLst/>
    <dgm:txEffectClrLst/>
  </dgm:styleLbl>
  <dgm:styleLbl name="node2">
    <dgm:fillClrLst>
      <a:srgbClr val="4472C4"/>
    </dgm:fillClrLst>
    <dgm:linClrLst meth="repeat">
      <a:srgbClr val="FFFFFF"/>
    </dgm:linClrLst>
    <dgm:effectClrLst/>
    <dgm:txLinClrLst/>
    <dgm:txFillClrLst/>
    <dgm:txEffectClrLst/>
  </dgm:styleLbl>
  <dgm:styleLbl name="node3">
    <dgm:fillClrLst>
      <a:srgbClr val="70AD47"/>
    </dgm:fillClrLst>
    <dgm:linClrLst meth="repeat">
      <a:srgbClr val="FFFFFF"/>
    </dgm:linClrLst>
    <dgm:effectClrLst/>
    <dgm:txLinClrLst/>
    <dgm:txFillClrLst/>
    <dgm:txEffectClrLst/>
  </dgm:styleLbl>
  <dgm:styleLbl name="node4">
    <dgm:fillClrLst>
      <a:srgbClr val="5B9BD5"/>
    </dgm:fillClrLst>
    <dgm:linClrLst meth="repeat">
      <a:srgbClr val="FFFFFF"/>
    </dgm:linClrLst>
    <dgm:effectClrLst/>
    <dgm:txLinClrLst/>
    <dgm:txFillClrLst/>
    <dgm:txEffectClrLst/>
  </dgm:styleLbl>
  <dgm:styleLbl name="parChTrans1D1">
    <dgm:fillClrLst meth="repeat">
      <a:srgbClr val="FFC000"/>
    </dgm:fillClrLst>
    <dgm:linClrLst meth="repeat">
      <a:srgbClr val="FFC000"/>
    </dgm:linClrLst>
    <dgm:effectClrLst/>
    <dgm:txLinClrLst/>
    <dgm:txFillClrLst meth="repeat">
      <a:srgbClr val="000000"/>
    </dgm:txFillClrLst>
    <dgm:txEffectClrLst/>
  </dgm:styleLbl>
  <dgm:styleLbl name="parChTrans1D2">
    <dgm:fillClrLst meth="repeat">
      <a:srgbClr val="FFC859">
        <a:tint val="90000"/>
      </a:srgbClr>
    </dgm:fillClrLst>
    <dgm:linClrLst meth="repeat">
      <a:srgbClr val="4472C4"/>
    </dgm:linClrLst>
    <dgm:effectClrLst/>
    <dgm:txLinClrLst/>
    <dgm:txFillClrLst meth="repeat">
      <a:srgbClr val="000000"/>
    </dgm:txFillClrLst>
    <dgm:txEffectClrLst/>
  </dgm:styleLbl>
  <dgm:styleLbl name="parChTrans1D3">
    <dgm:fillClrLst meth="repeat">
      <a:srgbClr val="FFD695">
        <a:tint val="70000"/>
      </a:srgbClr>
    </dgm:fillClrLst>
    <dgm:linClrLst meth="repeat">
      <a:srgbClr val="70AD47"/>
    </dgm:linClrLst>
    <dgm:effectClrLst/>
    <dgm:txLinClrLst/>
    <dgm:txFillClrLst meth="repeat">
      <a:srgbClr val="000000"/>
    </dgm:txFillClrLst>
    <dgm:txEffectClrLst/>
  </dgm:styleLbl>
  <dgm:styleLbl name="parChTrans1D4">
    <dgm:fillClrLst meth="repeat">
      <a:srgbClr val="FFE2BC">
        <a:tint val="50000"/>
      </a:srgbClr>
    </dgm:fillClrLst>
    <dgm:linClrLst meth="repeat">
      <a:srgbClr val="5B9BD5"/>
    </dgm:linClrLst>
    <dgm:effectClrLst/>
    <dgm:txLinClrLst/>
    <dgm:txFillClrLst meth="repeat">
      <a:srgbClr val="000000"/>
    </dgm:txFillClrLst>
    <dgm:txEffectClrLst/>
  </dgm:styleLbl>
  <dgm:styleLbl name="parChTrans2D1">
    <dgm:fillClrLst meth="repeat">
      <a:srgbClr val="FFC000"/>
    </dgm:fillClrLst>
    <dgm:linClrLst meth="repeat">
      <a:srgbClr val="FFFFFF"/>
    </dgm:linClrLst>
    <dgm:effectClrLst/>
    <dgm:txLinClrLst/>
    <dgm:txFillClrLst meth="repeat">
      <a:srgbClr val="FFFFFF"/>
    </dgm:txFillClrLst>
    <dgm:txEffectClrLst/>
  </dgm:styleLbl>
  <dgm:styleLbl name="parChTrans2D2">
    <dgm:fillClrLst meth="repeat">
      <a:srgbClr val="4472C4"/>
    </dgm:fillClrLst>
    <dgm:linClrLst meth="repeat">
      <a:srgbClr val="FFFFFF"/>
    </dgm:linClrLst>
    <dgm:effectClrLst/>
    <dgm:txLinClrLst/>
    <dgm:txFillClrLst/>
    <dgm:txEffectClrLst/>
  </dgm:styleLbl>
  <dgm:styleLbl name="parChTrans2D3">
    <dgm:fillClrLst meth="repeat">
      <a:srgbClr val="4472C4"/>
    </dgm:fillClrLst>
    <dgm:linClrLst meth="repeat">
      <a:srgbClr val="FFFFFF"/>
    </dgm:linClrLst>
    <dgm:effectClrLst/>
    <dgm:txLinClrLst/>
    <dgm:txFillClrLst/>
    <dgm:txEffectClrLst/>
  </dgm:styleLbl>
  <dgm:styleLbl name="parChTrans2D4">
    <dgm:fillClrLst meth="repeat">
      <a:srgbClr val="70AD47"/>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FFC000"/>
      <a:srgbClr val="4472C4"/>
    </dgm:linClrLst>
    <dgm:effectClrLst/>
    <dgm:txLinClrLst/>
    <dgm:txFillClrLst meth="repeat">
      <a:srgbClr val="000000"/>
    </dgm:txFillClrLst>
    <dgm:txEffectClrLst/>
  </dgm:styleLbl>
  <dgm:styleLbl name="sibTrans2D1">
    <dgm:fillClrLst>
      <a:srgbClr val="FFC000"/>
      <a:srgbClr val="4472C4"/>
    </dgm:fillClrLst>
    <dgm:linClrLst meth="repeat">
      <a:srgbClr val="FFFFFF"/>
    </dgm:linClrLst>
    <dgm:effectClrLst/>
    <dgm:txLinClrLst/>
    <dgm:txFillClrLst/>
    <dgm:txEffectClrLst/>
  </dgm:styleLbl>
  <dgm:styleLbl name="solidAlignAcc1">
    <dgm:fillClrLst meth="repeat">
      <a:srgbClr val="FFFFFF"/>
    </dgm:fillClrLst>
    <dgm:linClrLst>
      <a:srgbClr val="FFC000"/>
      <a:srgbClr val="4472C4"/>
    </dgm:linClrLst>
    <dgm:effectClrLst/>
    <dgm:txLinClrLst/>
    <dgm:txFillClrLst meth="repeat">
      <a:srgbClr val="000000"/>
    </dgm:txFillClrLst>
    <dgm:txEffectClrLst/>
  </dgm:styleLbl>
  <dgm:styleLbl name="solidBgAcc1">
    <dgm:fillClrLst meth="repeat">
      <a:srgbClr val="FFFFFF"/>
    </dgm:fillClrLst>
    <dgm:linClrLst>
      <a:srgbClr val="FFC000"/>
      <a:srgbClr val="4472C4"/>
    </dgm:linClrLst>
    <dgm:effectClrLst/>
    <dgm:txLinClrLst/>
    <dgm:txFillClrLst meth="repeat">
      <a:srgbClr val="000000"/>
    </dgm:txFillClrLst>
    <dgm:txEffectClrLst/>
  </dgm:styleLbl>
  <dgm:styleLbl name="solidFgAcc1">
    <dgm:fillClrLst meth="repeat">
      <a:srgbClr val="FFFFFF"/>
    </dgm:fillClrLst>
    <dgm:linClrLst>
      <a:srgbClr val="FFC000"/>
      <a:srgbClr val="4472C4"/>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FFC000"/>
    </dgm:linClrLst>
    <dgm:effectClrLst/>
    <dgm:txLinClrLst/>
    <dgm:txFillClrLst meth="repeat">
      <a:srgbClr val="000000"/>
    </dgm:txFillClrLst>
    <dgm:txEffectClrLst/>
  </dgm:styleLbl>
  <dgm:styleLbl name="trBgShp">
    <dgm:fillClrLst meth="repeat">
      <a:srgbClr val="FFE2BC">
        <a:tint val="50000"/>
        <a:alpha val="40000"/>
      </a:srgbClr>
    </dgm:fillClrLst>
    <dgm:linClrLst meth="repeat">
      <a:srgbClr val="FFC000"/>
    </dgm:linClrLst>
    <dgm:effectClrLst/>
    <dgm:txLinClrLst/>
    <dgm:txFillClrLst meth="repeat">
      <a:srgbClr val="FFFFFF"/>
    </dgm:txFillClrLst>
    <dgm:txEffectClrLst/>
  </dgm:styleLbl>
  <dgm:styleLbl name="vennNode1">
    <dgm:fillClrLst>
      <a:srgbClr val="FFC000">
        <a:alpha val="50000"/>
      </a:srgbClr>
      <a:srgbClr val="4472C4">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pPr algn="ctr"/>
          <a:r>
            <a:rPr lang="zh-CN" altLang="en-US">
              <a:solidFill>
                <a:sysClr val="window" lastClr="FFFFFF"/>
              </a:solidFill>
              <a:latin typeface="华文细黑" panose="02010600040101010101" charset="-122"/>
              <a:ea typeface="华文细黑" panose="02010600040101010101" charset="-122"/>
              <a:cs typeface="+mn-cs"/>
            </a:rPr>
            <a:t>绩效评价的评价原则</a:t>
          </a:r>
        </a:p>
      </dgm:t>
    </dgm:pt>
    <dgm:pt modelId="{5657338A-E5FA-4EF5-BD8A-D52F54EE1777}" cxnId="{9039BC57-CC96-4B32-B42B-BB651741E847}" type="parTrans">
      <dgm:prSet/>
      <dgm:spPr/>
      <dgm:t>
        <a:bodyPr/>
        <a:p>
          <a:pPr algn="ctr"/>
          <a:endParaRPr lang="zh-CN" altLang="en-US">
            <a:latin typeface="华文细黑" panose="02010600040101010101" charset="-122"/>
            <a:ea typeface="华文细黑" panose="02010600040101010101" charset="-122"/>
          </a:endParaRPr>
        </a:p>
      </dgm:t>
    </dgm:pt>
    <dgm:pt modelId="{A07EC271-6073-4E00-B05E-681FAB7ADB1E}" cxnId="{9039BC57-CC96-4B32-B42B-BB651741E847}" type="sibTrans">
      <dgm:prSet/>
      <dgm:spPr/>
      <dgm:t>
        <a:bodyPr/>
        <a:p>
          <a:pPr algn="ctr"/>
          <a:endParaRPr lang="zh-CN" altLang="en-US">
            <a:latin typeface="华文细黑" panose="02010600040101010101" charset="-122"/>
            <a:ea typeface="华文细黑" panose="02010600040101010101"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相关性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2FB28D79-3636-4821-82E3-476D88957CAC}" cxnId="{646836D6-B5FF-45ED-96B0-A9055A7B4AD8}" type="parTrans">
      <dgm:prSet/>
      <dgm:spPr/>
      <dgm:t>
        <a:bodyPr/>
        <a:p>
          <a:pPr algn="ctr"/>
          <a:endParaRPr lang="zh-CN" altLang="en-US">
            <a:latin typeface="华文细黑" panose="02010600040101010101" charset="-122"/>
            <a:ea typeface="华文细黑" panose="02010600040101010101" charset="-122"/>
          </a:endParaRPr>
        </a:p>
      </dgm:t>
    </dgm:pt>
    <dgm:pt modelId="{80A89C0F-3ACD-4F85-903F-9949EB715D51}" cxnId="{646836D6-B5FF-45ED-96B0-A9055A7B4AD8}" type="sibTrans">
      <dgm:prSet/>
      <dgm:spPr/>
      <dgm:t>
        <a:bodyPr/>
        <a:p>
          <a:pPr algn="ctr"/>
          <a:endParaRPr lang="zh-CN" altLang="en-US">
            <a:latin typeface="华文细黑" panose="02010600040101010101" charset="-122"/>
            <a:ea typeface="华文细黑" panose="02010600040101010101"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系统性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FEA0136C-8D14-4E35-8EC9-C5DD07D12C57}" cxnId="{7FEF86F8-D727-4C94-B442-E1DDF3E8D6F1}" type="parTrans">
      <dgm:prSet/>
      <dgm:spPr/>
      <dgm:t>
        <a:bodyPr/>
        <a:p>
          <a:pPr algn="ctr"/>
          <a:endParaRPr lang="zh-CN" altLang="en-US">
            <a:latin typeface="华文细黑" panose="02010600040101010101" charset="-122"/>
            <a:ea typeface="华文细黑" panose="02010600040101010101" charset="-122"/>
          </a:endParaRPr>
        </a:p>
      </dgm:t>
    </dgm:pt>
    <dgm:pt modelId="{7DAB7E00-1A3D-4C54-A458-C96DDB96490E}" cxnId="{7FEF86F8-D727-4C94-B442-E1DDF3E8D6F1}" type="sibTrans">
      <dgm:prSet/>
      <dgm:spPr/>
      <dgm:t>
        <a:bodyPr/>
        <a:p>
          <a:pPr algn="ctr"/>
          <a:endParaRPr lang="zh-CN" altLang="en-US">
            <a:latin typeface="华文细黑" panose="02010600040101010101" charset="-122"/>
            <a:ea typeface="华文细黑" panose="02010600040101010101"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可比性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6A1C25AB-A71C-4D3F-82EB-94D27A4562CA}" cxnId="{C14EB5EA-53F3-46A1-B228-6D57BB79EA00}" type="sibTrans">
      <dgm:prSet/>
      <dgm:spPr/>
      <dgm:t>
        <a:bodyPr/>
        <a:p>
          <a:pPr algn="ctr"/>
          <a:endParaRPr lang="zh-CN" altLang="en-US">
            <a:latin typeface="华文细黑" panose="02010600040101010101" charset="-122"/>
            <a:ea typeface="华文细黑" panose="02010600040101010101" charset="-122"/>
          </a:endParaRPr>
        </a:p>
      </dgm:t>
    </dgm:pt>
    <dgm:pt modelId="{C9A3DF1B-B75E-48F3-ADBD-D866FE005DD2}" cxnId="{C14EB5EA-53F3-46A1-B228-6D57BB79EA00}" type="parTrans">
      <dgm:prSet/>
      <dgm:spPr/>
      <dgm:t>
        <a:bodyPr/>
        <a:p>
          <a:pPr algn="ctr"/>
          <a:endParaRPr lang="zh-CN" altLang="en-US">
            <a:latin typeface="华文细黑" panose="02010600040101010101" charset="-122"/>
            <a:ea typeface="华文细黑" panose="02010600040101010101"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经济性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225303CF-67E3-4C26-8D66-2B3238776171}" cxnId="{6666FC02-9C8D-4DA8-94F5-983077957394}" type="parTrans">
      <dgm:prSet/>
      <dgm:spPr/>
      <dgm:t>
        <a:bodyPr/>
        <a:p>
          <a:pPr algn="ctr"/>
          <a:endParaRPr lang="zh-CN" altLang="en-US"/>
        </a:p>
      </dgm:t>
    </dgm:pt>
    <dgm:pt modelId="{7D2CB469-A4CC-40FA-99F6-C4C66367721B}" cxnId="{6666FC02-9C8D-4DA8-94F5-983077957394}" type="sibTrans">
      <dgm:prSet/>
      <dgm:spPr/>
      <dgm:t>
        <a:bodyPr/>
        <a:p>
          <a:pPr algn="ctr"/>
          <a:endParaRPr lang="zh-CN" altLang="en-US"/>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重要性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8EACE757-831E-4655-8450-6C7DC2935722}" cxnId="{C24ADC57-E4D4-4CFD-8AA4-8AF9378520A6}" type="sibTrans">
      <dgm:prSet/>
      <dgm:spPr/>
      <dgm:t>
        <a:bodyPr/>
        <a:p>
          <a:pPr algn="ctr"/>
          <a:endParaRPr lang="zh-CN" altLang="en-US">
            <a:latin typeface="华文细黑" panose="02010600040101010101" charset="-122"/>
            <a:ea typeface="华文细黑" panose="02010600040101010101" charset="-122"/>
          </a:endParaRPr>
        </a:p>
      </dgm:t>
    </dgm:pt>
    <dgm:pt modelId="{ADEAD72F-D2CF-4287-9279-C31D0DCB7910}" cxnId="{C24ADC57-E4D4-4CFD-8AA4-8AF9378520A6}" type="parTrans">
      <dgm:prSet/>
      <dgm:spPr/>
      <dgm:t>
        <a:bodyPr/>
        <a:p>
          <a:pPr algn="ctr"/>
          <a:endParaRPr lang="zh-CN" altLang="en-US">
            <a:latin typeface="华文细黑" panose="02010600040101010101" charset="-122"/>
            <a:ea typeface="华文细黑" panose="02010600040101010101" charset="-122"/>
          </a:endParaRPr>
        </a:p>
      </dgm:t>
    </dgm:pt>
    <dgm:pt modelId="{1B7179B6-C9DE-4BDA-8663-4B679997E5DA}" type="pres">
      <dgm:prSet presAssocID="{4B7C27DC-5868-4F38-A9F2-056BB1C2E427}" presName="Name0" presStyleCnt="0">
        <dgm:presLayoutVars>
          <dgm:chPref val="3"/>
          <dgm:dir/>
          <dgm:animLvl val="lvl"/>
          <dgm:resizeHandles/>
        </dgm:presLayoutVars>
      </dgm:prSet>
      <dgm:spPr/>
      <dgm:t>
        <a:bodyPr/>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p>
          <a:endParaRPr lang="zh-CN" altLang="en-US"/>
        </a:p>
      </dgm:t>
    </dgm:pt>
  </dgm:ptLst>
  <dgm:cxnLst>
    <dgm:cxn modelId="{81A5A1E7-AA28-476C-8435-5274B619E662}" type="presOf" srcId="{4B7C27DC-5868-4F38-A9F2-056BB1C2E427}" destId="{1B7179B6-C9DE-4BDA-8663-4B679997E5DA}" srcOrd="0" destOrd="0" presId="urn:microsoft.com/office/officeart/2005/8/layout/lProcess3#1"/>
    <dgm:cxn modelId="{C24ADC57-E4D4-4CFD-8AA4-8AF9378520A6}" srcId="{AE44D3A4-6643-4157-86EA-2E0899415F11}" destId="{ED222693-D855-4D4D-BFDE-6812A6E41E9C}" srcOrd="1" destOrd="0" parTransId="{ADEAD72F-D2CF-4287-9279-C31D0DCB7910}" sibTransId="{8EACE757-831E-4655-8450-6C7DC2935722}"/>
    <dgm:cxn modelId="{772B4B9F-AD8E-4507-947A-AD4175EED9DD}" type="presOf" srcId="{802CEB23-70DC-44EA-A221-D2B4F2AC6070}" destId="{3133D0F3-2920-497C-9B75-49DB36BD1C0F}" srcOrd="0" destOrd="0" presId="urn:microsoft.com/office/officeart/2005/8/layout/lProcess3#1"/>
    <dgm:cxn modelId="{81CE4BDA-F195-4DB0-8CF8-8CFD1E1E8E86}" type="presOf" srcId="{AE44D3A4-6643-4157-86EA-2E0899415F11}" destId="{77482DA5-41E1-41D0-A9D6-79B1CCF7F452}" srcOrd="0" destOrd="0" presId="urn:microsoft.com/office/officeart/2005/8/layout/lProcess3#1"/>
    <dgm:cxn modelId="{9689581A-4941-4D6A-97E6-B532D3DC34F0}" type="presOf" srcId="{15882016-B55C-44E9-8F1F-2EA976ABCA60}" destId="{6E8D7C1F-A22A-42B0-A090-A57413634287}"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8366BCED-548C-489B-ADAD-F02AEA8E6500}" type="presOf" srcId="{42B1CAFA-34EB-45A3-9248-7D2EFA1D06C6}" destId="{15B667A0-41D3-4D24-9402-E2D0A9F3193D}" srcOrd="0" destOrd="0" presId="urn:microsoft.com/office/officeart/2005/8/layout/lProcess3#1"/>
    <dgm:cxn modelId="{6666FC02-9C8D-4DA8-94F5-983077957394}" srcId="{AE44D3A4-6643-4157-86EA-2E0899415F11}" destId="{802CEB23-70DC-44EA-A221-D2B4F2AC6070}" srcOrd="4" destOrd="0" parTransId="{225303CF-67E3-4C26-8D66-2B3238776171}" sibTransId="{7D2CB469-A4CC-40FA-99F6-C4C66367721B}"/>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C598BA87-31A3-4720-AB30-43EBC4782F1B}" type="presOf" srcId="{ED222693-D855-4D4D-BFDE-6812A6E41E9C}" destId="{B8691B77-4694-4BFA-9DAF-40A313A447BB}"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5CD06A9B-7DC5-436F-B136-770C55B118FE}" type="presOf" srcId="{0CB1D884-927A-4CD8-ADA4-973A535D4546}" destId="{C330E3A1-3D1D-4453-A315-50DA58578E8B}" srcOrd="0" destOrd="0" presId="urn:microsoft.com/office/officeart/2005/8/layout/lProcess3#1"/>
    <dgm:cxn modelId="{0EE33CFD-9D80-4D30-8111-A02CF17626EC}" type="presParOf" srcId="{1B7179B6-C9DE-4BDA-8663-4B679997E5DA}" destId="{3F78EC4B-0C67-44FB-979D-2F5321EED4DA}" srcOrd="0" destOrd="0" presId="urn:microsoft.com/office/officeart/2005/8/layout/lProcess3#1"/>
    <dgm:cxn modelId="{E731F7CB-62F3-4A86-AD7C-ED3AA1A9F5F4}" type="presParOf" srcId="{3F78EC4B-0C67-44FB-979D-2F5321EED4DA}" destId="{77482DA5-41E1-41D0-A9D6-79B1CCF7F452}" srcOrd="0" destOrd="0" presId="urn:microsoft.com/office/officeart/2005/8/layout/lProcess3#1"/>
    <dgm:cxn modelId="{C40013FA-224E-47B9-9112-920A32CA93EA}" type="presParOf" srcId="{3F78EC4B-0C67-44FB-979D-2F5321EED4DA}" destId="{A94D0795-03CA-49E3-BD5E-7CA45A077131}" srcOrd="1" destOrd="0" presId="urn:microsoft.com/office/officeart/2005/8/layout/lProcess3#1"/>
    <dgm:cxn modelId="{1809E5A1-CD32-44DC-99A3-C23B50AF6DC5}" type="presParOf" srcId="{3F78EC4B-0C67-44FB-979D-2F5321EED4DA}" destId="{6E8D7C1F-A22A-42B0-A090-A57413634287}" srcOrd="2" destOrd="0" presId="urn:microsoft.com/office/officeart/2005/8/layout/lProcess3#1"/>
    <dgm:cxn modelId="{9F76661F-50F1-4E13-A42A-8D96C7E92C0C}" type="presParOf" srcId="{3F78EC4B-0C67-44FB-979D-2F5321EED4DA}" destId="{CFC898DE-59DC-4028-BA1D-378513CCEA10}" srcOrd="3" destOrd="0" presId="urn:microsoft.com/office/officeart/2005/8/layout/lProcess3#1"/>
    <dgm:cxn modelId="{159BA8B3-6127-4AEE-B3DB-BFD2C4A137B7}" type="presParOf" srcId="{3F78EC4B-0C67-44FB-979D-2F5321EED4DA}" destId="{B8691B77-4694-4BFA-9DAF-40A313A447BB}" srcOrd="4" destOrd="0" presId="urn:microsoft.com/office/officeart/2005/8/layout/lProcess3#1"/>
    <dgm:cxn modelId="{297C0AD1-A604-40D7-8A6A-4C6BF189504E}" type="presParOf" srcId="{3F78EC4B-0C67-44FB-979D-2F5321EED4DA}" destId="{1751DC88-55FC-4BBC-AEEB-04B17C466DA1}" srcOrd="5" destOrd="0" presId="urn:microsoft.com/office/officeart/2005/8/layout/lProcess3#1"/>
    <dgm:cxn modelId="{96F40894-E280-4B37-997A-D2C012D17A7F}" type="presParOf" srcId="{3F78EC4B-0C67-44FB-979D-2F5321EED4DA}" destId="{C330E3A1-3D1D-4453-A315-50DA58578E8B}" srcOrd="6" destOrd="0" presId="urn:microsoft.com/office/officeart/2005/8/layout/lProcess3#1"/>
    <dgm:cxn modelId="{33ED499F-1020-45B1-9DBC-6772F94F12F0}" type="presParOf" srcId="{3F78EC4B-0C67-44FB-979D-2F5321EED4DA}" destId="{498544C9-6F56-4FBB-A67B-E4A4562CC411}" srcOrd="7" destOrd="0" presId="urn:microsoft.com/office/officeart/2005/8/layout/lProcess3#1"/>
    <dgm:cxn modelId="{0D3519D3-5B29-47E9-B21F-5F54F9A5F230}" type="presParOf" srcId="{3F78EC4B-0C67-44FB-979D-2F5321EED4DA}" destId="{15B667A0-41D3-4D24-9402-E2D0A9F3193D}" srcOrd="8" destOrd="0" presId="urn:microsoft.com/office/officeart/2005/8/layout/lProcess3#1"/>
    <dgm:cxn modelId="{80A3671B-7EF2-4B15-90AD-1F9B1BFDC521}" type="presParOf" srcId="{3F78EC4B-0C67-44FB-979D-2F5321EED4DA}" destId="{8A99CEBA-B231-4BAF-A04C-18FDE9C4FB8D}" srcOrd="9" destOrd="0" presId="urn:microsoft.com/office/officeart/2005/8/layout/lProcess3#1"/>
    <dgm:cxn modelId="{785D58C8-F9A6-4BBE-8F7B-42B3C2E41C8E}"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7482DA5-41E1-41D0-A9D6-79B1CCF7F452}">
      <dsp:nvSpPr>
        <dsp:cNvPr id="0" name=""/>
        <dsp:cNvSpPr/>
      </dsp:nvSpPr>
      <dsp:spPr>
        <a:xfrm>
          <a:off x="586" y="143809"/>
          <a:ext cx="1205004" cy="482001"/>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586" y="143809"/>
        <a:ext cx="1205004" cy="482001"/>
      </dsp:txXfrm>
    </dsp:sp>
    <dsp:sp modelId="{6E8D7C1F-A22A-42B0-A090-A57413634287}">
      <dsp:nvSpPr>
        <dsp:cNvPr id="0" name=""/>
        <dsp:cNvSpPr/>
      </dsp:nvSpPr>
      <dsp:spPr>
        <a:xfrm>
          <a:off x="1048940"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048940" y="184779"/>
        <a:ext cx="1000153" cy="400061"/>
      </dsp:txXfrm>
    </dsp:sp>
    <dsp:sp modelId="{B8691B77-4694-4BFA-9DAF-40A313A447BB}">
      <dsp:nvSpPr>
        <dsp:cNvPr id="0" name=""/>
        <dsp:cNvSpPr/>
      </dsp:nvSpPr>
      <dsp:spPr>
        <a:xfrm>
          <a:off x="1909072"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909072" y="184779"/>
        <a:ext cx="1000153" cy="400061"/>
      </dsp:txXfrm>
    </dsp:sp>
    <dsp:sp modelId="{C330E3A1-3D1D-4453-A315-50DA58578E8B}">
      <dsp:nvSpPr>
        <dsp:cNvPr id="0" name=""/>
        <dsp:cNvSpPr/>
      </dsp:nvSpPr>
      <dsp:spPr>
        <a:xfrm>
          <a:off x="2769205"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769205" y="184779"/>
        <a:ext cx="1000153" cy="400061"/>
      </dsp:txXfrm>
    </dsp:sp>
    <dsp:sp modelId="{15B667A0-41D3-4D24-9402-E2D0A9F3193D}">
      <dsp:nvSpPr>
        <dsp:cNvPr id="0" name=""/>
        <dsp:cNvSpPr/>
      </dsp:nvSpPr>
      <dsp:spPr>
        <a:xfrm>
          <a:off x="3629337"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629337" y="184779"/>
        <a:ext cx="1000153" cy="400061"/>
      </dsp:txXfrm>
    </dsp:sp>
    <dsp:sp modelId="{3133D0F3-2920-497C-9B75-49DB36BD1C0F}">
      <dsp:nvSpPr>
        <dsp:cNvPr id="0" name=""/>
        <dsp:cNvSpPr/>
      </dsp:nvSpPr>
      <dsp:spPr>
        <a:xfrm>
          <a:off x="4489469"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489469" y="184779"/>
        <a:ext cx="1000153" cy="40006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type="chevron" r:blip="" rot="180">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type="chevron" r:blip="" rot="180">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FD298A-5775-4A21-ABD5-32E4BDB254CD}">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6770</Words>
  <Characters>7150</Characters>
  <Lines>164</Lines>
  <Paragraphs>46</Paragraphs>
  <TotalTime>1</TotalTime>
  <ScaleCrop>false</ScaleCrop>
  <LinksUpToDate>false</LinksUpToDate>
  <CharactersWithSpaces>7186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2020-05-11T01:11:00Z</dcterms:created>
  <dc:creator>Vapourized</dc:creator>
  <cp:lastModifiedBy>WPS_1760840238</cp:lastModifiedBy>
  <cp:lastPrinted>2020-08-19T07:21:00Z</cp:lastPrinted>
  <dcterms:modified xsi:type="dcterms:W3CDTF">2026-03-10T08:02:43Z</dcterms:modified>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eyJoZGlkIjoiNzNlMWI5MTM2Y2YzYzRhNGUxNzAwYmQ5OTEzZThhZjAiLCJ1c2VySWQiOiIxNzU0NjE5NDQ1In0=</vt:lpwstr>
  </property>
  <property fmtid="{D5CDD505-2E9C-101B-9397-08002B2CF9AE}" pid="4" name="ICV">
    <vt:lpwstr>175E60BEED63417CAD7A42F63B13B9E7_12</vt:lpwstr>
  </property>
</Properties>
</file>