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DC" w:rsidRDefault="008A3C5F">
      <w:pPr>
        <w:jc w:val="center"/>
        <w:rPr>
          <w:rFonts w:ascii="华文中宋" w:eastAsia="华文中宋" w:hAnsi="华文中宋"/>
          <w:b/>
          <w:sz w:val="10"/>
          <w:szCs w:val="10"/>
        </w:rPr>
      </w:pPr>
      <w:r>
        <w:rPr>
          <w:rFonts w:ascii="华文中宋" w:eastAsia="华文中宋" w:hAnsi="华文中宋" w:hint="eastAsia"/>
          <w:b/>
          <w:sz w:val="36"/>
          <w:szCs w:val="36"/>
        </w:rPr>
        <w:t xml:space="preserve">               </w:t>
      </w:r>
    </w:p>
    <w:p w:rsidR="00E25EDC" w:rsidRDefault="008A3C5F">
      <w:pPr>
        <w:jc w:val="center"/>
        <w:outlineLvl w:val="0"/>
        <w:rPr>
          <w:rFonts w:ascii="仿宋" w:eastAsia="仿宋" w:hAnsi="仿宋" w:cs="仿宋"/>
          <w:b/>
          <w:bCs/>
          <w:sz w:val="30"/>
          <w:szCs w:val="30"/>
        </w:rPr>
      </w:pPr>
      <w:bookmarkStart w:id="0" w:name="_Toc4871"/>
      <w:r>
        <w:rPr>
          <w:rFonts w:ascii="仿宋" w:eastAsia="仿宋" w:hAnsi="仿宋" w:cs="仿宋" w:hint="eastAsia"/>
          <w:b/>
          <w:bCs/>
          <w:sz w:val="30"/>
          <w:szCs w:val="30"/>
        </w:rPr>
        <w:t>武昌区2019</w:t>
      </w:r>
      <w:r w:rsidR="00751CFB">
        <w:rPr>
          <w:rFonts w:ascii="仿宋" w:eastAsia="仿宋" w:hAnsi="仿宋" w:cs="仿宋" w:hint="eastAsia"/>
          <w:b/>
          <w:bCs/>
          <w:sz w:val="30"/>
          <w:szCs w:val="30"/>
        </w:rPr>
        <w:t>年法律援助经费绩效评价综合评分</w:t>
      </w:r>
      <w:bookmarkStart w:id="1" w:name="_GoBack"/>
      <w:bookmarkEnd w:id="1"/>
    </w:p>
    <w:tbl>
      <w:tblPr>
        <w:tblW w:w="0" w:type="auto"/>
        <w:tblBorders>
          <w:top w:val="single" w:sz="12" w:space="0" w:color="000000"/>
          <w:bottom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05"/>
        <w:gridCol w:w="504"/>
        <w:gridCol w:w="648"/>
        <w:gridCol w:w="708"/>
        <w:gridCol w:w="3389"/>
        <w:gridCol w:w="3658"/>
        <w:gridCol w:w="759"/>
        <w:gridCol w:w="3308"/>
        <w:gridCol w:w="503"/>
      </w:tblGrid>
      <w:tr w:rsidR="00E25EDC">
        <w:trPr>
          <w:trHeight w:val="588"/>
          <w:tblHeader/>
        </w:trPr>
        <w:tc>
          <w:tcPr>
            <w:tcW w:w="505"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一级</w:t>
            </w:r>
            <w:r>
              <w:rPr>
                <w:rFonts w:ascii="仿宋" w:eastAsia="仿宋" w:hAnsi="仿宋" w:cs="仿宋" w:hint="eastAsia"/>
                <w:b/>
                <w:color w:val="000000"/>
                <w:kern w:val="0"/>
                <w:sz w:val="22"/>
                <w:szCs w:val="22"/>
              </w:rPr>
              <w:br/>
              <w:t>指标</w:t>
            </w:r>
          </w:p>
        </w:tc>
        <w:tc>
          <w:tcPr>
            <w:tcW w:w="504"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二级</w:t>
            </w:r>
            <w:r>
              <w:rPr>
                <w:rFonts w:ascii="仿宋" w:eastAsia="仿宋" w:hAnsi="仿宋" w:cs="仿宋" w:hint="eastAsia"/>
                <w:b/>
                <w:color w:val="000000"/>
                <w:kern w:val="0"/>
                <w:sz w:val="22"/>
                <w:szCs w:val="22"/>
              </w:rPr>
              <w:br/>
              <w:t>指标</w:t>
            </w:r>
          </w:p>
        </w:tc>
        <w:tc>
          <w:tcPr>
            <w:tcW w:w="64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三级指标</w:t>
            </w: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分值</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指标解释</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评分细则</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目标值</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评分标准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评分值</w:t>
            </w:r>
          </w:p>
        </w:tc>
      </w:tr>
      <w:tr w:rsidR="00E25EDC">
        <w:trPr>
          <w:trHeight w:val="321"/>
        </w:trPr>
        <w:tc>
          <w:tcPr>
            <w:tcW w:w="505" w:type="dxa"/>
            <w:vMerge w:val="restart"/>
            <w:tcBorders>
              <w:tl2br w:val="nil"/>
              <w:tr2bl w:val="nil"/>
            </w:tcBorders>
            <w:shd w:val="clear" w:color="auto" w:fill="FFFFFF"/>
            <w:noWrap/>
            <w:tcMar>
              <w:top w:w="12" w:type="dxa"/>
              <w:left w:w="12" w:type="dxa"/>
              <w:right w:w="12" w:type="dxa"/>
            </w:tcMar>
            <w:textDirection w:val="tbRlV"/>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投入（14分）</w:t>
            </w:r>
          </w:p>
        </w:tc>
        <w:tc>
          <w:tcPr>
            <w:tcW w:w="504"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项目立项</w:t>
            </w: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项目立项规范性</w:t>
            </w:r>
          </w:p>
        </w:tc>
        <w:tc>
          <w:tcPr>
            <w:tcW w:w="7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4分</w:t>
            </w:r>
          </w:p>
        </w:tc>
        <w:tc>
          <w:tcPr>
            <w:tcW w:w="338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资金使用的申请、项目设立过程是否符合相关要求，用以反映和考核项目立项的规范情况</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①项目实施是否有规划，实施方案；</w:t>
            </w:r>
          </w:p>
        </w:tc>
        <w:tc>
          <w:tcPr>
            <w:tcW w:w="75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立项规范</w:t>
            </w:r>
          </w:p>
        </w:tc>
        <w:tc>
          <w:tcPr>
            <w:tcW w:w="33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具备并符合各评价要点要求的得相应的分值，没有或不符合要求的不得分。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auto"/>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②项目是否为促进法律援助工作所必需；</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③实施项目前是否已经过必要的调查研究、党委政府集体决策等；</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④项目是否与部门的基本职能和工作计划相适应。</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绩效目标</w:t>
            </w:r>
            <w:r>
              <w:rPr>
                <w:rFonts w:ascii="仿宋" w:eastAsia="仿宋" w:hAnsi="仿宋" w:cs="仿宋" w:hint="eastAsia"/>
                <w:color w:val="000000"/>
                <w:kern w:val="0"/>
                <w:sz w:val="22"/>
                <w:szCs w:val="22"/>
              </w:rPr>
              <w:lastRenderedPageBreak/>
              <w:t>合理性</w:t>
            </w:r>
          </w:p>
        </w:tc>
        <w:tc>
          <w:tcPr>
            <w:tcW w:w="7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4分</w:t>
            </w:r>
          </w:p>
        </w:tc>
        <w:tc>
          <w:tcPr>
            <w:tcW w:w="338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项目是否设定绩效目标和绩效指标，所设定的绩效目标和指标是否</w:t>
            </w:r>
            <w:r>
              <w:rPr>
                <w:rFonts w:ascii="仿宋" w:eastAsia="仿宋" w:hAnsi="仿宋" w:cs="仿宋" w:hint="eastAsia"/>
                <w:color w:val="000000"/>
                <w:kern w:val="0"/>
                <w:sz w:val="22"/>
                <w:szCs w:val="22"/>
              </w:rPr>
              <w:lastRenderedPageBreak/>
              <w:t>符合实际，用以反映和考核项目绩效目标与项目实施的相符程度</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①是否设定长期目标、年度目标和绩效指标；</w:t>
            </w:r>
          </w:p>
        </w:tc>
        <w:tc>
          <w:tcPr>
            <w:tcW w:w="75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目标合理</w:t>
            </w:r>
          </w:p>
        </w:tc>
        <w:tc>
          <w:tcPr>
            <w:tcW w:w="33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具备并符合各评价要点要求的得相应的分值，没有或不符合要求的</w:t>
            </w:r>
            <w:r>
              <w:rPr>
                <w:rFonts w:ascii="仿宋" w:eastAsia="仿宋" w:hAnsi="仿宋" w:cs="仿宋" w:hint="eastAsia"/>
                <w:color w:val="000000"/>
                <w:kern w:val="0"/>
                <w:sz w:val="22"/>
                <w:szCs w:val="22"/>
              </w:rPr>
              <w:lastRenderedPageBreak/>
              <w:t>不得分。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0.5</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②目标和指标的设计是否符合目标管理规范；</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0.5</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③根据绩效目标和完成情况的对比考核目标设立的合理性；</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0</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④绩效目标是否具有可测性。</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0</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资金落实</w:t>
            </w:r>
          </w:p>
        </w:tc>
        <w:tc>
          <w:tcPr>
            <w:tcW w:w="648"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资金到位率</w:t>
            </w:r>
          </w:p>
        </w:tc>
        <w:tc>
          <w:tcPr>
            <w:tcW w:w="708"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3分</w:t>
            </w:r>
          </w:p>
        </w:tc>
        <w:tc>
          <w:tcPr>
            <w:tcW w:w="3389"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实际到位资金与计划投入资金的比率，用以反映和考核资金落实情况对项目实施的总体保障程度</w:t>
            </w:r>
          </w:p>
        </w:tc>
        <w:tc>
          <w:tcPr>
            <w:tcW w:w="3658" w:type="dxa"/>
            <w:tcBorders>
              <w:tl2br w:val="nil"/>
              <w:tr2bl w:val="nil"/>
            </w:tcBorders>
            <w:shd w:val="clear" w:color="auto" w:fill="auto"/>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财政专项资金到位率%；</w:t>
            </w:r>
          </w:p>
        </w:tc>
        <w:tc>
          <w:tcPr>
            <w:tcW w:w="759"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100%</w:t>
            </w:r>
          </w:p>
        </w:tc>
        <w:tc>
          <w:tcPr>
            <w:tcW w:w="3308"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按项目年内预算资金到位情况，全部到位的得满分，≥95%得2.5分，95%～90%得2分，95%～80%得1.5分，小于80%不得分。</w:t>
            </w:r>
          </w:p>
        </w:tc>
        <w:tc>
          <w:tcPr>
            <w:tcW w:w="503"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资金到位率=（实际到位资金/计划投入资金）×100%。</w:t>
            </w:r>
          </w:p>
        </w:tc>
        <w:tc>
          <w:tcPr>
            <w:tcW w:w="759"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auto"/>
            <w:tcMar>
              <w:top w:w="12" w:type="dxa"/>
              <w:left w:w="12" w:type="dxa"/>
              <w:right w:w="12" w:type="dxa"/>
            </w:tcMar>
            <w:vAlign w:val="center"/>
          </w:tcPr>
          <w:p w:rsidR="00E25EDC" w:rsidRDefault="00E25EDC">
            <w:pPr>
              <w:jc w:val="left"/>
              <w:rPr>
                <w:rFonts w:ascii="仿宋" w:eastAsia="仿宋" w:hAnsi="仿宋" w:cs="仿宋"/>
                <w:color w:val="000000"/>
                <w:sz w:val="22"/>
                <w:szCs w:val="22"/>
              </w:rPr>
            </w:pPr>
          </w:p>
        </w:tc>
        <w:tc>
          <w:tcPr>
            <w:tcW w:w="503"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auto"/>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实际到位资金：一定时期（本年度或项目期）内实际落实到具体项目的资金。</w:t>
            </w:r>
          </w:p>
        </w:tc>
        <w:tc>
          <w:tcPr>
            <w:tcW w:w="759"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auto"/>
            <w:tcMar>
              <w:top w:w="12" w:type="dxa"/>
              <w:left w:w="12" w:type="dxa"/>
              <w:right w:w="12" w:type="dxa"/>
            </w:tcMar>
            <w:vAlign w:val="center"/>
          </w:tcPr>
          <w:p w:rsidR="00E25EDC" w:rsidRDefault="00E25EDC">
            <w:pPr>
              <w:jc w:val="left"/>
              <w:rPr>
                <w:rFonts w:ascii="仿宋" w:eastAsia="仿宋" w:hAnsi="仿宋" w:cs="仿宋"/>
                <w:color w:val="000000"/>
                <w:sz w:val="22"/>
                <w:szCs w:val="22"/>
              </w:rPr>
            </w:pPr>
          </w:p>
        </w:tc>
        <w:tc>
          <w:tcPr>
            <w:tcW w:w="503"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auto"/>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 xml:space="preserve">计划投入资金：一定时期（本年度或项目期）内计划投入到具体项目的资金。                                                   </w:t>
            </w:r>
          </w:p>
        </w:tc>
        <w:tc>
          <w:tcPr>
            <w:tcW w:w="759"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auto"/>
            <w:tcMar>
              <w:top w:w="12" w:type="dxa"/>
              <w:left w:w="12" w:type="dxa"/>
              <w:right w:w="12" w:type="dxa"/>
            </w:tcMar>
            <w:vAlign w:val="center"/>
          </w:tcPr>
          <w:p w:rsidR="00E25EDC" w:rsidRDefault="00E25EDC">
            <w:pPr>
              <w:jc w:val="left"/>
              <w:rPr>
                <w:rFonts w:ascii="仿宋" w:eastAsia="仿宋" w:hAnsi="仿宋" w:cs="仿宋"/>
                <w:color w:val="000000"/>
                <w:sz w:val="22"/>
                <w:szCs w:val="22"/>
              </w:rPr>
            </w:pPr>
          </w:p>
        </w:tc>
        <w:tc>
          <w:tcPr>
            <w:tcW w:w="503"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 xml:space="preserve">预算执行率    </w:t>
            </w:r>
          </w:p>
        </w:tc>
        <w:tc>
          <w:tcPr>
            <w:tcW w:w="708"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3分</w:t>
            </w:r>
          </w:p>
        </w:tc>
        <w:tc>
          <w:tcPr>
            <w:tcW w:w="3389"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实际支出与实际到位预算比，反映年度项目到位预算资金的实际支出完成程度</w:t>
            </w:r>
          </w:p>
        </w:tc>
        <w:tc>
          <w:tcPr>
            <w:tcW w:w="3658" w:type="dxa"/>
            <w:tcBorders>
              <w:tl2br w:val="nil"/>
              <w:tr2bl w:val="nil"/>
            </w:tcBorders>
            <w:shd w:val="clear" w:color="auto" w:fill="auto"/>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年度项目资金预算执行率%</w:t>
            </w:r>
          </w:p>
        </w:tc>
        <w:tc>
          <w:tcPr>
            <w:tcW w:w="759" w:type="dxa"/>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100%</w:t>
            </w:r>
          </w:p>
        </w:tc>
        <w:tc>
          <w:tcPr>
            <w:tcW w:w="3308"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按项目年内预算执行（使用）情况，全部执行到位的得满分，≥95%得2.5分，95%～90%得2分，95%～80%得1.5分，小于80%不得分。</w:t>
            </w:r>
          </w:p>
        </w:tc>
        <w:tc>
          <w:tcPr>
            <w:tcW w:w="503"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r>
      <w:tr w:rsidR="00E25EDC">
        <w:trPr>
          <w:trHeight w:val="1092"/>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auto"/>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预算执行率=实际支出/实际到位预算。实际支出指年度完成资金拨付和支出，到位预算指年度计划完成投入。</w:t>
            </w:r>
          </w:p>
        </w:tc>
        <w:tc>
          <w:tcPr>
            <w:tcW w:w="759" w:type="dxa"/>
            <w:tcBorders>
              <w:tl2br w:val="nil"/>
              <w:tr2bl w:val="nil"/>
            </w:tcBorders>
            <w:shd w:val="clear" w:color="auto" w:fill="auto"/>
            <w:tcMar>
              <w:top w:w="12" w:type="dxa"/>
              <w:left w:w="12" w:type="dxa"/>
              <w:right w:w="12" w:type="dxa"/>
            </w:tcMar>
            <w:vAlign w:val="center"/>
          </w:tcPr>
          <w:p w:rsidR="00E25EDC" w:rsidRDefault="00E25EDC">
            <w:pPr>
              <w:rPr>
                <w:rFonts w:ascii="仿宋" w:eastAsia="仿宋" w:hAnsi="仿宋" w:cs="仿宋"/>
                <w:color w:val="000000"/>
                <w:sz w:val="22"/>
                <w:szCs w:val="22"/>
              </w:rPr>
            </w:pPr>
          </w:p>
        </w:tc>
        <w:tc>
          <w:tcPr>
            <w:tcW w:w="330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r>
      <w:tr w:rsidR="00E25EDC">
        <w:trPr>
          <w:trHeight w:val="321"/>
        </w:trPr>
        <w:tc>
          <w:tcPr>
            <w:tcW w:w="505" w:type="dxa"/>
            <w:vMerge w:val="restart"/>
            <w:tcBorders>
              <w:tl2br w:val="nil"/>
              <w:tr2bl w:val="nil"/>
            </w:tcBorders>
            <w:shd w:val="clear" w:color="auto" w:fill="FFFFFF"/>
            <w:noWrap/>
            <w:tcMar>
              <w:top w:w="12" w:type="dxa"/>
              <w:left w:w="12" w:type="dxa"/>
              <w:right w:w="12" w:type="dxa"/>
            </w:tcMar>
            <w:textDirection w:val="tbRlV"/>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过  程（26分）</w:t>
            </w:r>
          </w:p>
        </w:tc>
        <w:tc>
          <w:tcPr>
            <w:tcW w:w="504"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项目业务管理</w:t>
            </w: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管理制度健全性</w:t>
            </w:r>
          </w:p>
        </w:tc>
        <w:tc>
          <w:tcPr>
            <w:tcW w:w="7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3分</w:t>
            </w:r>
          </w:p>
        </w:tc>
        <w:tc>
          <w:tcPr>
            <w:tcW w:w="338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项目实施单位的业务管理制度、组织机构是否健全，用以反映和考核业务管理制度及岗位职责对项目顺利实施的保障情况</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①是否已制定或具有相应的业务管理制度；</w:t>
            </w:r>
          </w:p>
        </w:tc>
        <w:tc>
          <w:tcPr>
            <w:tcW w:w="75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制度健全</w:t>
            </w:r>
          </w:p>
        </w:tc>
        <w:tc>
          <w:tcPr>
            <w:tcW w:w="33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具备并符合各评价要点要求的得相应的分值，没有或不符合要求不得分。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②项目管理制度是否合法、合规、完整；</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③所设机构是否健全、分工是否明确、</w:t>
            </w:r>
            <w:r>
              <w:rPr>
                <w:rFonts w:ascii="仿宋" w:eastAsia="仿宋" w:hAnsi="仿宋" w:cs="仿宋" w:hint="eastAsia"/>
                <w:color w:val="000000"/>
                <w:kern w:val="0"/>
                <w:sz w:val="22"/>
                <w:szCs w:val="22"/>
              </w:rPr>
              <w:lastRenderedPageBreak/>
              <w:t>职责是否清晰。</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制度执行有效性</w:t>
            </w:r>
          </w:p>
        </w:tc>
        <w:tc>
          <w:tcPr>
            <w:tcW w:w="7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7分</w:t>
            </w:r>
          </w:p>
        </w:tc>
        <w:tc>
          <w:tcPr>
            <w:tcW w:w="338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项目实施是否符合相关项目管理规定，用以反映和考核业务管理制度的有效执行情况</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①是否遵守相关法律法规和业务管理规定；</w:t>
            </w:r>
          </w:p>
        </w:tc>
        <w:tc>
          <w:tcPr>
            <w:tcW w:w="75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执行有效</w:t>
            </w:r>
          </w:p>
        </w:tc>
        <w:tc>
          <w:tcPr>
            <w:tcW w:w="33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具备并符合各评价要点要求的得相应的分值，没有或不符合要求不得分。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②是否严格执行项目业务管理范围；</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③法律援助案件、事务等资料是否齐全并及时归档；</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2</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④项目实施的人员条件、场地设备、信息支撑等是否落实到位。</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r>
      <w:tr w:rsidR="00E25EDC">
        <w:trPr>
          <w:trHeight w:val="420"/>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项目质量</w:t>
            </w:r>
            <w:r>
              <w:rPr>
                <w:rFonts w:ascii="仿宋" w:eastAsia="仿宋" w:hAnsi="仿宋" w:cs="仿宋" w:hint="eastAsia"/>
                <w:color w:val="000000"/>
                <w:kern w:val="0"/>
                <w:sz w:val="22"/>
                <w:szCs w:val="22"/>
              </w:rPr>
              <w:lastRenderedPageBreak/>
              <w:t>可控性</w:t>
            </w:r>
          </w:p>
        </w:tc>
        <w:tc>
          <w:tcPr>
            <w:tcW w:w="7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3分</w:t>
            </w:r>
          </w:p>
        </w:tc>
        <w:tc>
          <w:tcPr>
            <w:tcW w:w="338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项目实施单位是否为达到项目质量要求而采取了必需的措施,用以反映</w:t>
            </w:r>
            <w:r>
              <w:rPr>
                <w:rFonts w:ascii="仿宋" w:eastAsia="仿宋" w:hAnsi="仿宋" w:cs="仿宋" w:hint="eastAsia"/>
                <w:color w:val="000000"/>
                <w:kern w:val="0"/>
                <w:sz w:val="22"/>
                <w:szCs w:val="22"/>
              </w:rPr>
              <w:lastRenderedPageBreak/>
              <w:t>和考核项目实施单位对项目质量的控制情况</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①是否已制定或具有相应的法律援助质量要求或标准；</w:t>
            </w:r>
          </w:p>
        </w:tc>
        <w:tc>
          <w:tcPr>
            <w:tcW w:w="75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质量可控</w:t>
            </w:r>
          </w:p>
        </w:tc>
        <w:tc>
          <w:tcPr>
            <w:tcW w:w="33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具备并符合各评价要点要求的得相应的分值，没有或不符合要求不</w:t>
            </w:r>
            <w:r>
              <w:rPr>
                <w:rFonts w:ascii="仿宋" w:eastAsia="仿宋" w:hAnsi="仿宋" w:cs="仿宋" w:hint="eastAsia"/>
                <w:color w:val="000000"/>
                <w:kern w:val="0"/>
                <w:sz w:val="22"/>
                <w:szCs w:val="22"/>
              </w:rPr>
              <w:lastRenderedPageBreak/>
              <w:t>得分。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1</w:t>
            </w:r>
          </w:p>
        </w:tc>
      </w:tr>
      <w:tr w:rsidR="00E25EDC">
        <w:trPr>
          <w:trHeight w:val="576"/>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②是否采取了相应的项目质量检查等必需的控制措施或手段。</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2</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项目财务</w:t>
            </w:r>
            <w:r>
              <w:rPr>
                <w:rFonts w:ascii="仿宋" w:eastAsia="仿宋" w:hAnsi="仿宋" w:cs="仿宋" w:hint="eastAsia"/>
                <w:color w:val="000000"/>
                <w:kern w:val="0"/>
                <w:sz w:val="22"/>
                <w:szCs w:val="22"/>
              </w:rPr>
              <w:br/>
              <w:t>管理</w:t>
            </w: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管理制度健全性</w:t>
            </w:r>
          </w:p>
        </w:tc>
        <w:tc>
          <w:tcPr>
            <w:tcW w:w="7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2分</w:t>
            </w:r>
          </w:p>
        </w:tc>
        <w:tc>
          <w:tcPr>
            <w:tcW w:w="338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项目实施单位的财务制度是否健全，用以反映和考核财务管理制度对资金规范、安全运行的保障情况</w:t>
            </w:r>
          </w:p>
        </w:tc>
        <w:tc>
          <w:tcPr>
            <w:tcW w:w="3658" w:type="dxa"/>
            <w:tcBorders>
              <w:tl2br w:val="nil"/>
              <w:tr2bl w:val="nil"/>
            </w:tcBorders>
            <w:shd w:val="clear" w:color="auto" w:fill="auto"/>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①是否已制定相应的项目资金管理办法；</w:t>
            </w:r>
          </w:p>
        </w:tc>
        <w:tc>
          <w:tcPr>
            <w:tcW w:w="75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制度健全</w:t>
            </w:r>
          </w:p>
        </w:tc>
        <w:tc>
          <w:tcPr>
            <w:tcW w:w="3308"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具备并符合各评价要点要求的得相应的分值，没有或不符合要求不得分。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456"/>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auto"/>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②项目资金管理办法是否符合相关财务会计制度的规定。</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资金使用合规性</w:t>
            </w:r>
          </w:p>
        </w:tc>
        <w:tc>
          <w:tcPr>
            <w:tcW w:w="7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7分</w:t>
            </w:r>
          </w:p>
        </w:tc>
        <w:tc>
          <w:tcPr>
            <w:tcW w:w="338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项目资金使用是否符合相关的财务管理制度规定，用以反映和考核项目资金的规范运行情况</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①是否符合国家财经法规和财务管理制度以及有关专项资金管理办法的规定；</w:t>
            </w:r>
          </w:p>
        </w:tc>
        <w:tc>
          <w:tcPr>
            <w:tcW w:w="75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使用合规</w:t>
            </w:r>
          </w:p>
        </w:tc>
        <w:tc>
          <w:tcPr>
            <w:tcW w:w="33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具备并符合各评价要点要求的得相应的分值，没有或不符合要求不得分。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②资金的使用是否有完整的审批程序和报销手续；</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2</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③是否符合项目预算批复的用途、标准使用资金；</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0</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④是否存在截留、挤占、挪用、虚列支出等情况。</w:t>
            </w:r>
          </w:p>
        </w:tc>
        <w:tc>
          <w:tcPr>
            <w:tcW w:w="75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0</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财务监控有效性</w:t>
            </w:r>
          </w:p>
        </w:tc>
        <w:tc>
          <w:tcPr>
            <w:tcW w:w="7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4分</w:t>
            </w:r>
          </w:p>
        </w:tc>
        <w:tc>
          <w:tcPr>
            <w:tcW w:w="3389"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项目实施单位是否为保障资金的安全、规范运行而采取了必要的监控措施，用以反映和考核项目实施单位对资金运行的控制情况</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①是否已制定或具有相应的财务管理监控机制；</w:t>
            </w:r>
          </w:p>
        </w:tc>
        <w:tc>
          <w:tcPr>
            <w:tcW w:w="759" w:type="dxa"/>
            <w:vMerge w:val="restart"/>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监控有效</w:t>
            </w:r>
          </w:p>
        </w:tc>
        <w:tc>
          <w:tcPr>
            <w:tcW w:w="330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具备并符合各评价要点要求的得相应的分值，没有或不符合要求不得分。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732"/>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89"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②是否采取了相应的财务检查等必要的监控措施或手段（包括内控检查、财务审计、绩效自评等）。</w:t>
            </w:r>
          </w:p>
        </w:tc>
        <w:tc>
          <w:tcPr>
            <w:tcW w:w="759" w:type="dxa"/>
            <w:vMerge/>
            <w:tcBorders>
              <w:tl2br w:val="nil"/>
              <w:tr2bl w:val="nil"/>
            </w:tcBorders>
            <w:shd w:val="clear" w:color="auto" w:fill="auto"/>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330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0</w:t>
            </w:r>
          </w:p>
        </w:tc>
      </w:tr>
      <w:tr w:rsidR="00E25EDC">
        <w:trPr>
          <w:trHeight w:val="996"/>
        </w:trPr>
        <w:tc>
          <w:tcPr>
            <w:tcW w:w="505" w:type="dxa"/>
            <w:vMerge w:val="restart"/>
            <w:tcBorders>
              <w:tl2br w:val="nil"/>
              <w:tr2bl w:val="nil"/>
            </w:tcBorders>
            <w:shd w:val="clear" w:color="auto" w:fill="FFFFFF"/>
            <w:noWrap/>
            <w:tcMar>
              <w:top w:w="12" w:type="dxa"/>
              <w:left w:w="12" w:type="dxa"/>
              <w:right w:w="12" w:type="dxa"/>
            </w:tcMar>
            <w:textDirection w:val="tbRlV"/>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产 出（35分）</w:t>
            </w:r>
          </w:p>
        </w:tc>
        <w:tc>
          <w:tcPr>
            <w:tcW w:w="504"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w:t>
            </w:r>
            <w:r>
              <w:rPr>
                <w:rFonts w:ascii="仿宋" w:eastAsia="仿宋" w:hAnsi="仿宋" w:cs="仿宋" w:hint="eastAsia"/>
                <w:color w:val="000000"/>
                <w:kern w:val="0"/>
                <w:sz w:val="22"/>
                <w:szCs w:val="22"/>
              </w:rPr>
              <w:br/>
              <w:t>产出</w:t>
            </w: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数量指标</w:t>
            </w: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法律援助案件数量</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法律援助案件数量为2019实际受理的数量</w:t>
            </w:r>
          </w:p>
        </w:tc>
        <w:tc>
          <w:tcPr>
            <w:tcW w:w="759" w:type="dxa"/>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1000件</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法律援助案件数量为2019实际受理的数量，超过1000件满分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r>
      <w:tr w:rsidR="00E25EDC">
        <w:trPr>
          <w:trHeight w:val="564"/>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法律援助律师库成员数量</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武昌区成立的法律援助律师库成员截至到2019年的数量</w:t>
            </w:r>
          </w:p>
        </w:tc>
        <w:tc>
          <w:tcPr>
            <w:tcW w:w="759" w:type="dxa"/>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600</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达到600人得满分，每少10人，扣1分，扣完为止。</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r>
      <w:tr w:rsidR="00E25EDC">
        <w:trPr>
          <w:trHeight w:val="516"/>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值班律师到岗率</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值班律师到岗率100%</w:t>
            </w:r>
          </w:p>
        </w:tc>
        <w:tc>
          <w:tcPr>
            <w:tcW w:w="759" w:type="dxa"/>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100%</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值班律师到岗率100%得满分，否则0分。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公共法律服务点</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安排在各社区的公共法律服务点</w:t>
            </w:r>
          </w:p>
        </w:tc>
        <w:tc>
          <w:tcPr>
            <w:tcW w:w="759" w:type="dxa"/>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141</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完成计划数满分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质量指标</w:t>
            </w: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法律援助案件合格率</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法律援助案件合格率100%</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100%</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法律援助案件合格率100%得满分，每少5个点，扣1分，扣完为止。</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法律援助案件优秀率</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法律援助案件优秀率40%</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40%</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法援援助案件优秀率≥40%满分，每下降10个点扣2分，扣完为止</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法律援助表彰、奖励次数</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人民政府等机构的表彰奖励</w:t>
            </w:r>
          </w:p>
        </w:tc>
        <w:tc>
          <w:tcPr>
            <w:tcW w:w="759" w:type="dxa"/>
            <w:tcBorders>
              <w:tl2br w:val="nil"/>
              <w:tr2bl w:val="nil"/>
            </w:tcBorders>
            <w:shd w:val="clear" w:color="auto" w:fill="auto"/>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项目在年度内受到表彰奖励得满分。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w:t>
            </w:r>
          </w:p>
        </w:tc>
      </w:tr>
      <w:tr w:rsidR="00E25EDC">
        <w:trPr>
          <w:trHeight w:val="321"/>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时效指标</w:t>
            </w: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4分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受援群众平均等待时间</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从受援群众递交材料到通知是否受理的时间</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3天</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3个工作日之内满分，每增加1天，扣0，5分，扣完为止。</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4</w:t>
            </w:r>
          </w:p>
        </w:tc>
      </w:tr>
      <w:tr w:rsidR="00E25EDC">
        <w:trPr>
          <w:trHeight w:val="696"/>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4分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案件完成及时率</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各项工作任务是否按时完成</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按时</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完成及时率≥100%得满分，每下降10个点扣1分，扣完为止。</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4</w:t>
            </w:r>
          </w:p>
        </w:tc>
      </w:tr>
      <w:tr w:rsidR="00E25EDC">
        <w:trPr>
          <w:trHeight w:val="408"/>
        </w:trPr>
        <w:tc>
          <w:tcPr>
            <w:tcW w:w="505" w:type="dxa"/>
            <w:vMerge w:val="restart"/>
            <w:tcBorders>
              <w:tl2br w:val="nil"/>
              <w:tr2bl w:val="nil"/>
            </w:tcBorders>
            <w:shd w:val="clear" w:color="auto" w:fill="FFFFFF"/>
            <w:noWrap/>
            <w:tcMar>
              <w:top w:w="12" w:type="dxa"/>
              <w:left w:w="12" w:type="dxa"/>
              <w:right w:w="12" w:type="dxa"/>
            </w:tcMar>
            <w:textDirection w:val="tbRlV"/>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效果（25分）</w:t>
            </w:r>
          </w:p>
        </w:tc>
        <w:tc>
          <w:tcPr>
            <w:tcW w:w="504"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项目效益</w:t>
            </w:r>
          </w:p>
        </w:tc>
        <w:tc>
          <w:tcPr>
            <w:tcW w:w="64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经济效益</w:t>
            </w:r>
          </w:p>
          <w:p w:rsidR="00E25EDC" w:rsidRDefault="00E25EDC">
            <w:pPr>
              <w:widowControl/>
              <w:jc w:val="center"/>
              <w:textAlignment w:val="center"/>
              <w:rPr>
                <w:rFonts w:ascii="仿宋" w:eastAsia="仿宋" w:hAnsi="仿宋" w:cs="仿宋"/>
                <w:color w:val="000000"/>
                <w:kern w:val="0"/>
                <w:sz w:val="22"/>
                <w:szCs w:val="22"/>
              </w:rPr>
            </w:pPr>
          </w:p>
          <w:p w:rsidR="00E25EDC" w:rsidRDefault="00E25EDC">
            <w:pPr>
              <w:widowControl/>
              <w:jc w:val="center"/>
              <w:textAlignment w:val="center"/>
              <w:rPr>
                <w:rFonts w:ascii="仿宋" w:eastAsia="仿宋" w:hAnsi="仿宋" w:cs="仿宋"/>
                <w:color w:val="000000"/>
                <w:sz w:val="22"/>
                <w:szCs w:val="22"/>
              </w:rPr>
            </w:pP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受援群众挽回经济损失</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受援群众挽回经济损失</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挽回</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帮助受援群众挽回经济损失得满分。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w:t>
            </w:r>
          </w:p>
        </w:tc>
      </w:tr>
      <w:tr w:rsidR="00E25EDC">
        <w:trPr>
          <w:trHeight w:val="432"/>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val="restart"/>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社会</w:t>
            </w:r>
            <w:r>
              <w:rPr>
                <w:rFonts w:ascii="仿宋" w:eastAsia="仿宋" w:hAnsi="仿宋" w:cs="仿宋" w:hint="eastAsia"/>
                <w:color w:val="000000"/>
                <w:kern w:val="0"/>
                <w:sz w:val="22"/>
                <w:szCs w:val="22"/>
              </w:rPr>
              <w:lastRenderedPageBreak/>
              <w:t>效益</w:t>
            </w: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5分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法律援助范围覆盖程度</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是否涉及到劳动争议纠纷、婚姻家庭、</w:t>
            </w:r>
            <w:r>
              <w:rPr>
                <w:rFonts w:ascii="仿宋" w:eastAsia="仿宋" w:hAnsi="仿宋" w:cs="仿宋" w:hint="eastAsia"/>
                <w:color w:val="000000"/>
                <w:kern w:val="0"/>
                <w:sz w:val="22"/>
                <w:szCs w:val="22"/>
              </w:rPr>
              <w:lastRenderedPageBreak/>
              <w:t>食品药品、教育医疗等与民生紧密相关的事项</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涉及</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涉及4种以上得满分，没少一种扣</w:t>
            </w:r>
            <w:r>
              <w:rPr>
                <w:rFonts w:ascii="仿宋" w:eastAsia="仿宋" w:hAnsi="仿宋" w:cs="仿宋" w:hint="eastAsia"/>
                <w:color w:val="000000"/>
                <w:kern w:val="0"/>
                <w:sz w:val="22"/>
                <w:szCs w:val="22"/>
              </w:rPr>
              <w:lastRenderedPageBreak/>
              <w:t>1分，扣完为止。</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5</w:t>
            </w:r>
          </w:p>
        </w:tc>
      </w:tr>
      <w:tr w:rsidR="00E25EDC">
        <w:trPr>
          <w:trHeight w:val="768"/>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法律援助服务便利性</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居民是否认为寻求法律援助服务的途径更加便捷</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加强</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项目单位提供3种途径为居民提供法援服务，使法援服务更加便捷得满分。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w:t>
            </w:r>
          </w:p>
        </w:tc>
      </w:tr>
      <w:tr w:rsidR="00E25EDC">
        <w:trPr>
          <w:trHeight w:val="732"/>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可持续影响</w:t>
            </w: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可持续性</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是否有机构设置和充足的人员配备支持项目实施，是否有进行后续跟踪服务和回访服务</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提高</w:t>
            </w:r>
          </w:p>
        </w:tc>
        <w:tc>
          <w:tcPr>
            <w:tcW w:w="3308" w:type="dxa"/>
            <w:tcBorders>
              <w:tl2br w:val="nil"/>
              <w:tr2bl w:val="nil"/>
            </w:tcBorders>
            <w:shd w:val="clear" w:color="auto" w:fill="FFFFFF"/>
            <w:tcMar>
              <w:top w:w="12" w:type="dxa"/>
              <w:left w:w="12" w:type="dxa"/>
              <w:right w:w="12" w:type="dxa"/>
            </w:tcMar>
            <w:vAlign w:val="center"/>
          </w:tcPr>
          <w:p w:rsidR="00E25EDC" w:rsidRDefault="008A3C5F">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有持续有力支撑3分，其他酌情扣分。</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5</w:t>
            </w:r>
          </w:p>
        </w:tc>
      </w:tr>
      <w:tr w:rsidR="00E25EDC">
        <w:trPr>
          <w:trHeight w:val="960"/>
        </w:trPr>
        <w:tc>
          <w:tcPr>
            <w:tcW w:w="505" w:type="dxa"/>
            <w:vMerge/>
            <w:tcBorders>
              <w:tl2br w:val="nil"/>
              <w:tr2bl w:val="nil"/>
            </w:tcBorders>
            <w:shd w:val="clear" w:color="auto" w:fill="FFFFFF"/>
            <w:noWrap/>
            <w:tcMar>
              <w:top w:w="12" w:type="dxa"/>
              <w:left w:w="12" w:type="dxa"/>
              <w:right w:w="12" w:type="dxa"/>
            </w:tcMar>
            <w:textDirection w:val="tbRlV"/>
            <w:vAlign w:val="center"/>
          </w:tcPr>
          <w:p w:rsidR="00E25EDC" w:rsidRDefault="00E25EDC">
            <w:pPr>
              <w:jc w:val="center"/>
              <w:rPr>
                <w:rFonts w:ascii="仿宋" w:eastAsia="仿宋" w:hAnsi="仿宋" w:cs="仿宋"/>
                <w:color w:val="000000"/>
                <w:sz w:val="22"/>
                <w:szCs w:val="22"/>
              </w:rPr>
            </w:pPr>
          </w:p>
        </w:tc>
        <w:tc>
          <w:tcPr>
            <w:tcW w:w="504" w:type="dxa"/>
            <w:vMerge/>
            <w:tcBorders>
              <w:tl2br w:val="nil"/>
              <w:tr2bl w:val="nil"/>
            </w:tcBorders>
            <w:shd w:val="clear" w:color="auto" w:fill="FFFFFF"/>
            <w:tcMar>
              <w:top w:w="12" w:type="dxa"/>
              <w:left w:w="12" w:type="dxa"/>
              <w:right w:w="12" w:type="dxa"/>
            </w:tcMar>
            <w:vAlign w:val="center"/>
          </w:tcPr>
          <w:p w:rsidR="00E25EDC" w:rsidRDefault="00E25EDC">
            <w:pPr>
              <w:jc w:val="center"/>
              <w:rPr>
                <w:rFonts w:ascii="仿宋" w:eastAsia="仿宋" w:hAnsi="仿宋" w:cs="仿宋"/>
                <w:color w:val="000000"/>
                <w:sz w:val="22"/>
                <w:szCs w:val="22"/>
              </w:rPr>
            </w:pPr>
          </w:p>
        </w:tc>
        <w:tc>
          <w:tcPr>
            <w:tcW w:w="64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服务对象满意</w:t>
            </w:r>
            <w:r>
              <w:rPr>
                <w:rFonts w:ascii="仿宋" w:eastAsia="仿宋" w:hAnsi="仿宋" w:cs="仿宋" w:hint="eastAsia"/>
                <w:color w:val="000000"/>
                <w:kern w:val="0"/>
                <w:sz w:val="22"/>
                <w:szCs w:val="22"/>
              </w:rPr>
              <w:lastRenderedPageBreak/>
              <w:t>度</w:t>
            </w:r>
          </w:p>
        </w:tc>
        <w:tc>
          <w:tcPr>
            <w:tcW w:w="708"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lastRenderedPageBreak/>
              <w:t>5分</w:t>
            </w:r>
          </w:p>
        </w:tc>
        <w:tc>
          <w:tcPr>
            <w:tcW w:w="3389"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受援群众回访满意度</w:t>
            </w:r>
          </w:p>
        </w:tc>
        <w:tc>
          <w:tcPr>
            <w:tcW w:w="3658" w:type="dxa"/>
            <w:tcBorders>
              <w:tl2br w:val="nil"/>
              <w:tr2bl w:val="nil"/>
            </w:tcBorders>
            <w:shd w:val="clear" w:color="auto" w:fill="FFFFFF"/>
            <w:tcMar>
              <w:top w:w="12" w:type="dxa"/>
              <w:left w:w="12" w:type="dxa"/>
              <w:right w:w="12" w:type="dxa"/>
            </w:tcMar>
            <w:vAlign w:val="center"/>
          </w:tcPr>
          <w:p w:rsidR="00E25EDC" w:rsidRDefault="008A3C5F">
            <w:pPr>
              <w:widowControl/>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受援群众满意度</w:t>
            </w:r>
          </w:p>
        </w:tc>
        <w:tc>
          <w:tcPr>
            <w:tcW w:w="759"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100%</w:t>
            </w:r>
          </w:p>
        </w:tc>
        <w:tc>
          <w:tcPr>
            <w:tcW w:w="3308" w:type="dxa"/>
            <w:tcBorders>
              <w:tl2br w:val="nil"/>
              <w:tr2bl w:val="nil"/>
            </w:tcBorders>
            <w:shd w:val="clear" w:color="auto" w:fill="auto"/>
            <w:tcMar>
              <w:top w:w="12" w:type="dxa"/>
              <w:left w:w="12" w:type="dxa"/>
              <w:right w:w="12" w:type="dxa"/>
            </w:tcMar>
            <w:vAlign w:val="center"/>
          </w:tcPr>
          <w:p w:rsidR="00E25EDC" w:rsidRDefault="008A3C5F">
            <w:pPr>
              <w:widowControl/>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达到期望值得满分，每降低5个百分点扣1分，降低5个点之内按5个百分点比例扣分，扣完为止。</w:t>
            </w:r>
          </w:p>
        </w:tc>
        <w:tc>
          <w:tcPr>
            <w:tcW w:w="503" w:type="dxa"/>
            <w:tcBorders>
              <w:tl2br w:val="nil"/>
              <w:tr2bl w:val="nil"/>
            </w:tcBorders>
            <w:shd w:val="clear" w:color="auto" w:fill="FFFFFF"/>
            <w:tcMar>
              <w:top w:w="12" w:type="dxa"/>
              <w:left w:w="12" w:type="dxa"/>
              <w:right w:w="12" w:type="dxa"/>
            </w:tcMar>
            <w:vAlign w:val="center"/>
          </w:tcPr>
          <w:p w:rsidR="00E25EDC" w:rsidRDefault="008A3C5F">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rPr>
              <w:t>3</w:t>
            </w:r>
          </w:p>
        </w:tc>
      </w:tr>
      <w:tr w:rsidR="00E25EDC">
        <w:trPr>
          <w:trHeight w:val="321"/>
        </w:trPr>
        <w:tc>
          <w:tcPr>
            <w:tcW w:w="1657" w:type="dxa"/>
            <w:gridSpan w:val="3"/>
            <w:tcBorders>
              <w:tl2br w:val="nil"/>
              <w:tr2bl w:val="nil"/>
            </w:tcBorders>
            <w:shd w:val="clear" w:color="auto" w:fill="auto"/>
            <w:noWrap/>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lastRenderedPageBreak/>
              <w:t>合计</w:t>
            </w:r>
          </w:p>
        </w:tc>
        <w:tc>
          <w:tcPr>
            <w:tcW w:w="708" w:type="dxa"/>
            <w:tcBorders>
              <w:tl2br w:val="nil"/>
              <w:tr2bl w:val="nil"/>
            </w:tcBorders>
            <w:shd w:val="clear" w:color="auto" w:fill="auto"/>
            <w:noWrap/>
            <w:tcMar>
              <w:top w:w="12" w:type="dxa"/>
              <w:left w:w="12" w:type="dxa"/>
              <w:right w:w="12" w:type="dxa"/>
            </w:tcMar>
            <w:vAlign w:val="center"/>
          </w:tcPr>
          <w:p w:rsidR="00E25EDC" w:rsidRDefault="008A3C5F">
            <w:pPr>
              <w:widowControl/>
              <w:jc w:val="left"/>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100分</w:t>
            </w:r>
          </w:p>
        </w:tc>
        <w:tc>
          <w:tcPr>
            <w:tcW w:w="3389" w:type="dxa"/>
            <w:tcBorders>
              <w:tl2br w:val="nil"/>
              <w:tr2bl w:val="nil"/>
            </w:tcBorders>
            <w:shd w:val="clear" w:color="auto" w:fill="auto"/>
            <w:noWrap/>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 xml:space="preserve">              －</w:t>
            </w:r>
          </w:p>
        </w:tc>
        <w:tc>
          <w:tcPr>
            <w:tcW w:w="3658" w:type="dxa"/>
            <w:tcBorders>
              <w:tl2br w:val="nil"/>
              <w:tr2bl w:val="nil"/>
            </w:tcBorders>
            <w:shd w:val="clear" w:color="auto" w:fill="auto"/>
            <w:noWrap/>
            <w:tcMar>
              <w:top w:w="12" w:type="dxa"/>
              <w:left w:w="12" w:type="dxa"/>
              <w:right w:w="12" w:type="dxa"/>
            </w:tcMar>
            <w:vAlign w:val="center"/>
          </w:tcPr>
          <w:p w:rsidR="00E25EDC" w:rsidRDefault="008A3C5F">
            <w:pPr>
              <w:widowControl/>
              <w:jc w:val="left"/>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 xml:space="preserve">                     －</w:t>
            </w:r>
          </w:p>
        </w:tc>
        <w:tc>
          <w:tcPr>
            <w:tcW w:w="759" w:type="dxa"/>
            <w:tcBorders>
              <w:tl2br w:val="nil"/>
              <w:tr2bl w:val="nil"/>
            </w:tcBorders>
            <w:shd w:val="clear" w:color="auto" w:fill="auto"/>
            <w:noWrap/>
            <w:tcMar>
              <w:top w:w="12" w:type="dxa"/>
              <w:left w:w="12" w:type="dxa"/>
              <w:right w:w="12" w:type="dxa"/>
            </w:tcMar>
            <w:vAlign w:val="center"/>
          </w:tcPr>
          <w:p w:rsidR="00E25EDC" w:rsidRDefault="00E25EDC">
            <w:pPr>
              <w:rPr>
                <w:rFonts w:ascii="仿宋" w:eastAsia="仿宋" w:hAnsi="仿宋" w:cs="仿宋"/>
                <w:b/>
                <w:color w:val="000000"/>
                <w:sz w:val="22"/>
                <w:szCs w:val="22"/>
              </w:rPr>
            </w:pPr>
          </w:p>
        </w:tc>
        <w:tc>
          <w:tcPr>
            <w:tcW w:w="3308" w:type="dxa"/>
            <w:tcBorders>
              <w:tl2br w:val="nil"/>
              <w:tr2bl w:val="nil"/>
            </w:tcBorders>
            <w:shd w:val="clear" w:color="auto" w:fill="auto"/>
            <w:noWrap/>
            <w:tcMar>
              <w:top w:w="12" w:type="dxa"/>
              <w:left w:w="12" w:type="dxa"/>
              <w:right w:w="12" w:type="dxa"/>
            </w:tcMar>
            <w:vAlign w:val="center"/>
          </w:tcPr>
          <w:p w:rsidR="00E25EDC" w:rsidRDefault="00E25EDC">
            <w:pPr>
              <w:rPr>
                <w:rFonts w:ascii="仿宋" w:eastAsia="仿宋" w:hAnsi="仿宋" w:cs="仿宋"/>
                <w:b/>
                <w:color w:val="000000"/>
                <w:sz w:val="22"/>
                <w:szCs w:val="22"/>
              </w:rPr>
            </w:pPr>
          </w:p>
        </w:tc>
        <w:tc>
          <w:tcPr>
            <w:tcW w:w="503" w:type="dxa"/>
            <w:tcBorders>
              <w:tl2br w:val="nil"/>
              <w:tr2bl w:val="nil"/>
            </w:tcBorders>
            <w:shd w:val="clear" w:color="auto" w:fill="auto"/>
            <w:noWrap/>
            <w:tcMar>
              <w:top w:w="12" w:type="dxa"/>
              <w:left w:w="12" w:type="dxa"/>
              <w:right w:w="12" w:type="dxa"/>
            </w:tcMar>
            <w:vAlign w:val="center"/>
          </w:tcPr>
          <w:p w:rsidR="00E25EDC" w:rsidRDefault="008A3C5F">
            <w:pPr>
              <w:widowControl/>
              <w:jc w:val="center"/>
              <w:textAlignment w:val="center"/>
              <w:rPr>
                <w:rFonts w:ascii="仿宋" w:eastAsia="仿宋" w:hAnsi="仿宋" w:cs="仿宋"/>
                <w:b/>
                <w:color w:val="000000"/>
                <w:sz w:val="22"/>
                <w:szCs w:val="22"/>
              </w:rPr>
            </w:pPr>
            <w:r>
              <w:rPr>
                <w:rFonts w:ascii="仿宋" w:eastAsia="仿宋" w:hAnsi="仿宋" w:cs="仿宋" w:hint="eastAsia"/>
                <w:b/>
                <w:color w:val="000000"/>
                <w:kern w:val="0"/>
                <w:sz w:val="22"/>
                <w:szCs w:val="22"/>
              </w:rPr>
              <w:t>84</w:t>
            </w:r>
          </w:p>
        </w:tc>
      </w:tr>
    </w:tbl>
    <w:p w:rsidR="00E25EDC" w:rsidRDefault="00E25EDC">
      <w:pPr>
        <w:outlineLvl w:val="0"/>
        <w:rPr>
          <w:rFonts w:ascii="楷体" w:eastAsia="楷体" w:hAnsi="楷体" w:cs="楷体"/>
          <w:b/>
          <w:bCs/>
          <w:sz w:val="36"/>
          <w:szCs w:val="36"/>
        </w:rPr>
        <w:sectPr w:rsidR="00E25EDC">
          <w:footerReference w:type="default" r:id="rId9"/>
          <w:pgSz w:w="16838" w:h="11906" w:orient="landscape"/>
          <w:pgMar w:top="1800" w:right="1440" w:bottom="1800" w:left="1440" w:header="851" w:footer="992" w:gutter="0"/>
          <w:cols w:space="720"/>
          <w:docGrid w:type="lines" w:linePitch="312"/>
        </w:sectPr>
      </w:pPr>
    </w:p>
    <w:bookmarkEnd w:id="0"/>
    <w:p w:rsidR="00E25EDC" w:rsidRDefault="00E25EDC" w:rsidP="00751CFB">
      <w:pPr>
        <w:spacing w:line="360" w:lineRule="auto"/>
        <w:outlineLvl w:val="0"/>
      </w:pPr>
    </w:p>
    <w:sectPr w:rsidR="00E25EDC" w:rsidSect="00E25ED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35E" w:rsidRDefault="00CA535E" w:rsidP="00E25EDC">
      <w:r>
        <w:separator/>
      </w:r>
    </w:p>
  </w:endnote>
  <w:endnote w:type="continuationSeparator" w:id="0">
    <w:p w:rsidR="00CA535E" w:rsidRDefault="00CA535E" w:rsidP="00E2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楷体">
    <w:altName w:val="Arial Unicode MS"/>
    <w:charset w:val="86"/>
    <w:family w:val="modern"/>
    <w:pitch w:val="fixed"/>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EDC" w:rsidRDefault="00751CFB">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E25EDC" w:rsidRDefault="00E25EDC">
                          <w:pPr>
                            <w:pStyle w:val="a5"/>
                            <w:rPr>
                              <w:rFonts w:eastAsia="宋体"/>
                            </w:rPr>
                          </w:pPr>
                          <w:r>
                            <w:rPr>
                              <w:rFonts w:hint="eastAsia"/>
                            </w:rPr>
                            <w:fldChar w:fldCharType="begin"/>
                          </w:r>
                          <w:r w:rsidR="008A3C5F">
                            <w:rPr>
                              <w:rFonts w:hint="eastAsia"/>
                            </w:rPr>
                            <w:instrText xml:space="preserve"> PAGE  \* MERGEFORMAT </w:instrText>
                          </w:r>
                          <w:r>
                            <w:rPr>
                              <w:rFonts w:hint="eastAsia"/>
                            </w:rPr>
                            <w:fldChar w:fldCharType="separate"/>
                          </w:r>
                          <w:r w:rsidR="00751CFB">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" filled="f" stroked="f" strokeweight=".5pt">
              <v:path arrowok="t"/>
              <v:textbox style="mso-fit-shape-to-text:t" inset="0,0,0,0">
                <w:txbxContent>
                  <w:p w:rsidR="00E25EDC" w:rsidRDefault="00E25EDC">
                    <w:pPr>
                      <w:pStyle w:val="a5"/>
                      <w:rPr>
                        <w:rFonts w:eastAsia="宋体"/>
                      </w:rPr>
                    </w:pPr>
                    <w:r>
                      <w:rPr>
                        <w:rFonts w:hint="eastAsia"/>
                      </w:rPr>
                      <w:fldChar w:fldCharType="begin"/>
                    </w:r>
                    <w:r w:rsidR="008A3C5F">
                      <w:rPr>
                        <w:rFonts w:hint="eastAsia"/>
                      </w:rPr>
                      <w:instrText xml:space="preserve"> PAGE  \* MERGEFORMAT </w:instrText>
                    </w:r>
                    <w:r>
                      <w:rPr>
                        <w:rFonts w:hint="eastAsia"/>
                      </w:rPr>
                      <w:fldChar w:fldCharType="separate"/>
                    </w:r>
                    <w:r w:rsidR="00751CFB">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35E" w:rsidRDefault="00CA535E" w:rsidP="00E25EDC">
      <w:r>
        <w:separator/>
      </w:r>
    </w:p>
  </w:footnote>
  <w:footnote w:type="continuationSeparator" w:id="0">
    <w:p w:rsidR="00CA535E" w:rsidRDefault="00CA535E" w:rsidP="00E25E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B56C2A"/>
    <w:multiLevelType w:val="singleLevel"/>
    <w:tmpl w:val="A3B56C2A"/>
    <w:lvl w:ilvl="0">
      <w:start w:val="2"/>
      <w:numFmt w:val="decimal"/>
      <w:suff w:val="nothing"/>
      <w:lvlText w:val="（%1）"/>
      <w:lvlJc w:val="left"/>
    </w:lvl>
  </w:abstractNum>
  <w:abstractNum w:abstractNumId="1">
    <w:nsid w:val="DEB854CB"/>
    <w:multiLevelType w:val="singleLevel"/>
    <w:tmpl w:val="DEB854CB"/>
    <w:lvl w:ilvl="0">
      <w:start w:val="1"/>
      <w:numFmt w:val="chineseCounting"/>
      <w:suff w:val="nothing"/>
      <w:lvlText w:val="%1、"/>
      <w:lvlJc w:val="left"/>
      <w:rPr>
        <w:rFonts w:hint="eastAsia"/>
      </w:rPr>
    </w:lvl>
  </w:abstractNum>
  <w:abstractNum w:abstractNumId="2">
    <w:nsid w:val="58D9D596"/>
    <w:multiLevelType w:val="singleLevel"/>
    <w:tmpl w:val="58D9D596"/>
    <w:lvl w:ilvl="0">
      <w:start w:val="1"/>
      <w:numFmt w:val="chineseCounting"/>
      <w:suff w:val="nothing"/>
      <w:lvlText w:val="%1、"/>
      <w:lvlJc w:val="left"/>
    </w:lvl>
  </w:abstractNum>
  <w:abstractNum w:abstractNumId="3">
    <w:nsid w:val="5D5D056D"/>
    <w:multiLevelType w:val="singleLevel"/>
    <w:tmpl w:val="5D5D056D"/>
    <w:lvl w:ilvl="0">
      <w:start w:val="2"/>
      <w:numFmt w:val="chineseCounting"/>
      <w:suff w:val="nothing"/>
      <w:lvlText w:val="（%1）"/>
      <w:lvlJc w:val="left"/>
    </w:lvl>
  </w:abstractNum>
  <w:abstractNum w:abstractNumId="4">
    <w:nsid w:val="6549E714"/>
    <w:multiLevelType w:val="singleLevel"/>
    <w:tmpl w:val="6549E714"/>
    <w:lvl w:ilvl="0">
      <w:start w:val="2"/>
      <w:numFmt w:val="chineseCounting"/>
      <w:suff w:val="space"/>
      <w:lvlText w:val="第%1部分"/>
      <w:lvlJc w:val="left"/>
      <w:rPr>
        <w:rFonts w:hint="eastAsi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82217"/>
    <w:rsid w:val="00053727"/>
    <w:rsid w:val="00091A2A"/>
    <w:rsid w:val="001537C2"/>
    <w:rsid w:val="001956AB"/>
    <w:rsid w:val="00196058"/>
    <w:rsid w:val="001B317B"/>
    <w:rsid w:val="00215FA0"/>
    <w:rsid w:val="00222E8C"/>
    <w:rsid w:val="0025563C"/>
    <w:rsid w:val="00273ACF"/>
    <w:rsid w:val="002B0C0E"/>
    <w:rsid w:val="002E0511"/>
    <w:rsid w:val="00333EB6"/>
    <w:rsid w:val="0035339F"/>
    <w:rsid w:val="00384700"/>
    <w:rsid w:val="00390590"/>
    <w:rsid w:val="003B5393"/>
    <w:rsid w:val="004504CC"/>
    <w:rsid w:val="004E1A98"/>
    <w:rsid w:val="004F44EE"/>
    <w:rsid w:val="004F75C8"/>
    <w:rsid w:val="0052250D"/>
    <w:rsid w:val="005328F3"/>
    <w:rsid w:val="005E6D4D"/>
    <w:rsid w:val="00623E3F"/>
    <w:rsid w:val="0066689E"/>
    <w:rsid w:val="006D0629"/>
    <w:rsid w:val="00700550"/>
    <w:rsid w:val="00705DF2"/>
    <w:rsid w:val="007455E4"/>
    <w:rsid w:val="00751CFB"/>
    <w:rsid w:val="0076254B"/>
    <w:rsid w:val="00842BDE"/>
    <w:rsid w:val="00893154"/>
    <w:rsid w:val="008A3C5F"/>
    <w:rsid w:val="008C0E50"/>
    <w:rsid w:val="00911FE3"/>
    <w:rsid w:val="009463F3"/>
    <w:rsid w:val="0095242E"/>
    <w:rsid w:val="00972A16"/>
    <w:rsid w:val="00A20C03"/>
    <w:rsid w:val="00A26ACE"/>
    <w:rsid w:val="00A64FB7"/>
    <w:rsid w:val="00AF3009"/>
    <w:rsid w:val="00B41ACF"/>
    <w:rsid w:val="00BA389D"/>
    <w:rsid w:val="00CA535E"/>
    <w:rsid w:val="00CB1199"/>
    <w:rsid w:val="00CC43FC"/>
    <w:rsid w:val="00CE31F2"/>
    <w:rsid w:val="00D53FBC"/>
    <w:rsid w:val="00D725D5"/>
    <w:rsid w:val="00DE6841"/>
    <w:rsid w:val="00DE7A19"/>
    <w:rsid w:val="00E25EDC"/>
    <w:rsid w:val="00E876CE"/>
    <w:rsid w:val="00E93D1A"/>
    <w:rsid w:val="00F47CE0"/>
    <w:rsid w:val="00FA5722"/>
    <w:rsid w:val="00FF7EC7"/>
    <w:rsid w:val="02157D97"/>
    <w:rsid w:val="02E1400D"/>
    <w:rsid w:val="04624561"/>
    <w:rsid w:val="0595794D"/>
    <w:rsid w:val="059E3817"/>
    <w:rsid w:val="05A760A7"/>
    <w:rsid w:val="06870191"/>
    <w:rsid w:val="09FA3940"/>
    <w:rsid w:val="0A9A323E"/>
    <w:rsid w:val="0AF91528"/>
    <w:rsid w:val="0B74582F"/>
    <w:rsid w:val="0FD8516A"/>
    <w:rsid w:val="11254DA8"/>
    <w:rsid w:val="116E0509"/>
    <w:rsid w:val="133912A4"/>
    <w:rsid w:val="140279A4"/>
    <w:rsid w:val="147A7173"/>
    <w:rsid w:val="14F53AB2"/>
    <w:rsid w:val="154D099A"/>
    <w:rsid w:val="15865380"/>
    <w:rsid w:val="169263B0"/>
    <w:rsid w:val="176421B9"/>
    <w:rsid w:val="195F224E"/>
    <w:rsid w:val="1AD16530"/>
    <w:rsid w:val="1B586602"/>
    <w:rsid w:val="1C564223"/>
    <w:rsid w:val="1D5F6C9D"/>
    <w:rsid w:val="1DCC5436"/>
    <w:rsid w:val="1E3A68E7"/>
    <w:rsid w:val="1E5B1E1D"/>
    <w:rsid w:val="1EBA5FBE"/>
    <w:rsid w:val="1F9630C8"/>
    <w:rsid w:val="201B75A4"/>
    <w:rsid w:val="20FA0D70"/>
    <w:rsid w:val="224D4471"/>
    <w:rsid w:val="25E14EDD"/>
    <w:rsid w:val="25E30FD1"/>
    <w:rsid w:val="28515A1A"/>
    <w:rsid w:val="28B036DF"/>
    <w:rsid w:val="2A9642C1"/>
    <w:rsid w:val="2B712BA6"/>
    <w:rsid w:val="2C777546"/>
    <w:rsid w:val="2D8E36DC"/>
    <w:rsid w:val="2D937AB8"/>
    <w:rsid w:val="2E6829AE"/>
    <w:rsid w:val="2F442F90"/>
    <w:rsid w:val="2FA01761"/>
    <w:rsid w:val="30B0359F"/>
    <w:rsid w:val="31681723"/>
    <w:rsid w:val="31797D3D"/>
    <w:rsid w:val="322343C1"/>
    <w:rsid w:val="33246120"/>
    <w:rsid w:val="34100588"/>
    <w:rsid w:val="36C55E13"/>
    <w:rsid w:val="36CA671B"/>
    <w:rsid w:val="38AE1E7C"/>
    <w:rsid w:val="3B800983"/>
    <w:rsid w:val="3EF67219"/>
    <w:rsid w:val="3F1C1FED"/>
    <w:rsid w:val="41B31D6A"/>
    <w:rsid w:val="444D2C48"/>
    <w:rsid w:val="46296F3C"/>
    <w:rsid w:val="468E4F6E"/>
    <w:rsid w:val="46B06CA2"/>
    <w:rsid w:val="49FA67C0"/>
    <w:rsid w:val="4A2A245E"/>
    <w:rsid w:val="4A312A55"/>
    <w:rsid w:val="4A5705F2"/>
    <w:rsid w:val="4B665E4C"/>
    <w:rsid w:val="4C5B5C5F"/>
    <w:rsid w:val="4D034FC1"/>
    <w:rsid w:val="4E082FCA"/>
    <w:rsid w:val="4EE506E1"/>
    <w:rsid w:val="4F233991"/>
    <w:rsid w:val="4F285355"/>
    <w:rsid w:val="4FA75CF6"/>
    <w:rsid w:val="51031EEB"/>
    <w:rsid w:val="52D82217"/>
    <w:rsid w:val="52E04309"/>
    <w:rsid w:val="53064ED1"/>
    <w:rsid w:val="53624AD9"/>
    <w:rsid w:val="53E372EA"/>
    <w:rsid w:val="558F3B37"/>
    <w:rsid w:val="55CF4779"/>
    <w:rsid w:val="564E10A2"/>
    <w:rsid w:val="572F1752"/>
    <w:rsid w:val="574C0B1E"/>
    <w:rsid w:val="58920659"/>
    <w:rsid w:val="58FF3E56"/>
    <w:rsid w:val="59E52C72"/>
    <w:rsid w:val="5B1D4423"/>
    <w:rsid w:val="5CE819E2"/>
    <w:rsid w:val="5E7E07CF"/>
    <w:rsid w:val="603F36DA"/>
    <w:rsid w:val="61914735"/>
    <w:rsid w:val="61F77903"/>
    <w:rsid w:val="62476BF5"/>
    <w:rsid w:val="64150F50"/>
    <w:rsid w:val="649C4BA2"/>
    <w:rsid w:val="64EB69B0"/>
    <w:rsid w:val="67782311"/>
    <w:rsid w:val="687B0BBC"/>
    <w:rsid w:val="68E73819"/>
    <w:rsid w:val="696E757B"/>
    <w:rsid w:val="69957F8A"/>
    <w:rsid w:val="6B103F18"/>
    <w:rsid w:val="6C530BFA"/>
    <w:rsid w:val="6C8D2C93"/>
    <w:rsid w:val="6D371960"/>
    <w:rsid w:val="6E21145D"/>
    <w:rsid w:val="6F0D3B72"/>
    <w:rsid w:val="6FA72B23"/>
    <w:rsid w:val="700A3F2A"/>
    <w:rsid w:val="72061348"/>
    <w:rsid w:val="725D2EFE"/>
    <w:rsid w:val="72E112D5"/>
    <w:rsid w:val="743D32BC"/>
    <w:rsid w:val="756C795A"/>
    <w:rsid w:val="77602E7A"/>
    <w:rsid w:val="782B26F8"/>
    <w:rsid w:val="7AEA4EDF"/>
    <w:rsid w:val="7D783492"/>
    <w:rsid w:val="7FA92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toc 3" w:uiPriority="39" w:unhideWhenUsed="1" w:qFormat="1"/>
    <w:lsdException w:name="toc 4" w:uiPriority="3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E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25EDC"/>
    <w:pPr>
      <w:jc w:val="left"/>
    </w:pPr>
  </w:style>
  <w:style w:type="paragraph" w:styleId="3">
    <w:name w:val="toc 3"/>
    <w:basedOn w:val="a"/>
    <w:next w:val="a"/>
    <w:uiPriority w:val="39"/>
    <w:unhideWhenUsed/>
    <w:qFormat/>
    <w:rsid w:val="00E25EDC"/>
    <w:pPr>
      <w:tabs>
        <w:tab w:val="right" w:leader="dot" w:pos="9062"/>
      </w:tabs>
      <w:ind w:left="420"/>
      <w:jc w:val="left"/>
    </w:pPr>
    <w:rPr>
      <w:rFonts w:ascii="仿宋" w:eastAsia="仿宋" w:hAnsi="仿宋"/>
      <w:b/>
      <w:iCs/>
      <w:sz w:val="28"/>
      <w:szCs w:val="28"/>
    </w:rPr>
  </w:style>
  <w:style w:type="paragraph" w:styleId="a4">
    <w:name w:val="Balloon Text"/>
    <w:basedOn w:val="a"/>
    <w:link w:val="Char"/>
    <w:qFormat/>
    <w:rsid w:val="00E25EDC"/>
    <w:rPr>
      <w:sz w:val="18"/>
      <w:szCs w:val="18"/>
    </w:rPr>
  </w:style>
  <w:style w:type="paragraph" w:styleId="a5">
    <w:name w:val="footer"/>
    <w:basedOn w:val="a"/>
    <w:uiPriority w:val="99"/>
    <w:qFormat/>
    <w:rsid w:val="00E25EDC"/>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qFormat/>
    <w:rsid w:val="00E25E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qFormat/>
    <w:rsid w:val="00E25EDC"/>
  </w:style>
  <w:style w:type="paragraph" w:styleId="4">
    <w:name w:val="toc 4"/>
    <w:basedOn w:val="a"/>
    <w:next w:val="a"/>
    <w:uiPriority w:val="39"/>
    <w:unhideWhenUsed/>
    <w:qFormat/>
    <w:rsid w:val="00E25EDC"/>
    <w:pPr>
      <w:ind w:left="630"/>
      <w:jc w:val="left"/>
    </w:pPr>
    <w:rPr>
      <w:rFonts w:ascii="Calibri" w:hAnsi="Calibri"/>
      <w:sz w:val="18"/>
      <w:szCs w:val="18"/>
    </w:rPr>
  </w:style>
  <w:style w:type="paragraph" w:styleId="2">
    <w:name w:val="toc 2"/>
    <w:basedOn w:val="a"/>
    <w:next w:val="a"/>
    <w:uiPriority w:val="39"/>
    <w:unhideWhenUsed/>
    <w:qFormat/>
    <w:rsid w:val="00E25EDC"/>
    <w:pPr>
      <w:ind w:left="210"/>
      <w:jc w:val="left"/>
    </w:pPr>
    <w:rPr>
      <w:rFonts w:ascii="Calibri" w:hAnsi="Calibri"/>
      <w:smallCaps/>
      <w:sz w:val="20"/>
      <w:szCs w:val="20"/>
    </w:rPr>
  </w:style>
  <w:style w:type="character" w:styleId="a7">
    <w:name w:val="page number"/>
    <w:basedOn w:val="a0"/>
    <w:qFormat/>
    <w:rsid w:val="00E25EDC"/>
  </w:style>
  <w:style w:type="character" w:styleId="a8">
    <w:name w:val="annotation reference"/>
    <w:basedOn w:val="a0"/>
    <w:qFormat/>
    <w:rsid w:val="00E25EDC"/>
    <w:rPr>
      <w:sz w:val="21"/>
      <w:szCs w:val="21"/>
    </w:rPr>
  </w:style>
  <w:style w:type="paragraph" w:styleId="a9">
    <w:name w:val="List Paragraph"/>
    <w:basedOn w:val="a"/>
    <w:uiPriority w:val="99"/>
    <w:qFormat/>
    <w:rsid w:val="00E25EDC"/>
    <w:pPr>
      <w:ind w:firstLineChars="200" w:firstLine="420"/>
    </w:pPr>
    <w:rPr>
      <w:rFonts w:ascii="Calibri" w:hAnsi="Calibri"/>
    </w:rPr>
  </w:style>
  <w:style w:type="paragraph" w:customStyle="1" w:styleId="10">
    <w:name w:val="样式1"/>
    <w:basedOn w:val="a"/>
    <w:qFormat/>
    <w:rsid w:val="00E25EDC"/>
    <w:pPr>
      <w:pBdr>
        <w:bottom w:val="thinThickSmallGap" w:sz="18" w:space="1" w:color="auto"/>
      </w:pBdr>
    </w:pPr>
    <w:rPr>
      <w:rFonts w:ascii="Calibri" w:hAnsi="Calibri"/>
    </w:rPr>
  </w:style>
  <w:style w:type="character" w:customStyle="1" w:styleId="Char0">
    <w:name w:val="页眉 Char"/>
    <w:basedOn w:val="a0"/>
    <w:link w:val="a6"/>
    <w:uiPriority w:val="99"/>
    <w:qFormat/>
    <w:rsid w:val="00E25EDC"/>
    <w:rPr>
      <w:rFonts w:asciiTheme="minorHAnsi" w:eastAsiaTheme="minorEastAsia" w:hAnsiTheme="minorHAnsi" w:cstheme="minorBidi"/>
      <w:kern w:val="2"/>
      <w:sz w:val="18"/>
      <w:szCs w:val="18"/>
    </w:rPr>
  </w:style>
  <w:style w:type="character" w:customStyle="1" w:styleId="Char">
    <w:name w:val="批注框文本 Char"/>
    <w:basedOn w:val="a0"/>
    <w:link w:val="a4"/>
    <w:qFormat/>
    <w:rsid w:val="00E25ED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toc 3" w:uiPriority="39" w:unhideWhenUsed="1" w:qFormat="1"/>
    <w:lsdException w:name="toc 4" w:uiPriority="3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E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25EDC"/>
    <w:pPr>
      <w:jc w:val="left"/>
    </w:pPr>
  </w:style>
  <w:style w:type="paragraph" w:styleId="3">
    <w:name w:val="toc 3"/>
    <w:basedOn w:val="a"/>
    <w:next w:val="a"/>
    <w:uiPriority w:val="39"/>
    <w:unhideWhenUsed/>
    <w:qFormat/>
    <w:rsid w:val="00E25EDC"/>
    <w:pPr>
      <w:tabs>
        <w:tab w:val="right" w:leader="dot" w:pos="9062"/>
      </w:tabs>
      <w:ind w:left="420"/>
      <w:jc w:val="left"/>
    </w:pPr>
    <w:rPr>
      <w:rFonts w:ascii="仿宋" w:eastAsia="仿宋" w:hAnsi="仿宋"/>
      <w:b/>
      <w:iCs/>
      <w:sz w:val="28"/>
      <w:szCs w:val="28"/>
    </w:rPr>
  </w:style>
  <w:style w:type="paragraph" w:styleId="a4">
    <w:name w:val="Balloon Text"/>
    <w:basedOn w:val="a"/>
    <w:link w:val="Char"/>
    <w:qFormat/>
    <w:rsid w:val="00E25EDC"/>
    <w:rPr>
      <w:sz w:val="18"/>
      <w:szCs w:val="18"/>
    </w:rPr>
  </w:style>
  <w:style w:type="paragraph" w:styleId="a5">
    <w:name w:val="footer"/>
    <w:basedOn w:val="a"/>
    <w:uiPriority w:val="99"/>
    <w:qFormat/>
    <w:rsid w:val="00E25EDC"/>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qFormat/>
    <w:rsid w:val="00E25E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
    <w:name w:val="toc 1"/>
    <w:basedOn w:val="a"/>
    <w:next w:val="a"/>
    <w:qFormat/>
    <w:rsid w:val="00E25EDC"/>
  </w:style>
  <w:style w:type="paragraph" w:styleId="4">
    <w:name w:val="toc 4"/>
    <w:basedOn w:val="a"/>
    <w:next w:val="a"/>
    <w:uiPriority w:val="39"/>
    <w:unhideWhenUsed/>
    <w:qFormat/>
    <w:rsid w:val="00E25EDC"/>
    <w:pPr>
      <w:ind w:left="630"/>
      <w:jc w:val="left"/>
    </w:pPr>
    <w:rPr>
      <w:rFonts w:ascii="Calibri" w:hAnsi="Calibri"/>
      <w:sz w:val="18"/>
      <w:szCs w:val="18"/>
    </w:rPr>
  </w:style>
  <w:style w:type="paragraph" w:styleId="2">
    <w:name w:val="toc 2"/>
    <w:basedOn w:val="a"/>
    <w:next w:val="a"/>
    <w:uiPriority w:val="39"/>
    <w:unhideWhenUsed/>
    <w:qFormat/>
    <w:rsid w:val="00E25EDC"/>
    <w:pPr>
      <w:ind w:left="210"/>
      <w:jc w:val="left"/>
    </w:pPr>
    <w:rPr>
      <w:rFonts w:ascii="Calibri" w:hAnsi="Calibri"/>
      <w:smallCaps/>
      <w:sz w:val="20"/>
      <w:szCs w:val="20"/>
    </w:rPr>
  </w:style>
  <w:style w:type="character" w:styleId="a7">
    <w:name w:val="page number"/>
    <w:basedOn w:val="a0"/>
    <w:qFormat/>
    <w:rsid w:val="00E25EDC"/>
  </w:style>
  <w:style w:type="character" w:styleId="a8">
    <w:name w:val="annotation reference"/>
    <w:basedOn w:val="a0"/>
    <w:qFormat/>
    <w:rsid w:val="00E25EDC"/>
    <w:rPr>
      <w:sz w:val="21"/>
      <w:szCs w:val="21"/>
    </w:rPr>
  </w:style>
  <w:style w:type="paragraph" w:styleId="a9">
    <w:name w:val="List Paragraph"/>
    <w:basedOn w:val="a"/>
    <w:uiPriority w:val="99"/>
    <w:qFormat/>
    <w:rsid w:val="00E25EDC"/>
    <w:pPr>
      <w:ind w:firstLineChars="200" w:firstLine="420"/>
    </w:pPr>
    <w:rPr>
      <w:rFonts w:ascii="Calibri" w:hAnsi="Calibri"/>
    </w:rPr>
  </w:style>
  <w:style w:type="paragraph" w:customStyle="1" w:styleId="10">
    <w:name w:val="样式1"/>
    <w:basedOn w:val="a"/>
    <w:qFormat/>
    <w:rsid w:val="00E25EDC"/>
    <w:pPr>
      <w:pBdr>
        <w:bottom w:val="thinThickSmallGap" w:sz="18" w:space="1" w:color="auto"/>
      </w:pBdr>
    </w:pPr>
    <w:rPr>
      <w:rFonts w:ascii="Calibri" w:hAnsi="Calibri"/>
    </w:rPr>
  </w:style>
  <w:style w:type="character" w:customStyle="1" w:styleId="Char0">
    <w:name w:val="页眉 Char"/>
    <w:basedOn w:val="a0"/>
    <w:link w:val="a6"/>
    <w:uiPriority w:val="99"/>
    <w:qFormat/>
    <w:rsid w:val="00E25EDC"/>
    <w:rPr>
      <w:rFonts w:asciiTheme="minorHAnsi" w:eastAsiaTheme="minorEastAsia" w:hAnsiTheme="minorHAnsi" w:cstheme="minorBidi"/>
      <w:kern w:val="2"/>
      <w:sz w:val="18"/>
      <w:szCs w:val="18"/>
    </w:rPr>
  </w:style>
  <w:style w:type="character" w:customStyle="1" w:styleId="Char">
    <w:name w:val="批注框文本 Char"/>
    <w:basedOn w:val="a0"/>
    <w:link w:val="a4"/>
    <w:qFormat/>
    <w:rsid w:val="00E25ED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490</Words>
  <Characters>2793</Characters>
  <Application>Microsoft Office Word</Application>
  <DocSecurity>0</DocSecurity>
  <Lines>23</Lines>
  <Paragraphs>6</Paragraphs>
  <ScaleCrop>false</ScaleCrop>
  <Company>Microsoft</Company>
  <LinksUpToDate>false</LinksUpToDate>
  <CharactersWithSpaces>3277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Jennyfumeveil</dc:creator>
  <cp:lastModifiedBy>黄靖</cp:lastModifiedBy>
  <cp:revision>2</cp:revision>
  <cp:lastPrinted>2020-09-28T07:05:00Z</cp:lastPrinted>
  <dcterms:created xsi:type="dcterms:W3CDTF">2020-10-28T09:01:00Z</dcterms:created>
  <dcterms:modified xsi:type="dcterms:W3CDTF">2020-10-28T09:01:00Z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