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DC4D3">
      <w:pPr>
        <w:rPr>
          <w:rFonts w:hint="eastAsia"/>
          <w:color w:val="auto"/>
          <w:highlight w:val="none"/>
        </w:rPr>
      </w:pPr>
    </w:p>
    <w:p w14:paraId="7A3158CD">
      <w:pPr>
        <w:rPr>
          <w:rFonts w:hint="eastAsia"/>
          <w:color w:val="auto"/>
          <w:highlight w:val="none"/>
        </w:rPr>
      </w:pPr>
    </w:p>
    <w:p w14:paraId="459C63CB">
      <w:pPr>
        <w:rPr>
          <w:rFonts w:hint="eastAsia"/>
          <w:color w:val="auto"/>
          <w:highlight w:val="none"/>
        </w:rPr>
      </w:pPr>
    </w:p>
    <w:p w14:paraId="2005FDC2">
      <w:pPr>
        <w:spacing w:line="700" w:lineRule="exact"/>
        <w:jc w:val="center"/>
        <w:rPr>
          <w:rFonts w:hint="eastAsia" w:ascii="新宋体" w:hAnsi="新宋体" w:eastAsia="新宋体" w:cs="新宋体"/>
          <w:b/>
          <w:color w:val="auto"/>
          <w:spacing w:val="20"/>
          <w:sz w:val="44"/>
          <w:szCs w:val="44"/>
          <w:highlight w:val="none"/>
        </w:rPr>
      </w:pPr>
      <w:r>
        <w:rPr>
          <w:rFonts w:hint="eastAsia" w:ascii="新宋体" w:hAnsi="新宋体" w:eastAsia="新宋体" w:cs="新宋体"/>
          <w:b/>
          <w:color w:val="auto"/>
          <w:spacing w:val="20"/>
          <w:sz w:val="44"/>
          <w:szCs w:val="44"/>
          <w:highlight w:val="none"/>
          <w:lang w:val="en-US" w:eastAsia="zh-CN"/>
        </w:rPr>
        <w:t>2017年度武昌区聘用人员经费</w:t>
      </w:r>
      <w:r>
        <w:rPr>
          <w:rFonts w:hint="eastAsia" w:ascii="新宋体" w:hAnsi="新宋体" w:eastAsia="新宋体" w:cs="新宋体"/>
          <w:b/>
          <w:color w:val="auto"/>
          <w:spacing w:val="20"/>
          <w:sz w:val="44"/>
          <w:szCs w:val="44"/>
          <w:highlight w:val="none"/>
        </w:rPr>
        <w:t>项目</w:t>
      </w:r>
    </w:p>
    <w:p w14:paraId="1460FB98">
      <w:pPr>
        <w:spacing w:line="700" w:lineRule="exact"/>
        <w:jc w:val="center"/>
        <w:rPr>
          <w:rFonts w:hint="eastAsia" w:ascii="新宋体" w:hAnsi="新宋体" w:eastAsia="新宋体" w:cs="新宋体"/>
          <w:b/>
          <w:color w:val="auto"/>
          <w:spacing w:val="20"/>
          <w:sz w:val="44"/>
          <w:szCs w:val="44"/>
          <w:highlight w:val="none"/>
        </w:rPr>
      </w:pPr>
      <w:r>
        <w:rPr>
          <w:rFonts w:hint="eastAsia" w:ascii="新宋体" w:hAnsi="新宋体" w:eastAsia="新宋体" w:cs="新宋体"/>
          <w:b/>
          <w:color w:val="auto"/>
          <w:spacing w:val="20"/>
          <w:sz w:val="44"/>
          <w:szCs w:val="44"/>
          <w:highlight w:val="none"/>
        </w:rPr>
        <w:t>绩效</w:t>
      </w:r>
      <w:r>
        <w:rPr>
          <w:rFonts w:hint="eastAsia" w:ascii="新宋体" w:hAnsi="新宋体" w:eastAsia="新宋体" w:cs="新宋体"/>
          <w:b/>
          <w:color w:val="auto"/>
          <w:spacing w:val="20"/>
          <w:sz w:val="44"/>
          <w:szCs w:val="44"/>
          <w:highlight w:val="none"/>
          <w:lang w:val="en-US" w:eastAsia="zh-CN"/>
        </w:rPr>
        <w:t>自评</w:t>
      </w:r>
      <w:r>
        <w:rPr>
          <w:rFonts w:hint="eastAsia" w:ascii="新宋体" w:hAnsi="新宋体" w:eastAsia="新宋体" w:cs="新宋体"/>
          <w:b/>
          <w:color w:val="auto"/>
          <w:spacing w:val="20"/>
          <w:sz w:val="44"/>
          <w:szCs w:val="44"/>
          <w:highlight w:val="none"/>
        </w:rPr>
        <w:t>报告</w:t>
      </w:r>
    </w:p>
    <w:p w14:paraId="4568CEE5">
      <w:pPr>
        <w:ind w:left="560" w:firstLine="2700" w:firstLineChars="750"/>
        <w:jc w:val="left"/>
        <w:rPr>
          <w:rFonts w:hint="eastAsia" w:ascii="黑体" w:hAnsi="黑体" w:eastAsia="黑体"/>
          <w:color w:val="auto"/>
          <w:sz w:val="36"/>
          <w:szCs w:val="36"/>
          <w:highlight w:val="none"/>
        </w:rPr>
      </w:pPr>
    </w:p>
    <w:p w14:paraId="27984AC6">
      <w:pPr>
        <w:ind w:left="560" w:firstLine="2700" w:firstLineChars="750"/>
        <w:jc w:val="left"/>
        <w:rPr>
          <w:rFonts w:hint="eastAsia" w:ascii="黑体" w:hAnsi="黑体" w:eastAsia="黑体"/>
          <w:color w:val="auto"/>
          <w:sz w:val="36"/>
          <w:szCs w:val="36"/>
          <w:highlight w:val="none"/>
        </w:rPr>
      </w:pPr>
    </w:p>
    <w:p w14:paraId="57EA60D8">
      <w:pPr>
        <w:ind w:left="560" w:firstLine="2700" w:firstLineChars="750"/>
        <w:jc w:val="left"/>
        <w:rPr>
          <w:rFonts w:hint="eastAsia" w:ascii="黑体" w:hAnsi="黑体" w:eastAsia="黑体"/>
          <w:color w:val="auto"/>
          <w:sz w:val="36"/>
          <w:szCs w:val="36"/>
          <w:highlight w:val="none"/>
        </w:rPr>
      </w:pPr>
    </w:p>
    <w:p w14:paraId="035BBA7D">
      <w:pPr>
        <w:ind w:left="560" w:firstLine="1575" w:firstLineChars="750"/>
        <w:jc w:val="left"/>
        <w:rPr>
          <w:rFonts w:hint="eastAsia" w:ascii="黑体" w:hAnsi="黑体" w:eastAsia="黑体"/>
          <w:color w:val="auto"/>
          <w:sz w:val="36"/>
          <w:szCs w:val="36"/>
          <w:highlight w:val="none"/>
        </w:rPr>
      </w:pPr>
      <w:r>
        <w:rPr>
          <w:color w:val="auto"/>
          <w:highlight w:val="none"/>
        </w:rPr>
        <w:drawing>
          <wp:anchor distT="0" distB="0" distL="114300" distR="114300" simplePos="0" relativeHeight="251661312" behindDoc="0" locked="0" layoutInCell="1" allowOverlap="1">
            <wp:simplePos x="0" y="0"/>
            <wp:positionH relativeFrom="column">
              <wp:posOffset>2022475</wp:posOffset>
            </wp:positionH>
            <wp:positionV relativeFrom="paragraph">
              <wp:posOffset>86360</wp:posOffset>
            </wp:positionV>
            <wp:extent cx="2124075" cy="2171700"/>
            <wp:effectExtent l="0" t="0" r="9525" b="0"/>
            <wp:wrapNone/>
            <wp:docPr id="15" name="图片 2" descr="中天诚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中天诚logo2"/>
                    <pic:cNvPicPr>
                      <a:picLocks noChangeAspect="1"/>
                    </pic:cNvPicPr>
                  </pic:nvPicPr>
                  <pic:blipFill>
                    <a:blip r:embed="rId9"/>
                    <a:stretch>
                      <a:fillRect/>
                    </a:stretch>
                  </pic:blipFill>
                  <pic:spPr>
                    <a:xfrm>
                      <a:off x="0" y="0"/>
                      <a:ext cx="2124075" cy="2171700"/>
                    </a:xfrm>
                    <a:prstGeom prst="rect">
                      <a:avLst/>
                    </a:prstGeom>
                    <a:noFill/>
                    <a:ln w="9525">
                      <a:noFill/>
                    </a:ln>
                  </pic:spPr>
                </pic:pic>
              </a:graphicData>
            </a:graphic>
          </wp:anchor>
        </w:drawing>
      </w:r>
    </w:p>
    <w:p w14:paraId="266A2733">
      <w:pPr>
        <w:ind w:left="560" w:firstLine="2700" w:firstLineChars="750"/>
        <w:jc w:val="left"/>
        <w:rPr>
          <w:rFonts w:hint="eastAsia" w:ascii="黑体" w:hAnsi="黑体" w:eastAsia="黑体"/>
          <w:color w:val="auto"/>
          <w:sz w:val="36"/>
          <w:szCs w:val="36"/>
          <w:highlight w:val="none"/>
        </w:rPr>
      </w:pPr>
    </w:p>
    <w:p w14:paraId="590293B2">
      <w:pPr>
        <w:ind w:left="560" w:firstLine="2700" w:firstLineChars="750"/>
        <w:jc w:val="left"/>
        <w:rPr>
          <w:rFonts w:hint="eastAsia" w:ascii="黑体" w:hAnsi="黑体" w:eastAsia="黑体"/>
          <w:color w:val="auto"/>
          <w:sz w:val="36"/>
          <w:szCs w:val="36"/>
          <w:highlight w:val="none"/>
        </w:rPr>
      </w:pPr>
    </w:p>
    <w:p w14:paraId="5B540E7F">
      <w:pPr>
        <w:ind w:left="560" w:firstLine="2700" w:firstLineChars="750"/>
        <w:jc w:val="left"/>
        <w:rPr>
          <w:rFonts w:hint="eastAsia" w:ascii="黑体" w:hAnsi="黑体" w:eastAsia="黑体"/>
          <w:color w:val="auto"/>
          <w:sz w:val="36"/>
          <w:szCs w:val="36"/>
          <w:highlight w:val="none"/>
        </w:rPr>
      </w:pPr>
    </w:p>
    <w:p w14:paraId="290C886C">
      <w:pPr>
        <w:ind w:left="560" w:firstLine="2700" w:firstLineChars="750"/>
        <w:jc w:val="left"/>
        <w:rPr>
          <w:rFonts w:hint="eastAsia" w:ascii="黑体" w:hAnsi="黑体" w:eastAsia="黑体"/>
          <w:color w:val="auto"/>
          <w:sz w:val="36"/>
          <w:szCs w:val="36"/>
          <w:highlight w:val="none"/>
        </w:rPr>
      </w:pPr>
    </w:p>
    <w:p w14:paraId="1D7D00BA">
      <w:pPr>
        <w:ind w:left="560" w:firstLine="2700" w:firstLineChars="750"/>
        <w:jc w:val="left"/>
        <w:rPr>
          <w:rFonts w:hint="eastAsia" w:ascii="黑体" w:hAnsi="黑体" w:eastAsia="黑体"/>
          <w:color w:val="auto"/>
          <w:sz w:val="36"/>
          <w:szCs w:val="36"/>
          <w:highlight w:val="none"/>
        </w:rPr>
      </w:pPr>
    </w:p>
    <w:p w14:paraId="3F4FBCD8">
      <w:pPr>
        <w:rPr>
          <w:rFonts w:hint="eastAsia" w:ascii="黑体" w:hAnsi="黑体" w:eastAsia="黑体"/>
          <w:color w:val="auto"/>
          <w:sz w:val="36"/>
          <w:szCs w:val="36"/>
          <w:highlight w:val="none"/>
        </w:rPr>
      </w:pPr>
    </w:p>
    <w:p w14:paraId="615C0787">
      <w:pPr>
        <w:jc w:val="center"/>
        <w:rPr>
          <w:rFonts w:hint="eastAsia" w:ascii="宋体" w:hAnsi="宋体"/>
          <w:bCs/>
          <w:color w:val="auto"/>
          <w:sz w:val="32"/>
          <w:szCs w:val="32"/>
          <w:highlight w:val="none"/>
        </w:rPr>
      </w:pPr>
    </w:p>
    <w:p w14:paraId="5DBF021E">
      <w:pPr>
        <w:jc w:val="center"/>
        <w:rPr>
          <w:rFonts w:hint="eastAsia" w:ascii="宋体" w:hAnsi="宋体"/>
          <w:b/>
          <w:bCs w:val="0"/>
          <w:color w:val="auto"/>
          <w:sz w:val="32"/>
          <w:szCs w:val="32"/>
          <w:highlight w:val="none"/>
        </w:rPr>
      </w:pPr>
    </w:p>
    <w:p w14:paraId="5C86C266">
      <w:pPr>
        <w:jc w:val="center"/>
        <w:rPr>
          <w:rFonts w:hint="eastAsia" w:ascii="宋体" w:hAnsi="宋体"/>
          <w:b/>
          <w:bCs w:val="0"/>
          <w:color w:val="auto"/>
          <w:sz w:val="32"/>
          <w:szCs w:val="32"/>
          <w:highlight w:val="none"/>
        </w:rPr>
      </w:pPr>
    </w:p>
    <w:p w14:paraId="2A84F364">
      <w:pPr>
        <w:jc w:val="both"/>
        <w:rPr>
          <w:rFonts w:hint="eastAsia" w:ascii="宋体" w:hAnsi="宋体"/>
          <w:b/>
          <w:bCs w:val="0"/>
          <w:color w:val="auto"/>
          <w:sz w:val="32"/>
          <w:szCs w:val="32"/>
          <w:highlight w:val="none"/>
          <w:lang w:val="en-US" w:eastAsia="zh-CN"/>
        </w:rPr>
      </w:pP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项目名称：</w:t>
      </w:r>
      <w:r>
        <w:rPr>
          <w:rFonts w:hint="eastAsia" w:ascii="宋体" w:hAnsi="宋体"/>
          <w:b/>
          <w:bCs w:val="0"/>
          <w:color w:val="auto"/>
          <w:sz w:val="32"/>
          <w:szCs w:val="32"/>
          <w:highlight w:val="none"/>
          <w:lang w:val="en-US" w:eastAsia="zh-CN"/>
        </w:rPr>
        <w:t>2017年度武昌区聘用人员经费项目</w:t>
      </w:r>
    </w:p>
    <w:p w14:paraId="4DE70596">
      <w:pPr>
        <w:rPr>
          <w:rFonts w:hint="eastAsia" w:ascii="宋体" w:hAnsi="宋体"/>
          <w:b/>
          <w:bCs w:val="0"/>
          <w:color w:val="auto"/>
          <w:sz w:val="32"/>
          <w:szCs w:val="32"/>
          <w:highlight w:val="none"/>
          <w:lang w:val="en-US"/>
        </w:rPr>
      </w:pPr>
      <w:r>
        <w:rPr>
          <w:rFonts w:hint="eastAsia" w:ascii="宋体" w:hAnsi="宋体"/>
          <w:b/>
          <w:bCs w:val="0"/>
          <w:color w:val="auto"/>
          <w:sz w:val="32"/>
          <w:szCs w:val="32"/>
          <w:highlight w:val="none"/>
        </w:rPr>
        <w:t xml:space="preserve">   </w:t>
      </w: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项目单位：</w:t>
      </w:r>
      <w:r>
        <w:rPr>
          <w:rFonts w:hint="eastAsia" w:ascii="宋体" w:hAnsi="宋体"/>
          <w:b/>
          <w:bCs w:val="0"/>
          <w:color w:val="auto"/>
          <w:sz w:val="32"/>
          <w:szCs w:val="32"/>
          <w:highlight w:val="none"/>
          <w:lang w:val="en-US" w:eastAsia="zh-CN"/>
        </w:rPr>
        <w:t>武昌区工商行政管理和质量技术监督局</w:t>
      </w:r>
    </w:p>
    <w:p w14:paraId="7681D58D">
      <w:pPr>
        <w:rPr>
          <w:rFonts w:hint="eastAsia" w:ascii="宋体" w:hAnsi="宋体"/>
          <w:b/>
          <w:bCs w:val="0"/>
          <w:color w:val="auto"/>
          <w:sz w:val="32"/>
          <w:szCs w:val="32"/>
          <w:highlight w:val="none"/>
        </w:rPr>
      </w:pPr>
      <w:r>
        <w:rPr>
          <w:rFonts w:hint="eastAsia" w:ascii="宋体" w:hAnsi="宋体"/>
          <w:b/>
          <w:bCs w:val="0"/>
          <w:color w:val="auto"/>
          <w:sz w:val="32"/>
          <w:szCs w:val="32"/>
          <w:highlight w:val="none"/>
        </w:rPr>
        <w:t xml:space="preserve">   </w:t>
      </w: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评价机构：湖北中天诚资产评估有限公司</w:t>
      </w:r>
    </w:p>
    <w:p w14:paraId="03DB242B">
      <w:pPr>
        <w:rPr>
          <w:rFonts w:hint="eastAsia" w:ascii="宋体" w:hAnsi="宋体"/>
          <w:b/>
          <w:bCs w:val="0"/>
          <w:color w:val="auto"/>
          <w:sz w:val="32"/>
          <w:szCs w:val="32"/>
          <w:highlight w:val="none"/>
        </w:rPr>
      </w:pPr>
    </w:p>
    <w:p w14:paraId="08990B4B">
      <w:pPr>
        <w:jc w:val="center"/>
        <w:rPr>
          <w:rFonts w:hint="eastAsia" w:ascii="宋体" w:hAnsi="宋体"/>
          <w:b/>
          <w:bCs w:val="0"/>
          <w:color w:val="auto"/>
          <w:sz w:val="32"/>
          <w:szCs w:val="32"/>
          <w:highlight w:val="none"/>
        </w:rPr>
      </w:pPr>
    </w:p>
    <w:p w14:paraId="6196D919">
      <w:pPr>
        <w:jc w:val="center"/>
        <w:rPr>
          <w:rFonts w:hint="eastAsia" w:ascii="宋体" w:hAnsi="宋体"/>
          <w:bCs/>
          <w:color w:val="auto"/>
          <w:sz w:val="32"/>
          <w:szCs w:val="32"/>
          <w:highlight w:val="none"/>
        </w:rPr>
      </w:pPr>
      <w:r>
        <w:rPr>
          <w:rFonts w:hint="eastAsia" w:ascii="宋体" w:hAnsi="宋体"/>
          <w:b/>
          <w:bCs w:val="0"/>
          <w:color w:val="auto"/>
          <w:sz w:val="32"/>
          <w:szCs w:val="32"/>
          <w:highlight w:val="none"/>
        </w:rPr>
        <w:t>二O一</w:t>
      </w:r>
      <w:r>
        <w:rPr>
          <w:rFonts w:hint="eastAsia" w:ascii="宋体" w:hAnsi="宋体"/>
          <w:b/>
          <w:bCs w:val="0"/>
          <w:color w:val="auto"/>
          <w:sz w:val="32"/>
          <w:szCs w:val="32"/>
          <w:highlight w:val="none"/>
          <w:lang w:val="en-US" w:eastAsia="zh-CN"/>
        </w:rPr>
        <w:t>八</w:t>
      </w:r>
      <w:r>
        <w:rPr>
          <w:rFonts w:hint="eastAsia" w:ascii="宋体" w:hAnsi="宋体"/>
          <w:b/>
          <w:bCs w:val="0"/>
          <w:color w:val="auto"/>
          <w:sz w:val="32"/>
          <w:szCs w:val="32"/>
          <w:highlight w:val="none"/>
        </w:rPr>
        <w:t>年</w:t>
      </w:r>
      <w:r>
        <w:rPr>
          <w:rFonts w:hint="eastAsia" w:ascii="宋体" w:hAnsi="宋体"/>
          <w:b/>
          <w:bCs w:val="0"/>
          <w:color w:val="auto"/>
          <w:sz w:val="32"/>
          <w:szCs w:val="32"/>
          <w:highlight w:val="none"/>
          <w:lang w:val="en-US" w:eastAsia="zh-CN"/>
        </w:rPr>
        <w:t>六</w:t>
      </w:r>
      <w:r>
        <w:rPr>
          <w:rFonts w:hint="eastAsia" w:ascii="宋体" w:hAnsi="宋体"/>
          <w:b/>
          <w:bCs w:val="0"/>
          <w:color w:val="auto"/>
          <w:sz w:val="32"/>
          <w:szCs w:val="32"/>
          <w:highlight w:val="none"/>
          <w:lang w:eastAsia="zh-CN"/>
        </w:rPr>
        <w:t>月</w:t>
      </w:r>
    </w:p>
    <w:p w14:paraId="446BBEA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r>
        <w:rPr>
          <w:rFonts w:hint="eastAsia" w:asciiTheme="minorEastAsia" w:hAnsiTheme="minorEastAsia" w:eastAsiaTheme="minorEastAsia" w:cstheme="minorEastAsia"/>
          <w:b/>
          <w:bCs w:val="0"/>
          <w:color w:val="auto"/>
          <w:sz w:val="36"/>
          <w:szCs w:val="36"/>
          <w:highlight w:val="none"/>
          <w:lang w:val="zh-CN"/>
        </w:rPr>
        <w:t>目    录</w:t>
      </w:r>
    </w:p>
    <w:p w14:paraId="2FE69C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36"/>
          <w:szCs w:val="36"/>
          <w:highlight w:val="none"/>
          <w:lang w:val="zh-CN"/>
        </w:rPr>
      </w:pPr>
    </w:p>
    <w:p w14:paraId="4CE63992">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 w:val="0"/>
          <w:bCs/>
          <w:color w:val="auto"/>
          <w:sz w:val="28"/>
          <w:szCs w:val="28"/>
          <w:highlight w:val="none"/>
        </w:rPr>
        <w:fldChar w:fldCharType="begin"/>
      </w:r>
      <w:r>
        <w:rPr>
          <w:rFonts w:hint="eastAsia" w:asciiTheme="minorEastAsia" w:hAnsiTheme="minorEastAsia" w:eastAsiaTheme="minorEastAsia" w:cstheme="minorEastAsia"/>
          <w:b w:val="0"/>
          <w:bCs/>
          <w:color w:val="auto"/>
          <w:sz w:val="28"/>
          <w:szCs w:val="28"/>
          <w:highlight w:val="none"/>
        </w:rPr>
        <w:instrText xml:space="preserve"> TOC \o "1-3" \h \z \u </w:instrText>
      </w:r>
      <w:r>
        <w:rPr>
          <w:rFonts w:hint="eastAsia" w:asciiTheme="minorEastAsia" w:hAnsiTheme="minorEastAsia" w:eastAsiaTheme="minorEastAsia" w:cstheme="minorEastAsia"/>
          <w:b w:val="0"/>
          <w:bCs/>
          <w:color w:val="auto"/>
          <w:sz w:val="28"/>
          <w:szCs w:val="28"/>
          <w:highlight w:val="none"/>
        </w:rPr>
        <w:fldChar w:fldCharType="separate"/>
      </w:r>
      <w:r>
        <w:rPr>
          <w:rFonts w:hint="eastAsia" w:asciiTheme="minorEastAsia" w:hAnsiTheme="minorEastAsia" w:eastAsiaTheme="minorEastAsia" w:cstheme="minorEastAsia"/>
          <w:bCs/>
          <w:color w:val="auto"/>
          <w:szCs w:val="28"/>
          <w:highlight w:val="none"/>
        </w:rPr>
        <w:fldChar w:fldCharType="begin"/>
      </w:r>
      <w:r>
        <w:rPr>
          <w:rFonts w:hint="eastAsia" w:asciiTheme="minorEastAsia" w:hAnsiTheme="minorEastAsia" w:eastAsiaTheme="minorEastAsia" w:cstheme="minorEastAsia"/>
          <w:bCs/>
          <w:szCs w:val="28"/>
          <w:highlight w:val="none"/>
        </w:rPr>
        <w:instrText xml:space="preserve"> HYPERLINK \l _Toc10628 </w:instrText>
      </w:r>
      <w:r>
        <w:rPr>
          <w:rFonts w:hint="eastAsia" w:asciiTheme="minorEastAsia" w:hAnsiTheme="minorEastAsia" w:eastAsiaTheme="minorEastAsia" w:cstheme="minorEastAsia"/>
          <w:bCs/>
          <w:szCs w:val="28"/>
          <w:highlight w:val="none"/>
        </w:rPr>
        <w:fldChar w:fldCharType="separate"/>
      </w:r>
      <w:r>
        <w:rPr>
          <w:rFonts w:hint="eastAsia"/>
          <w:szCs w:val="36"/>
          <w:highlight w:val="none"/>
        </w:rPr>
        <w:t>摘  要</w:t>
      </w:r>
      <w:r>
        <w:tab/>
      </w:r>
      <w:r>
        <w:fldChar w:fldCharType="begin"/>
      </w:r>
      <w:r>
        <w:instrText xml:space="preserve"> PAGEREF _Toc10628 </w:instrText>
      </w:r>
      <w:r>
        <w:fldChar w:fldCharType="separate"/>
      </w:r>
      <w:r>
        <w:t>3</w:t>
      </w:r>
      <w:r>
        <w:fldChar w:fldCharType="end"/>
      </w:r>
      <w:r>
        <w:rPr>
          <w:rFonts w:hint="eastAsia" w:asciiTheme="minorEastAsia" w:hAnsiTheme="minorEastAsia" w:eastAsiaTheme="minorEastAsia" w:cstheme="minorEastAsia"/>
          <w:bCs/>
          <w:color w:val="auto"/>
          <w:szCs w:val="28"/>
          <w:highlight w:val="none"/>
        </w:rPr>
        <w:fldChar w:fldCharType="end"/>
      </w:r>
    </w:p>
    <w:p w14:paraId="619A5716">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_Toc28364 </w:instrText>
      </w:r>
      <w:r>
        <w:rPr>
          <w:rFonts w:hint="eastAsia" w:asciiTheme="minorEastAsia" w:hAnsiTheme="minorEastAsia" w:eastAsiaTheme="minorEastAsia" w:cstheme="minorEastAsia"/>
          <w:bCs/>
          <w:szCs w:val="28"/>
          <w:highlight w:val="none"/>
          <w:lang w:val="zh-CN"/>
        </w:rPr>
        <w:fldChar w:fldCharType="separate"/>
      </w:r>
      <w:r>
        <w:rPr>
          <w:rFonts w:hint="eastAsia" w:ascii="宋体" w:hAnsi="宋体" w:eastAsia="宋体" w:cs="宋体"/>
          <w:szCs w:val="32"/>
          <w:lang w:val="en-US" w:eastAsia="zh-CN"/>
        </w:rPr>
        <w:t>一、项目基本情况</w:t>
      </w:r>
      <w:r>
        <w:tab/>
      </w:r>
      <w:r>
        <w:fldChar w:fldCharType="begin"/>
      </w:r>
      <w:r>
        <w:instrText xml:space="preserve"> PAGEREF _Toc28364 </w:instrText>
      </w:r>
      <w:r>
        <w:fldChar w:fldCharType="separate"/>
      </w:r>
      <w:r>
        <w:t>3</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0270C403">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_Toc18726 </w:instrText>
      </w:r>
      <w:r>
        <w:rPr>
          <w:rFonts w:hint="eastAsia" w:asciiTheme="minorEastAsia" w:hAnsiTheme="minorEastAsia" w:eastAsiaTheme="minorEastAsia" w:cstheme="minorEastAsia"/>
          <w:bCs/>
          <w:szCs w:val="28"/>
          <w:highlight w:val="none"/>
          <w:lang w:val="zh-CN"/>
        </w:rPr>
        <w:fldChar w:fldCharType="separate"/>
      </w:r>
      <w:r>
        <w:rPr>
          <w:rFonts w:hint="eastAsia" w:ascii="宋体" w:hAnsi="宋体" w:eastAsia="宋体" w:cs="宋体"/>
          <w:szCs w:val="32"/>
          <w:lang w:val="en-US" w:eastAsia="zh-CN"/>
        </w:rPr>
        <w:t>二、 绩效评价工作情况</w:t>
      </w:r>
      <w:r>
        <w:tab/>
      </w:r>
      <w:r>
        <w:fldChar w:fldCharType="begin"/>
      </w:r>
      <w:r>
        <w:instrText xml:space="preserve"> PAGEREF _Toc18726 </w:instrText>
      </w:r>
      <w:r>
        <w:fldChar w:fldCharType="separate"/>
      </w:r>
      <w:r>
        <w:t>3</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13409662">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_Toc886 </w:instrText>
      </w:r>
      <w:r>
        <w:rPr>
          <w:rFonts w:hint="eastAsia" w:asciiTheme="minorEastAsia" w:hAnsiTheme="minorEastAsia" w:eastAsiaTheme="minorEastAsia" w:cstheme="minorEastAsia"/>
          <w:bCs/>
          <w:szCs w:val="28"/>
          <w:highlight w:val="none"/>
          <w:lang w:val="zh-CN"/>
        </w:rPr>
        <w:fldChar w:fldCharType="separate"/>
      </w:r>
      <w:r>
        <w:rPr>
          <w:rFonts w:hint="eastAsia"/>
          <w:bCs/>
          <w:szCs w:val="32"/>
          <w:lang w:val="en-US" w:eastAsia="zh-CN"/>
        </w:rPr>
        <w:t>三、 综合得分及等级</w:t>
      </w:r>
      <w:r>
        <w:tab/>
      </w:r>
      <w:r>
        <w:fldChar w:fldCharType="begin"/>
      </w:r>
      <w:r>
        <w:instrText xml:space="preserve"> PAGEREF _Toc886 </w:instrText>
      </w:r>
      <w:r>
        <w:fldChar w:fldCharType="separate"/>
      </w:r>
      <w:r>
        <w:t>3</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4462927">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_Toc24735 </w:instrText>
      </w:r>
      <w:r>
        <w:rPr>
          <w:rFonts w:hint="eastAsia" w:asciiTheme="minorEastAsia" w:hAnsiTheme="minorEastAsia" w:eastAsiaTheme="minorEastAsia" w:cstheme="minorEastAsia"/>
          <w:bCs/>
          <w:szCs w:val="28"/>
          <w:highlight w:val="none"/>
          <w:lang w:val="zh-CN"/>
        </w:rPr>
        <w:fldChar w:fldCharType="separate"/>
      </w:r>
      <w:r>
        <w:rPr>
          <w:rFonts w:hint="eastAsia" w:ascii="宋体" w:hAnsi="宋体" w:eastAsia="宋体" w:cs="宋体"/>
          <w:szCs w:val="32"/>
          <w:lang w:val="en-US" w:eastAsia="zh-CN"/>
        </w:rPr>
        <w:t>四、 问题</w:t>
      </w:r>
      <w:r>
        <w:tab/>
      </w:r>
      <w:r>
        <w:fldChar w:fldCharType="begin"/>
      </w:r>
      <w:r>
        <w:instrText xml:space="preserve"> PAGEREF _Toc24735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4B6D814E">
      <w:pPr>
        <w:pStyle w:val="10"/>
        <w:keepNext w:val="0"/>
        <w:keepLines w:val="0"/>
        <w:pageBreakBefore w:val="0"/>
        <w:widowControl w:val="0"/>
        <w:tabs>
          <w:tab w:val="right" w:leader="dot" w:pos="9524"/>
        </w:tabs>
        <w:kinsoku/>
        <w:wordWrap/>
        <w:overflowPunct/>
        <w:topLinePunct w:val="0"/>
        <w:autoSpaceDE/>
        <w:autoSpaceDN/>
        <w:bidi w:val="0"/>
        <w:adjustRightInd/>
        <w:snapToGrid/>
        <w:spacing w:line="400" w:lineRule="exact"/>
        <w:textAlignment w:val="auto"/>
        <w:outlineLvl w:val="9"/>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_Toc11331 </w:instrText>
      </w:r>
      <w:r>
        <w:rPr>
          <w:rFonts w:hint="eastAsia" w:asciiTheme="minorEastAsia" w:hAnsiTheme="minorEastAsia" w:eastAsiaTheme="minorEastAsia" w:cstheme="minorEastAsia"/>
          <w:bCs/>
          <w:szCs w:val="28"/>
          <w:highlight w:val="none"/>
          <w:lang w:val="zh-CN"/>
        </w:rPr>
        <w:fldChar w:fldCharType="separate"/>
      </w:r>
      <w:r>
        <w:rPr>
          <w:rFonts w:hint="eastAsia" w:ascii="宋体" w:hAnsi="宋体" w:eastAsia="宋体" w:cs="宋体"/>
          <w:szCs w:val="32"/>
          <w:lang w:val="en-US" w:eastAsia="zh-CN"/>
        </w:rPr>
        <w:t>五、 解决方法及建议</w:t>
      </w:r>
      <w:r>
        <w:tab/>
      </w:r>
      <w:r>
        <w:fldChar w:fldCharType="begin"/>
      </w:r>
      <w:r>
        <w:instrText xml:space="preserve"> PAGEREF _Toc11331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74F9AAC2">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_Toc18860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2"/>
          <w:lang w:val="en-US" w:eastAsia="zh-CN"/>
        </w:rPr>
        <w:t xml:space="preserve">一、 </w:t>
      </w:r>
      <w:r>
        <w:rPr>
          <w:rFonts w:hint="eastAsia" w:asciiTheme="majorEastAsia" w:hAnsiTheme="majorEastAsia" w:eastAsiaTheme="majorEastAsia" w:cstheme="majorEastAsia"/>
          <w:szCs w:val="32"/>
          <w:highlight w:val="none"/>
          <w:lang w:val="en-US" w:eastAsia="zh-CN"/>
        </w:rPr>
        <w:t>项目基本情况</w:t>
      </w:r>
      <w:r>
        <w:tab/>
      </w:r>
      <w:r>
        <w:fldChar w:fldCharType="begin"/>
      </w:r>
      <w:r>
        <w:instrText xml:space="preserve"> PAGEREF _Toc18860 </w:instrText>
      </w:r>
      <w:r>
        <w:fldChar w:fldCharType="separate"/>
      </w:r>
      <w:r>
        <w:t>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02039042">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_Toc13157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eastAsia="zh-CN"/>
        </w:rPr>
        <w:t>（</w:t>
      </w:r>
      <w:r>
        <w:rPr>
          <w:rFonts w:hint="eastAsia" w:asciiTheme="majorEastAsia" w:hAnsiTheme="majorEastAsia" w:eastAsiaTheme="majorEastAsia" w:cstheme="majorEastAsia"/>
          <w:szCs w:val="30"/>
          <w:lang w:val="en-US" w:eastAsia="zh-CN"/>
        </w:rPr>
        <w:t>一</w:t>
      </w:r>
      <w:r>
        <w:rPr>
          <w:rFonts w:hint="eastAsia" w:asciiTheme="majorEastAsia" w:hAnsiTheme="majorEastAsia" w:eastAsiaTheme="majorEastAsia" w:cstheme="majorEastAsia"/>
          <w:szCs w:val="30"/>
          <w:lang w:eastAsia="zh-CN"/>
        </w:rPr>
        <w:t>）项目立项背景和依据</w:t>
      </w:r>
      <w:r>
        <w:tab/>
      </w:r>
      <w:r>
        <w:fldChar w:fldCharType="begin"/>
      </w:r>
      <w:r>
        <w:instrText xml:space="preserve"> PAGEREF _Toc13157 </w:instrText>
      </w:r>
      <w:r>
        <w:fldChar w:fldCharType="separate"/>
      </w:r>
      <w:r>
        <w:t>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68EE4717">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_Toc10125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val="en-US" w:eastAsia="zh-CN"/>
        </w:rPr>
        <w:t>（二）绩效目标</w:t>
      </w:r>
      <w:r>
        <w:tab/>
      </w:r>
      <w:r>
        <w:fldChar w:fldCharType="begin"/>
      </w:r>
      <w:r>
        <w:instrText xml:space="preserve"> PAGEREF _Toc10125 </w:instrText>
      </w:r>
      <w:r>
        <w:fldChar w:fldCharType="separate"/>
      </w:r>
      <w:r>
        <w:t>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0B08ED45">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_Toc4489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1、产出指标</w:t>
      </w:r>
      <w:r>
        <w:tab/>
      </w:r>
      <w:r>
        <w:fldChar w:fldCharType="begin"/>
      </w:r>
      <w:r>
        <w:instrText xml:space="preserve"> PAGEREF _Toc4489 </w:instrText>
      </w:r>
      <w:r>
        <w:fldChar w:fldCharType="separate"/>
      </w:r>
      <w:r>
        <w:t>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640D3F62">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_Toc12521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2、 效益指标</w:t>
      </w:r>
      <w:r>
        <w:tab/>
      </w:r>
      <w:r>
        <w:fldChar w:fldCharType="begin"/>
      </w:r>
      <w:r>
        <w:instrText xml:space="preserve"> PAGEREF _Toc12521 </w:instrText>
      </w:r>
      <w:r>
        <w:fldChar w:fldCharType="separate"/>
      </w:r>
      <w:r>
        <w:t>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3C8E84BB">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_Toc26815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val="0"/>
          <w:szCs w:val="24"/>
          <w:lang w:val="en-US" w:eastAsia="zh-CN"/>
        </w:rPr>
        <w:t>3、满意度指标</w:t>
      </w:r>
      <w:r>
        <w:tab/>
      </w:r>
      <w:r>
        <w:fldChar w:fldCharType="begin"/>
      </w:r>
      <w:r>
        <w:instrText xml:space="preserve"> PAGEREF _Toc26815 </w:instrText>
      </w:r>
      <w:r>
        <w:fldChar w:fldCharType="separate"/>
      </w:r>
      <w:r>
        <w:t>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162DAF0D">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_Toc13702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lang w:val="en-US" w:eastAsia="zh-CN"/>
        </w:rPr>
        <w:t xml:space="preserve">（三） </w:t>
      </w:r>
      <w:r>
        <w:rPr>
          <w:rFonts w:hint="eastAsia" w:asciiTheme="majorEastAsia" w:hAnsiTheme="majorEastAsia" w:eastAsiaTheme="majorEastAsia" w:cstheme="majorEastAsia"/>
          <w:bCs/>
          <w:szCs w:val="30"/>
          <w:highlight w:val="none"/>
          <w:lang w:val="en-US" w:eastAsia="zh-CN"/>
        </w:rPr>
        <w:t>项目实施情况</w:t>
      </w:r>
      <w:r>
        <w:tab/>
      </w:r>
      <w:r>
        <w:fldChar w:fldCharType="begin"/>
      </w:r>
      <w:r>
        <w:instrText xml:space="preserve"> PAGEREF _Toc13702 </w:instrText>
      </w:r>
      <w:r>
        <w:fldChar w:fldCharType="separate"/>
      </w:r>
      <w:r>
        <w:t>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9BFFA45">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_Toc4040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2"/>
          <w:lang w:val="en-US" w:eastAsia="zh-CN"/>
        </w:rPr>
        <w:t xml:space="preserve">二、 </w:t>
      </w:r>
      <w:r>
        <w:rPr>
          <w:rFonts w:hint="eastAsia" w:asciiTheme="majorEastAsia" w:hAnsiTheme="majorEastAsia" w:eastAsiaTheme="majorEastAsia" w:cstheme="majorEastAsia"/>
          <w:bCs/>
          <w:szCs w:val="32"/>
          <w:highlight w:val="none"/>
          <w:lang w:val="en-US" w:eastAsia="zh-CN"/>
        </w:rPr>
        <w:t>绩效评价工作情况</w:t>
      </w:r>
      <w:r>
        <w:tab/>
      </w:r>
      <w:r>
        <w:fldChar w:fldCharType="begin"/>
      </w:r>
      <w:r>
        <w:instrText xml:space="preserve"> PAGEREF _Toc4040 </w:instrText>
      </w:r>
      <w:r>
        <w:fldChar w:fldCharType="separate"/>
      </w:r>
      <w:r>
        <w:t>6</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1E231ED8">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_Toc9969 </w:instrText>
      </w:r>
      <w:r>
        <w:rPr>
          <w:rFonts w:hint="eastAsia" w:asciiTheme="minorEastAsia" w:hAnsiTheme="minorEastAsia" w:eastAsiaTheme="minorEastAsia" w:cstheme="minorEastAsia"/>
          <w:bCs/>
          <w:szCs w:val="28"/>
          <w:highlight w:val="none"/>
          <w:lang w:val="zh-CN"/>
        </w:rPr>
        <w:fldChar w:fldCharType="separate"/>
      </w:r>
      <w:r>
        <w:rPr>
          <w:rFonts w:hint="eastAsia"/>
          <w:bCs/>
          <w:szCs w:val="30"/>
          <w:lang w:val="en-US" w:eastAsia="zh-CN"/>
        </w:rPr>
        <w:t>（一） 绩效评价目的</w:t>
      </w:r>
      <w:r>
        <w:tab/>
      </w:r>
      <w:r>
        <w:fldChar w:fldCharType="begin"/>
      </w:r>
      <w:r>
        <w:instrText xml:space="preserve"> PAGEREF _Toc9969 </w:instrText>
      </w:r>
      <w:r>
        <w:fldChar w:fldCharType="separate"/>
      </w:r>
      <w:r>
        <w:t>6</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67ACC15">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_Toc30876 </w:instrText>
      </w:r>
      <w:r>
        <w:rPr>
          <w:rFonts w:hint="eastAsia" w:asciiTheme="minorEastAsia" w:hAnsiTheme="minorEastAsia" w:eastAsiaTheme="minorEastAsia" w:cstheme="minorEastAsia"/>
          <w:bCs/>
          <w:szCs w:val="28"/>
          <w:highlight w:val="none"/>
          <w:lang w:val="zh-CN"/>
        </w:rPr>
        <w:fldChar w:fldCharType="separate"/>
      </w:r>
      <w:r>
        <w:rPr>
          <w:rFonts w:hint="eastAsia"/>
          <w:bCs/>
          <w:szCs w:val="30"/>
          <w:lang w:val="en-US" w:eastAsia="zh-CN"/>
        </w:rPr>
        <w:t>（二） 绩效评价框架</w:t>
      </w:r>
      <w:r>
        <w:tab/>
      </w:r>
      <w:r>
        <w:fldChar w:fldCharType="begin"/>
      </w:r>
      <w:r>
        <w:instrText xml:space="preserve"> PAGEREF _Toc30876 </w:instrText>
      </w:r>
      <w:r>
        <w:fldChar w:fldCharType="separate"/>
      </w:r>
      <w:r>
        <w:t>6</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573A0677">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_Toc25430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24"/>
          <w:highlight w:val="none"/>
          <w:lang w:val="en-US" w:eastAsia="zh-CN"/>
        </w:rPr>
        <w:t>1.</w:t>
      </w:r>
      <w:r>
        <w:rPr>
          <w:rFonts w:hint="eastAsia" w:asciiTheme="majorEastAsia" w:hAnsiTheme="majorEastAsia" w:eastAsiaTheme="majorEastAsia" w:cstheme="majorEastAsia"/>
          <w:bCs/>
          <w:szCs w:val="24"/>
          <w:highlight w:val="none"/>
        </w:rPr>
        <w:t>绩效评价</w:t>
      </w:r>
      <w:r>
        <w:rPr>
          <w:rFonts w:hint="eastAsia" w:asciiTheme="majorEastAsia" w:hAnsiTheme="majorEastAsia" w:eastAsiaTheme="majorEastAsia" w:cstheme="majorEastAsia"/>
          <w:bCs/>
          <w:szCs w:val="24"/>
          <w:highlight w:val="none"/>
          <w:lang w:eastAsia="zh-CN"/>
        </w:rPr>
        <w:t>前期准备</w:t>
      </w:r>
      <w:r>
        <w:tab/>
      </w:r>
      <w:r>
        <w:fldChar w:fldCharType="begin"/>
      </w:r>
      <w:r>
        <w:instrText xml:space="preserve"> PAGEREF _Toc25430 </w:instrText>
      </w:r>
      <w:r>
        <w:fldChar w:fldCharType="separate"/>
      </w:r>
      <w:r>
        <w:t>6</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2D608AB">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_Toc21612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绩效评价</w:t>
      </w:r>
      <w:r>
        <w:rPr>
          <w:rFonts w:hint="eastAsia" w:asciiTheme="majorEastAsia" w:hAnsiTheme="majorEastAsia" w:eastAsiaTheme="majorEastAsia" w:cstheme="majorEastAsia"/>
          <w:szCs w:val="24"/>
          <w:highlight w:val="none"/>
          <w:lang w:eastAsia="zh-CN"/>
        </w:rPr>
        <w:t>组织</w:t>
      </w:r>
      <w:r>
        <w:rPr>
          <w:rFonts w:hint="eastAsia" w:asciiTheme="majorEastAsia" w:hAnsiTheme="majorEastAsia" w:eastAsiaTheme="majorEastAsia" w:cstheme="majorEastAsia"/>
          <w:szCs w:val="24"/>
          <w:highlight w:val="none"/>
        </w:rPr>
        <w:t>过程</w:t>
      </w:r>
      <w:r>
        <w:tab/>
      </w:r>
      <w:r>
        <w:fldChar w:fldCharType="begin"/>
      </w:r>
      <w:r>
        <w:instrText xml:space="preserve"> PAGEREF _Toc21612 </w:instrText>
      </w:r>
      <w:r>
        <w:fldChar w:fldCharType="separate"/>
      </w:r>
      <w:r>
        <w:t>8</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F58D42D">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_Toc15373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eastAsia="zh-CN"/>
        </w:rPr>
        <w:t xml:space="preserve">三、 </w:t>
      </w:r>
      <w:r>
        <w:rPr>
          <w:rFonts w:hint="eastAsia" w:asciiTheme="majorEastAsia" w:hAnsiTheme="majorEastAsia" w:eastAsiaTheme="majorEastAsia" w:cstheme="majorEastAsia"/>
          <w:szCs w:val="32"/>
          <w:highlight w:val="none"/>
          <w:lang w:val="en-US" w:eastAsia="zh-CN"/>
        </w:rPr>
        <w:t>绩效分析及评价结论</w:t>
      </w:r>
      <w:r>
        <w:tab/>
      </w:r>
      <w:r>
        <w:fldChar w:fldCharType="begin"/>
      </w:r>
      <w:r>
        <w:instrText xml:space="preserve"> PAGEREF _Toc15373 </w:instrText>
      </w:r>
      <w:r>
        <w:fldChar w:fldCharType="separate"/>
      </w:r>
      <w:r>
        <w:t>9</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3940C342">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_Toc10350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eastAsia="zh-CN"/>
        </w:rPr>
        <w:t>（一）绩效分析</w:t>
      </w:r>
      <w:r>
        <w:tab/>
      </w:r>
      <w:r>
        <w:fldChar w:fldCharType="begin"/>
      </w:r>
      <w:r>
        <w:instrText xml:space="preserve"> PAGEREF _Toc10350 </w:instrText>
      </w:r>
      <w:r>
        <w:fldChar w:fldCharType="separate"/>
      </w:r>
      <w:r>
        <w:t>9</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1EABB9E0">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_Toc15791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1.项目情况分析</w:t>
      </w:r>
      <w:r>
        <w:tab/>
      </w:r>
      <w:r>
        <w:fldChar w:fldCharType="begin"/>
      </w:r>
      <w:r>
        <w:instrText xml:space="preserve"> PAGEREF _Toc15791 </w:instrText>
      </w:r>
      <w:r>
        <w:fldChar w:fldCharType="separate"/>
      </w:r>
      <w:r>
        <w:t>9</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6345ECE0">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_Toc25131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2.项目绩效指标完成情况分析</w:t>
      </w:r>
      <w:r>
        <w:tab/>
      </w:r>
      <w:r>
        <w:fldChar w:fldCharType="begin"/>
      </w:r>
      <w:r>
        <w:instrText xml:space="preserve"> PAGEREF _Toc25131 </w:instrText>
      </w:r>
      <w:r>
        <w:fldChar w:fldCharType="separate"/>
      </w:r>
      <w:r>
        <w:t>10</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AAD63E9">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_Toc11695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1、投入指标完成情况分析（15分）</w:t>
      </w:r>
      <w:r>
        <w:tab/>
      </w:r>
      <w:r>
        <w:fldChar w:fldCharType="begin"/>
      </w:r>
      <w:r>
        <w:instrText xml:space="preserve"> PAGEREF _Toc11695 </w:instrText>
      </w:r>
      <w:r>
        <w:fldChar w:fldCharType="separate"/>
      </w:r>
      <w:r>
        <w:t>10</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1C11190">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_Toc12077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 xml:space="preserve">2、 </w:t>
      </w:r>
      <w:r>
        <w:rPr>
          <w:rFonts w:hint="eastAsia" w:asciiTheme="majorEastAsia" w:hAnsiTheme="majorEastAsia" w:eastAsiaTheme="majorEastAsia" w:cstheme="majorEastAsia"/>
          <w:szCs w:val="24"/>
          <w:highlight w:val="none"/>
          <w:lang w:val="en-US" w:eastAsia="zh-CN"/>
        </w:rPr>
        <w:t>过程</w:t>
      </w:r>
      <w:r>
        <w:rPr>
          <w:rFonts w:hint="eastAsia" w:asciiTheme="majorEastAsia" w:hAnsiTheme="majorEastAsia" w:eastAsiaTheme="majorEastAsia" w:cstheme="majorEastAsia"/>
          <w:szCs w:val="24"/>
          <w:lang w:val="en-US" w:eastAsia="zh-CN"/>
        </w:rPr>
        <w:t>指标完成情况分析（25分）</w:t>
      </w:r>
      <w:r>
        <w:tab/>
      </w:r>
      <w:r>
        <w:fldChar w:fldCharType="begin"/>
      </w:r>
      <w:r>
        <w:instrText xml:space="preserve"> PAGEREF _Toc12077 </w:instrText>
      </w:r>
      <w:r>
        <w:fldChar w:fldCharType="separate"/>
      </w:r>
      <w:r>
        <w:t>11</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01EC9CB6">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_Toc4547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3、 产出指标完成情况分析（25分）</w:t>
      </w:r>
      <w:r>
        <w:tab/>
      </w:r>
      <w:r>
        <w:fldChar w:fldCharType="begin"/>
      </w:r>
      <w:r>
        <w:instrText xml:space="preserve"> PAGEREF _Toc4547 </w:instrText>
      </w:r>
      <w:r>
        <w:fldChar w:fldCharType="separate"/>
      </w:r>
      <w:r>
        <w:t>12</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2C56146B">
      <w:pPr>
        <w:pStyle w:val="7"/>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_Toc15170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24"/>
          <w:lang w:val="en-US" w:eastAsia="zh-CN"/>
        </w:rPr>
        <w:t>4、</w:t>
      </w:r>
      <w:r>
        <w:rPr>
          <w:rFonts w:hint="eastAsia" w:asciiTheme="majorEastAsia" w:hAnsiTheme="majorEastAsia" w:eastAsiaTheme="majorEastAsia" w:cstheme="majorEastAsia"/>
          <w:bCs/>
          <w:szCs w:val="24"/>
          <w:highlight w:val="none"/>
          <w:lang w:val="en-US" w:eastAsia="zh-CN"/>
        </w:rPr>
        <w:t>效果</w:t>
      </w:r>
      <w:r>
        <w:rPr>
          <w:rFonts w:hint="eastAsia" w:asciiTheme="majorEastAsia" w:hAnsiTheme="majorEastAsia" w:eastAsiaTheme="majorEastAsia" w:cstheme="majorEastAsia"/>
          <w:bCs/>
          <w:szCs w:val="24"/>
          <w:lang w:val="en-US" w:eastAsia="zh-CN"/>
        </w:rPr>
        <w:t>指标完成情况分析（35分）</w:t>
      </w:r>
      <w:r>
        <w:tab/>
      </w:r>
      <w:r>
        <w:fldChar w:fldCharType="begin"/>
      </w:r>
      <w:r>
        <w:instrText xml:space="preserve"> PAGEREF _Toc15170 </w:instrText>
      </w:r>
      <w:r>
        <w:fldChar w:fldCharType="separate"/>
      </w:r>
      <w:r>
        <w:t>12</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5A7FE626">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_Toc30635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highlight w:val="none"/>
          <w:lang w:eastAsia="zh-CN"/>
        </w:rPr>
        <w:t>（二）评价结论</w:t>
      </w:r>
      <w:r>
        <w:tab/>
      </w:r>
      <w:r>
        <w:fldChar w:fldCharType="begin"/>
      </w:r>
      <w:r>
        <w:instrText xml:space="preserve"> PAGEREF _Toc30635 </w:instrText>
      </w:r>
      <w:r>
        <w:fldChar w:fldCharType="separate"/>
      </w:r>
      <w:r>
        <w:t>12</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5500FD4B">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_Toc20913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2"/>
          <w:highlight w:val="none"/>
          <w:lang w:val="en-US" w:eastAsia="zh-CN"/>
        </w:rPr>
        <w:t>四、经验总结</w:t>
      </w:r>
      <w:r>
        <w:tab/>
      </w:r>
      <w:r>
        <w:fldChar w:fldCharType="begin"/>
      </w:r>
      <w:r>
        <w:instrText xml:space="preserve"> PAGEREF _Toc20913 </w:instrText>
      </w:r>
      <w:r>
        <w:fldChar w:fldCharType="separate"/>
      </w:r>
      <w:r>
        <w:t>13</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72CDA426">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_Toc10258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2"/>
          <w:highlight w:val="none"/>
          <w:lang w:val="en-US" w:eastAsia="zh-CN"/>
        </w:rPr>
        <w:t>五、问题</w:t>
      </w:r>
      <w:r>
        <w:tab/>
      </w:r>
      <w:r>
        <w:fldChar w:fldCharType="begin"/>
      </w:r>
      <w:r>
        <w:instrText xml:space="preserve"> PAGEREF _Toc10258 </w:instrText>
      </w:r>
      <w:r>
        <w:fldChar w:fldCharType="separate"/>
      </w:r>
      <w:r>
        <w:t>13</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02C35F90">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_Toc258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2"/>
          <w:highlight w:val="none"/>
          <w:lang w:val="en-US" w:eastAsia="zh-CN"/>
        </w:rPr>
        <w:t>六、解决方法及建议</w:t>
      </w:r>
      <w:r>
        <w:tab/>
      </w:r>
      <w:r>
        <w:fldChar w:fldCharType="begin"/>
      </w:r>
      <w:r>
        <w:instrText xml:space="preserve"> PAGEREF _Toc258 </w:instrText>
      </w:r>
      <w:r>
        <w:fldChar w:fldCharType="separate"/>
      </w:r>
      <w:r>
        <w:t>13</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443AD315">
      <w:pPr>
        <w:pStyle w:val="10"/>
        <w:keepNext w:val="0"/>
        <w:keepLines w:val="0"/>
        <w:pageBreakBefore w:val="0"/>
        <w:tabs>
          <w:tab w:val="right" w:leader="dot" w:pos="9524"/>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_Toc1443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rPr>
        <w:t>附件：</w:t>
      </w:r>
      <w:r>
        <w:tab/>
      </w:r>
      <w:r>
        <w:fldChar w:fldCharType="begin"/>
      </w:r>
      <w:r>
        <w:instrText xml:space="preserve"> PAGEREF _Toc1443 </w:instrText>
      </w:r>
      <w:r>
        <w:fldChar w:fldCharType="separate"/>
      </w:r>
      <w:r>
        <w:t>15</w:t>
      </w:r>
      <w:r>
        <w:fldChar w:fldCharType="end"/>
      </w:r>
      <w:r>
        <w:rPr>
          <w:rFonts w:hint="eastAsia" w:asciiTheme="minorEastAsia" w:hAnsiTheme="minorEastAsia" w:eastAsiaTheme="minorEastAsia" w:cstheme="minorEastAsia"/>
          <w:bCs/>
          <w:color w:val="auto"/>
          <w:szCs w:val="28"/>
          <w:highlight w:val="none"/>
          <w:lang w:val="zh-CN"/>
        </w:rPr>
        <w:fldChar w:fldCharType="end"/>
      </w:r>
    </w:p>
    <w:p w14:paraId="77C557D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Theme="minorEastAsia" w:hAnsiTheme="minorEastAsia" w:eastAsiaTheme="minorEastAsia" w:cstheme="minorEastAsia"/>
          <w:bCs/>
          <w:color w:val="auto"/>
          <w:szCs w:val="28"/>
          <w:highlight w:val="none"/>
          <w:lang w:val="zh-CN"/>
        </w:rPr>
        <w:sectPr>
          <w:footerReference r:id="rId5" w:type="first"/>
          <w:headerReference r:id="rId3" w:type="default"/>
          <w:footerReference r:id="rId4" w:type="default"/>
          <w:type w:val="continuous"/>
          <w:pgSz w:w="11906" w:h="16838"/>
          <w:pgMar w:top="1191" w:right="1191" w:bottom="1191" w:left="1191" w:header="851" w:footer="539" w:gutter="0"/>
          <w:pgNumType w:fmt="decimal" w:start="1"/>
          <w:cols w:space="0" w:num="1"/>
          <w:titlePg/>
          <w:rtlGutter w:val="0"/>
          <w:docGrid w:type="lines" w:linePitch="312" w:charSpace="0"/>
        </w:sectPr>
      </w:pPr>
      <w:r>
        <w:rPr>
          <w:rFonts w:hint="eastAsia" w:asciiTheme="minorEastAsia" w:hAnsiTheme="minorEastAsia" w:eastAsiaTheme="minorEastAsia" w:cstheme="minorEastAsia"/>
          <w:bCs/>
          <w:color w:val="auto"/>
          <w:szCs w:val="28"/>
          <w:highlight w:val="none"/>
          <w:lang w:val="zh-CN"/>
        </w:rPr>
        <w:fldChar w:fldCharType="end"/>
      </w:r>
      <w:bookmarkStart w:id="0" w:name="_Toc421134121"/>
      <w:bookmarkStart w:id="1" w:name="_Toc27270"/>
      <w:bookmarkStart w:id="2" w:name="_Toc22777"/>
    </w:p>
    <w:p w14:paraId="5D10E446">
      <w:pPr>
        <w:pStyle w:val="2"/>
        <w:pageBreakBefore w:val="0"/>
        <w:kinsoku/>
        <w:wordWrap/>
        <w:overflowPunct/>
        <w:topLinePunct w:val="0"/>
        <w:autoSpaceDE/>
        <w:autoSpaceDN/>
        <w:bidi w:val="0"/>
        <w:adjustRightInd/>
        <w:snapToGrid/>
        <w:spacing w:line="360" w:lineRule="auto"/>
        <w:jc w:val="center"/>
        <w:textAlignment w:val="auto"/>
        <w:rPr>
          <w:rFonts w:hint="eastAsia"/>
          <w:color w:val="auto"/>
          <w:sz w:val="36"/>
          <w:szCs w:val="36"/>
          <w:highlight w:val="none"/>
        </w:rPr>
      </w:pPr>
      <w:bookmarkStart w:id="3" w:name="_Toc10628"/>
    </w:p>
    <w:p w14:paraId="2EE5310F">
      <w:pPr>
        <w:pStyle w:val="2"/>
        <w:pageBreakBefore w:val="0"/>
        <w:kinsoku/>
        <w:wordWrap/>
        <w:overflowPunct/>
        <w:topLinePunct w:val="0"/>
        <w:autoSpaceDE/>
        <w:autoSpaceDN/>
        <w:bidi w:val="0"/>
        <w:adjustRightInd/>
        <w:snapToGrid/>
        <w:spacing w:line="360" w:lineRule="auto"/>
        <w:jc w:val="center"/>
        <w:textAlignment w:val="auto"/>
        <w:rPr>
          <w:rFonts w:hint="eastAsia"/>
          <w:color w:val="auto"/>
          <w:sz w:val="36"/>
          <w:szCs w:val="36"/>
          <w:highlight w:val="none"/>
        </w:rPr>
      </w:pPr>
      <w:r>
        <w:rPr>
          <w:rFonts w:hint="eastAsia"/>
          <w:color w:val="auto"/>
          <w:sz w:val="36"/>
          <w:szCs w:val="36"/>
          <w:highlight w:val="none"/>
        </w:rPr>
        <w:t>摘  要</w:t>
      </w:r>
      <w:bookmarkEnd w:id="3"/>
    </w:p>
    <w:p w14:paraId="1B05CDEA">
      <w:pPr>
        <w:rPr>
          <w:rFonts w:hint="eastAsia"/>
        </w:rPr>
      </w:pPr>
    </w:p>
    <w:p w14:paraId="4AC70C76">
      <w:pPr>
        <w:pStyle w:val="2"/>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32"/>
          <w:szCs w:val="32"/>
          <w:lang w:val="en-US" w:eastAsia="zh-CN"/>
        </w:rPr>
      </w:pPr>
      <w:bookmarkStart w:id="4" w:name="_Toc28364"/>
      <w:r>
        <w:rPr>
          <w:rFonts w:hint="eastAsia" w:ascii="宋体" w:hAnsi="宋体" w:eastAsia="宋体" w:cs="宋体"/>
          <w:sz w:val="32"/>
          <w:szCs w:val="32"/>
          <w:lang w:val="en-US" w:eastAsia="zh-CN"/>
        </w:rPr>
        <w:t>一、项目基本情况</w:t>
      </w:r>
      <w:bookmarkEnd w:id="4"/>
    </w:p>
    <w:p w14:paraId="1DDAF6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为了进一步规范和加强对</w:t>
      </w:r>
      <w:r>
        <w:rPr>
          <w:rFonts w:hint="eastAsia" w:ascii="宋体" w:hAnsi="宋体" w:cs="宋体"/>
          <w:color w:val="auto"/>
          <w:sz w:val="24"/>
          <w:szCs w:val="24"/>
          <w:highlight w:val="none"/>
          <w:lang w:val="en-US" w:eastAsia="zh-CN"/>
        </w:rPr>
        <w:t>2017年度</w:t>
      </w:r>
      <w:r>
        <w:rPr>
          <w:rFonts w:hint="eastAsia" w:ascii="宋体" w:hAnsi="宋体" w:eastAsia="宋体" w:cs="宋体"/>
          <w:color w:val="auto"/>
          <w:sz w:val="24"/>
          <w:szCs w:val="24"/>
          <w:highlight w:val="none"/>
          <w:lang w:val="en-US" w:eastAsia="zh-CN"/>
        </w:rPr>
        <w:t>武昌区聘用人员经费项目</w:t>
      </w:r>
      <w:r>
        <w:rPr>
          <w:rFonts w:hint="eastAsia" w:ascii="宋体" w:hAnsi="宋体" w:cs="宋体"/>
          <w:color w:val="auto"/>
          <w:sz w:val="24"/>
          <w:szCs w:val="24"/>
          <w:highlight w:val="none"/>
          <w:lang w:val="en-US" w:eastAsia="zh-CN"/>
        </w:rPr>
        <w:t>资金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分配和使用</w:t>
      </w:r>
      <w:r>
        <w:rPr>
          <w:rFonts w:hint="eastAsia" w:ascii="宋体" w:hAnsi="宋体" w:eastAsia="宋体" w:cs="宋体"/>
          <w:color w:val="auto"/>
          <w:sz w:val="24"/>
          <w:szCs w:val="24"/>
          <w:highlight w:val="none"/>
        </w:rPr>
        <w:t>管理，提高财政资金的使用效率，及时发现预算执行、资金使用管理中存在的问题</w:t>
      </w: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《武昌区工商行政管理和质量技术监督局关于对人员进行清理规范的通知》（试行）、《武昌区财政局关于武昌区工商行政管理和质量技术监督局2017年部门预算的批复》（</w:t>
      </w:r>
      <w:r>
        <w:rPr>
          <w:rFonts w:hint="eastAsia" w:ascii="宋体" w:hAnsi="宋体" w:cs="宋体"/>
          <w:color w:val="auto"/>
          <w:sz w:val="24"/>
          <w:szCs w:val="24"/>
          <w:highlight w:val="none"/>
          <w:lang w:val="en-US" w:eastAsia="zh-CN"/>
        </w:rPr>
        <w:t>武昌财预[2017]52号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省财政厅关于做好2017年度中省财政支出绩效自评工作的通知</w:t>
      </w:r>
      <w:r>
        <w:rPr>
          <w:rFonts w:hint="eastAsia" w:ascii="宋体" w:hAnsi="宋体" w:eastAsia="宋体" w:cs="宋体"/>
          <w:color w:val="auto"/>
          <w:sz w:val="24"/>
          <w:szCs w:val="24"/>
          <w:highlight w:val="none"/>
          <w:lang w:val="en-US" w:eastAsia="zh-CN"/>
        </w:rPr>
        <w:t>》（201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等文件要求，</w:t>
      </w:r>
      <w:r>
        <w:rPr>
          <w:rFonts w:hint="eastAsia" w:ascii="宋体" w:hAnsi="宋体" w:cs="宋体"/>
          <w:color w:val="auto"/>
          <w:sz w:val="24"/>
          <w:szCs w:val="24"/>
          <w:highlight w:val="none"/>
          <w:lang w:val="en-US" w:eastAsia="zh-CN"/>
        </w:rPr>
        <w:t>武昌区工商质监局</w:t>
      </w:r>
      <w:r>
        <w:rPr>
          <w:rFonts w:hint="eastAsia" w:ascii="宋体" w:hAnsi="宋体" w:eastAsia="宋体" w:cs="宋体"/>
          <w:color w:val="auto"/>
          <w:sz w:val="24"/>
          <w:szCs w:val="24"/>
          <w:highlight w:val="none"/>
        </w:rPr>
        <w:t>组织开展了“武昌区聘用人员经费项目”的绩效评价工作。</w:t>
      </w:r>
    </w:p>
    <w:p w14:paraId="715A671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武昌区</w:t>
      </w:r>
      <w:r>
        <w:rPr>
          <w:rFonts w:hint="eastAsia" w:ascii="宋体" w:hAnsi="宋体" w:cs="宋体"/>
          <w:color w:val="000000" w:themeColor="text1"/>
          <w:sz w:val="24"/>
          <w:szCs w:val="24"/>
          <w:highlight w:val="none"/>
          <w:lang w:val="en-US" w:eastAsia="zh-CN"/>
          <w14:textFill>
            <w14:solidFill>
              <w14:schemeClr w14:val="tx1"/>
            </w14:solidFill>
          </w14:textFill>
        </w:rPr>
        <w:t>工商质监局</w:t>
      </w:r>
      <w:r>
        <w:rPr>
          <w:rFonts w:hint="eastAsia" w:ascii="宋体" w:hAnsi="宋体" w:eastAsia="宋体" w:cs="宋体"/>
          <w:color w:val="000000" w:themeColor="text1"/>
          <w:sz w:val="24"/>
          <w:szCs w:val="24"/>
          <w:highlight w:val="none"/>
          <w:lang w:val="en-US" w:eastAsia="zh-CN"/>
          <w14:textFill>
            <w14:solidFill>
              <w14:schemeClr w14:val="tx1"/>
            </w14:solidFill>
          </w14:textFill>
        </w:rPr>
        <w:t>领导小组组织评审工作，报区人民政府审核；局主管领导审批，财务直接支付给企业的对公</w:t>
      </w:r>
      <w:r>
        <w:rPr>
          <w:rFonts w:hint="eastAsia" w:ascii="宋体" w:hAnsi="宋体" w:cs="宋体"/>
          <w:color w:val="000000" w:themeColor="text1"/>
          <w:sz w:val="24"/>
          <w:szCs w:val="24"/>
          <w:highlight w:val="none"/>
          <w:lang w:val="en-US" w:eastAsia="zh-CN"/>
          <w14:textFill>
            <w14:solidFill>
              <w14:schemeClr w14:val="tx1"/>
            </w14:solidFill>
          </w14:textFill>
        </w:rPr>
        <w:t>账户</w:t>
      </w:r>
      <w:r>
        <w:rPr>
          <w:rFonts w:hint="eastAsia" w:ascii="宋体" w:hAnsi="宋体" w:eastAsia="宋体" w:cs="宋体"/>
          <w:color w:val="000000" w:themeColor="text1"/>
          <w:sz w:val="24"/>
          <w:szCs w:val="24"/>
          <w:highlight w:val="none"/>
          <w:lang w:val="en-US" w:eastAsia="zh-CN"/>
          <w14:textFill>
            <w14:solidFill>
              <w14:schemeClr w14:val="tx1"/>
            </w14:solidFill>
          </w14:textFill>
        </w:rPr>
        <w:t>，再由企业授权支付。</w:t>
      </w:r>
    </w:p>
    <w:p w14:paraId="15DD912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武昌区财政部门负责将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聘用人员经费项目</w:t>
      </w:r>
      <w:r>
        <w:rPr>
          <w:rFonts w:hint="eastAsia" w:ascii="宋体" w:hAnsi="宋体" w:cs="宋体"/>
          <w:color w:val="000000" w:themeColor="text1"/>
          <w:sz w:val="24"/>
          <w:szCs w:val="24"/>
          <w:highlight w:val="none"/>
          <w:lang w:val="en-US" w:eastAsia="zh-CN"/>
          <w14:textFill>
            <w14:solidFill>
              <w14:schemeClr w14:val="tx1"/>
            </w14:solidFill>
          </w14:textFill>
        </w:rPr>
        <w:t>资金按使用方案下拨至各个企业、员工。</w:t>
      </w:r>
    </w:p>
    <w:p w14:paraId="032479EF">
      <w:pPr>
        <w:pStyle w:val="2"/>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000000" w:themeColor="text1"/>
          <w:sz w:val="32"/>
          <w:szCs w:val="32"/>
          <w:lang w:val="en-US" w:eastAsia="zh-CN"/>
          <w14:textFill>
            <w14:solidFill>
              <w14:schemeClr w14:val="tx1"/>
            </w14:solidFill>
          </w14:textFill>
        </w:rPr>
      </w:pPr>
      <w:bookmarkStart w:id="5" w:name="_Toc18726"/>
      <w:r>
        <w:rPr>
          <w:rFonts w:hint="eastAsia" w:ascii="宋体" w:hAnsi="宋体" w:eastAsia="宋体" w:cs="宋体"/>
          <w:color w:val="000000" w:themeColor="text1"/>
          <w:sz w:val="32"/>
          <w:szCs w:val="32"/>
          <w:lang w:val="en-US" w:eastAsia="zh-CN"/>
          <w14:textFill>
            <w14:solidFill>
              <w14:schemeClr w14:val="tx1"/>
            </w14:solidFill>
          </w14:textFill>
        </w:rPr>
        <w:t>绩效评价工作情况</w:t>
      </w:r>
      <w:bookmarkEnd w:id="5"/>
    </w:p>
    <w:p w14:paraId="3A660B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我们在评价过程中，要对各种形式的资金的筹集、管理和使用情况，以及政策措施的执行落实情况开展评价，涉及到</w:t>
      </w:r>
      <w:r>
        <w:rPr>
          <w:rFonts w:hint="eastAsia" w:ascii="宋体" w:hAnsi="宋体" w:eastAsia="宋体" w:cs="宋体"/>
          <w:color w:val="000000" w:themeColor="text1"/>
          <w:sz w:val="24"/>
          <w:szCs w:val="24"/>
          <w:highlight w:val="none"/>
          <w:lang w:val="en-US" w:eastAsia="zh-CN"/>
          <w14:textFill>
            <w14:solidFill>
              <w14:schemeClr w14:val="tx1"/>
            </w14:solidFill>
          </w14:textFill>
        </w:rPr>
        <w:t>对武昌区聘用人员经费项目</w:t>
      </w:r>
      <w:r>
        <w:rPr>
          <w:rFonts w:hint="eastAsia" w:ascii="宋体" w:hAnsi="宋体" w:cs="宋体"/>
          <w:color w:val="000000" w:themeColor="text1"/>
          <w:sz w:val="24"/>
          <w:szCs w:val="24"/>
          <w:highlight w:val="none"/>
          <w:lang w:val="en-US" w:eastAsia="zh-CN"/>
          <w14:textFill>
            <w14:solidFill>
              <w14:schemeClr w14:val="tx1"/>
            </w14:solidFill>
          </w14:textFill>
        </w:rPr>
        <w:t>资金</w:t>
      </w:r>
      <w:r>
        <w:rPr>
          <w:rFonts w:hint="eastAsia" w:ascii="宋体" w:hAnsi="宋体" w:eastAsia="宋体" w:cs="宋体"/>
          <w:color w:val="000000" w:themeColor="text1"/>
          <w:sz w:val="24"/>
          <w:szCs w:val="24"/>
          <w:highlight w:val="none"/>
          <w:lang w:val="en-US" w:eastAsia="zh-CN"/>
          <w14:textFill>
            <w14:solidFill>
              <w14:schemeClr w14:val="tx1"/>
            </w14:solidFill>
          </w14:textFill>
        </w:rPr>
        <w:t>使用情况进行核查和评价</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资金项目整体实施</w:t>
      </w:r>
      <w:r>
        <w:rPr>
          <w:rFonts w:hint="eastAsia" w:ascii="宋体" w:hAnsi="宋体" w:eastAsia="宋体" w:cs="宋体"/>
          <w:color w:val="000000" w:themeColor="text1"/>
          <w:sz w:val="24"/>
          <w:szCs w:val="24"/>
          <w:highlight w:val="none"/>
          <w14:textFill>
            <w14:solidFill>
              <w14:schemeClr w14:val="tx1"/>
            </w14:solidFill>
          </w14:textFill>
        </w:rPr>
        <w:t>情况进行全面评价。</w:t>
      </w:r>
    </w:p>
    <w:p w14:paraId="6BCE4A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按照绩效评价工作方案，此次评价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动员布置、项目单位撰写绩效自评报告、填报绩效指标自评得分表和基础数据表、召开绩效评价座谈会、实地核查项目单位情况、审阅项目单位绩效</w:t>
      </w:r>
      <w:r>
        <w:rPr>
          <w:rFonts w:hint="eastAsia" w:ascii="宋体" w:hAnsi="宋体" w:eastAsia="宋体" w:cs="宋体"/>
          <w:color w:val="000000" w:themeColor="text1"/>
          <w:sz w:val="24"/>
          <w:szCs w:val="24"/>
          <w:highlight w:val="none"/>
          <w:lang w:eastAsia="zh-CN"/>
          <w14:textFill>
            <w14:solidFill>
              <w14:schemeClr w14:val="tx1"/>
            </w14:solidFill>
          </w14:textFill>
        </w:rPr>
        <w:t>申报</w:t>
      </w:r>
      <w:r>
        <w:rPr>
          <w:rFonts w:hint="eastAsia" w:ascii="宋体" w:hAnsi="宋体" w:eastAsia="宋体" w:cs="宋体"/>
          <w:color w:val="000000" w:themeColor="text1"/>
          <w:sz w:val="24"/>
          <w:szCs w:val="24"/>
          <w:highlight w:val="none"/>
          <w14:textFill>
            <w14:solidFill>
              <w14:schemeClr w14:val="tx1"/>
            </w14:solidFill>
          </w14:textFill>
        </w:rPr>
        <w:t>材料、评价工作小组分析评价并撰写报告等几个阶段，</w:t>
      </w:r>
      <w:r>
        <w:rPr>
          <w:rFonts w:hint="eastAsia" w:ascii="宋体" w:hAnsi="宋体" w:eastAsia="宋体" w:cs="宋体"/>
          <w:color w:val="000000" w:themeColor="text1"/>
          <w:sz w:val="24"/>
          <w:szCs w:val="24"/>
          <w:highlight w:val="none"/>
          <w:lang w:val="en-US" w:eastAsia="zh-CN"/>
          <w14:textFill>
            <w14:solidFill>
              <w14:schemeClr w14:val="tx1"/>
            </w14:solidFill>
          </w14:textFill>
        </w:rPr>
        <w:t>依次</w:t>
      </w:r>
      <w:r>
        <w:rPr>
          <w:rFonts w:hint="eastAsia" w:ascii="宋体" w:hAnsi="宋体" w:eastAsia="宋体" w:cs="宋体"/>
          <w:color w:val="000000" w:themeColor="text1"/>
          <w:sz w:val="24"/>
          <w:szCs w:val="24"/>
          <w:highlight w:val="none"/>
          <w14:textFill>
            <w14:solidFill>
              <w14:schemeClr w14:val="tx1"/>
            </w14:solidFill>
          </w14:textFill>
        </w:rPr>
        <w:t>完成评价工作。</w:t>
      </w:r>
    </w:p>
    <w:p w14:paraId="0073AF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本次评价重点是对照项目任务书，考察项目资金到位与支出情况、项目进展情况等，从</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项目产出和</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效益四</w:t>
      </w:r>
      <w:r>
        <w:rPr>
          <w:rFonts w:hint="eastAsia" w:ascii="宋体" w:hAnsi="宋体" w:eastAsia="宋体" w:cs="宋体"/>
          <w:color w:val="000000" w:themeColor="text1"/>
          <w:sz w:val="24"/>
          <w:szCs w:val="24"/>
          <w:highlight w:val="none"/>
          <w14:textFill>
            <w14:solidFill>
              <w14:schemeClr w14:val="tx1"/>
            </w14:solidFill>
          </w14:textFill>
        </w:rPr>
        <w:t>个方面综合评价</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资金使用绩效，剖析</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资金投入及使用中存在的问题，分析原因并提出相应对策。</w:t>
      </w:r>
    </w:p>
    <w:p w14:paraId="052C7651">
      <w:pPr>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0"/>
        <w:rPr>
          <w:rFonts w:hint="eastAsia"/>
          <w:b/>
          <w:bCs/>
          <w:color w:val="auto"/>
          <w:sz w:val="32"/>
          <w:szCs w:val="32"/>
          <w:lang w:val="en-US" w:eastAsia="zh-CN"/>
        </w:rPr>
      </w:pPr>
      <w:bookmarkStart w:id="6" w:name="_Toc886"/>
      <w:r>
        <w:rPr>
          <w:rFonts w:hint="eastAsia"/>
          <w:b/>
          <w:bCs/>
          <w:color w:val="auto"/>
          <w:sz w:val="32"/>
          <w:szCs w:val="32"/>
          <w:lang w:val="en-US" w:eastAsia="zh-CN"/>
        </w:rPr>
        <w:t>综合得分及等级</w:t>
      </w:r>
      <w:bookmarkEnd w:id="6"/>
    </w:p>
    <w:p w14:paraId="7C0AE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lang w:val="en-US" w:eastAsia="zh-CN"/>
        </w:rPr>
        <w:t>截止到2017年12月31日，武昌区2017年度聘用人员经费项目年初预算为328万，其中第三方支付为276万，财政直接拨付52万，共计328万。</w:t>
      </w:r>
    </w:p>
    <w:p w14:paraId="59BD7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聘用人员经费</w:t>
      </w:r>
      <w:r>
        <w:rPr>
          <w:rFonts w:hint="eastAsia" w:ascii="宋体" w:hAnsi="宋体" w:eastAsia="宋体" w:cs="宋体"/>
          <w:color w:val="auto"/>
          <w:sz w:val="24"/>
          <w:szCs w:val="24"/>
          <w:highlight w:val="none"/>
          <w:lang w:val="en-US" w:eastAsia="zh-CN"/>
        </w:rPr>
        <w:t>资金使用范围</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招聘人才、支付员工薪酬福利等相关工作，规范聘用人员的进出、岗位、考核待遇等事项，更好的发挥聘用人员对局工作的辅助作用。</w:t>
      </w:r>
      <w:r>
        <w:rPr>
          <w:rFonts w:hint="eastAsia" w:ascii="宋体" w:hAnsi="宋体" w:cs="宋体"/>
          <w:color w:val="auto"/>
          <w:sz w:val="24"/>
          <w:szCs w:val="24"/>
          <w:highlight w:val="none"/>
          <w:lang w:val="en-US" w:eastAsia="zh-CN"/>
        </w:rPr>
        <w:t>经费发放由各企业部门申请，</w:t>
      </w:r>
      <w:r>
        <w:rPr>
          <w:rFonts w:hint="eastAsia" w:ascii="宋体" w:hAnsi="宋体" w:eastAsia="宋体" w:cs="宋体"/>
          <w:color w:val="auto"/>
          <w:sz w:val="24"/>
          <w:szCs w:val="24"/>
          <w:highlight w:val="none"/>
          <w:lang w:val="en-US" w:eastAsia="zh-CN"/>
        </w:rPr>
        <w:t>局主管领导审批，财务直接支付给企业的对公</w:t>
      </w:r>
      <w:r>
        <w:rPr>
          <w:rFonts w:hint="eastAsia" w:ascii="宋体" w:hAnsi="宋体" w:cs="宋体"/>
          <w:color w:val="auto"/>
          <w:sz w:val="24"/>
          <w:szCs w:val="24"/>
          <w:highlight w:val="none"/>
          <w:lang w:val="en-US" w:eastAsia="zh-CN"/>
        </w:rPr>
        <w:t>账户</w:t>
      </w:r>
      <w:r>
        <w:rPr>
          <w:rFonts w:hint="eastAsia" w:ascii="宋体" w:hAnsi="宋体" w:eastAsia="宋体" w:cs="宋体"/>
          <w:color w:val="auto"/>
          <w:sz w:val="24"/>
          <w:szCs w:val="24"/>
          <w:highlight w:val="none"/>
          <w:lang w:val="en-US" w:eastAsia="zh-CN"/>
        </w:rPr>
        <w:t>，再由企业授权支付。</w:t>
      </w:r>
      <w:r>
        <w:rPr>
          <w:rFonts w:hint="eastAsia" w:ascii="宋体" w:hAnsi="宋体" w:cs="宋体"/>
          <w:color w:val="auto"/>
          <w:sz w:val="24"/>
          <w:szCs w:val="24"/>
          <w:highlight w:val="none"/>
          <w:lang w:val="en-US" w:eastAsia="zh-CN"/>
        </w:rPr>
        <w:t>部分由财政直接拨付。</w:t>
      </w:r>
    </w:p>
    <w:p w14:paraId="298D6B05">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通过对</w:t>
      </w:r>
      <w:r>
        <w:rPr>
          <w:rFonts w:hint="eastAsia" w:ascii="宋体" w:hAnsi="宋体" w:cs="宋体"/>
          <w:color w:val="auto"/>
          <w:sz w:val="24"/>
          <w:szCs w:val="24"/>
          <w:highlight w:val="none"/>
          <w:lang w:val="en-US" w:eastAsia="zh-CN"/>
        </w:rPr>
        <w:t>武昌区2017年度聘用人员经费项目</w:t>
      </w:r>
      <w:r>
        <w:rPr>
          <w:rFonts w:hint="eastAsia" w:ascii="宋体" w:hAnsi="宋体" w:eastAsia="宋体" w:cs="宋体"/>
          <w:color w:val="auto"/>
          <w:sz w:val="24"/>
          <w:szCs w:val="24"/>
          <w:highlight w:val="none"/>
        </w:rPr>
        <w:t>在项目</w:t>
      </w:r>
      <w:r>
        <w:rPr>
          <w:rFonts w:hint="eastAsia" w:ascii="宋体" w:hAnsi="宋体" w:eastAsia="宋体" w:cs="宋体"/>
          <w:color w:val="auto"/>
          <w:sz w:val="24"/>
          <w:szCs w:val="24"/>
          <w:highlight w:val="none"/>
          <w:lang w:eastAsia="zh-CN"/>
        </w:rPr>
        <w:t>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项目产出和</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效益</w:t>
      </w:r>
      <w:r>
        <w:rPr>
          <w:rFonts w:hint="eastAsia" w:ascii="宋体" w:hAnsi="宋体" w:eastAsia="宋体" w:cs="宋体"/>
          <w:color w:val="auto"/>
          <w:sz w:val="24"/>
          <w:szCs w:val="24"/>
          <w:highlight w:val="none"/>
        </w:rPr>
        <w:t>等方面的综合评价，最后得出如下结论：</w:t>
      </w:r>
    </w:p>
    <w:p w14:paraId="3B41E7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采用加权平均法得出综合绩效评分为：</w:t>
      </w:r>
      <w:r>
        <w:rPr>
          <w:rFonts w:hint="eastAsia" w:ascii="宋体" w:hAnsi="宋体" w:cs="宋体"/>
          <w:b/>
          <w:bCs/>
          <w:color w:val="auto"/>
          <w:sz w:val="24"/>
          <w:szCs w:val="24"/>
          <w:highlight w:val="none"/>
          <w:lang w:val="en-US" w:eastAsia="zh-CN"/>
        </w:rPr>
        <w:t>93</w:t>
      </w:r>
      <w:r>
        <w:rPr>
          <w:rFonts w:hint="eastAsia" w:ascii="宋体" w:hAnsi="宋体" w:eastAsia="宋体" w:cs="宋体"/>
          <w:b/>
          <w:bCs/>
          <w:color w:val="auto"/>
          <w:sz w:val="24"/>
          <w:szCs w:val="24"/>
          <w:highlight w:val="none"/>
        </w:rPr>
        <w:t>分</w:t>
      </w:r>
    </w:p>
    <w:p w14:paraId="4D0F7E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评价等级结论为：</w:t>
      </w:r>
      <w:r>
        <w:rPr>
          <w:rFonts w:hint="eastAsia" w:ascii="宋体" w:hAnsi="宋体" w:cs="宋体"/>
          <w:b/>
          <w:bCs/>
          <w:color w:val="auto"/>
          <w:sz w:val="24"/>
          <w:szCs w:val="24"/>
          <w:highlight w:val="none"/>
          <w:lang w:val="en-US" w:eastAsia="zh-CN"/>
        </w:rPr>
        <w:t>优</w:t>
      </w:r>
    </w:p>
    <w:p w14:paraId="3DA79D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本次绩效评价力图科学、合理、真实、有效，强调规范性和可持续性原则，坚持以定量分析为主、定性分析为辅的原则，采用指标打分法对</w:t>
      </w:r>
      <w:r>
        <w:rPr>
          <w:rFonts w:hint="eastAsia" w:ascii="宋体" w:hAnsi="宋体" w:cs="宋体"/>
          <w:color w:val="auto"/>
          <w:sz w:val="24"/>
          <w:szCs w:val="24"/>
          <w:highlight w:val="none"/>
          <w:lang w:val="en-US" w:eastAsia="zh-CN"/>
        </w:rPr>
        <w:t>武昌区2017年度聘用人员经费项目</w:t>
      </w:r>
      <w:r>
        <w:rPr>
          <w:rFonts w:hint="eastAsia" w:ascii="宋体" w:hAnsi="宋体" w:eastAsia="宋体" w:cs="宋体"/>
          <w:color w:val="auto"/>
          <w:sz w:val="24"/>
          <w:szCs w:val="24"/>
          <w:highlight w:val="none"/>
        </w:rPr>
        <w:t>进行绩效评价。项目</w:t>
      </w:r>
      <w:r>
        <w:rPr>
          <w:rFonts w:hint="eastAsia" w:ascii="宋体" w:hAnsi="宋体" w:eastAsia="宋体" w:cs="宋体"/>
          <w:color w:val="auto"/>
          <w:sz w:val="24"/>
          <w:szCs w:val="24"/>
          <w:highlight w:val="none"/>
          <w:lang w:eastAsia="zh-CN"/>
        </w:rPr>
        <w:t>投入</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rPr>
        <w:t>权重2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产出</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项目效果权重35%</w:t>
      </w:r>
      <w:r>
        <w:rPr>
          <w:rFonts w:hint="eastAsia" w:ascii="宋体" w:hAnsi="宋体" w:eastAsia="宋体" w:cs="宋体"/>
          <w:color w:val="auto"/>
          <w:sz w:val="24"/>
          <w:szCs w:val="24"/>
          <w:highlight w:val="none"/>
          <w:lang w:eastAsia="zh-CN"/>
        </w:rPr>
        <w:t>。</w:t>
      </w:r>
    </w:p>
    <w:p w14:paraId="7129A6BA">
      <w:pPr>
        <w:pStyle w:val="2"/>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000000" w:themeColor="text1"/>
          <w:sz w:val="32"/>
          <w:szCs w:val="32"/>
          <w:lang w:val="en-US" w:eastAsia="zh-CN"/>
          <w14:textFill>
            <w14:solidFill>
              <w14:schemeClr w14:val="tx1"/>
            </w14:solidFill>
          </w14:textFill>
        </w:rPr>
      </w:pPr>
      <w:bookmarkStart w:id="7" w:name="_Toc24735"/>
      <w:r>
        <w:rPr>
          <w:rFonts w:hint="eastAsia" w:ascii="宋体" w:hAnsi="宋体" w:eastAsia="宋体" w:cs="宋体"/>
          <w:color w:val="000000" w:themeColor="text1"/>
          <w:sz w:val="32"/>
          <w:szCs w:val="32"/>
          <w:lang w:val="en-US" w:eastAsia="zh-CN"/>
          <w14:textFill>
            <w14:solidFill>
              <w14:schemeClr w14:val="tx1"/>
            </w14:solidFill>
          </w14:textFill>
        </w:rPr>
        <w:t>问题</w:t>
      </w:r>
      <w:bookmarkEnd w:id="7"/>
    </w:p>
    <w:p w14:paraId="4AA63339">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Theme="majorEastAsia" w:hAnsiTheme="majorEastAsia" w:eastAsiaTheme="majorEastAsia" w:cstheme="majorEastAsia"/>
          <w:b w:val="0"/>
          <w:bCs w:val="0"/>
          <w:strike w:val="0"/>
          <w:dstrike w:val="0"/>
          <w:color w:val="auto"/>
          <w:sz w:val="24"/>
          <w:szCs w:val="24"/>
          <w:highlight w:val="none"/>
          <w:lang w:val="en-US" w:eastAsia="zh-CN"/>
        </w:rPr>
      </w:pPr>
      <w:bookmarkStart w:id="8" w:name="_Toc21881"/>
      <w:bookmarkStart w:id="9" w:name="_Toc10940"/>
      <w:bookmarkStart w:id="10" w:name="_Toc20000"/>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 xml:space="preserve">   （1</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）无绩效目标考核</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 w:val="0"/>
          <w:bCs w:val="0"/>
          <w:color w:val="auto"/>
          <w:sz w:val="24"/>
          <w:szCs w:val="24"/>
          <w:highlight w:val="none"/>
          <w:lang w:eastAsia="zh-CN"/>
        </w:rPr>
        <w:t>该</w:t>
      </w:r>
      <w:r>
        <w:rPr>
          <w:rFonts w:hint="eastAsia" w:asciiTheme="majorEastAsia" w:hAnsiTheme="majorEastAsia" w:eastAsiaTheme="majorEastAsia" w:cstheme="majorEastAsia"/>
          <w:b w:val="0"/>
          <w:bCs w:val="0"/>
          <w:strike w:val="0"/>
          <w:dstrike w:val="0"/>
          <w:color w:val="auto"/>
          <w:sz w:val="24"/>
          <w:szCs w:val="24"/>
          <w:highlight w:val="none"/>
          <w:lang w:eastAsia="zh-CN"/>
        </w:rPr>
        <w:t>单位无《项目申报表》， 绩效目标不够清晰、细化,绩效指标不能量化，难以考核。不利于项目整体产出、效益的监督，也不利于聘用人员考核。第三方机构聘用人员缺乏职业技能，造成人员流动性大，薪资低，对第三方无考核指标。</w:t>
      </w:r>
    </w:p>
    <w:p w14:paraId="46A9FD63">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2）临聘人员次数多：</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《武昌区工商行政管理和质量技术监督局关于对人员进行清理规范的通知》，根据单位各科室事项，自聘人员较为随意，造成工作人员怠性，依赖临聘人员处理工作事务。</w:t>
      </w:r>
    </w:p>
    <w:p w14:paraId="08B62242">
      <w:pPr>
        <w:pStyle w:val="2"/>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000000" w:themeColor="text1"/>
          <w:sz w:val="32"/>
          <w:szCs w:val="32"/>
          <w:lang w:val="en-US" w:eastAsia="zh-CN"/>
          <w14:textFill>
            <w14:solidFill>
              <w14:schemeClr w14:val="tx1"/>
            </w14:solidFill>
          </w14:textFill>
        </w:rPr>
      </w:pPr>
      <w:bookmarkStart w:id="11" w:name="_Toc11331"/>
      <w:bookmarkStart w:id="12" w:name="_Toc892"/>
      <w:r>
        <w:rPr>
          <w:rFonts w:hint="eastAsia" w:ascii="宋体" w:hAnsi="宋体" w:eastAsia="宋体" w:cs="宋体"/>
          <w:color w:val="000000" w:themeColor="text1"/>
          <w:sz w:val="32"/>
          <w:szCs w:val="32"/>
          <w:lang w:val="en-US" w:eastAsia="zh-CN"/>
          <w14:textFill>
            <w14:solidFill>
              <w14:schemeClr w14:val="tx1"/>
            </w14:solidFill>
          </w14:textFill>
        </w:rPr>
        <w:t>解决方法及建议</w:t>
      </w:r>
      <w:bookmarkEnd w:id="11"/>
      <w:bookmarkEnd w:id="12"/>
    </w:p>
    <w:p w14:paraId="0C38E2E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年初制订《绩效目标项目申报表》，设置绩效目标考核指标体系，并对相关指标进行细化、量化，建立对第三方机构绩效考核指标，建立内部职工绩效考核指标。</w:t>
      </w:r>
    </w:p>
    <w:p w14:paraId="4EF1EFFC">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 xml:space="preserve">    （2）</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采用事项外包形式</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：各科室的事项，分为常年性事项，可采用年初外包形式。对临时性事项，采用年初年末一次聘用，年度不再调整外聘人员。</w:t>
      </w:r>
    </w:p>
    <w:bookmarkEnd w:id="8"/>
    <w:bookmarkEnd w:id="9"/>
    <w:bookmarkEnd w:id="10"/>
    <w:p w14:paraId="1DE42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204F0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5A1D7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04450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1F0A6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17601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1AFD1D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66085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5679C6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021DECF3">
      <w:pPr>
        <w:pStyle w:val="2"/>
        <w:keepNext/>
        <w:keepLines/>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hint="eastAsia" w:asciiTheme="majorEastAsia" w:hAnsiTheme="majorEastAsia" w:eastAsiaTheme="majorEastAsia" w:cstheme="majorEastAsia"/>
          <w:color w:val="auto"/>
          <w:sz w:val="32"/>
          <w:szCs w:val="32"/>
          <w:highlight w:val="none"/>
          <w:lang w:val="en-US" w:eastAsia="zh-CN"/>
        </w:rPr>
      </w:pPr>
      <w:bookmarkStart w:id="13" w:name="_Toc18860"/>
      <w:r>
        <w:rPr>
          <w:rFonts w:hint="eastAsia" w:asciiTheme="majorEastAsia" w:hAnsiTheme="majorEastAsia" w:eastAsiaTheme="majorEastAsia" w:cstheme="majorEastAsia"/>
          <w:color w:val="auto"/>
          <w:sz w:val="32"/>
          <w:szCs w:val="32"/>
          <w:highlight w:val="none"/>
          <w:lang w:val="en-US" w:eastAsia="zh-CN"/>
        </w:rPr>
        <w:t>项目基本情况</w:t>
      </w:r>
      <w:bookmarkEnd w:id="13"/>
    </w:p>
    <w:p w14:paraId="383D0F2B">
      <w:pPr>
        <w:numPr>
          <w:ilvl w:val="0"/>
          <w:numId w:val="0"/>
        </w:numPr>
        <w:rPr>
          <w:rFonts w:hint="eastAsia"/>
          <w:lang w:val="en-US" w:eastAsia="zh-CN"/>
        </w:rPr>
      </w:pPr>
    </w:p>
    <w:p w14:paraId="534EDAAC">
      <w:pPr>
        <w:pStyle w:val="3"/>
        <w:keepNext/>
        <w:keepLines/>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Theme="majorEastAsia" w:hAnsiTheme="majorEastAsia" w:eastAsiaTheme="majorEastAsia" w:cstheme="majorEastAsia"/>
          <w:color w:val="auto"/>
          <w:sz w:val="30"/>
          <w:szCs w:val="30"/>
          <w:lang w:val="en-US" w:eastAsia="zh-CN"/>
        </w:rPr>
      </w:pPr>
      <w:bookmarkStart w:id="14" w:name="_Toc13157"/>
      <w:r>
        <w:rPr>
          <w:rFonts w:hint="eastAsia" w:asciiTheme="majorEastAsia" w:hAnsiTheme="majorEastAsia" w:eastAsiaTheme="majorEastAsia" w:cstheme="majorEastAsia"/>
          <w:color w:val="auto"/>
          <w:sz w:val="30"/>
          <w:szCs w:val="30"/>
          <w:lang w:eastAsia="zh-CN"/>
        </w:rPr>
        <w:t>（</w:t>
      </w:r>
      <w:r>
        <w:rPr>
          <w:rFonts w:hint="eastAsia" w:asciiTheme="majorEastAsia" w:hAnsiTheme="majorEastAsia" w:eastAsiaTheme="majorEastAsia" w:cstheme="majorEastAsia"/>
          <w:color w:val="auto"/>
          <w:sz w:val="30"/>
          <w:szCs w:val="30"/>
          <w:lang w:val="en-US" w:eastAsia="zh-CN"/>
        </w:rPr>
        <w:t>一</w:t>
      </w:r>
      <w:r>
        <w:rPr>
          <w:rFonts w:hint="eastAsia" w:asciiTheme="majorEastAsia" w:hAnsiTheme="majorEastAsia" w:eastAsiaTheme="majorEastAsia" w:cstheme="majorEastAsia"/>
          <w:color w:val="auto"/>
          <w:sz w:val="30"/>
          <w:szCs w:val="30"/>
          <w:lang w:eastAsia="zh-CN"/>
        </w:rPr>
        <w:t>）项目立项背景和依据</w:t>
      </w:r>
      <w:bookmarkEnd w:id="14"/>
    </w:p>
    <w:p w14:paraId="1F0691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为深入贯彻落实党的十九大“全面实施绩效管理”的决策部署，进一步提高中央对地方专项转移支付资金使用效益，切实增强地方主管部门以及资金使用单位的支出责任</w:t>
      </w:r>
      <w:r>
        <w:rPr>
          <w:rFonts w:hint="eastAsia" w:asciiTheme="majorEastAsia" w:hAnsiTheme="majorEastAsia" w:eastAsiaTheme="majorEastAsia" w:cstheme="majorEastAsia"/>
          <w:strike w:val="0"/>
          <w:dstrike w:val="0"/>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lang w:val="en-US" w:eastAsia="zh-CN"/>
        </w:rPr>
        <w:t>提高资金使用效率的意识，根据《中华人民共和国预算法》《中央对地方专项转移支付绩效目标管理暂行办法》（财预〔2015〕163号）的要求，中央财政部</w:t>
      </w:r>
      <w:r>
        <w:rPr>
          <w:rFonts w:hint="eastAsia" w:asciiTheme="majorEastAsia" w:hAnsiTheme="majorEastAsia" w:eastAsiaTheme="majorEastAsia" w:cstheme="majorEastAsia"/>
          <w:strike w:val="0"/>
          <w:dstrike w:val="0"/>
          <w:color w:val="auto"/>
          <w:sz w:val="24"/>
          <w:szCs w:val="24"/>
          <w:highlight w:val="none"/>
          <w:lang w:val="en-US" w:eastAsia="zh-CN"/>
        </w:rPr>
        <w:t>颁布了</w:t>
      </w:r>
      <w:r>
        <w:rPr>
          <w:rFonts w:hint="eastAsia" w:asciiTheme="majorEastAsia" w:hAnsiTheme="majorEastAsia" w:eastAsiaTheme="majorEastAsia" w:cstheme="majorEastAsia"/>
          <w:color w:val="auto"/>
          <w:sz w:val="24"/>
          <w:szCs w:val="24"/>
          <w:highlight w:val="none"/>
          <w:lang w:val="en-US" w:eastAsia="zh-CN"/>
        </w:rPr>
        <w:t xml:space="preserve"> 《关于开展2017年度中央对地方专项转移支付绩效目标自评工作的通知》（财预〔2018〕29号）的文件。</w:t>
      </w:r>
    </w:p>
    <w:p w14:paraId="315E83A2">
      <w:pPr>
        <w:pStyle w:val="3"/>
        <w:keepNext/>
        <w:keepLines/>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Theme="majorEastAsia" w:hAnsiTheme="majorEastAsia" w:eastAsiaTheme="majorEastAsia" w:cstheme="majorEastAsia"/>
          <w:color w:val="auto"/>
          <w:sz w:val="30"/>
          <w:szCs w:val="30"/>
          <w:lang w:val="en-US" w:eastAsia="zh-CN"/>
        </w:rPr>
      </w:pPr>
      <w:bookmarkStart w:id="15" w:name="_Toc10125"/>
      <w:r>
        <w:rPr>
          <w:rFonts w:hint="eastAsia" w:asciiTheme="majorEastAsia" w:hAnsiTheme="majorEastAsia" w:eastAsiaTheme="majorEastAsia" w:cstheme="majorEastAsia"/>
          <w:color w:val="auto"/>
          <w:sz w:val="30"/>
          <w:szCs w:val="30"/>
          <w:lang w:val="en-US" w:eastAsia="zh-CN"/>
        </w:rPr>
        <w:t>（二）绩效目标</w:t>
      </w:r>
      <w:bookmarkEnd w:id="15"/>
    </w:p>
    <w:p w14:paraId="137D71E3">
      <w:pPr>
        <w:pageBreakBefore w:val="0"/>
        <w:numPr>
          <w:ilvl w:val="0"/>
          <w:numId w:val="0"/>
        </w:numPr>
        <w:kinsoku/>
        <w:wordWrap/>
        <w:overflowPunct/>
        <w:topLinePunct w:val="0"/>
        <w:autoSpaceDE/>
        <w:autoSpaceDN/>
        <w:bidi w:val="0"/>
        <w:adjustRightInd/>
        <w:snapToGrid/>
        <w:spacing w:line="360" w:lineRule="auto"/>
        <w:ind w:leftChars="200"/>
        <w:textAlignment w:val="auto"/>
        <w:outlineLvl w:val="2"/>
        <w:rPr>
          <w:rFonts w:hint="eastAsia" w:asciiTheme="majorEastAsia" w:hAnsiTheme="majorEastAsia" w:eastAsiaTheme="majorEastAsia" w:cstheme="majorEastAsia"/>
          <w:color w:val="auto"/>
          <w:sz w:val="24"/>
          <w:szCs w:val="24"/>
          <w:lang w:val="en-US" w:eastAsia="zh-CN"/>
        </w:rPr>
      </w:pPr>
      <w:bookmarkStart w:id="16" w:name="_Toc4489"/>
      <w:r>
        <w:rPr>
          <w:rFonts w:hint="eastAsia" w:asciiTheme="majorEastAsia" w:hAnsiTheme="majorEastAsia" w:eastAsiaTheme="majorEastAsia" w:cstheme="majorEastAsia"/>
          <w:color w:val="auto"/>
          <w:sz w:val="24"/>
          <w:szCs w:val="24"/>
          <w:lang w:val="en-US" w:eastAsia="zh-CN"/>
        </w:rPr>
        <w:t>1、产出指标</w:t>
      </w:r>
      <w:bookmarkEnd w:id="16"/>
    </w:p>
    <w:p w14:paraId="4662663F">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产出指标分为数量指标、质量指标、时效指标和成本指标，</w:t>
      </w:r>
      <w:r>
        <w:rPr>
          <w:rFonts w:hint="eastAsia" w:asciiTheme="majorEastAsia" w:hAnsiTheme="majorEastAsia" w:eastAsiaTheme="majorEastAsia" w:cstheme="majorEastAsia"/>
          <w:color w:val="auto"/>
          <w:sz w:val="24"/>
          <w:szCs w:val="24"/>
          <w:highlight w:val="none"/>
          <w:lang w:val="en-US" w:eastAsia="zh-CN"/>
        </w:rPr>
        <w:t>武昌区工商质监局成立领导小组，对</w:t>
      </w:r>
      <w:r>
        <w:rPr>
          <w:rFonts w:hint="eastAsia" w:ascii="宋体" w:hAnsi="宋体" w:cs="宋体"/>
          <w:color w:val="auto"/>
          <w:sz w:val="24"/>
          <w:szCs w:val="24"/>
          <w:highlight w:val="none"/>
          <w:lang w:val="en-US" w:eastAsia="zh-CN"/>
        </w:rPr>
        <w:t>聘用人员经费的分配进行监管</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cs="宋体"/>
          <w:color w:val="auto"/>
          <w:sz w:val="24"/>
          <w:szCs w:val="24"/>
          <w:highlight w:val="none"/>
          <w:lang w:val="en-US" w:eastAsia="zh-CN"/>
        </w:rPr>
        <w:t>经费发放由</w:t>
      </w:r>
      <w:r>
        <w:rPr>
          <w:rFonts w:hint="eastAsia" w:ascii="宋体" w:hAnsi="宋体" w:eastAsia="宋体" w:cs="宋体"/>
          <w:color w:val="auto"/>
          <w:sz w:val="24"/>
          <w:szCs w:val="24"/>
          <w:highlight w:val="none"/>
          <w:lang w:val="en-US" w:eastAsia="zh-CN"/>
        </w:rPr>
        <w:t>武昌区质量强区工作领导小组组织评审工作，报区人民政府审核；局主管领导审批，财务直接支付给企业的对公</w:t>
      </w:r>
      <w:r>
        <w:rPr>
          <w:rFonts w:hint="eastAsia" w:ascii="宋体" w:hAnsi="宋体" w:cs="宋体"/>
          <w:color w:val="auto"/>
          <w:sz w:val="24"/>
          <w:szCs w:val="24"/>
          <w:highlight w:val="none"/>
          <w:lang w:val="en-US" w:eastAsia="zh-CN"/>
        </w:rPr>
        <w:t>账户</w:t>
      </w:r>
      <w:r>
        <w:rPr>
          <w:rFonts w:hint="eastAsia" w:ascii="宋体" w:hAnsi="宋体" w:eastAsia="宋体" w:cs="宋体"/>
          <w:color w:val="auto"/>
          <w:sz w:val="24"/>
          <w:szCs w:val="24"/>
          <w:highlight w:val="none"/>
          <w:lang w:val="en-US" w:eastAsia="zh-CN"/>
        </w:rPr>
        <w:t>，再由企业授权支付</w:t>
      </w:r>
      <w:r>
        <w:rPr>
          <w:rFonts w:hint="eastAsia" w:ascii="宋体" w:hAnsi="宋体" w:cs="宋体"/>
          <w:color w:val="auto"/>
          <w:sz w:val="24"/>
          <w:szCs w:val="24"/>
          <w:highlight w:val="none"/>
          <w:lang w:val="en-US" w:eastAsia="zh-CN"/>
        </w:rPr>
        <w:t>，数量质量均达标，且在时限内完成，无超支情况。</w:t>
      </w:r>
    </w:p>
    <w:p w14:paraId="3AF0BFDD">
      <w:pPr>
        <w:pageBreakBefore w:val="0"/>
        <w:numPr>
          <w:ilvl w:val="0"/>
          <w:numId w:val="3"/>
        </w:numPr>
        <w:kinsoku/>
        <w:wordWrap/>
        <w:overflowPunct/>
        <w:topLinePunct w:val="0"/>
        <w:autoSpaceDE/>
        <w:autoSpaceDN/>
        <w:bidi w:val="0"/>
        <w:adjustRightInd/>
        <w:snapToGrid/>
        <w:spacing w:line="360" w:lineRule="auto"/>
        <w:ind w:left="480" w:leftChars="0" w:firstLine="0" w:firstLineChars="0"/>
        <w:textAlignment w:val="auto"/>
        <w:outlineLvl w:val="2"/>
        <w:rPr>
          <w:rFonts w:hint="eastAsia" w:asciiTheme="majorEastAsia" w:hAnsiTheme="majorEastAsia" w:eastAsiaTheme="majorEastAsia" w:cstheme="majorEastAsia"/>
          <w:color w:val="auto"/>
          <w:sz w:val="24"/>
          <w:szCs w:val="24"/>
          <w:lang w:val="en-US" w:eastAsia="zh-CN"/>
        </w:rPr>
      </w:pPr>
      <w:bookmarkStart w:id="17" w:name="_Toc12521"/>
      <w:r>
        <w:rPr>
          <w:rFonts w:hint="eastAsia" w:asciiTheme="majorEastAsia" w:hAnsiTheme="majorEastAsia" w:eastAsiaTheme="majorEastAsia" w:cstheme="majorEastAsia"/>
          <w:color w:val="auto"/>
          <w:sz w:val="24"/>
          <w:szCs w:val="24"/>
          <w:lang w:val="en-US" w:eastAsia="zh-CN"/>
        </w:rPr>
        <w:t>效益指标</w:t>
      </w:r>
      <w:bookmarkEnd w:id="17"/>
    </w:p>
    <w:p w14:paraId="70656A5C">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sz w:val="24"/>
          <w:szCs w:val="24"/>
          <w:lang w:val="en-US" w:eastAsia="zh-CN"/>
        </w:rPr>
        <w:t>效</w:t>
      </w:r>
      <w:r>
        <w:rPr>
          <w:rFonts w:hint="eastAsia" w:asciiTheme="majorEastAsia" w:hAnsiTheme="majorEastAsia" w:eastAsiaTheme="majorEastAsia" w:cstheme="majorEastAsia"/>
          <w:b w:val="0"/>
          <w:bCs w:val="0"/>
          <w:color w:val="auto"/>
          <w:sz w:val="24"/>
          <w:szCs w:val="24"/>
          <w:highlight w:val="none"/>
          <w:lang w:val="en-US" w:eastAsia="zh-CN"/>
        </w:rPr>
        <w:t>益指标主要是指项目实施后所能带来的经济效益、社会效益和可持续影响。</w:t>
      </w:r>
      <w:r>
        <w:rPr>
          <w:rFonts w:hint="eastAsia" w:ascii="宋体" w:hAnsi="宋体" w:cs="宋体"/>
          <w:color w:val="auto"/>
          <w:sz w:val="24"/>
          <w:szCs w:val="24"/>
          <w:highlight w:val="none"/>
          <w:lang w:val="en-US" w:eastAsia="zh-CN"/>
        </w:rPr>
        <w:t>武昌区2017年度聘用人员经费项目</w:t>
      </w:r>
      <w:r>
        <w:rPr>
          <w:rFonts w:hint="eastAsia" w:asciiTheme="majorEastAsia" w:hAnsiTheme="majorEastAsia" w:eastAsiaTheme="majorEastAsia" w:cstheme="majorEastAsia"/>
          <w:b w:val="0"/>
          <w:bCs w:val="0"/>
          <w:color w:val="auto"/>
          <w:sz w:val="24"/>
          <w:szCs w:val="24"/>
          <w:highlight w:val="none"/>
          <w:lang w:val="en-US" w:eastAsia="zh-CN"/>
        </w:rPr>
        <w:t>施行后，武昌区工商质监局</w:t>
      </w:r>
      <w:r>
        <w:rPr>
          <w:rFonts w:hint="eastAsia" w:asciiTheme="majorEastAsia" w:hAnsiTheme="majorEastAsia" w:eastAsiaTheme="majorEastAsia" w:cstheme="majorEastAsia"/>
          <w:b w:val="0"/>
          <w:bCs w:val="0"/>
          <w:color w:val="auto"/>
          <w:sz w:val="24"/>
          <w:szCs w:val="24"/>
          <w:highlight w:val="none"/>
        </w:rPr>
        <w:t>成立领导小组</w:t>
      </w:r>
      <w:r>
        <w:rPr>
          <w:rFonts w:hint="eastAsia" w:asciiTheme="majorEastAsia" w:hAnsiTheme="majorEastAsia" w:eastAsiaTheme="majorEastAsia" w:cstheme="majorEastAsia"/>
          <w:b w:val="0"/>
          <w:bCs w:val="0"/>
          <w:color w:val="auto"/>
          <w:sz w:val="24"/>
          <w:szCs w:val="24"/>
          <w:highlight w:val="none"/>
          <w:lang w:val="en-US" w:eastAsia="zh-CN"/>
        </w:rPr>
        <w:t>加紧对职工薪酬福利的发放，激励了职工的工作积极性、增强了职工的生活满意度，使公司创造力和凝聚力更为提升</w:t>
      </w:r>
      <w:r>
        <w:rPr>
          <w:rFonts w:hint="eastAsia" w:asciiTheme="majorEastAsia" w:hAnsiTheme="majorEastAsia" w:eastAsiaTheme="majorEastAsia" w:cstheme="majorEastAsia"/>
          <w:b w:val="0"/>
          <w:bCs w:val="0"/>
          <w:color w:val="auto"/>
          <w:sz w:val="24"/>
          <w:szCs w:val="24"/>
          <w:highlight w:val="none"/>
          <w:lang w:eastAsia="zh-CN"/>
        </w:rPr>
        <w:t>。</w:t>
      </w:r>
      <w:bookmarkStart w:id="18" w:name="_Toc2731"/>
      <w:r>
        <w:rPr>
          <w:rFonts w:hint="eastAsia" w:asciiTheme="majorEastAsia" w:hAnsiTheme="majorEastAsia" w:eastAsiaTheme="majorEastAsia" w:cstheme="majorEastAsia"/>
          <w:color w:val="auto"/>
          <w:sz w:val="24"/>
          <w:szCs w:val="24"/>
          <w:highlight w:val="none"/>
          <w:lang w:val="en-US" w:eastAsia="zh-CN"/>
        </w:rPr>
        <w:t>使社会资源更会优化，并使人员更好的发挥自身价值以反馈社会，使社会生产力更为提高，生产结构更为优化，产生良好的社会效益和经济效益。</w:t>
      </w:r>
    </w:p>
    <w:p w14:paraId="7BBF0BCD">
      <w:pPr>
        <w:pStyle w:val="4"/>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b w:val="0"/>
          <w:bCs w:val="0"/>
          <w:color w:val="auto"/>
          <w:sz w:val="24"/>
          <w:szCs w:val="24"/>
          <w:lang w:val="en-US" w:eastAsia="zh-CN"/>
        </w:rPr>
      </w:pPr>
      <w:bookmarkStart w:id="19" w:name="_Toc26815"/>
      <w:r>
        <w:rPr>
          <w:rFonts w:hint="eastAsia" w:asciiTheme="majorEastAsia" w:hAnsiTheme="majorEastAsia" w:eastAsiaTheme="majorEastAsia" w:cstheme="majorEastAsia"/>
          <w:b w:val="0"/>
          <w:bCs w:val="0"/>
          <w:color w:val="auto"/>
          <w:sz w:val="24"/>
          <w:szCs w:val="24"/>
          <w:lang w:val="en-US" w:eastAsia="zh-CN"/>
        </w:rPr>
        <w:t>3、满意度指标</w:t>
      </w:r>
      <w:bookmarkEnd w:id="18"/>
      <w:bookmarkEnd w:id="19"/>
      <w:bookmarkStart w:id="50" w:name="_GoBack"/>
      <w:bookmarkEnd w:id="50"/>
    </w:p>
    <w:p w14:paraId="25C98AE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lang w:val="en-US" w:eastAsia="zh-CN"/>
        </w:rPr>
        <w:t>项目所在地人员满意度达到95%。</w:t>
      </w:r>
      <w:r>
        <w:rPr>
          <w:rFonts w:hint="eastAsia" w:asciiTheme="majorEastAsia" w:hAnsiTheme="majorEastAsia" w:eastAsiaTheme="majorEastAsia" w:cstheme="majorEastAsia"/>
          <w:color w:val="auto"/>
          <w:sz w:val="24"/>
          <w:szCs w:val="24"/>
          <w:lang w:val="en-US" w:eastAsia="zh-CN"/>
        </w:rPr>
        <w:t xml:space="preserve">  </w:t>
      </w:r>
    </w:p>
    <w:p w14:paraId="1A596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highlight w:val="none"/>
          <w:lang w:val="en-US" w:eastAsia="zh-CN"/>
          <w14:textFill>
            <w14:solidFill>
              <w14:schemeClr w14:val="tx1"/>
            </w14:solidFill>
          </w14:textFill>
        </w:rPr>
        <w:t>经费来源和使用情况</w:t>
      </w:r>
    </w:p>
    <w:p w14:paraId="0CA3D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武昌区工商行政管理和质量技术监督局2017年部门预算</w:t>
      </w:r>
      <w:r>
        <w:rPr>
          <w:rFonts w:hint="eastAsia" w:ascii="宋体" w:hAnsi="宋体" w:eastAsia="宋体" w:cs="宋体"/>
          <w:color w:val="000000" w:themeColor="text1"/>
          <w:sz w:val="24"/>
          <w:szCs w:val="24"/>
          <w:highlight w:val="none"/>
          <w:lang w:val="en-US" w:eastAsia="zh-CN"/>
          <w14:textFill>
            <w14:solidFill>
              <w14:schemeClr w14:val="tx1"/>
            </w14:solidFill>
          </w14:textFill>
        </w:rPr>
        <w:t>共计853万元，其中武昌区2017年度聘用人员经费项目资金328万</w:t>
      </w:r>
      <w:r>
        <w:rPr>
          <w:rFonts w:hint="eastAsia" w:ascii="宋体" w:hAnsi="宋体" w:cs="宋体"/>
          <w:color w:val="000000" w:themeColor="text1"/>
          <w:sz w:val="24"/>
          <w:szCs w:val="24"/>
          <w:highlight w:val="none"/>
          <w:lang w:val="en-US" w:eastAsia="zh-CN"/>
          <w14:textFill>
            <w14:solidFill>
              <w14:schemeClr w14:val="tx1"/>
            </w14:solidFill>
          </w14:textFill>
        </w:rPr>
        <w:t>，全部来源于区级财政拨款</w:t>
      </w:r>
      <w:r>
        <w:rPr>
          <w:rFonts w:hint="eastAsia" w:ascii="宋体" w:hAnsi="宋体" w:eastAsia="宋体" w:cs="宋体"/>
          <w:color w:val="000000" w:themeColor="text1"/>
          <w:sz w:val="24"/>
          <w:szCs w:val="24"/>
          <w:highlight w:val="none"/>
          <w:lang w:val="en-US" w:eastAsia="zh-CN"/>
          <w14:textFill>
            <w14:solidFill>
              <w14:schemeClr w14:val="tx1"/>
            </w14:solidFill>
          </w14:textFill>
        </w:rPr>
        <w:t>。 根据2017年度武昌区人员经费财政拨款明细表，武昌区聘用人员经费项目资金预算328万，实到328万，资金使用情况为第三方支付276万，财政直接拨付52万。</w:t>
      </w:r>
    </w:p>
    <w:p w14:paraId="1FB104D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0"/>
        <w:jc w:val="left"/>
        <w:textAlignment w:val="auto"/>
        <w:outlineLvl w:val="1"/>
        <w:rPr>
          <w:rFonts w:hint="eastAsia" w:asciiTheme="majorEastAsia" w:hAnsiTheme="majorEastAsia" w:eastAsiaTheme="majorEastAsia" w:cstheme="majorEastAsia"/>
          <w:b/>
          <w:bCs/>
          <w:color w:val="000000" w:themeColor="text1"/>
          <w:sz w:val="30"/>
          <w:szCs w:val="30"/>
          <w:highlight w:val="none"/>
          <w:lang w:val="en-US" w:eastAsia="zh-CN"/>
          <w14:textFill>
            <w14:solidFill>
              <w14:schemeClr w14:val="tx1"/>
            </w14:solidFill>
          </w14:textFill>
        </w:rPr>
      </w:pPr>
      <w:bookmarkStart w:id="20" w:name="_Toc13702"/>
      <w:r>
        <w:rPr>
          <w:rFonts w:hint="eastAsia" w:asciiTheme="majorEastAsia" w:hAnsiTheme="majorEastAsia" w:eastAsiaTheme="majorEastAsia" w:cstheme="majorEastAsia"/>
          <w:b/>
          <w:bCs/>
          <w:color w:val="000000" w:themeColor="text1"/>
          <w:sz w:val="30"/>
          <w:szCs w:val="30"/>
          <w:highlight w:val="none"/>
          <w:lang w:val="en-US" w:eastAsia="zh-CN"/>
          <w14:textFill>
            <w14:solidFill>
              <w14:schemeClr w14:val="tx1"/>
            </w14:solidFill>
          </w14:textFill>
        </w:rPr>
        <w:t>项目实施情况</w:t>
      </w:r>
      <w:bookmarkEnd w:id="20"/>
    </w:p>
    <w:p w14:paraId="421B9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b/>
          <w:bCs/>
          <w:color w:val="000000" w:themeColor="text1"/>
          <w:sz w:val="30"/>
          <w:szCs w:val="30"/>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《武昌区工商行政管理和质量技术监督局关于对人员进行清理规范的通知》（试行）</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《武昌区财政局关于武昌区工商行政管理和质量技术监督局2017年部门预算的批复》（</w:t>
      </w:r>
      <w:r>
        <w:rPr>
          <w:rFonts w:hint="eastAsia" w:ascii="宋体" w:hAnsi="宋体" w:cs="宋体"/>
          <w:color w:val="000000" w:themeColor="text1"/>
          <w:sz w:val="24"/>
          <w:szCs w:val="24"/>
          <w:highlight w:val="none"/>
          <w:lang w:val="en-US" w:eastAsia="zh-CN"/>
          <w14:textFill>
            <w14:solidFill>
              <w14:schemeClr w14:val="tx1"/>
            </w14:solidFill>
          </w14:textFill>
        </w:rPr>
        <w:t>武昌财预[2017]52号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文件发布后</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武昌区工商质监局</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根据省市部门相关文件精神，认真组织实施</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武昌区聘用人员经费</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项目，按照总体规划、分步实施的原则，最大限度地提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高</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资金使用效益</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武昌区工商质监局针对</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2017年度聘用人员经费项目</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资金328万元，定向用于武昌区工商质监局招聘人才、支付员工薪酬福利等相关工作，规范聘用人员的进出、岗位、考核待遇等事项，更好的发挥聘用人员对局工作的辅助作用。</w:t>
      </w:r>
    </w:p>
    <w:p w14:paraId="6EDAE214">
      <w:pPr>
        <w:pStyle w:val="2"/>
        <w:keepNext/>
        <w:keepLines/>
        <w:pageBreakBefore w:val="0"/>
        <w:widowControl w:val="0"/>
        <w:numPr>
          <w:ilvl w:val="0"/>
          <w:numId w:val="5"/>
        </w:numPr>
        <w:kinsoku/>
        <w:wordWrap/>
        <w:overflowPunct/>
        <w:topLinePunct w:val="0"/>
        <w:autoSpaceDE/>
        <w:autoSpaceDN/>
        <w:bidi w:val="0"/>
        <w:adjustRightInd/>
        <w:snapToGrid/>
        <w:spacing w:line="360" w:lineRule="auto"/>
        <w:jc w:val="center"/>
        <w:textAlignment w:val="auto"/>
        <w:outlineLvl w:val="0"/>
        <w:rPr>
          <w:rFonts w:hint="eastAsia" w:asciiTheme="majorEastAsia" w:hAnsiTheme="majorEastAsia" w:eastAsiaTheme="majorEastAsia" w:cstheme="majorEastAsia"/>
          <w:b/>
          <w:bCs/>
          <w:color w:val="auto"/>
          <w:sz w:val="32"/>
          <w:szCs w:val="32"/>
          <w:highlight w:val="none"/>
          <w:lang w:val="en-US" w:eastAsia="zh-CN"/>
        </w:rPr>
      </w:pPr>
      <w:bookmarkStart w:id="21" w:name="_Toc4040"/>
      <w:r>
        <w:rPr>
          <w:rFonts w:hint="eastAsia" w:asciiTheme="majorEastAsia" w:hAnsiTheme="majorEastAsia" w:eastAsiaTheme="majorEastAsia" w:cstheme="majorEastAsia"/>
          <w:b/>
          <w:bCs/>
          <w:color w:val="auto"/>
          <w:sz w:val="32"/>
          <w:szCs w:val="32"/>
          <w:highlight w:val="none"/>
          <w:lang w:val="en-US" w:eastAsia="zh-CN"/>
        </w:rPr>
        <w:t>绩效评价工作情况</w:t>
      </w:r>
      <w:bookmarkEnd w:id="21"/>
    </w:p>
    <w:p w14:paraId="6DED237C">
      <w:pPr>
        <w:pageBreakBefore w:val="0"/>
        <w:numPr>
          <w:ilvl w:val="0"/>
          <w:numId w:val="6"/>
        </w:numPr>
        <w:kinsoku/>
        <w:wordWrap/>
        <w:overflowPunct/>
        <w:topLinePunct w:val="0"/>
        <w:autoSpaceDE/>
        <w:autoSpaceDN/>
        <w:bidi w:val="0"/>
        <w:adjustRightInd/>
        <w:snapToGrid/>
        <w:spacing w:line="360" w:lineRule="auto"/>
        <w:textAlignment w:val="auto"/>
        <w:outlineLvl w:val="1"/>
        <w:rPr>
          <w:rFonts w:hint="eastAsia"/>
          <w:b/>
          <w:bCs/>
          <w:color w:val="auto"/>
          <w:sz w:val="30"/>
          <w:szCs w:val="30"/>
          <w:lang w:val="en-US" w:eastAsia="zh-CN"/>
        </w:rPr>
      </w:pPr>
      <w:bookmarkStart w:id="22" w:name="_Toc9969"/>
      <w:r>
        <w:rPr>
          <w:rFonts w:hint="eastAsia"/>
          <w:b/>
          <w:bCs/>
          <w:color w:val="auto"/>
          <w:sz w:val="30"/>
          <w:szCs w:val="30"/>
          <w:lang w:val="en-US" w:eastAsia="zh-CN"/>
        </w:rPr>
        <w:t>绩效评价目的</w:t>
      </w:r>
      <w:bookmarkEnd w:id="22"/>
    </w:p>
    <w:p w14:paraId="692AA0D7">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b/>
          <w:bCs/>
          <w:color w:val="auto"/>
          <w:sz w:val="30"/>
          <w:szCs w:val="30"/>
          <w:lang w:val="en-US" w:eastAsia="zh-CN"/>
        </w:rPr>
      </w:pPr>
      <w:r>
        <w:rPr>
          <w:rFonts w:hint="eastAsia" w:ascii="宋体" w:hAnsi="宋体" w:eastAsia="宋体" w:cs="宋体"/>
          <w:color w:val="auto"/>
          <w:sz w:val="24"/>
          <w:szCs w:val="24"/>
          <w:highlight w:val="none"/>
        </w:rPr>
        <w:t>为了进一步规范和加强对</w:t>
      </w:r>
      <w:r>
        <w:rPr>
          <w:rFonts w:hint="eastAsia" w:ascii="宋体" w:hAnsi="宋体" w:eastAsia="宋体" w:cs="宋体"/>
          <w:b w:val="0"/>
          <w:bCs w:val="0"/>
          <w:color w:val="auto"/>
          <w:kern w:val="2"/>
          <w:sz w:val="24"/>
          <w:szCs w:val="24"/>
          <w:highlight w:val="none"/>
          <w:lang w:val="en-US" w:eastAsia="zh-CN" w:bidi="ar-SA"/>
        </w:rPr>
        <w:t>武昌区2017年度聘用人员经费项目</w:t>
      </w:r>
      <w:r>
        <w:rPr>
          <w:rFonts w:hint="eastAsia" w:ascii="宋体" w:hAnsi="宋体" w:cs="宋体"/>
          <w:b w:val="0"/>
          <w:bCs w:val="0"/>
          <w:color w:val="auto"/>
          <w:kern w:val="2"/>
          <w:sz w:val="24"/>
          <w:szCs w:val="24"/>
          <w:highlight w:val="none"/>
          <w:lang w:val="en-US" w:eastAsia="zh-CN" w:bidi="ar-SA"/>
        </w:rPr>
        <w:t>资金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分配和使用</w:t>
      </w:r>
      <w:r>
        <w:rPr>
          <w:rFonts w:hint="eastAsia" w:ascii="宋体" w:hAnsi="宋体" w:eastAsia="宋体" w:cs="宋体"/>
          <w:color w:val="auto"/>
          <w:sz w:val="24"/>
          <w:szCs w:val="24"/>
          <w:highlight w:val="none"/>
        </w:rPr>
        <w:t>管理，提高财政资金的使用效率，及时发现预算执行、资金使用管理中存在的问题</w:t>
      </w:r>
      <w:r>
        <w:rPr>
          <w:rFonts w:hint="eastAsia" w:ascii="宋体" w:hAnsi="宋体" w:eastAsia="宋体" w:cs="宋体"/>
          <w:color w:val="auto"/>
          <w:sz w:val="24"/>
          <w:szCs w:val="24"/>
          <w:highlight w:val="none"/>
          <w:lang w:eastAsia="zh-CN"/>
        </w:rPr>
        <w:t>。</w:t>
      </w:r>
    </w:p>
    <w:p w14:paraId="70123D8F">
      <w:pPr>
        <w:pageBreakBefore w:val="0"/>
        <w:numPr>
          <w:ilvl w:val="0"/>
          <w:numId w:val="6"/>
        </w:numPr>
        <w:kinsoku/>
        <w:wordWrap/>
        <w:overflowPunct/>
        <w:topLinePunct w:val="0"/>
        <w:autoSpaceDE/>
        <w:autoSpaceDN/>
        <w:bidi w:val="0"/>
        <w:adjustRightInd/>
        <w:snapToGrid/>
        <w:spacing w:line="360" w:lineRule="auto"/>
        <w:textAlignment w:val="auto"/>
        <w:outlineLvl w:val="1"/>
        <w:rPr>
          <w:rFonts w:hint="eastAsia"/>
          <w:b/>
          <w:bCs/>
          <w:color w:val="auto"/>
          <w:sz w:val="30"/>
          <w:szCs w:val="30"/>
          <w:lang w:val="en-US" w:eastAsia="zh-CN"/>
        </w:rPr>
      </w:pPr>
      <w:bookmarkStart w:id="23" w:name="_Toc30876"/>
      <w:r>
        <w:rPr>
          <w:rFonts w:hint="eastAsia"/>
          <w:b/>
          <w:bCs/>
          <w:color w:val="auto"/>
          <w:sz w:val="30"/>
          <w:szCs w:val="30"/>
          <w:lang w:val="en-US" w:eastAsia="zh-CN"/>
        </w:rPr>
        <w:t>绩效评价框架</w:t>
      </w:r>
      <w:bookmarkEnd w:id="23"/>
    </w:p>
    <w:p w14:paraId="11DC8306">
      <w:pPr>
        <w:pStyle w:val="19"/>
        <w:keepNext w:val="0"/>
        <w:keepLines w:val="0"/>
        <w:pageBreakBefore w:val="0"/>
        <w:widowControl/>
        <w:kinsoku/>
        <w:wordWrap/>
        <w:overflowPunct/>
        <w:topLinePunct w:val="0"/>
        <w:autoSpaceDE/>
        <w:autoSpaceDN/>
        <w:bidi w:val="0"/>
        <w:adjustRightInd/>
        <w:snapToGrid/>
        <w:spacing w:line="360" w:lineRule="auto"/>
        <w:ind w:left="0" w:leftChars="0" w:right="-115" w:rightChars="-55" w:firstLine="482" w:firstLineChars="200"/>
        <w:jc w:val="left"/>
        <w:textAlignment w:val="auto"/>
        <w:outlineLvl w:val="2"/>
        <w:rPr>
          <w:rFonts w:hint="eastAsia" w:asciiTheme="majorEastAsia" w:hAnsiTheme="majorEastAsia" w:eastAsiaTheme="majorEastAsia" w:cstheme="majorEastAsia"/>
          <w:b/>
          <w:bCs/>
          <w:color w:val="auto"/>
          <w:sz w:val="24"/>
          <w:szCs w:val="24"/>
          <w:highlight w:val="none"/>
          <w:lang w:eastAsia="zh-CN"/>
        </w:rPr>
      </w:pPr>
      <w:bookmarkStart w:id="24" w:name="_Toc25430"/>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rPr>
        <w:t>绩效评价</w:t>
      </w:r>
      <w:r>
        <w:rPr>
          <w:rFonts w:hint="eastAsia" w:asciiTheme="majorEastAsia" w:hAnsiTheme="majorEastAsia" w:eastAsiaTheme="majorEastAsia" w:cstheme="majorEastAsia"/>
          <w:b/>
          <w:bCs/>
          <w:color w:val="auto"/>
          <w:sz w:val="24"/>
          <w:szCs w:val="24"/>
          <w:highlight w:val="none"/>
          <w:lang w:eastAsia="zh-CN"/>
        </w:rPr>
        <w:t>前期准备</w:t>
      </w:r>
      <w:bookmarkEnd w:id="24"/>
    </w:p>
    <w:p w14:paraId="1B472CDB">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这次绩效评价工作按照严格的程序和规范。具体实施步骤如下：</w:t>
      </w:r>
    </w:p>
    <w:p w14:paraId="015679E5">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准备阶段</w:t>
      </w:r>
    </w:p>
    <w:p w14:paraId="277C4627">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成立绩效评价工作组</w:t>
      </w:r>
    </w:p>
    <w:p w14:paraId="625B5250">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本项目评价以湖北中天诚资产评估有限公司为主体，由熟悉财政、财务、评价分析的专业人员，并聘请了相关的专业人士共同组成绩效评价工作小组。</w:t>
      </w:r>
    </w:p>
    <w:p w14:paraId="5599D1C0">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制定绩效评价</w:t>
      </w:r>
      <w:r>
        <w:rPr>
          <w:rFonts w:hint="eastAsia" w:asciiTheme="majorEastAsia" w:hAnsiTheme="majorEastAsia" w:eastAsiaTheme="majorEastAsia" w:cstheme="majorEastAsia"/>
          <w:color w:val="auto"/>
          <w:sz w:val="24"/>
          <w:szCs w:val="24"/>
          <w:highlight w:val="none"/>
          <w:lang w:eastAsia="zh-CN"/>
        </w:rPr>
        <w:t>工作方案</w:t>
      </w:r>
    </w:p>
    <w:p w14:paraId="02BB9DC5">
      <w:pPr>
        <w:pStyle w:val="16"/>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查询</w:t>
      </w:r>
      <w:r>
        <w:rPr>
          <w:rFonts w:hint="eastAsia" w:ascii="宋体" w:hAnsi="宋体" w:eastAsia="宋体" w:cs="宋体"/>
          <w:b w:val="0"/>
          <w:bCs w:val="0"/>
          <w:color w:val="auto"/>
          <w:kern w:val="2"/>
          <w:sz w:val="24"/>
          <w:szCs w:val="24"/>
          <w:highlight w:val="none"/>
          <w:lang w:val="en-US" w:eastAsia="zh-CN" w:bidi="ar-SA"/>
        </w:rPr>
        <w:t>武昌区2017年度聘用人员经费项目</w:t>
      </w:r>
      <w:r>
        <w:rPr>
          <w:rFonts w:hint="eastAsia" w:asciiTheme="majorEastAsia" w:hAnsiTheme="majorEastAsia" w:eastAsiaTheme="majorEastAsia" w:cstheme="majorEastAsia"/>
          <w:color w:val="auto"/>
          <w:sz w:val="24"/>
          <w:szCs w:val="24"/>
          <w:highlight w:val="none"/>
        </w:rPr>
        <w:t>的有关资料，与有关部门联系了解项目的特点以及考核目的，经与评价领导小组商讨，形成项目绩效评价</w:t>
      </w:r>
      <w:r>
        <w:rPr>
          <w:rFonts w:hint="eastAsia" w:asciiTheme="majorEastAsia" w:hAnsiTheme="majorEastAsia" w:eastAsiaTheme="majorEastAsia" w:cstheme="majorEastAsia"/>
          <w:color w:val="auto"/>
          <w:sz w:val="24"/>
          <w:szCs w:val="24"/>
          <w:highlight w:val="none"/>
          <w:lang w:eastAsia="zh-CN"/>
        </w:rPr>
        <w:t>工作方案</w:t>
      </w:r>
      <w:r>
        <w:rPr>
          <w:rFonts w:hint="eastAsia" w:asciiTheme="majorEastAsia" w:hAnsiTheme="majorEastAsia" w:eastAsiaTheme="majorEastAsia" w:cstheme="majorEastAsia"/>
          <w:color w:val="auto"/>
          <w:sz w:val="24"/>
          <w:szCs w:val="24"/>
          <w:highlight w:val="none"/>
        </w:rPr>
        <w:t>。</w:t>
      </w:r>
    </w:p>
    <w:p w14:paraId="226E9818">
      <w:pPr>
        <w:pStyle w:val="16"/>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③绩效</w:t>
      </w:r>
      <w:r>
        <w:rPr>
          <w:rFonts w:hint="eastAsia" w:asciiTheme="majorEastAsia" w:hAnsiTheme="majorEastAsia" w:eastAsiaTheme="majorEastAsia" w:cstheme="majorEastAsia"/>
          <w:color w:val="auto"/>
          <w:sz w:val="24"/>
          <w:szCs w:val="24"/>
          <w:highlight w:val="none"/>
        </w:rPr>
        <w:t>指标初步设计</w:t>
      </w:r>
    </w:p>
    <w:p w14:paraId="2D4022CF">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武昌区2017年度聘用人员经费项目</w:t>
      </w:r>
      <w:r>
        <w:rPr>
          <w:rFonts w:hint="eastAsia" w:asciiTheme="majorEastAsia" w:hAnsiTheme="majorEastAsia" w:eastAsiaTheme="majorEastAsia" w:cstheme="majorEastAsia"/>
          <w:color w:val="auto"/>
          <w:sz w:val="24"/>
          <w:szCs w:val="24"/>
          <w:highlight w:val="none"/>
        </w:rPr>
        <w:t>的使用情况、管理体系等项目概况，并向评价领导小组提交初步绩效评价指标。</w:t>
      </w:r>
    </w:p>
    <w:p w14:paraId="220135AF">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指标研讨与修订</w:t>
      </w:r>
    </w:p>
    <w:p w14:paraId="7E8F3503">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武昌区工商质监局</w:t>
      </w:r>
      <w:r>
        <w:rPr>
          <w:rFonts w:hint="eastAsia" w:asciiTheme="majorEastAsia" w:hAnsiTheme="majorEastAsia" w:eastAsiaTheme="majorEastAsia" w:cstheme="majorEastAsia"/>
          <w:color w:val="auto"/>
          <w:sz w:val="24"/>
          <w:szCs w:val="24"/>
          <w:highlight w:val="none"/>
        </w:rPr>
        <w:t>、评估师</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有关专家，经与评价领导小组商榷，确定项目绩效评价指标。</w:t>
      </w:r>
    </w:p>
    <w:p w14:paraId="3D82D9B2">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现场工作阶段</w:t>
      </w:r>
    </w:p>
    <w:p w14:paraId="5B8D1444">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基础数据与资料的收集</w:t>
      </w:r>
    </w:p>
    <w:p w14:paraId="0B150A91">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根据申报资料清单，核对项目实施方</w:t>
      </w:r>
      <w:r>
        <w:rPr>
          <w:rFonts w:hint="eastAsia" w:asciiTheme="majorEastAsia" w:hAnsiTheme="majorEastAsia" w:eastAsiaTheme="majorEastAsia" w:cstheme="majorEastAsia"/>
          <w:color w:val="auto"/>
          <w:sz w:val="24"/>
          <w:szCs w:val="24"/>
          <w:highlight w:val="none"/>
          <w:lang w:eastAsia="zh-CN"/>
        </w:rPr>
        <w:t>案的申报</w:t>
      </w:r>
      <w:r>
        <w:rPr>
          <w:rFonts w:hint="eastAsia" w:asciiTheme="majorEastAsia" w:hAnsiTheme="majorEastAsia" w:eastAsiaTheme="majorEastAsia" w:cstheme="majorEastAsia"/>
          <w:color w:val="auto"/>
          <w:sz w:val="24"/>
          <w:szCs w:val="24"/>
          <w:highlight w:val="none"/>
        </w:rPr>
        <w:t>资料是否齐全。</w:t>
      </w:r>
    </w:p>
    <w:p w14:paraId="7F622404">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资料的整理及分析</w:t>
      </w:r>
    </w:p>
    <w:p w14:paraId="50B3DF60">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根据</w:t>
      </w:r>
      <w:r>
        <w:rPr>
          <w:rFonts w:hint="eastAsia" w:ascii="宋体" w:hAnsi="宋体" w:eastAsia="宋体" w:cs="宋体"/>
          <w:b w:val="0"/>
          <w:bCs w:val="0"/>
          <w:color w:val="auto"/>
          <w:kern w:val="2"/>
          <w:sz w:val="24"/>
          <w:szCs w:val="24"/>
          <w:highlight w:val="none"/>
          <w:lang w:val="en-US" w:eastAsia="zh-CN" w:bidi="ar-SA"/>
        </w:rPr>
        <w:t>武昌区2017年度聘用人员经费项目</w:t>
      </w:r>
      <w:r>
        <w:rPr>
          <w:rFonts w:hint="eastAsia" w:asciiTheme="majorEastAsia" w:hAnsiTheme="majorEastAsia" w:eastAsiaTheme="majorEastAsia" w:cstheme="majorEastAsia"/>
          <w:color w:val="auto"/>
          <w:sz w:val="24"/>
          <w:szCs w:val="24"/>
          <w:highlight w:val="none"/>
        </w:rPr>
        <w:t>的筹集和拨付资料，</w:t>
      </w:r>
      <w:r>
        <w:rPr>
          <w:rFonts w:hint="eastAsia" w:asciiTheme="majorEastAsia" w:hAnsiTheme="majorEastAsia" w:eastAsiaTheme="majorEastAsia" w:cstheme="majorEastAsia"/>
          <w:color w:val="auto"/>
          <w:sz w:val="24"/>
          <w:szCs w:val="24"/>
          <w:highlight w:val="none"/>
          <w:lang w:eastAsia="zh-CN"/>
        </w:rPr>
        <w:t>进行整理分析。</w:t>
      </w:r>
    </w:p>
    <w:p w14:paraId="47932A75">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现场考评</w:t>
      </w:r>
    </w:p>
    <w:p w14:paraId="57617C80">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确定核查单位名单，评价工作小组成员深入项目实施单位，对</w:t>
      </w:r>
      <w:r>
        <w:rPr>
          <w:rFonts w:hint="eastAsia" w:ascii="宋体" w:hAnsi="宋体" w:eastAsia="宋体" w:cs="宋体"/>
          <w:b w:val="0"/>
          <w:bCs w:val="0"/>
          <w:color w:val="auto"/>
          <w:kern w:val="2"/>
          <w:sz w:val="24"/>
          <w:szCs w:val="24"/>
          <w:highlight w:val="none"/>
          <w:lang w:val="en-US" w:eastAsia="zh-CN" w:bidi="ar-SA"/>
        </w:rPr>
        <w:t>武昌区2017年度聘用人员经费项目</w:t>
      </w:r>
      <w:r>
        <w:rPr>
          <w:rFonts w:hint="eastAsia" w:asciiTheme="majorEastAsia" w:hAnsiTheme="majorEastAsia" w:eastAsiaTheme="majorEastAsia" w:cstheme="majorEastAsia"/>
          <w:color w:val="auto"/>
          <w:sz w:val="24"/>
          <w:szCs w:val="24"/>
          <w:highlight w:val="none"/>
        </w:rPr>
        <w:t>开展现场考评工作，分别进行综合访谈、</w:t>
      </w:r>
      <w:r>
        <w:rPr>
          <w:rFonts w:hint="eastAsia" w:asciiTheme="majorEastAsia" w:hAnsiTheme="majorEastAsia" w:eastAsiaTheme="majorEastAsia" w:cstheme="majorEastAsia"/>
          <w:color w:val="auto"/>
          <w:sz w:val="24"/>
          <w:szCs w:val="24"/>
          <w:highlight w:val="none"/>
          <w:lang w:val="en-US" w:eastAsia="zh-CN"/>
        </w:rPr>
        <w:t>核查</w:t>
      </w:r>
      <w:r>
        <w:rPr>
          <w:rFonts w:hint="eastAsia" w:asciiTheme="majorEastAsia" w:hAnsiTheme="majorEastAsia" w:eastAsiaTheme="majorEastAsia" w:cstheme="majorEastAsia"/>
          <w:color w:val="auto"/>
          <w:sz w:val="24"/>
          <w:szCs w:val="24"/>
          <w:highlight w:val="none"/>
        </w:rPr>
        <w:t>财务，听取项目实施单位对该项目的详细介绍，完成现场考评工作各类表格，并抽查项目相关档案资料等。</w:t>
      </w:r>
    </w:p>
    <w:p w14:paraId="64D82710">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其他信息和资料的采集</w:t>
      </w:r>
    </w:p>
    <w:p w14:paraId="035182B3">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由</w:t>
      </w:r>
      <w:r>
        <w:rPr>
          <w:rFonts w:hint="eastAsia" w:asciiTheme="majorEastAsia" w:hAnsiTheme="majorEastAsia" w:eastAsiaTheme="majorEastAsia" w:cstheme="majorEastAsia"/>
          <w:color w:val="auto"/>
          <w:sz w:val="24"/>
          <w:szCs w:val="24"/>
          <w:highlight w:val="none"/>
          <w:lang w:val="en-US" w:eastAsia="zh-CN"/>
        </w:rPr>
        <w:t>武昌区工商质监局</w:t>
      </w:r>
      <w:r>
        <w:rPr>
          <w:rFonts w:hint="eastAsia" w:asciiTheme="majorEastAsia" w:hAnsiTheme="majorEastAsia" w:eastAsiaTheme="majorEastAsia" w:cstheme="majorEastAsia"/>
          <w:color w:val="auto"/>
          <w:sz w:val="24"/>
          <w:szCs w:val="24"/>
          <w:highlight w:val="none"/>
        </w:rPr>
        <w:t>提供各项评价材料。同时，评价工作小组通过信息媒体等收集项目相关系统外资料。</w:t>
      </w:r>
    </w:p>
    <w:p w14:paraId="44AEBC64">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评价分析</w:t>
      </w:r>
    </w:p>
    <w:p w14:paraId="226C69CB">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基础数据与资料的审核</w:t>
      </w:r>
    </w:p>
    <w:p w14:paraId="218A7973">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审核搜集到的资料的相关性、真实性、可靠性，对有效资料进行整理、分类、统计，形成项目基础数据表。</w:t>
      </w:r>
    </w:p>
    <w:p w14:paraId="66EE2A7D">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项目决策分析、管理分析、绩效分析</w:t>
      </w:r>
    </w:p>
    <w:p w14:paraId="07F1ECB7">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w:t>
      </w:r>
      <w:r>
        <w:rPr>
          <w:rFonts w:hint="eastAsia" w:ascii="宋体" w:hAnsi="宋体" w:eastAsia="宋体" w:cs="宋体"/>
          <w:b w:val="0"/>
          <w:bCs w:val="0"/>
          <w:color w:val="auto"/>
          <w:kern w:val="2"/>
          <w:sz w:val="24"/>
          <w:szCs w:val="24"/>
          <w:highlight w:val="none"/>
          <w:lang w:val="en-US" w:eastAsia="zh-CN" w:bidi="ar-SA"/>
        </w:rPr>
        <w:t>武昌区2017年度聘用人员经费项目</w:t>
      </w:r>
      <w:r>
        <w:rPr>
          <w:rFonts w:hint="eastAsia" w:asciiTheme="majorEastAsia" w:hAnsiTheme="majorEastAsia" w:eastAsiaTheme="majorEastAsia" w:cstheme="majorEastAsia"/>
          <w:color w:val="auto"/>
          <w:sz w:val="24"/>
          <w:szCs w:val="24"/>
          <w:highlight w:val="none"/>
        </w:rPr>
        <w:t>管理制度与执行等管理情况以及项目资金使用、成果统计等绩效情况进行分析，对该项目进行定性、定量的评价，分析该项目的实施效果。</w:t>
      </w:r>
    </w:p>
    <w:p w14:paraId="71846372">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评价指标体系确定</w:t>
      </w:r>
    </w:p>
    <w:p w14:paraId="43717C4F">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评价工作小组根据对项目的进一步了解及结合现有资料，完善绩效评价指标体系。</w:t>
      </w:r>
    </w:p>
    <w:p w14:paraId="29CA423B">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评价指标计量及综合评价</w:t>
      </w:r>
    </w:p>
    <w:p w14:paraId="159555AC">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计算绩效评价指标，根据本次评价指标体系与评分标准，形成评价结论。</w:t>
      </w:r>
    </w:p>
    <w:p w14:paraId="78A462DE">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⑤</w:t>
      </w:r>
      <w:r>
        <w:rPr>
          <w:rFonts w:hint="eastAsia" w:asciiTheme="majorEastAsia" w:hAnsiTheme="majorEastAsia" w:eastAsiaTheme="majorEastAsia" w:cstheme="majorEastAsia"/>
          <w:color w:val="auto"/>
          <w:sz w:val="24"/>
          <w:szCs w:val="24"/>
          <w:highlight w:val="none"/>
        </w:rPr>
        <w:t>形成问题和建议</w:t>
      </w:r>
    </w:p>
    <w:p w14:paraId="76E4A713">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对绩效评价过程中发现的问题进行归总，并提出相关建议。</w:t>
      </w:r>
    </w:p>
    <w:p w14:paraId="265F71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报告阶段</w:t>
      </w:r>
    </w:p>
    <w:p w14:paraId="2FA2A948">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撰写初评报告</w:t>
      </w:r>
    </w:p>
    <w:p w14:paraId="2B55046C">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撰写</w:t>
      </w:r>
      <w:r>
        <w:rPr>
          <w:rFonts w:hint="eastAsia" w:ascii="宋体" w:hAnsi="宋体" w:eastAsia="宋体" w:cs="宋体"/>
          <w:b w:val="0"/>
          <w:bCs w:val="0"/>
          <w:color w:val="auto"/>
          <w:kern w:val="2"/>
          <w:sz w:val="24"/>
          <w:szCs w:val="24"/>
          <w:highlight w:val="none"/>
          <w:lang w:val="en-US" w:eastAsia="zh-CN" w:bidi="ar-SA"/>
        </w:rPr>
        <w:t>武昌区2017年度聘用人员经费项目</w:t>
      </w:r>
      <w:r>
        <w:rPr>
          <w:rFonts w:hint="eastAsia" w:asciiTheme="majorEastAsia" w:hAnsiTheme="majorEastAsia" w:eastAsiaTheme="majorEastAsia" w:cstheme="majorEastAsia"/>
          <w:color w:val="auto"/>
          <w:sz w:val="24"/>
          <w:szCs w:val="24"/>
          <w:highlight w:val="none"/>
        </w:rPr>
        <w:t>绩效评价报告初稿。</w:t>
      </w:r>
    </w:p>
    <w:p w14:paraId="482580EB">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反馈并修改报告</w:t>
      </w:r>
    </w:p>
    <w:p w14:paraId="55C2A342">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将初评报告发送给</w:t>
      </w:r>
      <w:r>
        <w:rPr>
          <w:rFonts w:hint="eastAsia" w:asciiTheme="majorEastAsia" w:hAnsiTheme="majorEastAsia" w:eastAsiaTheme="majorEastAsia" w:cstheme="majorEastAsia"/>
          <w:color w:val="auto"/>
          <w:sz w:val="24"/>
          <w:szCs w:val="24"/>
          <w:highlight w:val="none"/>
          <w:lang w:val="en-US" w:eastAsia="zh-CN"/>
        </w:rPr>
        <w:t>武昌区工商质监局</w:t>
      </w:r>
      <w:r>
        <w:rPr>
          <w:rFonts w:hint="eastAsia" w:asciiTheme="majorEastAsia" w:hAnsiTheme="majorEastAsia" w:eastAsiaTheme="majorEastAsia" w:cstheme="majorEastAsia"/>
          <w:color w:val="auto"/>
          <w:sz w:val="24"/>
          <w:szCs w:val="24"/>
          <w:highlight w:val="none"/>
        </w:rPr>
        <w:t>审阅，根据</w:t>
      </w:r>
      <w:r>
        <w:rPr>
          <w:rFonts w:hint="eastAsia" w:asciiTheme="majorEastAsia" w:hAnsiTheme="majorEastAsia" w:eastAsiaTheme="majorEastAsia" w:cstheme="majorEastAsia"/>
          <w:color w:val="auto"/>
          <w:sz w:val="24"/>
          <w:szCs w:val="24"/>
          <w:highlight w:val="none"/>
          <w:lang w:val="en-US" w:eastAsia="zh-CN"/>
        </w:rPr>
        <w:t>武昌区工商质监局</w:t>
      </w:r>
      <w:r>
        <w:rPr>
          <w:rFonts w:hint="eastAsia" w:asciiTheme="majorEastAsia" w:hAnsiTheme="majorEastAsia" w:eastAsiaTheme="majorEastAsia" w:cstheme="majorEastAsia"/>
          <w:color w:val="auto"/>
          <w:sz w:val="24"/>
          <w:szCs w:val="24"/>
          <w:highlight w:val="none"/>
        </w:rPr>
        <w:t>的反馈意见对初评报告进行修改，最终完成评价报告。</w:t>
      </w:r>
    </w:p>
    <w:p w14:paraId="721FC56F">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报告审核及提交</w:t>
      </w:r>
    </w:p>
    <w:p w14:paraId="39A0A00A">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将修改后的报告提交有关专家组进行评审，根据评审意见对报告进行再次修改。通过专家组评审后，向</w:t>
      </w:r>
      <w:r>
        <w:rPr>
          <w:rFonts w:hint="eastAsia" w:asciiTheme="majorEastAsia" w:hAnsiTheme="majorEastAsia" w:eastAsiaTheme="majorEastAsia" w:cstheme="majorEastAsia"/>
          <w:color w:val="auto"/>
          <w:sz w:val="24"/>
          <w:szCs w:val="24"/>
          <w:highlight w:val="none"/>
          <w:lang w:val="en-US" w:eastAsia="zh-CN"/>
        </w:rPr>
        <w:t>武昌区工商质监局</w:t>
      </w:r>
      <w:r>
        <w:rPr>
          <w:rFonts w:hint="eastAsia" w:asciiTheme="majorEastAsia" w:hAnsiTheme="majorEastAsia" w:eastAsiaTheme="majorEastAsia" w:cstheme="majorEastAsia"/>
          <w:color w:val="auto"/>
          <w:sz w:val="24"/>
          <w:szCs w:val="24"/>
          <w:highlight w:val="none"/>
        </w:rPr>
        <w:t>提交正式绩效评价报告。</w:t>
      </w:r>
    </w:p>
    <w:p w14:paraId="09FA3CA7">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归档</w:t>
      </w:r>
    </w:p>
    <w:p w14:paraId="1CD628C0">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对绩效评价工作资料进行整理，完善绩效评价工作底稿并归档。</w:t>
      </w:r>
    </w:p>
    <w:p w14:paraId="38B8A431">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left"/>
        <w:textAlignment w:val="auto"/>
        <w:outlineLvl w:val="2"/>
        <w:rPr>
          <w:rFonts w:hint="eastAsia" w:asciiTheme="majorEastAsia" w:hAnsiTheme="majorEastAsia" w:eastAsiaTheme="majorEastAsia" w:cstheme="majorEastAsia"/>
          <w:color w:val="auto"/>
          <w:sz w:val="24"/>
          <w:szCs w:val="24"/>
          <w:highlight w:val="none"/>
          <w:lang w:val="en-US" w:eastAsia="zh-CN"/>
        </w:rPr>
      </w:pPr>
      <w:bookmarkStart w:id="25" w:name="_Toc21612"/>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绩效评价</w:t>
      </w:r>
      <w:r>
        <w:rPr>
          <w:rFonts w:hint="eastAsia" w:asciiTheme="majorEastAsia" w:hAnsiTheme="majorEastAsia" w:eastAsiaTheme="majorEastAsia" w:cstheme="majorEastAsia"/>
          <w:color w:val="auto"/>
          <w:sz w:val="24"/>
          <w:szCs w:val="24"/>
          <w:highlight w:val="none"/>
          <w:lang w:eastAsia="zh-CN"/>
        </w:rPr>
        <w:t>组织</w:t>
      </w:r>
      <w:r>
        <w:rPr>
          <w:rFonts w:hint="eastAsia" w:asciiTheme="majorEastAsia" w:hAnsiTheme="majorEastAsia" w:eastAsiaTheme="majorEastAsia" w:cstheme="majorEastAsia"/>
          <w:color w:val="auto"/>
          <w:sz w:val="24"/>
          <w:szCs w:val="24"/>
          <w:highlight w:val="none"/>
        </w:rPr>
        <w:t>过程</w:t>
      </w:r>
      <w:bookmarkEnd w:id="25"/>
      <w:r>
        <w:rPr>
          <w:rFonts w:hint="eastAsia" w:asciiTheme="majorEastAsia" w:hAnsiTheme="majorEastAsia" w:eastAsiaTheme="majorEastAsia" w:cstheme="majorEastAsia"/>
          <w:color w:val="auto"/>
          <w:sz w:val="24"/>
          <w:szCs w:val="24"/>
          <w:highlight w:val="none"/>
          <w:lang w:val="en-US" w:eastAsia="zh-CN"/>
        </w:rPr>
        <w:t xml:space="preserve">   </w:t>
      </w:r>
    </w:p>
    <w:p w14:paraId="3CB75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sz w:val="24"/>
          <w:szCs w:val="24"/>
          <w:highlight w:val="none"/>
          <w:lang w:val="en-US" w:eastAsia="zh-CN"/>
        </w:rPr>
        <w:t xml:space="preserve"> （1）</w:t>
      </w:r>
      <w:r>
        <w:rPr>
          <w:rFonts w:hint="eastAsia" w:asciiTheme="majorEastAsia" w:hAnsiTheme="majorEastAsia" w:eastAsiaTheme="majorEastAsia" w:cstheme="majorEastAsia"/>
          <w:b w:val="0"/>
          <w:bCs w:val="0"/>
          <w:color w:val="auto"/>
          <w:kern w:val="2"/>
          <w:sz w:val="24"/>
          <w:szCs w:val="24"/>
          <w:highlight w:val="none"/>
          <w:lang w:val="en-US" w:eastAsia="zh-CN" w:bidi="ar-SA"/>
        </w:rPr>
        <w:t>本次绩效评价的实施过程如下图所示</w:t>
      </w:r>
    </w:p>
    <w:p w14:paraId="7939FEA5">
      <w:pPr>
        <w:pStyle w:val="19"/>
        <w:spacing w:line="510" w:lineRule="exact"/>
        <w:ind w:right="-115" w:rightChars="-55" w:firstLine="420" w:firstLineChars="200"/>
        <w:outlineLvl w:val="9"/>
        <w:rPr>
          <w:rFonts w:hint="eastAsia" w:cs="Times New Roman"/>
          <w:color w:val="auto"/>
          <w:sz w:val="24"/>
          <w:szCs w:val="24"/>
          <w:highlight w:val="none"/>
        </w:rPr>
      </w:pPr>
      <w:r>
        <w:rPr>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123825</wp:posOffset>
                </wp:positionH>
                <wp:positionV relativeFrom="paragraph">
                  <wp:posOffset>179705</wp:posOffset>
                </wp:positionV>
                <wp:extent cx="5575300" cy="3473450"/>
                <wp:effectExtent l="6350" t="6350" r="19050" b="25400"/>
                <wp:wrapNone/>
                <wp:docPr id="2" name="组合 3"/>
                <wp:cNvGraphicFramePr/>
                <a:graphic xmlns:a="http://schemas.openxmlformats.org/drawingml/2006/main">
                  <a:graphicData uri="http://schemas.microsoft.com/office/word/2010/wordprocessingGroup">
                    <wpg:wgp>
                      <wpg:cNvGrpSpPr/>
                      <wpg:grpSpPr>
                        <a:xfrm>
                          <a:off x="0" y="0"/>
                          <a:ext cx="5575300" cy="3473450"/>
                          <a:chOff x="0" y="0"/>
                          <a:chExt cx="8831" cy="4413"/>
                        </a:xfrm>
                      </wpg:grpSpPr>
                      <wps:wsp>
                        <wps:cNvPr id="12" name="矩形 5"/>
                        <wps:cNvSpPr/>
                        <wps:spPr>
                          <a:xfrm>
                            <a:off x="12" y="6"/>
                            <a:ext cx="2513" cy="570"/>
                          </a:xfrm>
                          <a:prstGeom prst="rect">
                            <a:avLst/>
                          </a:prstGeom>
                          <a:noFill/>
                          <a:ln w="12700" cap="flat" cmpd="sng">
                            <a:solidFill>
                              <a:srgbClr val="000000"/>
                            </a:solidFill>
                            <a:prstDash val="solid"/>
                            <a:miter/>
                            <a:headEnd type="none" w="med" len="med"/>
                            <a:tailEnd type="none" w="med" len="med"/>
                          </a:ln>
                        </wps:spPr>
                        <wps:txbx>
                          <w:txbxContent>
                            <w:p w14:paraId="0EE854DE">
                              <w:pPr>
                                <w:jc w:val="center"/>
                                <w:rPr>
                                  <w:rFonts w:hint="eastAsia"/>
                                </w:rPr>
                              </w:pPr>
                              <w:r>
                                <w:rPr>
                                  <w:rFonts w:hint="eastAsia"/>
                                </w:rPr>
                                <w:t>前期准备</w:t>
                              </w:r>
                            </w:p>
                          </w:txbxContent>
                        </wps:txbx>
                        <wps:bodyPr lIns="91439" tIns="45719" rIns="91439" bIns="45719" upright="1"/>
                      </wps:wsp>
                      <wps:wsp>
                        <wps:cNvPr id="13" name="矩形 7"/>
                        <wps:cNvSpPr/>
                        <wps:spPr>
                          <a:xfrm>
                            <a:off x="0" y="865"/>
                            <a:ext cx="2507" cy="3549"/>
                          </a:xfrm>
                          <a:prstGeom prst="rect">
                            <a:avLst/>
                          </a:prstGeom>
                          <a:noFill/>
                          <a:ln w="12700" cap="flat" cmpd="sng">
                            <a:solidFill>
                              <a:srgbClr val="000000"/>
                            </a:solidFill>
                            <a:prstDash val="solid"/>
                            <a:miter/>
                            <a:headEnd type="none" w="med" len="med"/>
                            <a:tailEnd type="none" w="med" len="med"/>
                          </a:ln>
                        </wps:spPr>
                        <wps:txbx>
                          <w:txbxContent>
                            <w:p w14:paraId="0E24E3A1">
                              <w:pPr>
                                <w:jc w:val="left"/>
                                <w:rPr>
                                  <w:rFonts w:hint="eastAsia"/>
                                  <w:sz w:val="22"/>
                                </w:rPr>
                              </w:pPr>
                              <w:r>
                                <w:rPr>
                                  <w:rFonts w:hint="eastAsia"/>
                                  <w:sz w:val="20"/>
                                  <w:szCs w:val="20"/>
                                </w:rPr>
                                <w:t>*</w:t>
                              </w:r>
                              <w:r>
                                <w:rPr>
                                  <w:rFonts w:hint="eastAsia"/>
                                  <w:sz w:val="22"/>
                                </w:rPr>
                                <w:t>熟悉相关政策制度，了解委托方需求，确定评价方案（</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14:paraId="5CF6BCFA">
                              <w:pPr>
                                <w:jc w:val="left"/>
                                <w:rPr>
                                  <w:rFonts w:hint="eastAsia"/>
                                  <w:sz w:val="22"/>
                                </w:rPr>
                              </w:pPr>
                              <w:r>
                                <w:rPr>
                                  <w:rFonts w:hint="eastAsia"/>
                                  <w:sz w:val="22"/>
                                </w:rPr>
                                <w:t>*根据评价方案收集所需资料</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日-</w:t>
                              </w:r>
                              <w:r>
                                <w:rPr>
                                  <w:rFonts w:hint="eastAsia"/>
                                  <w:sz w:val="22"/>
                                  <w:lang w:val="en-US" w:eastAsia="zh-CN"/>
                                </w:rPr>
                                <w:t>18</w:t>
                              </w:r>
                              <w:r>
                                <w:rPr>
                                  <w:rFonts w:hint="eastAsia"/>
                                  <w:sz w:val="22"/>
                                  <w:lang w:eastAsia="zh-CN"/>
                                </w:rPr>
                                <w:t>日</w:t>
                              </w:r>
                              <w:r>
                                <w:rPr>
                                  <w:rFonts w:hint="eastAsia"/>
                                  <w:sz w:val="22"/>
                                </w:rPr>
                                <w:t xml:space="preserve"> ）</w:t>
                              </w:r>
                            </w:p>
                            <w:p w14:paraId="29D333AF">
                              <w:pPr>
                                <w:jc w:val="left"/>
                                <w:rPr>
                                  <w:rFonts w:hint="eastAsia"/>
                                  <w:sz w:val="22"/>
                                </w:rPr>
                              </w:pPr>
                              <w:r>
                                <w:rPr>
                                  <w:rFonts w:hint="eastAsia"/>
                                  <w:sz w:val="22"/>
                                </w:rPr>
                                <w:t>*分组分工案卷研析，整合理论与实践资料，确定评价方法（</w:t>
                              </w:r>
                              <w:r>
                                <w:rPr>
                                  <w:rFonts w:hint="eastAsia"/>
                                  <w:sz w:val="22"/>
                                  <w:lang w:val="en-US" w:eastAsia="zh-CN"/>
                                </w:rPr>
                                <w:t>6</w:t>
                              </w:r>
                              <w:r>
                                <w:rPr>
                                  <w:rFonts w:hint="eastAsia"/>
                                  <w:sz w:val="22"/>
                                </w:rPr>
                                <w:t>月</w:t>
                              </w:r>
                              <w:r>
                                <w:rPr>
                                  <w:rFonts w:hint="eastAsia"/>
                                  <w:sz w:val="22"/>
                                  <w:lang w:val="en-US" w:eastAsia="zh-CN"/>
                                </w:rPr>
                                <w:t>16-18</w:t>
                              </w:r>
                              <w:r>
                                <w:rPr>
                                  <w:rFonts w:hint="eastAsia"/>
                                  <w:sz w:val="22"/>
                                </w:rPr>
                                <w:t>日）</w:t>
                              </w:r>
                            </w:p>
                            <w:p w14:paraId="2FF5B948">
                              <w:pPr>
                                <w:jc w:val="left"/>
                                <w:rPr>
                                  <w:rFonts w:hint="eastAsia"/>
                                  <w:sz w:val="22"/>
                                </w:rPr>
                              </w:pPr>
                              <w:r>
                                <w:rPr>
                                  <w:rFonts w:hint="eastAsia"/>
                                  <w:sz w:val="22"/>
                                </w:rPr>
                                <w:t>*现场评价（</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txbxContent>
                        </wps:txbx>
                        <wps:bodyPr lIns="91439" tIns="45719" rIns="91439" bIns="45719" upright="1"/>
                      </wps:wsp>
                      <wps:wsp>
                        <wps:cNvPr id="14" name="矩形 6"/>
                        <wps:cNvSpPr/>
                        <wps:spPr>
                          <a:xfrm>
                            <a:off x="3177" y="0"/>
                            <a:ext cx="2513" cy="570"/>
                          </a:xfrm>
                          <a:prstGeom prst="rect">
                            <a:avLst/>
                          </a:prstGeom>
                          <a:noFill/>
                          <a:ln w="12700" cap="flat" cmpd="sng">
                            <a:solidFill>
                              <a:srgbClr val="000000"/>
                            </a:solidFill>
                            <a:prstDash val="solid"/>
                            <a:miter/>
                            <a:headEnd type="none" w="med" len="med"/>
                            <a:tailEnd type="none" w="med" len="med"/>
                          </a:ln>
                        </wps:spPr>
                        <wps:txbx>
                          <w:txbxContent>
                            <w:p w14:paraId="0E5E3523">
                              <w:pPr>
                                <w:jc w:val="center"/>
                                <w:rPr>
                                  <w:rFonts w:hint="eastAsia"/>
                                </w:rPr>
                              </w:pPr>
                              <w:r>
                                <w:rPr>
                                  <w:rFonts w:hint="eastAsia"/>
                                </w:rPr>
                                <w:t>开发绩效评价框架</w:t>
                              </w:r>
                            </w:p>
                          </w:txbxContent>
                        </wps:txbx>
                        <wps:bodyPr lIns="91439" tIns="45719" rIns="91439" bIns="45719" upright="1"/>
                      </wps:wsp>
                      <wps:wsp>
                        <wps:cNvPr id="33" name="矩形 7"/>
                        <wps:cNvSpPr/>
                        <wps:spPr>
                          <a:xfrm>
                            <a:off x="3179" y="861"/>
                            <a:ext cx="2507" cy="3553"/>
                          </a:xfrm>
                          <a:prstGeom prst="rect">
                            <a:avLst/>
                          </a:prstGeom>
                          <a:noFill/>
                          <a:ln w="12700" cap="flat" cmpd="sng">
                            <a:solidFill>
                              <a:srgbClr val="000000"/>
                            </a:solidFill>
                            <a:prstDash val="solid"/>
                            <a:miter/>
                            <a:headEnd type="none" w="med" len="med"/>
                            <a:tailEnd type="none" w="med" len="med"/>
                          </a:ln>
                        </wps:spPr>
                        <wps:txbx>
                          <w:txbxContent>
                            <w:p w14:paraId="045F5EB0">
                              <w:pPr>
                                <w:spacing w:line="400" w:lineRule="exact"/>
                                <w:jc w:val="left"/>
                                <w:rPr>
                                  <w:rFonts w:hint="eastAsia"/>
                                  <w:sz w:val="22"/>
                                </w:rPr>
                              </w:pPr>
                              <w:r>
                                <w:rPr>
                                  <w:rFonts w:hint="eastAsia"/>
                                  <w:sz w:val="22"/>
                                </w:rPr>
                                <w:t>*初步设计项目绩效评价指标体系及基础数据表（</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14:paraId="2A2E8E2A">
                              <w:pPr>
                                <w:spacing w:line="400" w:lineRule="exact"/>
                                <w:jc w:val="left"/>
                                <w:rPr>
                                  <w:rFonts w:hint="eastAsia"/>
                                  <w:sz w:val="22"/>
                                </w:rPr>
                              </w:pPr>
                              <w:r>
                                <w:rPr>
                                  <w:rFonts w:hint="eastAsia"/>
                                  <w:sz w:val="22"/>
                                </w:rPr>
                                <w:t>*与项目承担单位进行多次沟通，优化并确定指标体系及基础表（</w:t>
                              </w:r>
                              <w:r>
                                <w:rPr>
                                  <w:rFonts w:hint="eastAsia"/>
                                  <w:sz w:val="22"/>
                                  <w:lang w:val="en-US" w:eastAsia="zh-CN"/>
                                </w:rPr>
                                <w:t>6</w:t>
                              </w:r>
                              <w:r>
                                <w:rPr>
                                  <w:rFonts w:hint="eastAsia"/>
                                  <w:sz w:val="22"/>
                                </w:rPr>
                                <w:t>月</w:t>
                              </w:r>
                              <w:r>
                                <w:rPr>
                                  <w:rFonts w:hint="eastAsia"/>
                                  <w:sz w:val="22"/>
                                  <w:lang w:val="en-US" w:eastAsia="zh-CN"/>
                                </w:rPr>
                                <w:t>16</w:t>
                              </w:r>
                              <w:r>
                                <w:rPr>
                                  <w:rFonts w:hint="eastAsia"/>
                                  <w:sz w:val="22"/>
                                </w:rPr>
                                <w:t>-</w:t>
                              </w:r>
                              <w:r>
                                <w:rPr>
                                  <w:rFonts w:hint="eastAsia"/>
                                  <w:sz w:val="22"/>
                                  <w:lang w:val="en-US" w:eastAsia="zh-CN"/>
                                </w:rPr>
                                <w:t>17</w:t>
                              </w:r>
                              <w:r>
                                <w:rPr>
                                  <w:rFonts w:hint="eastAsia"/>
                                  <w:sz w:val="22"/>
                                </w:rPr>
                                <w:t>日）</w:t>
                              </w:r>
                            </w:p>
                            <w:p w14:paraId="65F4F909">
                              <w:pPr>
                                <w:spacing w:line="400" w:lineRule="exact"/>
                                <w:jc w:val="left"/>
                                <w:rPr>
                                  <w:rFonts w:hint="eastAsia"/>
                                  <w:sz w:val="22"/>
                                </w:rPr>
                              </w:pPr>
                              <w:r>
                                <w:rPr>
                                  <w:rFonts w:hint="eastAsia"/>
                                  <w:sz w:val="22"/>
                                </w:rPr>
                                <w:t>*项目单位填报基础表，提供评价依据（</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17</w:t>
                              </w:r>
                              <w:r>
                                <w:rPr>
                                  <w:rFonts w:hint="eastAsia"/>
                                  <w:sz w:val="22"/>
                                </w:rPr>
                                <w:t>日）</w:t>
                              </w:r>
                            </w:p>
                            <w:p w14:paraId="3C4E9D15">
                              <w:pPr>
                                <w:rPr>
                                  <w:rFonts w:hint="eastAsia" w:ascii="宋体" w:hAnsi="宋体" w:cs="宋体"/>
                                  <w:color w:val="FF0000"/>
                                  <w:kern w:val="0"/>
                                  <w:sz w:val="20"/>
                                  <w:szCs w:val="20"/>
                                </w:rPr>
                              </w:pPr>
                            </w:p>
                            <w:p w14:paraId="3C4178E9">
                              <w:pPr>
                                <w:rPr>
                                  <w:rFonts w:hint="eastAsia" w:ascii="宋体" w:hAnsi="宋体" w:cs="宋体"/>
                                  <w:color w:val="FF0000"/>
                                  <w:kern w:val="0"/>
                                  <w:sz w:val="20"/>
                                  <w:szCs w:val="20"/>
                                </w:rPr>
                              </w:pPr>
                            </w:p>
                            <w:p w14:paraId="3B5FB523">
                              <w:pPr>
                                <w:rPr>
                                  <w:rFonts w:hint="eastAsia" w:ascii="宋体" w:hAnsi="宋体" w:cs="宋体"/>
                                  <w:color w:val="FF0000"/>
                                  <w:kern w:val="0"/>
                                  <w:sz w:val="20"/>
                                  <w:szCs w:val="20"/>
                                </w:rPr>
                              </w:pPr>
                            </w:p>
                            <w:p w14:paraId="7D55A04A">
                              <w:pPr>
                                <w:rPr>
                                  <w:rFonts w:hint="eastAsia" w:ascii="宋体" w:hAnsi="宋体" w:cs="宋体"/>
                                  <w:color w:val="FF0000"/>
                                  <w:kern w:val="0"/>
                                  <w:sz w:val="20"/>
                                  <w:szCs w:val="20"/>
                                </w:rPr>
                              </w:pPr>
                            </w:p>
                            <w:p w14:paraId="52B618F9">
                              <w:pPr>
                                <w:rPr>
                                  <w:rFonts w:hint="eastAsia" w:ascii="宋体" w:hAnsi="宋体" w:cs="宋体"/>
                                  <w:color w:val="FF0000"/>
                                  <w:kern w:val="0"/>
                                  <w:sz w:val="20"/>
                                  <w:szCs w:val="20"/>
                                </w:rPr>
                              </w:pPr>
                            </w:p>
                            <w:p w14:paraId="2054C4F7">
                              <w:pPr>
                                <w:rPr>
                                  <w:rFonts w:hint="eastAsia" w:ascii="宋体" w:hAnsi="宋体" w:cs="宋体"/>
                                  <w:color w:val="FF0000"/>
                                  <w:kern w:val="0"/>
                                  <w:sz w:val="20"/>
                                  <w:szCs w:val="20"/>
                                </w:rPr>
                              </w:pPr>
                            </w:p>
                            <w:p w14:paraId="235A1E34">
                              <w:pPr>
                                <w:rPr>
                                  <w:rFonts w:hint="eastAsia" w:ascii="宋体" w:hAnsi="宋体" w:cs="宋体"/>
                                  <w:color w:val="FF0000"/>
                                  <w:kern w:val="0"/>
                                  <w:sz w:val="20"/>
                                  <w:szCs w:val="20"/>
                                </w:rPr>
                              </w:pPr>
                            </w:p>
                            <w:p w14:paraId="4B31EDFF">
                              <w:pPr>
                                <w:rPr>
                                  <w:rFonts w:hint="eastAsia" w:ascii="宋体" w:hAnsi="宋体" w:cs="宋体"/>
                                  <w:color w:val="FF0000"/>
                                  <w:kern w:val="0"/>
                                  <w:sz w:val="20"/>
                                  <w:szCs w:val="20"/>
                                </w:rPr>
                              </w:pPr>
                            </w:p>
                          </w:txbxContent>
                        </wps:txbx>
                        <wps:bodyPr lIns="91439" tIns="45719" rIns="91439" bIns="45719" upright="1"/>
                      </wps:wsp>
                      <wps:wsp>
                        <wps:cNvPr id="34" name="矩形 8"/>
                        <wps:cNvSpPr/>
                        <wps:spPr>
                          <a:xfrm>
                            <a:off x="6318" y="873"/>
                            <a:ext cx="2507" cy="3540"/>
                          </a:xfrm>
                          <a:prstGeom prst="rect">
                            <a:avLst/>
                          </a:prstGeom>
                          <a:noFill/>
                          <a:ln w="12700" cap="flat" cmpd="sng">
                            <a:solidFill>
                              <a:srgbClr val="000000"/>
                            </a:solidFill>
                            <a:prstDash val="solid"/>
                            <a:miter/>
                            <a:headEnd type="none" w="med" len="med"/>
                            <a:tailEnd type="none" w="med" len="med"/>
                          </a:ln>
                        </wps:spPr>
                        <wps:txbx>
                          <w:txbxContent>
                            <w:p w14:paraId="12FE77A6">
                              <w:pPr>
                                <w:spacing w:line="380" w:lineRule="exact"/>
                                <w:jc w:val="left"/>
                                <w:rPr>
                                  <w:rFonts w:hint="eastAsia"/>
                                  <w:sz w:val="22"/>
                                </w:rPr>
                              </w:pPr>
                              <w:r>
                                <w:rPr>
                                  <w:rFonts w:hint="eastAsia"/>
                                  <w:sz w:val="22"/>
                                </w:rPr>
                                <w:t>*社会调研：对项目、单位或负责人开展实地调研、电话访谈、问卷调查（</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p w14:paraId="54E5F2D9">
                              <w:pPr>
                                <w:spacing w:line="380" w:lineRule="exact"/>
                                <w:jc w:val="left"/>
                                <w:rPr>
                                  <w:rFonts w:hint="eastAsia"/>
                                  <w:sz w:val="22"/>
                                </w:rPr>
                              </w:pPr>
                              <w:r>
                                <w:rPr>
                                  <w:rFonts w:hint="eastAsia"/>
                                  <w:sz w:val="22"/>
                                </w:rPr>
                                <w:t>*开始绩效报告撰写（</w:t>
                              </w:r>
                              <w:r>
                                <w:rPr>
                                  <w:rFonts w:hint="eastAsia"/>
                                  <w:sz w:val="22"/>
                                  <w:lang w:val="en-US" w:eastAsia="zh-CN"/>
                                </w:rPr>
                                <w:t>6</w:t>
                              </w:r>
                              <w:r>
                                <w:rPr>
                                  <w:rFonts w:hint="eastAsia"/>
                                  <w:sz w:val="22"/>
                                </w:rPr>
                                <w:t>月</w:t>
                              </w:r>
                              <w:r>
                                <w:rPr>
                                  <w:rFonts w:hint="eastAsia"/>
                                  <w:sz w:val="22"/>
                                  <w:lang w:val="en-US" w:eastAsia="zh-CN"/>
                                </w:rPr>
                                <w:t>19</w:t>
                              </w:r>
                              <w:r>
                                <w:rPr>
                                  <w:rFonts w:hint="eastAsia"/>
                                  <w:sz w:val="22"/>
                                </w:rPr>
                                <w:t>-</w:t>
                              </w:r>
                              <w:r>
                                <w:rPr>
                                  <w:rFonts w:hint="eastAsia"/>
                                  <w:sz w:val="22"/>
                                  <w:lang w:val="en-US" w:eastAsia="zh-CN"/>
                                </w:rPr>
                                <w:t>20</w:t>
                              </w:r>
                              <w:r>
                                <w:rPr>
                                  <w:rFonts w:hint="eastAsia"/>
                                  <w:sz w:val="22"/>
                                </w:rPr>
                                <w:t>日）</w:t>
                              </w:r>
                            </w:p>
                            <w:p w14:paraId="0B65DE75">
                              <w:pPr>
                                <w:spacing w:line="380" w:lineRule="exact"/>
                                <w:jc w:val="left"/>
                                <w:rPr>
                                  <w:rFonts w:hint="eastAsia"/>
                                  <w:sz w:val="22"/>
                                </w:rPr>
                              </w:pPr>
                              <w:r>
                                <w:rPr>
                                  <w:rFonts w:hint="eastAsia"/>
                                  <w:sz w:val="22"/>
                                </w:rPr>
                                <w:t>*邀请专家对项目及指标体系进行评审（</w:t>
                              </w:r>
                              <w:r>
                                <w:rPr>
                                  <w:rFonts w:hint="eastAsia"/>
                                  <w:sz w:val="22"/>
                                  <w:lang w:val="en-US" w:eastAsia="zh-CN"/>
                                </w:rPr>
                                <w:t>6</w:t>
                              </w:r>
                              <w:r>
                                <w:rPr>
                                  <w:rFonts w:hint="eastAsia"/>
                                  <w:sz w:val="22"/>
                                </w:rPr>
                                <w:t>月</w:t>
                              </w:r>
                              <w:r>
                                <w:rPr>
                                  <w:rFonts w:hint="eastAsia"/>
                                  <w:sz w:val="22"/>
                                  <w:lang w:val="en-US" w:eastAsia="zh-CN"/>
                                </w:rPr>
                                <w:t>20</w:t>
                              </w:r>
                              <w:r>
                                <w:rPr>
                                  <w:rFonts w:hint="eastAsia"/>
                                  <w:sz w:val="22"/>
                                </w:rPr>
                                <w:t>-</w:t>
                              </w:r>
                              <w:r>
                                <w:rPr>
                                  <w:rFonts w:hint="eastAsia"/>
                                  <w:sz w:val="22"/>
                                  <w:lang w:val="en-US" w:eastAsia="zh-CN"/>
                                </w:rPr>
                                <w:t>22</w:t>
                              </w:r>
                              <w:r>
                                <w:rPr>
                                  <w:rFonts w:hint="eastAsia"/>
                                  <w:sz w:val="22"/>
                                </w:rPr>
                                <w:t>日）</w:t>
                              </w:r>
                            </w:p>
                            <w:p w14:paraId="3EEA3EFB">
                              <w:pPr>
                                <w:spacing w:line="380" w:lineRule="exact"/>
                                <w:jc w:val="left"/>
                                <w:rPr>
                                  <w:rFonts w:hint="eastAsia"/>
                                  <w:sz w:val="22"/>
                                </w:rPr>
                              </w:pPr>
                              <w:r>
                                <w:rPr>
                                  <w:rFonts w:hint="eastAsia"/>
                                  <w:sz w:val="22"/>
                                </w:rPr>
                                <w:t>*专家审稿、多方沟通与提交报告（</w:t>
                              </w:r>
                              <w:r>
                                <w:rPr>
                                  <w:rFonts w:hint="eastAsia"/>
                                  <w:sz w:val="22"/>
                                  <w:lang w:val="en-US" w:eastAsia="zh-CN"/>
                                </w:rPr>
                                <w:t>6</w:t>
                              </w:r>
                              <w:r>
                                <w:rPr>
                                  <w:rFonts w:hint="eastAsia"/>
                                  <w:sz w:val="22"/>
                                </w:rPr>
                                <w:t>月</w:t>
                              </w:r>
                              <w:r>
                                <w:rPr>
                                  <w:rFonts w:hint="eastAsia"/>
                                  <w:sz w:val="22"/>
                                  <w:lang w:val="en-US" w:eastAsia="zh-CN"/>
                                </w:rPr>
                                <w:t>23）</w:t>
                              </w:r>
                              <w:r>
                                <w:rPr>
                                  <w:rFonts w:hint="eastAsia"/>
                                  <w:sz w:val="22"/>
                                </w:rPr>
                                <w:t>日）</w:t>
                              </w:r>
                            </w:p>
                            <w:p w14:paraId="66C646DA">
                              <w:pPr>
                                <w:jc w:val="left"/>
                                <w:rPr>
                                  <w:rFonts w:hint="eastAsia"/>
                                  <w:sz w:val="16"/>
                                  <w:szCs w:val="15"/>
                                </w:rPr>
                              </w:pPr>
                            </w:p>
                          </w:txbxContent>
                        </wps:txbx>
                        <wps:bodyPr lIns="91439" tIns="45719" rIns="91439" bIns="45719" upright="1"/>
                      </wps:wsp>
                      <wps:wsp>
                        <wps:cNvPr id="36" name="矩形 5"/>
                        <wps:cNvSpPr/>
                        <wps:spPr>
                          <a:xfrm>
                            <a:off x="6319" y="4"/>
                            <a:ext cx="2513" cy="570"/>
                          </a:xfrm>
                          <a:prstGeom prst="rect">
                            <a:avLst/>
                          </a:prstGeom>
                          <a:noFill/>
                          <a:ln w="12700" cap="flat" cmpd="sng">
                            <a:solidFill>
                              <a:srgbClr val="000000"/>
                            </a:solidFill>
                            <a:prstDash val="solid"/>
                            <a:miter/>
                            <a:headEnd type="none" w="med" len="med"/>
                            <a:tailEnd type="none" w="med" len="med"/>
                          </a:ln>
                        </wps:spPr>
                        <wps:txbx>
                          <w:txbxContent>
                            <w:p w14:paraId="3403BF98">
                              <w:pPr>
                                <w:jc w:val="center"/>
                                <w:rPr>
                                  <w:rFonts w:hint="eastAsia"/>
                                </w:rPr>
                              </w:pPr>
                              <w:r>
                                <w:rPr>
                                  <w:rFonts w:hint="eastAsia"/>
                                </w:rPr>
                                <w:t>完成评价方案</w:t>
                              </w:r>
                            </w:p>
                          </w:txbxContent>
                        </wps:txbx>
                        <wps:bodyPr lIns="91439" tIns="45719" rIns="91439" bIns="45719" upright="1"/>
                      </wps:wsp>
                      <wps:wsp>
                        <wps:cNvPr id="38" name="箭头 15"/>
                        <wps:cNvCnPr/>
                        <wps:spPr>
                          <a:xfrm>
                            <a:off x="1206" y="593"/>
                            <a:ext cx="1" cy="257"/>
                          </a:xfrm>
                          <a:prstGeom prst="line">
                            <a:avLst/>
                          </a:prstGeom>
                          <a:ln w="15875" cap="flat" cmpd="sng">
                            <a:solidFill>
                              <a:srgbClr val="000000"/>
                            </a:solidFill>
                            <a:prstDash val="solid"/>
                            <a:headEnd type="none" w="med" len="med"/>
                            <a:tailEnd type="triangle" w="med" len="med"/>
                          </a:ln>
                        </wps:spPr>
                        <wps:bodyPr upright="1"/>
                      </wps:wsp>
                      <wps:wsp>
                        <wps:cNvPr id="39" name="箭头 17"/>
                        <wps:cNvCnPr/>
                        <wps:spPr>
                          <a:xfrm>
                            <a:off x="4377" y="582"/>
                            <a:ext cx="1" cy="279"/>
                          </a:xfrm>
                          <a:prstGeom prst="line">
                            <a:avLst/>
                          </a:prstGeom>
                          <a:ln w="15875" cap="flat" cmpd="sng">
                            <a:solidFill>
                              <a:srgbClr val="000000"/>
                            </a:solidFill>
                            <a:prstDash val="solid"/>
                            <a:headEnd type="none" w="med" len="med"/>
                            <a:tailEnd type="triangle" w="med" len="med"/>
                          </a:ln>
                        </wps:spPr>
                        <wps:bodyPr upright="1"/>
                      </wps:wsp>
                      <wps:wsp>
                        <wps:cNvPr id="40" name="箭头 19"/>
                        <wps:cNvCnPr/>
                        <wps:spPr>
                          <a:xfrm>
                            <a:off x="7581" y="593"/>
                            <a:ext cx="1" cy="278"/>
                          </a:xfrm>
                          <a:prstGeom prst="line">
                            <a:avLst/>
                          </a:prstGeom>
                          <a:ln w="15875" cap="flat" cmpd="sng">
                            <a:solidFill>
                              <a:srgbClr val="000000"/>
                            </a:solidFill>
                            <a:prstDash val="solid"/>
                            <a:headEnd type="none" w="med" len="med"/>
                            <a:tailEnd type="triangle" w="med" len="med"/>
                          </a:ln>
                        </wps:spPr>
                        <wps:bodyPr upright="1"/>
                      </wps:wsp>
                      <wps:wsp>
                        <wps:cNvPr id="41" name="箭头 21"/>
                        <wps:cNvCnPr/>
                        <wps:spPr>
                          <a:xfrm>
                            <a:off x="2545" y="293"/>
                            <a:ext cx="622" cy="1"/>
                          </a:xfrm>
                          <a:prstGeom prst="line">
                            <a:avLst/>
                          </a:prstGeom>
                          <a:ln w="15875" cap="flat" cmpd="sng">
                            <a:solidFill>
                              <a:srgbClr val="000000"/>
                            </a:solidFill>
                            <a:prstDash val="solid"/>
                            <a:headEnd type="none" w="med" len="med"/>
                            <a:tailEnd type="triangle" w="med" len="med"/>
                          </a:ln>
                        </wps:spPr>
                        <wps:bodyPr upright="1"/>
                      </wps:wsp>
                      <wps:wsp>
                        <wps:cNvPr id="42" name="箭头 23"/>
                        <wps:cNvCnPr/>
                        <wps:spPr>
                          <a:xfrm>
                            <a:off x="5695" y="282"/>
                            <a:ext cx="622" cy="1"/>
                          </a:xfrm>
                          <a:prstGeom prst="line">
                            <a:avLst/>
                          </a:prstGeom>
                          <a:ln w="15875" cap="flat" cmpd="sng">
                            <a:solidFill>
                              <a:srgbClr val="000000"/>
                            </a:solidFill>
                            <a:prstDash val="solid"/>
                            <a:headEnd type="none" w="med" len="med"/>
                            <a:tailEnd type="triangle" w="med" len="med"/>
                          </a:ln>
                        </wps:spPr>
                        <wps:bodyPr upright="1"/>
                      </wps:wsp>
                    </wpg:wgp>
                  </a:graphicData>
                </a:graphic>
              </wp:anchor>
            </w:drawing>
          </mc:Choice>
          <mc:Fallback>
            <w:pict>
              <v:group id="组合 3" o:spid="_x0000_s1026" o:spt="203" style="position:absolute;left:0pt;margin-left:9.75pt;margin-top:14.15pt;height:273.5pt;width:439pt;z-index:251662336;mso-width-relative:page;mso-height-relative:page;" coordsize="8831,4413" o:gfxdata="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pPjKw2QAAAAkBAAAPAAAAAAAAAAEAIAAAACIA&#10;AABkcnMvZG93bnJldi54bWxQSwECFAAUAAAACACHTuJAexgfFAkEAAAkGwAADgAAAAAAAAABACAA&#10;AAAoAQAAZHJzL2Uyb0RvYy54bWxQSwUGAAAAAAYABgBZAQAAowcAAAAA&#10;">
                <o:lock v:ext="edit" aspectratio="f"/>
                <v:rect id="矩形 5" o:spid="_x0000_s1026" o:spt="1" style="position:absolute;left:12;top:6;height:570;width:2513;" filled="f" stroked="t" coordsize="21600,21600" o:gfxdata="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aKO/r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14:paraId="0EE854DE">
                        <w:pPr>
                          <w:jc w:val="center"/>
                          <w:rPr>
                            <w:rFonts w:hint="eastAsia"/>
                          </w:rPr>
                        </w:pPr>
                        <w:r>
                          <w:rPr>
                            <w:rFonts w:hint="eastAsia"/>
                          </w:rPr>
                          <w:t>前期准备</w:t>
                        </w:r>
                      </w:p>
                    </w:txbxContent>
                  </v:textbox>
                </v:rect>
                <v:rect id="矩形 7" o:spid="_x0000_s1026" o:spt="1" style="position:absolute;left:0;top:865;height:3549;width:2507;" filled="f" stroked="t" coordsize="21600,21600" o:gfxdata="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u4rZ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14:paraId="0E24E3A1">
                        <w:pPr>
                          <w:jc w:val="left"/>
                          <w:rPr>
                            <w:rFonts w:hint="eastAsia"/>
                            <w:sz w:val="22"/>
                          </w:rPr>
                        </w:pPr>
                        <w:r>
                          <w:rPr>
                            <w:rFonts w:hint="eastAsia"/>
                            <w:sz w:val="20"/>
                            <w:szCs w:val="20"/>
                          </w:rPr>
                          <w:t>*</w:t>
                        </w:r>
                        <w:r>
                          <w:rPr>
                            <w:rFonts w:hint="eastAsia"/>
                            <w:sz w:val="22"/>
                          </w:rPr>
                          <w:t>熟悉相关政策制度，了解委托方需求，确定评价方案（</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14:paraId="5CF6BCFA">
                        <w:pPr>
                          <w:jc w:val="left"/>
                          <w:rPr>
                            <w:rFonts w:hint="eastAsia"/>
                            <w:sz w:val="22"/>
                          </w:rPr>
                        </w:pPr>
                        <w:r>
                          <w:rPr>
                            <w:rFonts w:hint="eastAsia"/>
                            <w:sz w:val="22"/>
                          </w:rPr>
                          <w:t>*根据评价方案收集所需资料</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日-</w:t>
                        </w:r>
                        <w:r>
                          <w:rPr>
                            <w:rFonts w:hint="eastAsia"/>
                            <w:sz w:val="22"/>
                            <w:lang w:val="en-US" w:eastAsia="zh-CN"/>
                          </w:rPr>
                          <w:t>18</w:t>
                        </w:r>
                        <w:r>
                          <w:rPr>
                            <w:rFonts w:hint="eastAsia"/>
                            <w:sz w:val="22"/>
                            <w:lang w:eastAsia="zh-CN"/>
                          </w:rPr>
                          <w:t>日</w:t>
                        </w:r>
                        <w:r>
                          <w:rPr>
                            <w:rFonts w:hint="eastAsia"/>
                            <w:sz w:val="22"/>
                          </w:rPr>
                          <w:t xml:space="preserve"> ）</w:t>
                        </w:r>
                      </w:p>
                      <w:p w14:paraId="29D333AF">
                        <w:pPr>
                          <w:jc w:val="left"/>
                          <w:rPr>
                            <w:rFonts w:hint="eastAsia"/>
                            <w:sz w:val="22"/>
                          </w:rPr>
                        </w:pPr>
                        <w:r>
                          <w:rPr>
                            <w:rFonts w:hint="eastAsia"/>
                            <w:sz w:val="22"/>
                          </w:rPr>
                          <w:t>*分组分工案卷研析，整合理论与实践资料，确定评价方法（</w:t>
                        </w:r>
                        <w:r>
                          <w:rPr>
                            <w:rFonts w:hint="eastAsia"/>
                            <w:sz w:val="22"/>
                            <w:lang w:val="en-US" w:eastAsia="zh-CN"/>
                          </w:rPr>
                          <w:t>6</w:t>
                        </w:r>
                        <w:r>
                          <w:rPr>
                            <w:rFonts w:hint="eastAsia"/>
                            <w:sz w:val="22"/>
                          </w:rPr>
                          <w:t>月</w:t>
                        </w:r>
                        <w:r>
                          <w:rPr>
                            <w:rFonts w:hint="eastAsia"/>
                            <w:sz w:val="22"/>
                            <w:lang w:val="en-US" w:eastAsia="zh-CN"/>
                          </w:rPr>
                          <w:t>16-18</w:t>
                        </w:r>
                        <w:r>
                          <w:rPr>
                            <w:rFonts w:hint="eastAsia"/>
                            <w:sz w:val="22"/>
                          </w:rPr>
                          <w:t>日）</w:t>
                        </w:r>
                      </w:p>
                      <w:p w14:paraId="2FF5B948">
                        <w:pPr>
                          <w:jc w:val="left"/>
                          <w:rPr>
                            <w:rFonts w:hint="eastAsia"/>
                            <w:sz w:val="22"/>
                          </w:rPr>
                        </w:pPr>
                        <w:r>
                          <w:rPr>
                            <w:rFonts w:hint="eastAsia"/>
                            <w:sz w:val="22"/>
                          </w:rPr>
                          <w:t>*现场评价（</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txbxContent>
                  </v:textbox>
                </v:rect>
                <v:rect id="矩形 6" o:spid="_x0000_s1026" o:spt="1" style="position:absolute;left:3177;top:0;height:570;width:2513;" filled="f" stroked="t" coordsize="21600,21600" o:gfxdata="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QezE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14:paraId="0E5E3523">
                        <w:pPr>
                          <w:jc w:val="center"/>
                          <w:rPr>
                            <w:rFonts w:hint="eastAsia"/>
                          </w:rPr>
                        </w:pPr>
                        <w:r>
                          <w:rPr>
                            <w:rFonts w:hint="eastAsia"/>
                          </w:rPr>
                          <w:t>开发绩效评价框架</w:t>
                        </w:r>
                      </w:p>
                    </w:txbxContent>
                  </v:textbox>
                </v:rect>
                <v:rect id="矩形 7" o:spid="_x0000_s1026" o:spt="1" style="position:absolute;left:3179;top:861;height:3553;width:2507;" filled="f" stroked="t" coordsize="21600,21600" o:gfxdata="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W3cF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14:paraId="045F5EB0">
                        <w:pPr>
                          <w:spacing w:line="400" w:lineRule="exact"/>
                          <w:jc w:val="left"/>
                          <w:rPr>
                            <w:rFonts w:hint="eastAsia"/>
                            <w:sz w:val="22"/>
                          </w:rPr>
                        </w:pPr>
                        <w:r>
                          <w:rPr>
                            <w:rFonts w:hint="eastAsia"/>
                            <w:sz w:val="22"/>
                          </w:rPr>
                          <w:t>*初步设计项目绩效评价指标体系及基础数据表（</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14:paraId="2A2E8E2A">
                        <w:pPr>
                          <w:spacing w:line="400" w:lineRule="exact"/>
                          <w:jc w:val="left"/>
                          <w:rPr>
                            <w:rFonts w:hint="eastAsia"/>
                            <w:sz w:val="22"/>
                          </w:rPr>
                        </w:pPr>
                        <w:r>
                          <w:rPr>
                            <w:rFonts w:hint="eastAsia"/>
                            <w:sz w:val="22"/>
                          </w:rPr>
                          <w:t>*与项目承担单位进行多次沟通，优化并确定指标体系及基础表（</w:t>
                        </w:r>
                        <w:r>
                          <w:rPr>
                            <w:rFonts w:hint="eastAsia"/>
                            <w:sz w:val="22"/>
                            <w:lang w:val="en-US" w:eastAsia="zh-CN"/>
                          </w:rPr>
                          <w:t>6</w:t>
                        </w:r>
                        <w:r>
                          <w:rPr>
                            <w:rFonts w:hint="eastAsia"/>
                            <w:sz w:val="22"/>
                          </w:rPr>
                          <w:t>月</w:t>
                        </w:r>
                        <w:r>
                          <w:rPr>
                            <w:rFonts w:hint="eastAsia"/>
                            <w:sz w:val="22"/>
                            <w:lang w:val="en-US" w:eastAsia="zh-CN"/>
                          </w:rPr>
                          <w:t>16</w:t>
                        </w:r>
                        <w:r>
                          <w:rPr>
                            <w:rFonts w:hint="eastAsia"/>
                            <w:sz w:val="22"/>
                          </w:rPr>
                          <w:t>-</w:t>
                        </w:r>
                        <w:r>
                          <w:rPr>
                            <w:rFonts w:hint="eastAsia"/>
                            <w:sz w:val="22"/>
                            <w:lang w:val="en-US" w:eastAsia="zh-CN"/>
                          </w:rPr>
                          <w:t>17</w:t>
                        </w:r>
                        <w:r>
                          <w:rPr>
                            <w:rFonts w:hint="eastAsia"/>
                            <w:sz w:val="22"/>
                          </w:rPr>
                          <w:t>日）</w:t>
                        </w:r>
                      </w:p>
                      <w:p w14:paraId="65F4F909">
                        <w:pPr>
                          <w:spacing w:line="400" w:lineRule="exact"/>
                          <w:jc w:val="left"/>
                          <w:rPr>
                            <w:rFonts w:hint="eastAsia"/>
                            <w:sz w:val="22"/>
                          </w:rPr>
                        </w:pPr>
                        <w:r>
                          <w:rPr>
                            <w:rFonts w:hint="eastAsia"/>
                            <w:sz w:val="22"/>
                          </w:rPr>
                          <w:t>*项目单位填报基础表，提供评价依据（</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17</w:t>
                        </w:r>
                        <w:r>
                          <w:rPr>
                            <w:rFonts w:hint="eastAsia"/>
                            <w:sz w:val="22"/>
                          </w:rPr>
                          <w:t>日）</w:t>
                        </w:r>
                      </w:p>
                      <w:p w14:paraId="3C4E9D15">
                        <w:pPr>
                          <w:rPr>
                            <w:rFonts w:hint="eastAsia" w:ascii="宋体" w:hAnsi="宋体" w:cs="宋体"/>
                            <w:color w:val="FF0000"/>
                            <w:kern w:val="0"/>
                            <w:sz w:val="20"/>
                            <w:szCs w:val="20"/>
                          </w:rPr>
                        </w:pPr>
                      </w:p>
                      <w:p w14:paraId="3C4178E9">
                        <w:pPr>
                          <w:rPr>
                            <w:rFonts w:hint="eastAsia" w:ascii="宋体" w:hAnsi="宋体" w:cs="宋体"/>
                            <w:color w:val="FF0000"/>
                            <w:kern w:val="0"/>
                            <w:sz w:val="20"/>
                            <w:szCs w:val="20"/>
                          </w:rPr>
                        </w:pPr>
                      </w:p>
                      <w:p w14:paraId="3B5FB523">
                        <w:pPr>
                          <w:rPr>
                            <w:rFonts w:hint="eastAsia" w:ascii="宋体" w:hAnsi="宋体" w:cs="宋体"/>
                            <w:color w:val="FF0000"/>
                            <w:kern w:val="0"/>
                            <w:sz w:val="20"/>
                            <w:szCs w:val="20"/>
                          </w:rPr>
                        </w:pPr>
                      </w:p>
                      <w:p w14:paraId="7D55A04A">
                        <w:pPr>
                          <w:rPr>
                            <w:rFonts w:hint="eastAsia" w:ascii="宋体" w:hAnsi="宋体" w:cs="宋体"/>
                            <w:color w:val="FF0000"/>
                            <w:kern w:val="0"/>
                            <w:sz w:val="20"/>
                            <w:szCs w:val="20"/>
                          </w:rPr>
                        </w:pPr>
                      </w:p>
                      <w:p w14:paraId="52B618F9">
                        <w:pPr>
                          <w:rPr>
                            <w:rFonts w:hint="eastAsia" w:ascii="宋体" w:hAnsi="宋体" w:cs="宋体"/>
                            <w:color w:val="FF0000"/>
                            <w:kern w:val="0"/>
                            <w:sz w:val="20"/>
                            <w:szCs w:val="20"/>
                          </w:rPr>
                        </w:pPr>
                      </w:p>
                      <w:p w14:paraId="2054C4F7">
                        <w:pPr>
                          <w:rPr>
                            <w:rFonts w:hint="eastAsia" w:ascii="宋体" w:hAnsi="宋体" w:cs="宋体"/>
                            <w:color w:val="FF0000"/>
                            <w:kern w:val="0"/>
                            <w:sz w:val="20"/>
                            <w:szCs w:val="20"/>
                          </w:rPr>
                        </w:pPr>
                      </w:p>
                      <w:p w14:paraId="235A1E34">
                        <w:pPr>
                          <w:rPr>
                            <w:rFonts w:hint="eastAsia" w:ascii="宋体" w:hAnsi="宋体" w:cs="宋体"/>
                            <w:color w:val="FF0000"/>
                            <w:kern w:val="0"/>
                            <w:sz w:val="20"/>
                            <w:szCs w:val="20"/>
                          </w:rPr>
                        </w:pPr>
                      </w:p>
                      <w:p w14:paraId="4B31EDFF">
                        <w:pPr>
                          <w:rPr>
                            <w:rFonts w:hint="eastAsia" w:ascii="宋体" w:hAnsi="宋体" w:cs="宋体"/>
                            <w:color w:val="FF0000"/>
                            <w:kern w:val="0"/>
                            <w:sz w:val="20"/>
                            <w:szCs w:val="20"/>
                          </w:rPr>
                        </w:pPr>
                      </w:p>
                    </w:txbxContent>
                  </v:textbox>
                </v:rect>
                <v:rect id="矩形 8" o:spid="_x0000_s1026" o:spt="1" style="position:absolute;left:6318;top:873;height:3540;width:2507;" filled="f" stroked="t" coordsize="21600,21600" o:gfxdata="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su9x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14:paraId="12FE77A6">
                        <w:pPr>
                          <w:spacing w:line="380" w:lineRule="exact"/>
                          <w:jc w:val="left"/>
                          <w:rPr>
                            <w:rFonts w:hint="eastAsia"/>
                            <w:sz w:val="22"/>
                          </w:rPr>
                        </w:pPr>
                        <w:r>
                          <w:rPr>
                            <w:rFonts w:hint="eastAsia"/>
                            <w:sz w:val="22"/>
                          </w:rPr>
                          <w:t>*社会调研：对项目、单位或负责人开展实地调研、电话访谈、问卷调查（</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p w14:paraId="54E5F2D9">
                        <w:pPr>
                          <w:spacing w:line="380" w:lineRule="exact"/>
                          <w:jc w:val="left"/>
                          <w:rPr>
                            <w:rFonts w:hint="eastAsia"/>
                            <w:sz w:val="22"/>
                          </w:rPr>
                        </w:pPr>
                        <w:r>
                          <w:rPr>
                            <w:rFonts w:hint="eastAsia"/>
                            <w:sz w:val="22"/>
                          </w:rPr>
                          <w:t>*开始绩效报告撰写（</w:t>
                        </w:r>
                        <w:r>
                          <w:rPr>
                            <w:rFonts w:hint="eastAsia"/>
                            <w:sz w:val="22"/>
                            <w:lang w:val="en-US" w:eastAsia="zh-CN"/>
                          </w:rPr>
                          <w:t>6</w:t>
                        </w:r>
                        <w:r>
                          <w:rPr>
                            <w:rFonts w:hint="eastAsia"/>
                            <w:sz w:val="22"/>
                          </w:rPr>
                          <w:t>月</w:t>
                        </w:r>
                        <w:r>
                          <w:rPr>
                            <w:rFonts w:hint="eastAsia"/>
                            <w:sz w:val="22"/>
                            <w:lang w:val="en-US" w:eastAsia="zh-CN"/>
                          </w:rPr>
                          <w:t>19</w:t>
                        </w:r>
                        <w:r>
                          <w:rPr>
                            <w:rFonts w:hint="eastAsia"/>
                            <w:sz w:val="22"/>
                          </w:rPr>
                          <w:t>-</w:t>
                        </w:r>
                        <w:r>
                          <w:rPr>
                            <w:rFonts w:hint="eastAsia"/>
                            <w:sz w:val="22"/>
                            <w:lang w:val="en-US" w:eastAsia="zh-CN"/>
                          </w:rPr>
                          <w:t>20</w:t>
                        </w:r>
                        <w:r>
                          <w:rPr>
                            <w:rFonts w:hint="eastAsia"/>
                            <w:sz w:val="22"/>
                          </w:rPr>
                          <w:t>日）</w:t>
                        </w:r>
                      </w:p>
                      <w:p w14:paraId="0B65DE75">
                        <w:pPr>
                          <w:spacing w:line="380" w:lineRule="exact"/>
                          <w:jc w:val="left"/>
                          <w:rPr>
                            <w:rFonts w:hint="eastAsia"/>
                            <w:sz w:val="22"/>
                          </w:rPr>
                        </w:pPr>
                        <w:r>
                          <w:rPr>
                            <w:rFonts w:hint="eastAsia"/>
                            <w:sz w:val="22"/>
                          </w:rPr>
                          <w:t>*邀请专家对项目及指标体系进行评审（</w:t>
                        </w:r>
                        <w:r>
                          <w:rPr>
                            <w:rFonts w:hint="eastAsia"/>
                            <w:sz w:val="22"/>
                            <w:lang w:val="en-US" w:eastAsia="zh-CN"/>
                          </w:rPr>
                          <w:t>6</w:t>
                        </w:r>
                        <w:r>
                          <w:rPr>
                            <w:rFonts w:hint="eastAsia"/>
                            <w:sz w:val="22"/>
                          </w:rPr>
                          <w:t>月</w:t>
                        </w:r>
                        <w:r>
                          <w:rPr>
                            <w:rFonts w:hint="eastAsia"/>
                            <w:sz w:val="22"/>
                            <w:lang w:val="en-US" w:eastAsia="zh-CN"/>
                          </w:rPr>
                          <w:t>20</w:t>
                        </w:r>
                        <w:r>
                          <w:rPr>
                            <w:rFonts w:hint="eastAsia"/>
                            <w:sz w:val="22"/>
                          </w:rPr>
                          <w:t>-</w:t>
                        </w:r>
                        <w:r>
                          <w:rPr>
                            <w:rFonts w:hint="eastAsia"/>
                            <w:sz w:val="22"/>
                            <w:lang w:val="en-US" w:eastAsia="zh-CN"/>
                          </w:rPr>
                          <w:t>22</w:t>
                        </w:r>
                        <w:r>
                          <w:rPr>
                            <w:rFonts w:hint="eastAsia"/>
                            <w:sz w:val="22"/>
                          </w:rPr>
                          <w:t>日）</w:t>
                        </w:r>
                      </w:p>
                      <w:p w14:paraId="3EEA3EFB">
                        <w:pPr>
                          <w:spacing w:line="380" w:lineRule="exact"/>
                          <w:jc w:val="left"/>
                          <w:rPr>
                            <w:rFonts w:hint="eastAsia"/>
                            <w:sz w:val="22"/>
                          </w:rPr>
                        </w:pPr>
                        <w:r>
                          <w:rPr>
                            <w:rFonts w:hint="eastAsia"/>
                            <w:sz w:val="22"/>
                          </w:rPr>
                          <w:t>*专家审稿、多方沟通与提交报告（</w:t>
                        </w:r>
                        <w:r>
                          <w:rPr>
                            <w:rFonts w:hint="eastAsia"/>
                            <w:sz w:val="22"/>
                            <w:lang w:val="en-US" w:eastAsia="zh-CN"/>
                          </w:rPr>
                          <w:t>6</w:t>
                        </w:r>
                        <w:r>
                          <w:rPr>
                            <w:rFonts w:hint="eastAsia"/>
                            <w:sz w:val="22"/>
                          </w:rPr>
                          <w:t>月</w:t>
                        </w:r>
                        <w:r>
                          <w:rPr>
                            <w:rFonts w:hint="eastAsia"/>
                            <w:sz w:val="22"/>
                            <w:lang w:val="en-US" w:eastAsia="zh-CN"/>
                          </w:rPr>
                          <w:t>23）</w:t>
                        </w:r>
                        <w:r>
                          <w:rPr>
                            <w:rFonts w:hint="eastAsia"/>
                            <w:sz w:val="22"/>
                          </w:rPr>
                          <w:t>日）</w:t>
                        </w:r>
                      </w:p>
                      <w:p w14:paraId="66C646DA">
                        <w:pPr>
                          <w:jc w:val="left"/>
                          <w:rPr>
                            <w:rFonts w:hint="eastAsia"/>
                            <w:sz w:val="16"/>
                            <w:szCs w:val="15"/>
                          </w:rPr>
                        </w:pPr>
                      </w:p>
                    </w:txbxContent>
                  </v:textbox>
                </v:rect>
                <v:rect id="矩形 5" o:spid="_x0000_s1026" o:spt="1" style="position:absolute;left:6319;top:4;height:570;width:2513;" filled="f" stroked="t" coordsize="21600,21600" o:gfxdata="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LNSd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14:paraId="3403BF98">
                        <w:pPr>
                          <w:jc w:val="center"/>
                          <w:rPr>
                            <w:rFonts w:hint="eastAsia"/>
                          </w:rPr>
                        </w:pPr>
                        <w:r>
                          <w:rPr>
                            <w:rFonts w:hint="eastAsia"/>
                          </w:rPr>
                          <w:t>完成评价方案</w:t>
                        </w:r>
                      </w:p>
                    </w:txbxContent>
                  </v:textbox>
                </v:rect>
                <v:line id="箭头 15" o:spid="_x0000_s1026" o:spt="20" style="position:absolute;left:1206;top:593;height:257;width:1;" filled="f" stroked="t" coordsize="21600,21600" o:gfxdata="UEsDBAoAAAAAAIdO4kAAAAAAAAAAAAAAAAAEAAAAZHJzL1BLAwQUAAAACACHTuJAUN5fproAAADb&#10;AAAADwAAAGRycy9kb3ducmV2LnhtbEVPz2vCMBS+D/wfwhN2W5NOtk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3l+m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17" o:spid="_x0000_s1026" o:spt="20" style="position:absolute;left:4377;top:582;height:279;width:1;" filled="f" stroked="t" coordsize="21600,21600" o:gfxdata="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j2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箭头 19" o:spid="_x0000_s1026" o:spt="20" style="position:absolute;left:7581;top:593;height:278;width:1;" filled="f" stroked="t" coordsize="21600,21600" o:gfxdata="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riDd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21" o:spid="_x0000_s1026" o:spt="20" style="position:absolute;left:2545;top:293;height:1;width:622;" filled="f" stroked="t" coordsize="21600,21600" o:gfxdata="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4oVG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箭头 23" o:spid="_x0000_s1026" o:spt="20" style="position:absolute;left:5695;top:282;height:1;width:622;" filled="f" stroked="t" coordsize="21600,21600" o:gfxdata="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wGzG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group>
            </w:pict>
          </mc:Fallback>
        </mc:AlternateContent>
      </w:r>
    </w:p>
    <w:p w14:paraId="1B0E1923">
      <w:pPr>
        <w:pStyle w:val="19"/>
        <w:spacing w:line="510" w:lineRule="exact"/>
        <w:ind w:right="-115" w:rightChars="-55" w:firstLine="480" w:firstLineChars="200"/>
        <w:outlineLvl w:val="9"/>
        <w:rPr>
          <w:rFonts w:hint="eastAsia" w:cs="Times New Roman"/>
          <w:color w:val="auto"/>
          <w:sz w:val="24"/>
          <w:szCs w:val="24"/>
          <w:highlight w:val="none"/>
        </w:rPr>
      </w:pPr>
    </w:p>
    <w:p w14:paraId="4C38C101">
      <w:pPr>
        <w:pStyle w:val="20"/>
        <w:ind w:left="1605" w:firstLine="0" w:firstLineChars="0"/>
        <w:outlineLvl w:val="9"/>
        <w:rPr>
          <w:bCs/>
          <w:color w:val="FF0000"/>
          <w:highlight w:val="none"/>
        </w:rPr>
      </w:pPr>
    </w:p>
    <w:p w14:paraId="4A7A4C8E">
      <w:pPr>
        <w:pStyle w:val="20"/>
        <w:ind w:left="1605" w:firstLine="0" w:firstLineChars="0"/>
        <w:outlineLvl w:val="9"/>
        <w:rPr>
          <w:bCs/>
          <w:color w:val="FF0000"/>
          <w:highlight w:val="none"/>
        </w:rPr>
      </w:pPr>
    </w:p>
    <w:p w14:paraId="1A90017A">
      <w:pPr>
        <w:pStyle w:val="20"/>
        <w:ind w:left="1605" w:firstLine="0" w:firstLineChars="0"/>
        <w:outlineLvl w:val="9"/>
        <w:rPr>
          <w:bCs/>
          <w:color w:val="FF0000"/>
          <w:highlight w:val="none"/>
        </w:rPr>
      </w:pPr>
    </w:p>
    <w:p w14:paraId="10AD11EA">
      <w:pPr>
        <w:pStyle w:val="20"/>
        <w:ind w:left="1605" w:firstLine="0" w:firstLineChars="0"/>
        <w:outlineLvl w:val="9"/>
        <w:rPr>
          <w:bCs/>
          <w:color w:val="FF0000"/>
          <w:highlight w:val="none"/>
        </w:rPr>
      </w:pPr>
    </w:p>
    <w:p w14:paraId="3CBA4A7A">
      <w:pPr>
        <w:pStyle w:val="20"/>
        <w:ind w:left="1605" w:firstLine="0" w:firstLineChars="0"/>
        <w:outlineLvl w:val="9"/>
        <w:rPr>
          <w:bCs/>
          <w:color w:val="FF0000"/>
          <w:highlight w:val="none"/>
        </w:rPr>
      </w:pPr>
    </w:p>
    <w:p w14:paraId="2A788228">
      <w:pPr>
        <w:pStyle w:val="20"/>
        <w:ind w:left="1605" w:firstLine="0" w:firstLineChars="0"/>
        <w:outlineLvl w:val="9"/>
        <w:rPr>
          <w:bCs/>
          <w:color w:val="FF0000"/>
          <w:highlight w:val="none"/>
        </w:rPr>
      </w:pPr>
    </w:p>
    <w:p w14:paraId="09C05ACD">
      <w:pPr>
        <w:pStyle w:val="20"/>
        <w:ind w:left="1605" w:firstLine="0" w:firstLineChars="0"/>
        <w:outlineLvl w:val="9"/>
        <w:rPr>
          <w:bCs/>
          <w:color w:val="FF0000"/>
          <w:highlight w:val="none"/>
        </w:rPr>
      </w:pPr>
    </w:p>
    <w:p w14:paraId="504D40C1">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14:paraId="5EACE753">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14:paraId="6786D328">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14:paraId="57A022B5">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14:paraId="226A7B74">
      <w:pPr>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lang w:val="en-US" w:eastAsia="zh-CN"/>
        </w:rPr>
        <w:t xml:space="preserve"> </w:t>
      </w:r>
      <w:bookmarkStart w:id="26" w:name="_Toc17085"/>
      <w:r>
        <w:rPr>
          <w:rFonts w:hint="eastAsia" w:asciiTheme="majorEastAsia" w:hAnsiTheme="majorEastAsia" w:eastAsiaTheme="majorEastAsia" w:cstheme="majorEastAsia"/>
          <w:b w:val="0"/>
          <w:bCs/>
          <w:color w:val="auto"/>
          <w:sz w:val="24"/>
          <w:szCs w:val="24"/>
          <w:highlight w:val="none"/>
          <w:lang w:val="en-US" w:eastAsia="zh-CN"/>
        </w:rPr>
        <w:t>（2）</w:t>
      </w:r>
      <w:r>
        <w:rPr>
          <w:rFonts w:hint="eastAsia" w:asciiTheme="majorEastAsia" w:hAnsiTheme="majorEastAsia" w:eastAsiaTheme="majorEastAsia" w:cstheme="majorEastAsia"/>
          <w:b w:val="0"/>
          <w:bCs/>
          <w:color w:val="auto"/>
          <w:sz w:val="24"/>
          <w:szCs w:val="24"/>
          <w:highlight w:val="none"/>
        </w:rPr>
        <w:t>绩效评价依据</w:t>
      </w:r>
      <w:bookmarkEnd w:id="26"/>
    </w:p>
    <w:p w14:paraId="5F248728">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《预算绩效评价共性指标体系框架》（财预[2013]53号）；</w:t>
      </w:r>
    </w:p>
    <w:p w14:paraId="05C8518F">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② </w:t>
      </w:r>
      <w:r>
        <w:rPr>
          <w:rFonts w:hint="eastAsia" w:asciiTheme="majorEastAsia" w:hAnsiTheme="majorEastAsia" w:eastAsiaTheme="majorEastAsia" w:cstheme="majorEastAsia"/>
          <w:color w:val="auto"/>
          <w:sz w:val="24"/>
          <w:szCs w:val="24"/>
          <w:highlight w:val="none"/>
        </w:rPr>
        <w:t>财政部《财政支出绩效评价管理暂行办法》（财预〔2011〕285号）；</w:t>
      </w:r>
    </w:p>
    <w:p w14:paraId="3F5A018B">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《财政支出（项目支出）绩效评价操作指引(试行)》（中评协[2014]70号）；</w:t>
      </w:r>
    </w:p>
    <w:p w14:paraId="060964D0">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《湖北省财政项目资金绩效评价操作指南》（鄂财函[2014]376号）；</w:t>
      </w:r>
    </w:p>
    <w:p w14:paraId="2B53ACD3">
      <w:pPr>
        <w:pStyle w:val="16"/>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⑤</w:t>
      </w:r>
      <w:r>
        <w:rPr>
          <w:rFonts w:hint="eastAsia" w:asciiTheme="majorEastAsia" w:hAnsiTheme="majorEastAsia" w:eastAsiaTheme="majorEastAsia" w:cstheme="majorEastAsia"/>
          <w:color w:val="auto"/>
          <w:sz w:val="24"/>
          <w:szCs w:val="24"/>
          <w:highlight w:val="none"/>
        </w:rPr>
        <w:t>《湖北省省级财政项目资金绩效评价实施暂行办法》（鄂财绩发[2012]5号）；</w:t>
      </w:r>
    </w:p>
    <w:p w14:paraId="2491EE96">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⑥ </w:t>
      </w:r>
      <w:r>
        <w:rPr>
          <w:rFonts w:hint="eastAsia" w:asciiTheme="majorEastAsia" w:hAnsiTheme="majorEastAsia" w:eastAsiaTheme="majorEastAsia" w:cstheme="majorEastAsia"/>
          <w:color w:val="auto"/>
          <w:sz w:val="24"/>
          <w:szCs w:val="24"/>
          <w:highlight w:val="none"/>
        </w:rPr>
        <w:t>财政部《行政单位会计制度》、《事业单位会计制度》及补充规定</w:t>
      </w:r>
      <w:r>
        <w:rPr>
          <w:rFonts w:hint="eastAsia" w:asciiTheme="majorEastAsia" w:hAnsiTheme="majorEastAsia" w:eastAsiaTheme="majorEastAsia" w:cstheme="majorEastAsia"/>
          <w:color w:val="auto"/>
          <w:sz w:val="24"/>
          <w:szCs w:val="24"/>
          <w:highlight w:val="none"/>
          <w:lang w:eastAsia="zh-CN"/>
        </w:rPr>
        <w:t>。</w:t>
      </w:r>
    </w:p>
    <w:p w14:paraId="158BEA51">
      <w:pPr>
        <w:pStyle w:val="12"/>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360" w:lineRule="auto"/>
        <w:ind w:right="300" w:firstLine="482" w:firstLineChars="200"/>
        <w:jc w:val="left"/>
        <w:textAlignment w:val="auto"/>
        <w:outlineLvl w:val="9"/>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（3）绩效评价等级标准</w:t>
      </w:r>
    </w:p>
    <w:p w14:paraId="7AE3848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依据</w:t>
      </w:r>
      <w:r>
        <w:rPr>
          <w:rFonts w:hint="eastAsia" w:ascii="宋体" w:hAnsi="宋体" w:eastAsia="宋体" w:cs="宋体"/>
          <w:color w:val="auto"/>
          <w:kern w:val="2"/>
          <w:sz w:val="24"/>
          <w:szCs w:val="24"/>
          <w:highlight w:val="none"/>
          <w:lang w:val="en-US" w:eastAsia="zh-CN" w:bidi="ar-SA"/>
        </w:rPr>
        <w:t>《武昌区财政局关于开展2018年区级财政支出绩效评价工作的通知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，将评分结果级别类型分为如下档次：</w:t>
      </w:r>
    </w:p>
    <w:p w14:paraId="438A0820">
      <w:pPr>
        <w:pStyle w:val="16"/>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outlineLvl w:val="9"/>
        <w:rPr>
          <w:rFonts w:hint="eastAsia" w:ascii="宋体" w:hAnsi="宋体" w:cs="宋体"/>
          <w:color w:val="auto"/>
          <w:sz w:val="24"/>
          <w:szCs w:val="24"/>
          <w:highlight w:val="none"/>
        </w:rPr>
      </w:pPr>
      <w:bookmarkStart w:id="27" w:name="_Toc29723_WPSOffice_Level3"/>
      <w:r>
        <w:rPr>
          <w:rFonts w:hint="eastAsia" w:ascii="楷体" w:hAnsi="楷体" w:eastAsia="楷体" w:cs="楷体"/>
          <w:b/>
          <w:color w:val="auto"/>
          <w:sz w:val="24"/>
          <w:szCs w:val="24"/>
          <w:highlight w:val="none"/>
          <w:lang w:eastAsia="zh-CN"/>
        </w:rPr>
        <w:t>表</w:t>
      </w:r>
      <w:r>
        <w:rPr>
          <w:rFonts w:hint="eastAsia" w:ascii="楷体" w:hAnsi="楷体" w:eastAsia="楷体" w:cs="楷体"/>
          <w:b/>
          <w:color w:val="auto"/>
          <w:sz w:val="24"/>
          <w:szCs w:val="24"/>
          <w:highlight w:val="none"/>
          <w:lang w:val="en-US" w:eastAsia="zh-CN"/>
        </w:rPr>
        <w:t xml:space="preserve">2   </w:t>
      </w:r>
      <w:r>
        <w:rPr>
          <w:rFonts w:hint="eastAsia" w:ascii="楷体" w:hAnsi="楷体" w:eastAsia="楷体" w:cs="楷体"/>
          <w:b/>
          <w:color w:val="auto"/>
          <w:sz w:val="24"/>
          <w:szCs w:val="24"/>
          <w:highlight w:val="none"/>
        </w:rPr>
        <w:t>评分结果级别评定对照表</w:t>
      </w:r>
      <w:bookmarkEnd w:id="27"/>
    </w:p>
    <w:tbl>
      <w:tblPr>
        <w:tblStyle w:val="13"/>
        <w:tblW w:w="4281" w:type="dxa"/>
        <w:jc w:val="center"/>
        <w:tblLayout w:type="fixed"/>
        <w:tblCellMar>
          <w:top w:w="0" w:type="dxa"/>
          <w:left w:w="108" w:type="dxa"/>
          <w:bottom w:w="0" w:type="dxa"/>
          <w:right w:w="108" w:type="dxa"/>
        </w:tblCellMar>
      </w:tblPr>
      <w:tblGrid>
        <w:gridCol w:w="2534"/>
        <w:gridCol w:w="1747"/>
      </w:tblGrid>
      <w:tr w14:paraId="7B051373">
        <w:tblPrEx>
          <w:tblCellMar>
            <w:top w:w="0" w:type="dxa"/>
            <w:left w:w="108" w:type="dxa"/>
            <w:bottom w:w="0" w:type="dxa"/>
            <w:right w:w="108" w:type="dxa"/>
          </w:tblCellMar>
        </w:tblPrEx>
        <w:trPr>
          <w:trHeight w:val="49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0A236ED6">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评分计分结果</w:t>
            </w:r>
          </w:p>
        </w:tc>
        <w:tc>
          <w:tcPr>
            <w:tcW w:w="1747" w:type="dxa"/>
            <w:tcBorders>
              <w:top w:val="single" w:color="auto" w:sz="4" w:space="0"/>
              <w:left w:val="single" w:color="auto" w:sz="4" w:space="0"/>
              <w:bottom w:val="single" w:color="auto" w:sz="4" w:space="0"/>
              <w:right w:val="single" w:color="auto" w:sz="4" w:space="0"/>
            </w:tcBorders>
            <w:vAlign w:val="center"/>
          </w:tcPr>
          <w:p w14:paraId="72C73919">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评价结果级别</w:t>
            </w:r>
          </w:p>
        </w:tc>
      </w:tr>
      <w:tr w14:paraId="5BB55301">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7354CA22">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90-100分（含90分）</w:t>
            </w:r>
          </w:p>
        </w:tc>
        <w:tc>
          <w:tcPr>
            <w:tcW w:w="1747" w:type="dxa"/>
            <w:tcBorders>
              <w:top w:val="single" w:color="auto" w:sz="4" w:space="0"/>
              <w:left w:val="single" w:color="auto" w:sz="4" w:space="0"/>
              <w:bottom w:val="single" w:color="auto" w:sz="4" w:space="0"/>
              <w:right w:val="single" w:color="auto" w:sz="4" w:space="0"/>
            </w:tcBorders>
            <w:vAlign w:val="center"/>
          </w:tcPr>
          <w:p w14:paraId="7226B212">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优</w:t>
            </w:r>
          </w:p>
        </w:tc>
      </w:tr>
      <w:tr w14:paraId="0E176071">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183C89FE">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80-90分（含80分）</w:t>
            </w:r>
          </w:p>
        </w:tc>
        <w:tc>
          <w:tcPr>
            <w:tcW w:w="1747" w:type="dxa"/>
            <w:tcBorders>
              <w:top w:val="single" w:color="auto" w:sz="4" w:space="0"/>
              <w:left w:val="single" w:color="auto" w:sz="4" w:space="0"/>
              <w:bottom w:val="single" w:color="auto" w:sz="4" w:space="0"/>
              <w:right w:val="single" w:color="auto" w:sz="4" w:space="0"/>
            </w:tcBorders>
            <w:vAlign w:val="center"/>
          </w:tcPr>
          <w:p w14:paraId="093B9E5B">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良</w:t>
            </w:r>
          </w:p>
        </w:tc>
      </w:tr>
      <w:tr w14:paraId="33420175">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7A16E7A5">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60-80分（含60分）</w:t>
            </w:r>
          </w:p>
        </w:tc>
        <w:tc>
          <w:tcPr>
            <w:tcW w:w="1747" w:type="dxa"/>
            <w:tcBorders>
              <w:top w:val="single" w:color="auto" w:sz="4" w:space="0"/>
              <w:left w:val="single" w:color="auto" w:sz="4" w:space="0"/>
              <w:bottom w:val="single" w:color="auto" w:sz="4" w:space="0"/>
              <w:right w:val="single" w:color="auto" w:sz="4" w:space="0"/>
            </w:tcBorders>
            <w:vAlign w:val="center"/>
          </w:tcPr>
          <w:p w14:paraId="6B99A773">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中</w:t>
            </w:r>
          </w:p>
        </w:tc>
      </w:tr>
      <w:tr w14:paraId="4DC24AB1">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00DBDCC5">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60分以下</w:t>
            </w:r>
          </w:p>
        </w:tc>
        <w:tc>
          <w:tcPr>
            <w:tcW w:w="1747" w:type="dxa"/>
            <w:tcBorders>
              <w:top w:val="single" w:color="auto" w:sz="4" w:space="0"/>
              <w:left w:val="single" w:color="auto" w:sz="4" w:space="0"/>
              <w:bottom w:val="single" w:color="auto" w:sz="4" w:space="0"/>
              <w:right w:val="single" w:color="auto" w:sz="4" w:space="0"/>
            </w:tcBorders>
            <w:vAlign w:val="center"/>
          </w:tcPr>
          <w:p w14:paraId="7B34F24D">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差</w:t>
            </w:r>
          </w:p>
        </w:tc>
      </w:tr>
    </w:tbl>
    <w:p w14:paraId="00B366D5">
      <w:pPr>
        <w:outlineLvl w:val="9"/>
        <w:rPr>
          <w:rFonts w:hint="eastAsia"/>
          <w:lang w:val="en-US" w:eastAsia="zh-CN"/>
        </w:rPr>
      </w:pPr>
    </w:p>
    <w:p w14:paraId="6588AE9A">
      <w:pPr>
        <w:outlineLvl w:val="9"/>
        <w:rPr>
          <w:rFonts w:hint="eastAsia"/>
          <w:color w:val="auto"/>
          <w:lang w:val="en-US" w:eastAsia="zh-CN"/>
        </w:rPr>
      </w:pPr>
    </w:p>
    <w:p w14:paraId="721F6991">
      <w:pPr>
        <w:pStyle w:val="2"/>
        <w:keepNext/>
        <w:keepLines/>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Theme="majorEastAsia" w:hAnsiTheme="majorEastAsia" w:eastAsiaTheme="majorEastAsia" w:cstheme="majorEastAsia"/>
          <w:color w:val="000000" w:themeColor="text1"/>
          <w:sz w:val="30"/>
          <w:szCs w:val="30"/>
          <w:lang w:eastAsia="zh-CN"/>
          <w14:textFill>
            <w14:solidFill>
              <w14:schemeClr w14:val="tx1"/>
            </w14:solidFill>
          </w14:textFill>
        </w:rPr>
      </w:pPr>
      <w:bookmarkStart w:id="28" w:name="_Toc15373"/>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绩效分析及评价结论</w:t>
      </w:r>
      <w:bookmarkEnd w:id="28"/>
    </w:p>
    <w:p w14:paraId="4EEAB98B">
      <w:pPr>
        <w:pStyle w:val="3"/>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Theme="majorEastAsia" w:hAnsiTheme="majorEastAsia" w:eastAsiaTheme="majorEastAsia" w:cstheme="majorEastAsia"/>
          <w:color w:val="000000" w:themeColor="text1"/>
          <w:sz w:val="30"/>
          <w:szCs w:val="30"/>
          <w:lang w:eastAsia="zh-CN"/>
          <w14:textFill>
            <w14:solidFill>
              <w14:schemeClr w14:val="tx1"/>
            </w14:solidFill>
          </w14:textFill>
        </w:rPr>
      </w:pPr>
      <w:bookmarkStart w:id="29" w:name="_Toc10350"/>
      <w:r>
        <w:rPr>
          <w:rFonts w:hint="eastAsia" w:asciiTheme="majorEastAsia" w:hAnsiTheme="majorEastAsia" w:eastAsiaTheme="majorEastAsia" w:cstheme="majorEastAsia"/>
          <w:color w:val="000000" w:themeColor="text1"/>
          <w:sz w:val="30"/>
          <w:szCs w:val="30"/>
          <w:lang w:eastAsia="zh-CN"/>
          <w14:textFill>
            <w14:solidFill>
              <w14:schemeClr w14:val="tx1"/>
            </w14:solidFill>
          </w14:textFill>
        </w:rPr>
        <w:t>（一）绩效分析</w:t>
      </w:r>
      <w:bookmarkEnd w:id="29"/>
    </w:p>
    <w:p w14:paraId="72585B7C">
      <w:pPr>
        <w:pStyle w:val="4"/>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2"/>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bookmarkStart w:id="30" w:name="_Toc15791"/>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1.项目情况分析</w:t>
      </w:r>
      <w:bookmarkEnd w:id="30"/>
    </w:p>
    <w:p w14:paraId="07FDC816">
      <w:pPr>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（1）项目资金到位情况分析</w:t>
      </w:r>
    </w:p>
    <w:p w14:paraId="085A49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《武昌区财政局关于武昌区工商行政管理和质量技术监督局2017年部门预算的批复》</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文件发布后</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武昌区工商质监局</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根据省市部门相关文件精神，认真组织实施</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武昌区聘用人员经费项目</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，按照总体规划、分步实施的原则，最大限度地提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高</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资金使用效益</w:t>
      </w:r>
      <w:bookmarkStart w:id="31" w:name="_Toc13088"/>
      <w:bookmarkStart w:id="32" w:name="_Toc9757"/>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武昌区工商质监局针对2017年度武昌区聘用人员经费项目资金328万元，实到328万，资金及时到位。用于</w:t>
      </w:r>
      <w:r>
        <w:rPr>
          <w:rFonts w:hint="eastAsia" w:ascii="宋体" w:hAnsi="宋体" w:cs="宋体"/>
          <w:color w:val="000000" w:themeColor="text1"/>
          <w:sz w:val="24"/>
          <w:szCs w:val="24"/>
          <w:highlight w:val="none"/>
          <w:lang w:val="en-US" w:eastAsia="zh-CN"/>
          <w14:textFill>
            <w14:solidFill>
              <w14:schemeClr w14:val="tx1"/>
            </w14:solidFill>
          </w14:textFill>
        </w:rPr>
        <w:t>支付员薪酬福利及相关开支费用</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武昌区</w:t>
      </w:r>
      <w:r>
        <w:rPr>
          <w:rFonts w:hint="eastAsia" w:ascii="宋体" w:hAnsi="宋体" w:cs="宋体"/>
          <w:color w:val="auto"/>
          <w:sz w:val="24"/>
          <w:szCs w:val="24"/>
          <w:highlight w:val="none"/>
          <w:lang w:val="en-US" w:eastAsia="zh-CN"/>
        </w:rPr>
        <w:t>2017年度聘用人员经费项目年初预算为328万，其中第三方支付为276万，财政直接拨付52万，共计328万。</w:t>
      </w:r>
    </w:p>
    <w:bookmarkEnd w:id="31"/>
    <w:bookmarkEnd w:id="32"/>
    <w:p w14:paraId="26C7DB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2017年度武昌区聘用人员经费项目</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资金</w:t>
      </w:r>
      <w:r>
        <w:rPr>
          <w:rFonts w:hint="eastAsia" w:asciiTheme="majorEastAsia" w:hAnsiTheme="majorEastAsia" w:eastAsiaTheme="majorEastAsia" w:cstheme="majorEastAsia"/>
          <w:b/>
          <w:bCs/>
          <w:snapToGrid w:val="0"/>
          <w:color w:val="000000" w:themeColor="text1"/>
          <w:kern w:val="0"/>
          <w:sz w:val="24"/>
          <w:szCs w:val="24"/>
          <w:highlight w:val="none"/>
          <w:lang w:eastAsia="zh-CN"/>
          <w14:textFill>
            <w14:solidFill>
              <w14:schemeClr w14:val="tx1"/>
            </w14:solidFill>
          </w14:textFill>
        </w:rPr>
        <w:t>来源</w:t>
      </w:r>
      <w:r>
        <w:rPr>
          <w:rFonts w:hint="eastAsia" w:asciiTheme="majorEastAsia" w:hAnsiTheme="majorEastAsia" w:eastAsiaTheme="majorEastAsia" w:cstheme="majorEastAsia"/>
          <w:b/>
          <w:bCs/>
          <w:snapToGrid w:val="0"/>
          <w:color w:val="000000" w:themeColor="text1"/>
          <w:kern w:val="0"/>
          <w:sz w:val="24"/>
          <w:szCs w:val="24"/>
          <w:highlight w:val="none"/>
          <w14:textFill>
            <w14:solidFill>
              <w14:schemeClr w14:val="tx1"/>
            </w14:solidFill>
          </w14:textFill>
        </w:rPr>
        <w:t>:</w:t>
      </w:r>
    </w:p>
    <w:p w14:paraId="3A125B28">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snapToGrid w:val="0"/>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武昌区工商质监局</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《武昌区财政局关于武昌区工商行政管理和质量技术监督局2017年部门预算的批复》，</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2017年度武昌区聘用人员经费项目</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支付资金安排拨付328万元。</w:t>
      </w:r>
      <w:r>
        <w:rPr>
          <w:rFonts w:hint="eastAsia" w:asciiTheme="majorEastAsia" w:hAnsiTheme="majorEastAsia" w:eastAsiaTheme="majorEastAsia" w:cstheme="majorEastAsia"/>
          <w:snapToGrid w:val="0"/>
          <w:color w:val="000000" w:themeColor="text1"/>
          <w:kern w:val="0"/>
          <w:sz w:val="24"/>
          <w:szCs w:val="24"/>
          <w:highlight w:val="none"/>
          <w:lang w:val="en-US" w:eastAsia="zh-CN"/>
          <w14:textFill>
            <w14:solidFill>
              <w14:schemeClr w14:val="tx1"/>
            </w14:solidFill>
          </w14:textFill>
        </w:rPr>
        <w:t>全部来源于区级财政拨款。</w:t>
      </w:r>
    </w:p>
    <w:tbl>
      <w:tblPr>
        <w:tblStyle w:val="13"/>
        <w:tblpPr w:leftFromText="180" w:rightFromText="180" w:vertAnchor="text" w:horzAnchor="page" w:tblpX="1893" w:tblpY="25"/>
        <w:tblOverlap w:val="never"/>
        <w:tblW w:w="8660" w:type="dxa"/>
        <w:tblInd w:w="0" w:type="dxa"/>
        <w:tblLayout w:type="fixed"/>
        <w:tblCellMar>
          <w:top w:w="15" w:type="dxa"/>
          <w:left w:w="15" w:type="dxa"/>
          <w:bottom w:w="15" w:type="dxa"/>
          <w:right w:w="15" w:type="dxa"/>
        </w:tblCellMar>
      </w:tblPr>
      <w:tblGrid>
        <w:gridCol w:w="1225"/>
        <w:gridCol w:w="3876"/>
        <w:gridCol w:w="3559"/>
      </w:tblGrid>
      <w:tr w14:paraId="16DF001A">
        <w:tblPrEx>
          <w:tblCellMar>
            <w:top w:w="15" w:type="dxa"/>
            <w:left w:w="15" w:type="dxa"/>
            <w:bottom w:w="15" w:type="dxa"/>
            <w:right w:w="15" w:type="dxa"/>
          </w:tblCellMar>
        </w:tblPrEx>
        <w:trPr>
          <w:trHeight w:val="397" w:hRule="exact"/>
        </w:trPr>
        <w:tc>
          <w:tcPr>
            <w:tcW w:w="8660" w:type="dxa"/>
            <w:gridSpan w:val="3"/>
            <w:vAlign w:val="center"/>
          </w:tcPr>
          <w:p w14:paraId="10253B9E">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FF0000"/>
                <w:sz w:val="24"/>
                <w:szCs w:val="24"/>
                <w:highlight w:val="none"/>
              </w:rPr>
            </w:pPr>
            <w:r>
              <w:rPr>
                <w:rFonts w:hint="eastAsia" w:ascii="宋体" w:hAnsi="宋体" w:cs="宋体"/>
                <w:b/>
                <w:bCs w:val="0"/>
                <w:color w:val="000000"/>
                <w:sz w:val="24"/>
                <w:szCs w:val="24"/>
                <w:highlight w:val="none"/>
                <w:shd w:val="clear" w:color="auto" w:fill="auto"/>
                <w:lang w:val="en-US" w:eastAsia="zh-CN"/>
              </w:rPr>
              <w:t>2017年度武昌区聘用人员经费项目预算资金来源</w:t>
            </w:r>
          </w:p>
        </w:tc>
      </w:tr>
      <w:tr w14:paraId="5F7F8DB7">
        <w:tblPrEx>
          <w:tblCellMar>
            <w:top w:w="15" w:type="dxa"/>
            <w:left w:w="15" w:type="dxa"/>
            <w:bottom w:w="15" w:type="dxa"/>
            <w:right w:w="15" w:type="dxa"/>
          </w:tblCellMar>
        </w:tblPrEx>
        <w:trPr>
          <w:trHeight w:val="397" w:hRule="exact"/>
        </w:trPr>
        <w:tc>
          <w:tcPr>
            <w:tcW w:w="1225" w:type="dxa"/>
            <w:tcBorders>
              <w:top w:val="single" w:color="000000" w:sz="12" w:space="0"/>
              <w:left w:val="single" w:color="000000" w:sz="12" w:space="0"/>
              <w:bottom w:val="single" w:color="000000" w:sz="4" w:space="0"/>
              <w:right w:val="single" w:color="000000" w:sz="4" w:space="0"/>
            </w:tcBorders>
            <w:vAlign w:val="center"/>
          </w:tcPr>
          <w:p w14:paraId="62D57EA4">
            <w:pPr>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序号</w:t>
            </w:r>
          </w:p>
        </w:tc>
        <w:tc>
          <w:tcPr>
            <w:tcW w:w="3876" w:type="dxa"/>
            <w:tcBorders>
              <w:top w:val="single" w:color="000000" w:sz="12" w:space="0"/>
              <w:left w:val="single" w:color="000000" w:sz="4" w:space="0"/>
              <w:bottom w:val="single" w:color="000000" w:sz="4" w:space="0"/>
              <w:right w:val="single" w:color="000000" w:sz="4" w:space="0"/>
            </w:tcBorders>
            <w:vAlign w:val="center"/>
          </w:tcPr>
          <w:p w14:paraId="3DC18327">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预算来源</w:t>
            </w:r>
          </w:p>
        </w:tc>
        <w:tc>
          <w:tcPr>
            <w:tcW w:w="3559" w:type="dxa"/>
            <w:tcBorders>
              <w:top w:val="single" w:color="000000" w:sz="12" w:space="0"/>
              <w:left w:val="single" w:color="000000" w:sz="4" w:space="0"/>
              <w:bottom w:val="single" w:color="000000" w:sz="4" w:space="0"/>
              <w:right w:val="single" w:color="000000" w:sz="4" w:space="0"/>
            </w:tcBorders>
            <w:vAlign w:val="center"/>
          </w:tcPr>
          <w:p w14:paraId="5811B30C">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预算金额</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万元</w:t>
            </w:r>
            <w:r>
              <w:rPr>
                <w:rFonts w:hint="eastAsia" w:ascii="宋体" w:hAnsi="宋体" w:eastAsia="宋体" w:cs="宋体"/>
                <w:color w:val="auto"/>
                <w:kern w:val="0"/>
                <w:sz w:val="18"/>
                <w:szCs w:val="18"/>
                <w:highlight w:val="none"/>
                <w:lang w:eastAsia="zh-CN" w:bidi="ar"/>
              </w:rPr>
              <w:t>）</w:t>
            </w:r>
          </w:p>
        </w:tc>
      </w:tr>
      <w:tr w14:paraId="725A7B15">
        <w:tblPrEx>
          <w:tblCellMar>
            <w:top w:w="15" w:type="dxa"/>
            <w:left w:w="15" w:type="dxa"/>
            <w:bottom w:w="15" w:type="dxa"/>
            <w:right w:w="15" w:type="dxa"/>
          </w:tblCellMar>
        </w:tblPrEx>
        <w:trPr>
          <w:trHeight w:val="397" w:hRule="exact"/>
        </w:trPr>
        <w:tc>
          <w:tcPr>
            <w:tcW w:w="1225" w:type="dxa"/>
            <w:tcBorders>
              <w:top w:val="single" w:color="000000" w:sz="4" w:space="0"/>
              <w:left w:val="single" w:color="000000" w:sz="12" w:space="0"/>
              <w:bottom w:val="single" w:color="000000" w:sz="4" w:space="0"/>
              <w:right w:val="single" w:color="000000" w:sz="4" w:space="0"/>
            </w:tcBorders>
            <w:vAlign w:val="center"/>
          </w:tcPr>
          <w:p w14:paraId="091240EF">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3876" w:type="dxa"/>
            <w:tcBorders>
              <w:top w:val="single" w:color="000000" w:sz="4" w:space="0"/>
              <w:left w:val="single" w:color="000000" w:sz="4" w:space="0"/>
              <w:bottom w:val="single" w:color="000000" w:sz="4" w:space="0"/>
              <w:right w:val="single" w:color="000000" w:sz="4" w:space="0"/>
            </w:tcBorders>
            <w:vAlign w:val="center"/>
          </w:tcPr>
          <w:p w14:paraId="2ED4CC71">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中央资金</w:t>
            </w:r>
          </w:p>
        </w:tc>
        <w:tc>
          <w:tcPr>
            <w:tcW w:w="3559" w:type="dxa"/>
            <w:tcBorders>
              <w:top w:val="single" w:color="000000" w:sz="4" w:space="0"/>
              <w:left w:val="single" w:color="000000" w:sz="4" w:space="0"/>
              <w:bottom w:val="single" w:color="000000" w:sz="4" w:space="0"/>
              <w:right w:val="single" w:color="000000" w:sz="4" w:space="0"/>
            </w:tcBorders>
            <w:vAlign w:val="center"/>
          </w:tcPr>
          <w:p w14:paraId="6FB7B765">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w:t>
            </w:r>
          </w:p>
        </w:tc>
      </w:tr>
      <w:tr w14:paraId="08FAAD5C">
        <w:tblPrEx>
          <w:tblCellMar>
            <w:top w:w="15" w:type="dxa"/>
            <w:left w:w="15" w:type="dxa"/>
            <w:bottom w:w="15" w:type="dxa"/>
            <w:right w:w="15" w:type="dxa"/>
          </w:tblCellMar>
        </w:tblPrEx>
        <w:trPr>
          <w:trHeight w:val="397" w:hRule="exact"/>
        </w:trPr>
        <w:tc>
          <w:tcPr>
            <w:tcW w:w="1225" w:type="dxa"/>
            <w:tcBorders>
              <w:top w:val="single" w:color="000000" w:sz="4" w:space="0"/>
              <w:left w:val="single" w:color="000000" w:sz="12" w:space="0"/>
              <w:bottom w:val="single" w:color="000000" w:sz="4" w:space="0"/>
              <w:right w:val="single" w:color="000000" w:sz="4" w:space="0"/>
            </w:tcBorders>
            <w:vAlign w:val="center"/>
          </w:tcPr>
          <w:p w14:paraId="3D89DA1D">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3876" w:type="dxa"/>
            <w:tcBorders>
              <w:top w:val="single" w:color="000000" w:sz="4" w:space="0"/>
              <w:left w:val="single" w:color="000000" w:sz="4" w:space="0"/>
              <w:bottom w:val="single" w:color="000000" w:sz="4" w:space="0"/>
              <w:right w:val="single" w:color="000000" w:sz="4" w:space="0"/>
            </w:tcBorders>
            <w:vAlign w:val="center"/>
          </w:tcPr>
          <w:p w14:paraId="79332E62">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省级资金</w:t>
            </w:r>
          </w:p>
        </w:tc>
        <w:tc>
          <w:tcPr>
            <w:tcW w:w="3559" w:type="dxa"/>
            <w:tcBorders>
              <w:top w:val="single" w:color="000000" w:sz="4" w:space="0"/>
              <w:left w:val="single" w:color="000000" w:sz="4" w:space="0"/>
              <w:bottom w:val="single" w:color="000000" w:sz="4" w:space="0"/>
              <w:right w:val="single" w:color="000000" w:sz="4" w:space="0"/>
            </w:tcBorders>
            <w:vAlign w:val="center"/>
          </w:tcPr>
          <w:p w14:paraId="79258DA5">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w:t>
            </w:r>
          </w:p>
        </w:tc>
      </w:tr>
      <w:tr w14:paraId="77B70E0A">
        <w:tblPrEx>
          <w:tblCellMar>
            <w:top w:w="15" w:type="dxa"/>
            <w:left w:w="15" w:type="dxa"/>
            <w:bottom w:w="15" w:type="dxa"/>
            <w:right w:w="15" w:type="dxa"/>
          </w:tblCellMar>
        </w:tblPrEx>
        <w:trPr>
          <w:trHeight w:val="397" w:hRule="exact"/>
        </w:trPr>
        <w:tc>
          <w:tcPr>
            <w:tcW w:w="1225" w:type="dxa"/>
            <w:tcBorders>
              <w:top w:val="single" w:color="000000" w:sz="4" w:space="0"/>
              <w:left w:val="single" w:color="000000" w:sz="12" w:space="0"/>
              <w:bottom w:val="single" w:color="000000" w:sz="4" w:space="0"/>
              <w:right w:val="single" w:color="000000" w:sz="4" w:space="0"/>
            </w:tcBorders>
            <w:vAlign w:val="center"/>
          </w:tcPr>
          <w:p w14:paraId="0E12BB2A">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3876" w:type="dxa"/>
            <w:tcBorders>
              <w:top w:val="single" w:color="000000" w:sz="4" w:space="0"/>
              <w:left w:val="single" w:color="000000" w:sz="4" w:space="0"/>
              <w:bottom w:val="single" w:color="000000" w:sz="4" w:space="0"/>
              <w:right w:val="single" w:color="000000" w:sz="4" w:space="0"/>
            </w:tcBorders>
            <w:vAlign w:val="center"/>
          </w:tcPr>
          <w:p w14:paraId="0D242B46">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eastAsia="zh-CN" w:bidi="ar"/>
              </w:rPr>
              <w:t>区</w:t>
            </w:r>
            <w:r>
              <w:rPr>
                <w:rFonts w:hint="eastAsia" w:ascii="宋体" w:hAnsi="宋体" w:eastAsia="宋体" w:cs="宋体"/>
                <w:color w:val="auto"/>
                <w:kern w:val="0"/>
                <w:sz w:val="18"/>
                <w:szCs w:val="18"/>
                <w:highlight w:val="none"/>
                <w:lang w:bidi="ar"/>
              </w:rPr>
              <w:t>级资金</w:t>
            </w:r>
          </w:p>
        </w:tc>
        <w:tc>
          <w:tcPr>
            <w:tcW w:w="3559" w:type="dxa"/>
            <w:tcBorders>
              <w:top w:val="single" w:color="000000" w:sz="4" w:space="0"/>
              <w:left w:val="single" w:color="000000" w:sz="4" w:space="0"/>
              <w:bottom w:val="single" w:color="000000" w:sz="4" w:space="0"/>
              <w:right w:val="single" w:color="000000" w:sz="4" w:space="0"/>
            </w:tcBorders>
            <w:vAlign w:val="center"/>
          </w:tcPr>
          <w:p w14:paraId="0FE955D0">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328</w:t>
            </w:r>
          </w:p>
        </w:tc>
      </w:tr>
      <w:tr w14:paraId="7F238C15">
        <w:tblPrEx>
          <w:tblCellMar>
            <w:top w:w="15" w:type="dxa"/>
            <w:left w:w="15" w:type="dxa"/>
            <w:bottom w:w="15" w:type="dxa"/>
            <w:right w:w="15" w:type="dxa"/>
          </w:tblCellMar>
        </w:tblPrEx>
        <w:trPr>
          <w:trHeight w:val="397" w:hRule="exact"/>
        </w:trPr>
        <w:tc>
          <w:tcPr>
            <w:tcW w:w="1225" w:type="dxa"/>
            <w:tcBorders>
              <w:top w:val="single" w:color="000000" w:sz="4" w:space="0"/>
              <w:left w:val="single" w:color="000000" w:sz="12" w:space="0"/>
              <w:bottom w:val="single" w:color="000000" w:sz="4" w:space="0"/>
              <w:right w:val="single" w:color="000000" w:sz="4" w:space="0"/>
            </w:tcBorders>
            <w:vAlign w:val="center"/>
          </w:tcPr>
          <w:p w14:paraId="0A7221E3">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18"/>
                <w:szCs w:val="18"/>
                <w:highlight w:val="none"/>
                <w:lang w:bidi="ar"/>
              </w:rPr>
            </w:pPr>
          </w:p>
        </w:tc>
        <w:tc>
          <w:tcPr>
            <w:tcW w:w="3876" w:type="dxa"/>
            <w:tcBorders>
              <w:top w:val="single" w:color="000000" w:sz="4" w:space="0"/>
              <w:left w:val="single" w:color="000000" w:sz="4" w:space="0"/>
              <w:bottom w:val="single" w:color="000000" w:sz="4" w:space="0"/>
              <w:right w:val="single" w:color="000000" w:sz="4" w:space="0"/>
            </w:tcBorders>
            <w:vAlign w:val="center"/>
          </w:tcPr>
          <w:p w14:paraId="69170676">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kern w:val="0"/>
                <w:sz w:val="18"/>
                <w:szCs w:val="18"/>
                <w:highlight w:val="none"/>
                <w:lang w:eastAsia="zh-CN" w:bidi="ar"/>
              </w:rPr>
            </w:pPr>
            <w:r>
              <w:rPr>
                <w:rFonts w:hint="eastAsia" w:ascii="宋体" w:hAnsi="宋体" w:eastAsia="宋体" w:cs="宋体"/>
                <w:b/>
                <w:bCs/>
                <w:color w:val="auto"/>
                <w:kern w:val="0"/>
                <w:sz w:val="18"/>
                <w:szCs w:val="18"/>
                <w:highlight w:val="none"/>
                <w:lang w:eastAsia="zh-CN" w:bidi="ar"/>
              </w:rPr>
              <w:t>小计</w:t>
            </w:r>
          </w:p>
        </w:tc>
        <w:tc>
          <w:tcPr>
            <w:tcW w:w="3559" w:type="dxa"/>
            <w:tcBorders>
              <w:top w:val="single" w:color="000000" w:sz="4" w:space="0"/>
              <w:left w:val="single" w:color="000000" w:sz="4" w:space="0"/>
              <w:bottom w:val="single" w:color="000000" w:sz="4" w:space="0"/>
              <w:right w:val="single" w:color="000000" w:sz="4" w:space="0"/>
            </w:tcBorders>
            <w:vAlign w:val="center"/>
          </w:tcPr>
          <w:p w14:paraId="4FB3078A">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328</w:t>
            </w:r>
          </w:p>
        </w:tc>
      </w:tr>
    </w:tbl>
    <w:p w14:paraId="4C1BFCDC">
      <w:pPr>
        <w:ind w:firstLine="630" w:firstLineChars="300"/>
        <w:jc w:val="center"/>
        <w:rPr>
          <w:rFonts w:hint="eastAsia" w:eastAsia="宋体"/>
          <w:color w:val="auto"/>
          <w:lang w:eastAsia="zh-CN"/>
        </w:rPr>
      </w:pPr>
    </w:p>
    <w:p w14:paraId="7E8A6A4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snapToGrid w:val="0"/>
          <w:color w:val="000000" w:themeColor="text1"/>
          <w:kern w:val="0"/>
          <w:sz w:val="24"/>
          <w:szCs w:val="24"/>
          <w:highlight w:val="none"/>
          <w:lang w:val="en-US" w:eastAsia="zh-CN"/>
          <w14:textFill>
            <w14:solidFill>
              <w14:schemeClr w14:val="tx1"/>
            </w14:solidFill>
          </w14:textFill>
        </w:rPr>
      </w:pPr>
    </w:p>
    <w:p w14:paraId="22069BF5">
      <w:pPr>
        <w:ind w:firstLine="630" w:firstLineChars="300"/>
        <w:jc w:val="both"/>
        <w:rPr>
          <w:rFonts w:hint="eastAsia"/>
          <w:color w:val="FF0000"/>
          <w:lang w:val="en-US" w:eastAsia="zh-CN"/>
        </w:rPr>
      </w:pPr>
    </w:p>
    <w:p w14:paraId="672EE646">
      <w:pPr>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（2）项目资金执行情况分析</w:t>
      </w:r>
    </w:p>
    <w:p w14:paraId="56C60F4B">
      <w:pPr>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2017年度</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武昌区聘用人员经费项目</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资金使用:</w:t>
      </w:r>
    </w:p>
    <w:p w14:paraId="208151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武昌区工商质监局针对</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2017年度聘用人员经费项目</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资金328万元，定向用于武昌区工商质监局招聘人才、支付员工薪酬福利等相关工作，规范聘用人员的进出、岗位、考核待遇等事项，更好的发挥聘用人员对局工作的辅助作用。</w:t>
      </w:r>
    </w:p>
    <w:p w14:paraId="083F2AD2">
      <w:pPr>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项目支出明细如下：</w:t>
      </w:r>
    </w:p>
    <w:tbl>
      <w:tblPr>
        <w:tblStyle w:val="13"/>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3"/>
        <w:gridCol w:w="1966"/>
        <w:gridCol w:w="2354"/>
        <w:gridCol w:w="2065"/>
        <w:gridCol w:w="2392"/>
      </w:tblGrid>
      <w:tr w14:paraId="3DA3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exact"/>
        </w:trPr>
        <w:tc>
          <w:tcPr>
            <w:tcW w:w="9760" w:type="dxa"/>
            <w:gridSpan w:val="5"/>
            <w:shd w:val="clear" w:color="auto" w:fill="auto"/>
            <w:vAlign w:val="center"/>
          </w:tcPr>
          <w:p w14:paraId="43432806">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4"/>
                <w:szCs w:val="24"/>
                <w:u w:val="none"/>
                <w:lang w:val="en-US" w:eastAsia="zh-CN" w:bidi="ar"/>
              </w:rPr>
              <w:t>2017年度聘用人员经费项目支出明细</w:t>
            </w:r>
          </w:p>
        </w:tc>
      </w:tr>
      <w:tr w14:paraId="1944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shd w:val="clear" w:color="auto" w:fill="auto"/>
            <w:vAlign w:val="center"/>
          </w:tcPr>
          <w:p w14:paraId="656EC54F">
            <w:pPr>
              <w:jc w:val="center"/>
              <w:rPr>
                <w:rFonts w:hint="eastAsia" w:ascii="宋体" w:hAnsi="宋体" w:eastAsia="宋体" w:cs="宋体"/>
                <w:b/>
                <w:i w:val="0"/>
                <w:color w:val="000000"/>
                <w:sz w:val="20"/>
                <w:szCs w:val="20"/>
                <w:u w:val="none"/>
              </w:rPr>
            </w:pPr>
          </w:p>
        </w:tc>
        <w:tc>
          <w:tcPr>
            <w:tcW w:w="1966" w:type="dxa"/>
            <w:shd w:val="clear" w:color="auto" w:fill="auto"/>
            <w:vAlign w:val="center"/>
          </w:tcPr>
          <w:p w14:paraId="104141C6">
            <w:pPr>
              <w:jc w:val="center"/>
              <w:rPr>
                <w:rFonts w:hint="eastAsia" w:ascii="宋体" w:hAnsi="宋体" w:eastAsia="宋体" w:cs="宋体"/>
                <w:b/>
                <w:i w:val="0"/>
                <w:color w:val="000000"/>
                <w:sz w:val="20"/>
                <w:szCs w:val="20"/>
                <w:u w:val="none"/>
              </w:rPr>
            </w:pPr>
          </w:p>
        </w:tc>
        <w:tc>
          <w:tcPr>
            <w:tcW w:w="2354" w:type="dxa"/>
            <w:shd w:val="clear" w:color="auto" w:fill="auto"/>
            <w:vAlign w:val="center"/>
          </w:tcPr>
          <w:p w14:paraId="2439DBFD">
            <w:pPr>
              <w:jc w:val="center"/>
              <w:rPr>
                <w:rFonts w:hint="eastAsia" w:ascii="宋体" w:hAnsi="宋体" w:eastAsia="宋体" w:cs="宋体"/>
                <w:b/>
                <w:i w:val="0"/>
                <w:color w:val="000000"/>
                <w:sz w:val="20"/>
                <w:szCs w:val="20"/>
                <w:u w:val="none"/>
              </w:rPr>
            </w:pPr>
          </w:p>
        </w:tc>
        <w:tc>
          <w:tcPr>
            <w:tcW w:w="2065" w:type="dxa"/>
            <w:shd w:val="clear" w:color="auto" w:fill="auto"/>
            <w:vAlign w:val="center"/>
          </w:tcPr>
          <w:p w14:paraId="62F6E08B">
            <w:pPr>
              <w:jc w:val="center"/>
              <w:rPr>
                <w:rFonts w:hint="eastAsia" w:ascii="宋体" w:hAnsi="宋体" w:eastAsia="宋体" w:cs="宋体"/>
                <w:b/>
                <w:i w:val="0"/>
                <w:color w:val="000000"/>
                <w:sz w:val="20"/>
                <w:szCs w:val="20"/>
                <w:u w:val="none"/>
              </w:rPr>
            </w:pPr>
          </w:p>
        </w:tc>
        <w:tc>
          <w:tcPr>
            <w:tcW w:w="2392" w:type="dxa"/>
            <w:shd w:val="clear" w:color="auto" w:fill="auto"/>
            <w:vAlign w:val="center"/>
          </w:tcPr>
          <w:p w14:paraId="139358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14:paraId="585A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728CD4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月份</w:t>
            </w:r>
          </w:p>
        </w:tc>
        <w:tc>
          <w:tcPr>
            <w:tcW w:w="196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64D23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开支事项</w:t>
            </w:r>
          </w:p>
        </w:tc>
        <w:tc>
          <w:tcPr>
            <w:tcW w:w="2354"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62F02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第三方支付 </w:t>
            </w:r>
          </w:p>
        </w:tc>
        <w:tc>
          <w:tcPr>
            <w:tcW w:w="206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20177A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直接支付 </w:t>
            </w:r>
          </w:p>
        </w:tc>
        <w:tc>
          <w:tcPr>
            <w:tcW w:w="2392"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42390A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合计 </w:t>
            </w:r>
          </w:p>
        </w:tc>
      </w:tr>
      <w:tr w14:paraId="520B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31A3E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CC70">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97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188,739.99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A9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80,688.32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0C802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269,428.31 </w:t>
            </w:r>
          </w:p>
        </w:tc>
      </w:tr>
      <w:tr w14:paraId="034F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FD204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D99C">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D3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218,366.55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C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12,124.00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FDC14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230,490.55 </w:t>
            </w:r>
          </w:p>
        </w:tc>
      </w:tr>
      <w:tr w14:paraId="54B3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E14EA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54E1">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7F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189,309.69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48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48,983.56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0CC0D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238,293.25 </w:t>
            </w:r>
          </w:p>
        </w:tc>
      </w:tr>
      <w:tr w14:paraId="714F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92624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4D8">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F4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241,543.06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D9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35,183.56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F9729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276,726.62 </w:t>
            </w:r>
          </w:p>
        </w:tc>
      </w:tr>
      <w:tr w14:paraId="41E5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9D29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0CA">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6A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212,983.08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1D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40,543.56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672CA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253,526.64 </w:t>
            </w:r>
          </w:p>
        </w:tc>
      </w:tr>
      <w:tr w14:paraId="287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739E4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DDF0">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F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203,621.67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57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58,584.52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0EDB1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262,206.19 </w:t>
            </w:r>
          </w:p>
        </w:tc>
      </w:tr>
      <w:tr w14:paraId="1013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F1036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71A">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70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264,180.62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BB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47,370.76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EA5FE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311,551.38 </w:t>
            </w:r>
          </w:p>
        </w:tc>
      </w:tr>
      <w:tr w14:paraId="038E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DEC87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6D23">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1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290,822.97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3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50,803.56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966F5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341,626.53 </w:t>
            </w:r>
          </w:p>
        </w:tc>
      </w:tr>
      <w:tr w14:paraId="06D2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FB0F1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DCA2">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D7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263,024.50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69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72,050.12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82556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335,074.62 </w:t>
            </w:r>
          </w:p>
        </w:tc>
      </w:tr>
      <w:tr w14:paraId="1858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5412E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F34">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94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251,630.30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46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13,547.00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4DA5F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265,177.30 </w:t>
            </w:r>
          </w:p>
        </w:tc>
      </w:tr>
      <w:tr w14:paraId="7300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24368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A944">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F6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263,848.20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4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31,063.56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49174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294,911.76 </w:t>
            </w:r>
          </w:p>
        </w:tc>
      </w:tr>
      <w:tr w14:paraId="1888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9559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0D1">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01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179,823.29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2D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21,163.56 </w:t>
            </w:r>
          </w:p>
        </w:tc>
        <w:tc>
          <w:tcPr>
            <w:tcW w:w="2392"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158B1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200,986.85 </w:t>
            </w:r>
          </w:p>
        </w:tc>
      </w:tr>
      <w:tr w14:paraId="3C5E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83" w:type="dxa"/>
            <w:tcBorders>
              <w:top w:val="single" w:color="000000" w:sz="4" w:space="0"/>
              <w:left w:val="single" w:color="000000" w:sz="12" w:space="0"/>
              <w:bottom w:val="single" w:color="000000" w:sz="12" w:space="0"/>
              <w:right w:val="single" w:color="000000" w:sz="4" w:space="0"/>
            </w:tcBorders>
            <w:shd w:val="clear" w:color="auto" w:fill="C6E0B4"/>
            <w:vAlign w:val="center"/>
          </w:tcPr>
          <w:p w14:paraId="59197B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66" w:type="dxa"/>
            <w:tcBorders>
              <w:top w:val="single" w:color="000000" w:sz="4" w:space="0"/>
              <w:left w:val="single" w:color="000000" w:sz="4" w:space="0"/>
              <w:bottom w:val="single" w:color="000000" w:sz="12" w:space="0"/>
              <w:right w:val="single" w:color="000000" w:sz="4" w:space="0"/>
            </w:tcBorders>
            <w:shd w:val="clear" w:color="auto" w:fill="C6E0B4"/>
            <w:vAlign w:val="center"/>
          </w:tcPr>
          <w:p w14:paraId="5D7BE566">
            <w:pPr>
              <w:jc w:val="center"/>
              <w:rPr>
                <w:rFonts w:hint="eastAsia" w:ascii="宋体" w:hAnsi="宋体" w:eastAsia="宋体" w:cs="宋体"/>
                <w:i w:val="0"/>
                <w:color w:val="000000"/>
                <w:sz w:val="20"/>
                <w:szCs w:val="20"/>
                <w:u w:val="none"/>
              </w:rPr>
            </w:pPr>
          </w:p>
        </w:tc>
        <w:tc>
          <w:tcPr>
            <w:tcW w:w="2354" w:type="dxa"/>
            <w:tcBorders>
              <w:top w:val="single" w:color="000000" w:sz="4" w:space="0"/>
              <w:left w:val="single" w:color="000000" w:sz="4" w:space="0"/>
              <w:bottom w:val="single" w:color="000000" w:sz="12" w:space="0"/>
              <w:right w:val="single" w:color="000000" w:sz="4" w:space="0"/>
            </w:tcBorders>
            <w:shd w:val="clear" w:color="auto" w:fill="C6E0B4"/>
            <w:vAlign w:val="center"/>
          </w:tcPr>
          <w:p w14:paraId="4C7C44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2,767,893.92 </w:t>
            </w:r>
          </w:p>
        </w:tc>
        <w:tc>
          <w:tcPr>
            <w:tcW w:w="2065" w:type="dxa"/>
            <w:tcBorders>
              <w:top w:val="single" w:color="000000" w:sz="4" w:space="0"/>
              <w:left w:val="single" w:color="000000" w:sz="4" w:space="0"/>
              <w:bottom w:val="single" w:color="000000" w:sz="12" w:space="0"/>
              <w:right w:val="single" w:color="000000" w:sz="4" w:space="0"/>
            </w:tcBorders>
            <w:shd w:val="clear" w:color="auto" w:fill="C6E0B4"/>
            <w:vAlign w:val="center"/>
          </w:tcPr>
          <w:p w14:paraId="465593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512,106.08 </w:t>
            </w:r>
          </w:p>
        </w:tc>
        <w:tc>
          <w:tcPr>
            <w:tcW w:w="2392" w:type="dxa"/>
            <w:tcBorders>
              <w:top w:val="single" w:color="000000" w:sz="4" w:space="0"/>
              <w:left w:val="single" w:color="000000" w:sz="4" w:space="0"/>
              <w:bottom w:val="single" w:color="000000" w:sz="12" w:space="0"/>
              <w:right w:val="single" w:color="000000" w:sz="12" w:space="0"/>
            </w:tcBorders>
            <w:shd w:val="clear" w:color="auto" w:fill="C6E0B4"/>
            <w:vAlign w:val="center"/>
          </w:tcPr>
          <w:p w14:paraId="1D2D29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3,280,000.00 </w:t>
            </w:r>
          </w:p>
        </w:tc>
      </w:tr>
    </w:tbl>
    <w:p w14:paraId="474673E5">
      <w:pPr>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9"/>
        <w:rPr>
          <w:rFonts w:hint="eastAsia" w:asciiTheme="majorEastAsia" w:hAnsiTheme="majorEastAsia" w:eastAsiaTheme="majorEastAsia" w:cstheme="majorEastAsia"/>
          <w:b w:val="0"/>
          <w:bCs w:val="0"/>
          <w:color w:val="FF0000"/>
          <w:sz w:val="24"/>
          <w:szCs w:val="24"/>
          <w:lang w:val="en-US" w:eastAsia="zh-CN"/>
        </w:rPr>
      </w:pPr>
    </w:p>
    <w:p w14:paraId="6B95C95E">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（3）项目资金管理情况分析</w:t>
      </w:r>
    </w:p>
    <w:p w14:paraId="5AB65B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武昌区2017年度聘用人员经费项目年初预算为328万，其中由第三方支付为276万，财政直接拨付52万，共计328万。</w:t>
      </w:r>
    </w:p>
    <w:p w14:paraId="02FABB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项目资金由各部门申请，局主管领导审批，财务直接支付给企业的对公账户，再由企业授权支付。部分由财政直接拨付。</w:t>
      </w:r>
    </w:p>
    <w:p w14:paraId="69BE86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2"/>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bookmarkStart w:id="33" w:name="_Toc25131"/>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2.项目绩效指标完成情况分析</w:t>
      </w:r>
      <w:bookmarkEnd w:id="33"/>
    </w:p>
    <w:p w14:paraId="0FBB755D">
      <w:pPr>
        <w:pStyle w:val="4"/>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bookmarkStart w:id="34" w:name="_Toc16032"/>
      <w:bookmarkStart w:id="35" w:name="_Toc11695"/>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1、投入指标完成情况分析</w:t>
      </w:r>
      <w:bookmarkEnd w:id="34"/>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（15分）</w:t>
      </w:r>
      <w:bookmarkEnd w:id="35"/>
    </w:p>
    <w:p w14:paraId="299B5F4E">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根据评价原则，项目投入评价得分13分，评价结果为高。</w:t>
      </w:r>
    </w:p>
    <w:p w14:paraId="6D6896BF">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（1）项目立项（6分） </w:t>
      </w:r>
    </w:p>
    <w:p w14:paraId="7640EAC5">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1.1.项目立项规范性:出具了《武昌区工商行政管理和质量技术监督局关于对人员进行清理规范的通知》。虽无行政主管部门的立项批复，但有《武昌区财政局关于武昌区工商行政管理和质量技术监督局2017年部门预算的批复》。 项目严格按照规定的程序申请设立；所提交的文件、材料符合相关要求。满分2分，得分2分。</w:t>
      </w:r>
    </w:p>
    <w:p w14:paraId="6773DBD0">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1.2.绩效目标合理性：根据《武昌区工商行政管理和质量技术监督局关于对人员进行清理规范的通知》，符合国家相关法律法规、国民经济发展规划和党委政府决策；与项目实施单位职责密切相关；是促进事业发展所必需；项目预期产出效益和效果符合正常的业绩水平。满分2分，得分2分。</w:t>
      </w:r>
    </w:p>
    <w:p w14:paraId="7BBAB473">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1.3.绩效指标明确性：未将项目绩效目标细化分解为具体的绩效指标；不能通过清晰、可衡量的指标值予以体现；与项目年度任务数或计划数相对应，与预算确定的项目投资额或资金量相匹配。满分2分，得分0分。</w:t>
      </w:r>
    </w:p>
    <w:p w14:paraId="082B6FCF">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（2）资金落实（9分）</w:t>
      </w:r>
    </w:p>
    <w:p w14:paraId="1019676A">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2.1.资金到位率：预算资金328万，其中：第三方支付276.79万，局机关使用51.21万，资金全部到位；满分4分，得分4分。</w:t>
      </w:r>
    </w:p>
    <w:p w14:paraId="465B28EE">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2.2.到位及时率：预算资金328万，全部到位，到位及时率100%。满分5分，得分5分。</w:t>
      </w:r>
    </w:p>
    <w:p w14:paraId="72A5FA4D">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p>
    <w:p w14:paraId="0FA2B877">
      <w:pPr>
        <w:pStyle w:val="4"/>
        <w:pageBreakBefore w:val="0"/>
        <w:numPr>
          <w:ilvl w:val="0"/>
          <w:numId w:val="7"/>
        </w:numPr>
        <w:kinsoku/>
        <w:wordWrap/>
        <w:overflowPunct/>
        <w:topLinePunct w:val="0"/>
        <w:autoSpaceDE/>
        <w:autoSpaceDN/>
        <w:bidi w:val="0"/>
        <w:adjustRightInd/>
        <w:snapToGrid/>
        <w:spacing w:line="360" w:lineRule="auto"/>
        <w:ind w:left="0" w:leftChars="0" w:firstLine="723" w:firstLineChars="300"/>
        <w:textAlignment w:val="auto"/>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bookmarkStart w:id="36" w:name="_Toc10824"/>
      <w:bookmarkStart w:id="37" w:name="_Toc12077"/>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过程</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指标完成情况分析</w:t>
      </w:r>
      <w:bookmarkEnd w:id="36"/>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（25分）</w:t>
      </w:r>
      <w:bookmarkEnd w:id="37"/>
    </w:p>
    <w:p w14:paraId="4C017492">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根据评价原则，项目过程评价得分为24分，评价结果为优。</w:t>
      </w:r>
    </w:p>
    <w:p w14:paraId="40CAB787">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（1）业务管理（15分）</w:t>
      </w:r>
    </w:p>
    <w:p w14:paraId="797B6F7D">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1.1.制度执行有效性：项目实施按照《武昌区工商行政管理和质量技术监督局关于对人员进行清理规范的通知》执行，没有合理的安全评估程序依据。满分5分，得分4分。</w:t>
      </w:r>
    </w:p>
    <w:p w14:paraId="08F6C28E">
      <w:pPr>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1.2.项目质量可控性:执行《武昌区工商行政管理和质量技术监督局关于对人员进行清理规范的通知》的质量要求。满分6分，得分6分。</w:t>
      </w:r>
    </w:p>
    <w:p w14:paraId="687C2874">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1.3.管理制度健全性：《武昌区工商行政管理和质量技术监督局关于对人员进行清理规范的通知》，业务管理与财务管理合一处理了；满分4分，得分4分。</w:t>
      </w:r>
    </w:p>
    <w:p w14:paraId="1375E592">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（2）财务管理(10分)</w:t>
      </w:r>
    </w:p>
    <w:p w14:paraId="42A88B51">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2.1.管理制度健全性：《武昌区工商行政管理和质量技术监督局关于对人员进行清理规范的通知》，业务管理与财务管理合一处理了；满分3分，得分3分。</w:t>
      </w:r>
    </w:p>
    <w:p w14:paraId="36924B90">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2.3.资金使用合规性：符合国家财经法规和财务管理制度以及有关专项资金管理办法的规定，资金的拨付有完整的审批程序和手续，项目的重大开支有经过评估认证，符合项目预算批复用途，未存在截留、挤占、挪用和虚列支出等情况。满分4分，得分4分。</w:t>
      </w:r>
    </w:p>
    <w:p w14:paraId="19A94A19">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2.4.财务监控有效性:项目执行过程中，严格按照管理办法执行，资金的使用均经办公会研究同意。满分3分，得分3分。</w:t>
      </w:r>
    </w:p>
    <w:p w14:paraId="5074C892">
      <w:pPr>
        <w:pStyle w:val="4"/>
        <w:pageBreakBefore w:val="0"/>
        <w:numPr>
          <w:ilvl w:val="0"/>
          <w:numId w:val="7"/>
        </w:numPr>
        <w:kinsoku/>
        <w:wordWrap/>
        <w:overflowPunct/>
        <w:topLinePunct w:val="0"/>
        <w:autoSpaceDE/>
        <w:autoSpaceDN/>
        <w:bidi w:val="0"/>
        <w:adjustRightInd/>
        <w:snapToGrid/>
        <w:spacing w:line="360" w:lineRule="auto"/>
        <w:ind w:left="0" w:leftChars="0" w:firstLine="723" w:firstLineChars="300"/>
        <w:textAlignment w:val="auto"/>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bookmarkStart w:id="38" w:name="_Toc4547"/>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产出指标完成情况分析（25分）</w:t>
      </w:r>
      <w:bookmarkEnd w:id="38"/>
    </w:p>
    <w:p w14:paraId="10A153E3">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根据评价原则，项目产出评价得分为25分，评价结果为优。</w:t>
      </w:r>
    </w:p>
    <w:p w14:paraId="7968FAFE">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（1）实际完成率：满分6分，得分6分。</w:t>
      </w:r>
    </w:p>
    <w:p w14:paraId="29D2F775">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第三方派遣人员，年度聘用共72人次。满分6分，得分6分。</w:t>
      </w:r>
    </w:p>
    <w:p w14:paraId="21D17392">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（2）完成及时率：满分6分，得分6分。</w:t>
      </w:r>
    </w:p>
    <w:p w14:paraId="6DB8F85D">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计划完成时间2017年底，实际完成时间在2017年底前完成，及时完成目标。满分6分，得分6分。</w:t>
      </w:r>
    </w:p>
    <w:p w14:paraId="66F3451F">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（3）质量达标率：满分8分，得分8分。</w:t>
      </w:r>
    </w:p>
    <w:p w14:paraId="181DCD99">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通过第三方派遣人才，为公司引进大批人才，激发了公司活力和员工创造力，取得了良好的社会反响。满分8分，得分8分。</w:t>
      </w:r>
    </w:p>
    <w:p w14:paraId="26159064">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（4）成本节约率：满分5分，得分5分。</w:t>
      </w:r>
    </w:p>
    <w:p w14:paraId="436B91C7">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预算资金328万，无节余。其中：第三方支付276.79万，局机关使用51.21万；满分5分，得分5分。</w:t>
      </w:r>
    </w:p>
    <w:p w14:paraId="4F2B4A3C">
      <w:pPr>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2"/>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bookmarkStart w:id="39" w:name="_Toc13794"/>
      <w:bookmarkStart w:id="40" w:name="_Toc15170"/>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效果</w:t>
      </w: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指标完成情况分析</w:t>
      </w:r>
      <w:bookmarkEnd w:id="39"/>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（35分）</w:t>
      </w:r>
      <w:bookmarkEnd w:id="40"/>
    </w:p>
    <w:p w14:paraId="1D5F2796">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根据评价原则，项目产出评价得分为31分，评价结果为优。</w:t>
      </w:r>
    </w:p>
    <w:p w14:paraId="42B10385">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w:t>
      </w:r>
      <w:bookmarkStart w:id="41" w:name="_Toc346110460"/>
      <w:bookmarkStart w:id="42" w:name="_Toc346109797"/>
      <w:bookmarkStart w:id="43" w:name="_Toc346109888"/>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经济效益（5分）    </w:t>
      </w:r>
    </w:p>
    <w:p w14:paraId="729AD813">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完成考核目标，产生间接经济效益。</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满分5分，得分5分。</w:t>
      </w:r>
    </w:p>
    <w:p w14:paraId="0444B710">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bookmarkEnd w:id="41"/>
      <w:bookmarkEnd w:id="42"/>
      <w:bookmarkEnd w:id="43"/>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社会效益（10分）</w:t>
      </w:r>
    </w:p>
    <w:p w14:paraId="166A68A7">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加强人才流通</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增强公司活力，</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产生良好的社会综合效益</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满分10分，得分10分。</w:t>
      </w:r>
    </w:p>
    <w:p w14:paraId="23BDDACD">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可持续影响（10分）</w:t>
      </w:r>
    </w:p>
    <w:p w14:paraId="6B54F81D">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激发人员工作热情，创造更多的价值回馈企业，回馈社会，有利于企业持续发展，社会长治久安。满分10分，得分10分。</w:t>
      </w:r>
    </w:p>
    <w:p w14:paraId="0C1EC649">
      <w:pPr>
        <w:pStyle w:val="16"/>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0"/>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服务对象满意度（10分）</w:t>
      </w:r>
    </w:p>
    <w:p w14:paraId="743DB585">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向社会公众进行问卷调查，调查结果满意度80%。满分10分，得分6分。</w:t>
      </w:r>
    </w:p>
    <w:p w14:paraId="17C93966">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heme="majorEastAsia" w:hAnsiTheme="majorEastAsia" w:eastAsiaTheme="majorEastAsia" w:cstheme="majorEastAsia"/>
          <w:b/>
          <w:bCs/>
          <w:color w:val="auto"/>
          <w:sz w:val="30"/>
          <w:szCs w:val="30"/>
          <w:highlight w:val="none"/>
          <w:lang w:eastAsia="zh-CN"/>
        </w:rPr>
      </w:pPr>
      <w:bookmarkStart w:id="44" w:name="_Toc30635"/>
      <w:r>
        <w:rPr>
          <w:rFonts w:hint="eastAsia" w:asciiTheme="majorEastAsia" w:hAnsiTheme="majorEastAsia" w:eastAsiaTheme="majorEastAsia" w:cstheme="majorEastAsia"/>
          <w:b/>
          <w:bCs/>
          <w:color w:val="auto"/>
          <w:sz w:val="30"/>
          <w:szCs w:val="30"/>
          <w:highlight w:val="none"/>
          <w:lang w:eastAsia="zh-CN"/>
        </w:rPr>
        <w:t>（二）评价结论</w:t>
      </w:r>
      <w:bookmarkEnd w:id="44"/>
    </w:p>
    <w:p w14:paraId="63DB12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lang w:val="en-US" w:eastAsia="zh-CN"/>
        </w:rPr>
        <w:t>截止到2017年12月31日，武昌区2017年度聘用人员经费项目年初预算为328万，其中第三方支付为276万，财政直接拨付52万，共计328万。</w:t>
      </w:r>
    </w:p>
    <w:p w14:paraId="43906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聘用人员经费</w:t>
      </w:r>
      <w:r>
        <w:rPr>
          <w:rFonts w:hint="eastAsia" w:ascii="宋体" w:hAnsi="宋体" w:eastAsia="宋体" w:cs="宋体"/>
          <w:color w:val="auto"/>
          <w:sz w:val="24"/>
          <w:szCs w:val="24"/>
          <w:highlight w:val="none"/>
          <w:lang w:val="en-US" w:eastAsia="zh-CN"/>
        </w:rPr>
        <w:t>资金使用范围</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w:t>
      </w:r>
      <w:r>
        <w:rPr>
          <w:rFonts w:hint="eastAsia" w:asciiTheme="majorEastAsia" w:hAnsiTheme="majorEastAsia" w:eastAsiaTheme="majorEastAsia" w:cstheme="majorEastAsia"/>
          <w:color w:val="000000" w:themeColor="text1"/>
          <w:sz w:val="24"/>
          <w:szCs w:val="24"/>
          <w:highlight w:val="none"/>
          <w:shd w:val="clear" w:color="auto" w:fill="auto"/>
          <w:lang w:val="en-US" w:eastAsia="zh-CN"/>
          <w14:textFill>
            <w14:solidFill>
              <w14:schemeClr w14:val="tx1"/>
            </w14:solidFill>
          </w14:textFill>
        </w:rPr>
        <w:t>招聘人才、支付员工薪酬福利等相关工作，规范聘用人员的进出、岗位、考核待遇等事项，更好的发挥聘用人员对局工作的辅助作用。</w:t>
      </w:r>
      <w:r>
        <w:rPr>
          <w:rFonts w:hint="eastAsia" w:ascii="宋体" w:hAnsi="宋体" w:cs="宋体"/>
          <w:color w:val="auto"/>
          <w:sz w:val="24"/>
          <w:szCs w:val="24"/>
          <w:highlight w:val="none"/>
          <w:lang w:val="en-US" w:eastAsia="zh-CN"/>
        </w:rPr>
        <w:t>经费发放由各企业部门申请，</w:t>
      </w:r>
      <w:r>
        <w:rPr>
          <w:rFonts w:hint="eastAsia" w:ascii="宋体" w:hAnsi="宋体" w:eastAsia="宋体" w:cs="宋体"/>
          <w:color w:val="auto"/>
          <w:sz w:val="24"/>
          <w:szCs w:val="24"/>
          <w:highlight w:val="none"/>
          <w:lang w:val="en-US" w:eastAsia="zh-CN"/>
        </w:rPr>
        <w:t>局主管领导审批，财务直接支付给企业的对公</w:t>
      </w:r>
      <w:r>
        <w:rPr>
          <w:rFonts w:hint="eastAsia" w:ascii="宋体" w:hAnsi="宋体" w:cs="宋体"/>
          <w:color w:val="auto"/>
          <w:sz w:val="24"/>
          <w:szCs w:val="24"/>
          <w:highlight w:val="none"/>
          <w:lang w:val="en-US" w:eastAsia="zh-CN"/>
        </w:rPr>
        <w:t>账户</w:t>
      </w:r>
      <w:r>
        <w:rPr>
          <w:rFonts w:hint="eastAsia" w:ascii="宋体" w:hAnsi="宋体" w:eastAsia="宋体" w:cs="宋体"/>
          <w:color w:val="auto"/>
          <w:sz w:val="24"/>
          <w:szCs w:val="24"/>
          <w:highlight w:val="none"/>
          <w:lang w:val="en-US" w:eastAsia="zh-CN"/>
        </w:rPr>
        <w:t>，再由企业授权支付。</w:t>
      </w:r>
      <w:r>
        <w:rPr>
          <w:rFonts w:hint="eastAsia" w:ascii="宋体" w:hAnsi="宋体" w:cs="宋体"/>
          <w:color w:val="auto"/>
          <w:sz w:val="24"/>
          <w:szCs w:val="24"/>
          <w:highlight w:val="none"/>
          <w:lang w:val="en-US" w:eastAsia="zh-CN"/>
        </w:rPr>
        <w:t>部分由财政直接拨付。</w:t>
      </w:r>
    </w:p>
    <w:p w14:paraId="07A1AA3D">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通过对</w:t>
      </w:r>
      <w:r>
        <w:rPr>
          <w:rFonts w:hint="eastAsia" w:ascii="宋体" w:hAnsi="宋体" w:cs="宋体"/>
          <w:color w:val="auto"/>
          <w:sz w:val="24"/>
          <w:szCs w:val="24"/>
          <w:highlight w:val="none"/>
          <w:lang w:val="en-US" w:eastAsia="zh-CN"/>
        </w:rPr>
        <w:t>武昌区2017年度聘用人员经费项目</w:t>
      </w:r>
      <w:r>
        <w:rPr>
          <w:rFonts w:hint="eastAsia" w:ascii="宋体" w:hAnsi="宋体" w:eastAsia="宋体" w:cs="宋体"/>
          <w:color w:val="auto"/>
          <w:sz w:val="24"/>
          <w:szCs w:val="24"/>
          <w:highlight w:val="none"/>
        </w:rPr>
        <w:t>在项目</w:t>
      </w:r>
      <w:r>
        <w:rPr>
          <w:rFonts w:hint="eastAsia" w:ascii="宋体" w:hAnsi="宋体" w:eastAsia="宋体" w:cs="宋体"/>
          <w:color w:val="auto"/>
          <w:sz w:val="24"/>
          <w:szCs w:val="24"/>
          <w:highlight w:val="none"/>
          <w:lang w:eastAsia="zh-CN"/>
        </w:rPr>
        <w:t>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项目产出和</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效益</w:t>
      </w:r>
      <w:r>
        <w:rPr>
          <w:rFonts w:hint="eastAsia" w:ascii="宋体" w:hAnsi="宋体" w:eastAsia="宋体" w:cs="宋体"/>
          <w:color w:val="auto"/>
          <w:sz w:val="24"/>
          <w:szCs w:val="24"/>
          <w:highlight w:val="none"/>
        </w:rPr>
        <w:t>等方面的综合评价，最后得出如下结论：</w:t>
      </w:r>
    </w:p>
    <w:p w14:paraId="6F5070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采用加权平均法得出综合绩效评分为：</w:t>
      </w:r>
      <w:r>
        <w:rPr>
          <w:rFonts w:hint="eastAsia" w:ascii="宋体" w:hAnsi="宋体" w:cs="宋体"/>
          <w:b/>
          <w:bCs/>
          <w:color w:val="000000" w:themeColor="text1"/>
          <w:sz w:val="24"/>
          <w:szCs w:val="24"/>
          <w:highlight w:val="none"/>
          <w:lang w:val="en-US" w:eastAsia="zh-CN"/>
          <w14:textFill>
            <w14:solidFill>
              <w14:schemeClr w14:val="tx1"/>
            </w14:solidFill>
          </w14:textFill>
        </w:rPr>
        <w:t>93</w:t>
      </w:r>
      <w:r>
        <w:rPr>
          <w:rFonts w:hint="eastAsia" w:ascii="宋体" w:hAnsi="宋体" w:eastAsia="宋体" w:cs="宋体"/>
          <w:b/>
          <w:bCs/>
          <w:color w:val="000000" w:themeColor="text1"/>
          <w:sz w:val="24"/>
          <w:szCs w:val="24"/>
          <w:highlight w:val="none"/>
          <w14:textFill>
            <w14:solidFill>
              <w14:schemeClr w14:val="tx1"/>
            </w14:solidFill>
          </w14:textFill>
        </w:rPr>
        <w:t>分</w:t>
      </w:r>
    </w:p>
    <w:p w14:paraId="388E9E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评价等级结论为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优</w:t>
      </w:r>
    </w:p>
    <w:p w14:paraId="091B10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highlight w:val="none"/>
          <w14:textFill>
            <w14:solidFill>
              <w14:schemeClr w14:val="tx1"/>
            </w14:solidFill>
          </w14:textFill>
        </w:rPr>
        <w:t>本次绩效评价力图科学、合理</w:t>
      </w:r>
      <w:r>
        <w:rPr>
          <w:rFonts w:hint="eastAsia" w:ascii="宋体" w:hAnsi="宋体" w:eastAsia="宋体" w:cs="宋体"/>
          <w:color w:val="auto"/>
          <w:sz w:val="24"/>
          <w:szCs w:val="24"/>
          <w:highlight w:val="none"/>
        </w:rPr>
        <w:t>、真实、有效，强调规范性和可持续性原则，坚持以定量分析为主、定性分析为辅的原则，采用指标打分法对</w:t>
      </w:r>
      <w:r>
        <w:rPr>
          <w:rFonts w:hint="eastAsia" w:ascii="宋体" w:hAnsi="宋体" w:cs="宋体"/>
          <w:color w:val="auto"/>
          <w:sz w:val="24"/>
          <w:szCs w:val="24"/>
          <w:highlight w:val="none"/>
          <w:lang w:val="en-US" w:eastAsia="zh-CN"/>
        </w:rPr>
        <w:t>武昌区2017年度聘用人员经费项目</w:t>
      </w:r>
      <w:r>
        <w:rPr>
          <w:rFonts w:hint="eastAsia" w:ascii="宋体" w:hAnsi="宋体" w:eastAsia="宋体" w:cs="宋体"/>
          <w:color w:val="auto"/>
          <w:sz w:val="24"/>
          <w:szCs w:val="24"/>
          <w:highlight w:val="none"/>
        </w:rPr>
        <w:t>进行绩效评价。项目</w:t>
      </w:r>
      <w:r>
        <w:rPr>
          <w:rFonts w:hint="eastAsia" w:ascii="宋体" w:hAnsi="宋体" w:eastAsia="宋体" w:cs="宋体"/>
          <w:color w:val="auto"/>
          <w:sz w:val="24"/>
          <w:szCs w:val="24"/>
          <w:highlight w:val="none"/>
          <w:lang w:eastAsia="zh-CN"/>
        </w:rPr>
        <w:t>投入</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rPr>
        <w:t>权重2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产出</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项目效果权重35%</w:t>
      </w:r>
      <w:r>
        <w:rPr>
          <w:rFonts w:hint="eastAsia" w:ascii="宋体" w:hAnsi="宋体" w:eastAsia="宋体" w:cs="宋体"/>
          <w:color w:val="auto"/>
          <w:sz w:val="24"/>
          <w:szCs w:val="24"/>
          <w:highlight w:val="none"/>
          <w:lang w:eastAsia="zh-CN"/>
        </w:rPr>
        <w:t>。</w:t>
      </w:r>
    </w:p>
    <w:p w14:paraId="3D766FE3">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0"/>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pPr>
      <w:bookmarkStart w:id="45" w:name="_Toc20913"/>
      <w:r>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t>四、经验总结</w:t>
      </w:r>
      <w:bookmarkEnd w:id="45"/>
    </w:p>
    <w:p w14:paraId="72155C50">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bCs/>
          <w:color w:val="FF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本年度财政预算328万元，其中：第三方支付276.79万，局机关使用51.21万。第三方派遣人员年度聘用72人次。吸纳新员工并鼓励员工工作积极性，提高企业生产能力和创造能力，使企业更更具活力与竞争力，利于企业持续发展，目符合“人才强国”战略。</w:t>
      </w:r>
    </w:p>
    <w:p w14:paraId="0B93E9A4">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通过实施武昌区2017年度聘用人员经费项目，使社会资源更会优化，并使人员更好的发挥自身价值以反馈社会，使社会生产力更为提高，生产结构更为优化。</w:t>
      </w:r>
    </w:p>
    <w:p w14:paraId="7AF8A183">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0"/>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pPr>
      <w:bookmarkStart w:id="46" w:name="_Toc10258"/>
      <w:r>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t>五、问题</w:t>
      </w:r>
      <w:bookmarkEnd w:id="46"/>
    </w:p>
    <w:p w14:paraId="20468516">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Theme="majorEastAsia" w:hAnsiTheme="majorEastAsia" w:eastAsiaTheme="majorEastAsia" w:cstheme="majorEastAsia"/>
          <w:b w:val="0"/>
          <w:bCs w:val="0"/>
          <w:strike w:val="0"/>
          <w:dstrike w:val="0"/>
          <w:color w:val="auto"/>
          <w:sz w:val="24"/>
          <w:szCs w:val="24"/>
          <w:highlight w:val="none"/>
          <w:lang w:val="en-US" w:eastAsia="zh-CN"/>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 xml:space="preserve">   （1</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）无绩效目标考核</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 w:val="0"/>
          <w:bCs w:val="0"/>
          <w:color w:val="auto"/>
          <w:sz w:val="24"/>
          <w:szCs w:val="24"/>
          <w:highlight w:val="none"/>
          <w:lang w:eastAsia="zh-CN"/>
        </w:rPr>
        <w:t>该</w:t>
      </w:r>
      <w:r>
        <w:rPr>
          <w:rFonts w:hint="eastAsia" w:asciiTheme="majorEastAsia" w:hAnsiTheme="majorEastAsia" w:eastAsiaTheme="majorEastAsia" w:cstheme="majorEastAsia"/>
          <w:b w:val="0"/>
          <w:bCs w:val="0"/>
          <w:strike w:val="0"/>
          <w:dstrike w:val="0"/>
          <w:color w:val="auto"/>
          <w:sz w:val="24"/>
          <w:szCs w:val="24"/>
          <w:highlight w:val="none"/>
          <w:lang w:eastAsia="zh-CN"/>
        </w:rPr>
        <w:t>单位无《项目申报表》， 绩效目标不够清晰、细化,绩效指标不能量化，难以考核。不利于项目整体产出、效益的监督，也不利于聘用人员考核。第三方机构聘用人员缺乏职业技能，造成人员流动性大，薪资低，对第三方无考核指标。</w:t>
      </w:r>
    </w:p>
    <w:p w14:paraId="29139437">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2）临聘人员次数多：</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《武昌区工商行政管理和质量技术监督局关于对人员进行清理规范的通知》，根据单位各科室事项，自聘人员较为随意，造成工作人员怠性，依赖临聘人员处理工作事务。</w:t>
      </w:r>
    </w:p>
    <w:p w14:paraId="73497410">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0"/>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pPr>
      <w:bookmarkStart w:id="47" w:name="_Toc258"/>
      <w:r>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t>六、解决方法及建议</w:t>
      </w:r>
      <w:bookmarkEnd w:id="47"/>
    </w:p>
    <w:p w14:paraId="456DB2F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确定年度绩效目标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：年初制订《绩效目标项目申报表》，设置绩效目标考核指标体系，并对相关指标进行细化、量化，建立对第三方机构绩效考核指标，建立内部职工绩效考核指标。</w:t>
      </w:r>
    </w:p>
    <w:p w14:paraId="6FCE6191">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 xml:space="preserve">    （2）</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采用事项外包形式</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：各科室的事项，分为常年性事项，可采用年初外包形式。对临时性事项，采用年初年末一次聘用，年度不再调整外聘人员。</w:t>
      </w:r>
    </w:p>
    <w:p w14:paraId="4FC9877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3CCB676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14:paraId="30C16364">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FF0000"/>
          <w:sz w:val="24"/>
          <w:szCs w:val="24"/>
          <w:lang w:val="en-US" w:eastAsia="zh-CN"/>
        </w:rPr>
      </w:pPr>
    </w:p>
    <w:p w14:paraId="61DB1618">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highlight w:val="none"/>
          <w:lang w:val="en-US" w:eastAsia="zh-CN"/>
        </w:rPr>
      </w:pPr>
    </w:p>
    <w:p w14:paraId="0100D0B2">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highlight w:val="none"/>
          <w:lang w:val="en-US" w:eastAsia="zh-CN"/>
        </w:rPr>
      </w:pPr>
    </w:p>
    <w:bookmarkEnd w:id="0"/>
    <w:bookmarkEnd w:id="1"/>
    <w:bookmarkEnd w:id="2"/>
    <w:p w14:paraId="7A0511A1">
      <w:pPr>
        <w:pStyle w:val="16"/>
        <w:pageBreakBefore w:val="0"/>
        <w:kinsoku/>
        <w:wordWrap/>
        <w:overflowPunct/>
        <w:topLinePunct w:val="0"/>
        <w:autoSpaceDE/>
        <w:autoSpaceDN/>
        <w:bidi w:val="0"/>
        <w:adjustRightInd/>
        <w:snapToGrid/>
        <w:spacing w:line="360" w:lineRule="auto"/>
        <w:ind w:firstLine="5340" w:firstLineChars="2225"/>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项目负责人：李怡民</w:t>
      </w:r>
    </w:p>
    <w:p w14:paraId="342B3554">
      <w:pPr>
        <w:pStyle w:val="16"/>
        <w:pageBreakBefore w:val="0"/>
        <w:kinsoku/>
        <w:wordWrap/>
        <w:overflowPunct/>
        <w:topLinePunct w:val="0"/>
        <w:autoSpaceDE/>
        <w:autoSpaceDN/>
        <w:bidi w:val="0"/>
        <w:adjustRightInd/>
        <w:snapToGrid/>
        <w:spacing w:line="360" w:lineRule="auto"/>
        <w:ind w:firstLine="5520" w:firstLineChars="23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评价成员：</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李怡民   </w:t>
      </w:r>
      <w:r>
        <w:rPr>
          <w:rFonts w:hint="eastAsia" w:asciiTheme="majorEastAsia" w:hAnsiTheme="majorEastAsia" w:eastAsiaTheme="majorEastAsia" w:cstheme="majorEastAsia"/>
          <w:color w:val="auto"/>
          <w:sz w:val="24"/>
          <w:szCs w:val="24"/>
          <w:highlight w:val="none"/>
          <w:lang w:val="en-US" w:eastAsia="zh-CN"/>
        </w:rPr>
        <w:t>杜秀兰</w:t>
      </w:r>
      <w:r>
        <w:rPr>
          <w:rFonts w:hint="eastAsia" w:asciiTheme="majorEastAsia" w:hAnsiTheme="majorEastAsia" w:eastAsiaTheme="majorEastAsia" w:cstheme="majorEastAsia"/>
          <w:color w:val="auto"/>
          <w:sz w:val="24"/>
          <w:szCs w:val="24"/>
          <w:highlight w:val="none"/>
        </w:rPr>
        <w:t xml:space="preserve">        </w:t>
      </w:r>
    </w:p>
    <w:p w14:paraId="4D6A002C">
      <w:pPr>
        <w:pageBreakBefore w:val="0"/>
        <w:kinsoku/>
        <w:wordWrap/>
        <w:overflowPunct/>
        <w:topLinePunct w:val="0"/>
        <w:autoSpaceDE/>
        <w:autoSpaceDN/>
        <w:bidi w:val="0"/>
        <w:adjustRightInd/>
        <w:snapToGrid/>
        <w:spacing w:line="360" w:lineRule="auto"/>
        <w:jc w:val="righ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湖北中天诚资产评估有限公司</w:t>
      </w:r>
    </w:p>
    <w:p w14:paraId="4E6E1B04">
      <w:pPr>
        <w:pageBreakBefore w:val="0"/>
        <w:kinsoku/>
        <w:wordWrap/>
        <w:overflowPunct/>
        <w:topLinePunct w:val="0"/>
        <w:autoSpaceDE/>
        <w:autoSpaceDN/>
        <w:bidi w:val="0"/>
        <w:adjustRightInd/>
        <w:snapToGrid/>
        <w:spacing w:line="360" w:lineRule="auto"/>
        <w:ind w:right="480"/>
        <w:jc w:val="right"/>
        <w:textAlignment w:val="auto"/>
        <w:rPr>
          <w:rFonts w:hint="eastAsia" w:asciiTheme="majorEastAsia" w:hAnsiTheme="majorEastAsia" w:eastAsiaTheme="majorEastAsia" w:cstheme="majorEastAsia"/>
          <w:color w:val="auto"/>
          <w:sz w:val="24"/>
          <w:szCs w:val="24"/>
          <w:highlight w:val="none"/>
        </w:rPr>
        <w:sectPr>
          <w:footerReference r:id="rId7" w:type="first"/>
          <w:footerReference r:id="rId6" w:type="default"/>
          <w:type w:val="continuous"/>
          <w:pgSz w:w="11906" w:h="16838"/>
          <w:pgMar w:top="1191" w:right="1191" w:bottom="1191" w:left="1191" w:header="851" w:footer="539" w:gutter="0"/>
          <w:pgNumType w:fmt="decimal"/>
          <w:cols w:space="0" w:num="1"/>
          <w:titlePg/>
          <w:rtlGutter w:val="0"/>
          <w:docGrid w:type="lines" w:linePitch="312" w:charSpace="0"/>
        </w:sectPr>
      </w:pPr>
      <w:r>
        <w:rPr>
          <w:rFonts w:hint="eastAsia" w:asciiTheme="majorEastAsia" w:hAnsiTheme="majorEastAsia" w:eastAsiaTheme="majorEastAsia" w:cstheme="majorEastAsia"/>
          <w:color w:val="auto"/>
          <w:sz w:val="24"/>
          <w:szCs w:val="24"/>
          <w:highlight w:val="none"/>
        </w:rPr>
        <w:t>201</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日</w:t>
      </w:r>
    </w:p>
    <w:p w14:paraId="37D84674">
      <w:pPr>
        <w:pStyle w:val="16"/>
        <w:pageBreakBefore w:val="0"/>
        <w:kinsoku/>
        <w:wordWrap/>
        <w:overflowPunct/>
        <w:topLinePunct w:val="0"/>
        <w:autoSpaceDE/>
        <w:autoSpaceDN/>
        <w:bidi w:val="0"/>
        <w:adjustRightInd/>
        <w:snapToGrid/>
        <w:spacing w:line="360" w:lineRule="auto"/>
        <w:ind w:firstLine="482" w:firstLineChars="0"/>
        <w:jc w:val="left"/>
        <w:textAlignment w:val="auto"/>
        <w:rPr>
          <w:rFonts w:hint="eastAsia" w:asciiTheme="majorEastAsia" w:hAnsiTheme="majorEastAsia" w:eastAsiaTheme="majorEastAsia" w:cstheme="majorEastAsia"/>
          <w:color w:val="auto"/>
          <w:sz w:val="24"/>
          <w:szCs w:val="24"/>
        </w:rPr>
      </w:pPr>
    </w:p>
    <w:p w14:paraId="0EACDC73">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bookmarkStart w:id="48" w:name="_Toc31129"/>
      <w:bookmarkStart w:id="49" w:name="_Toc1443"/>
      <w:r>
        <w:rPr>
          <w:rFonts w:hint="eastAsia" w:asciiTheme="majorEastAsia" w:hAnsiTheme="majorEastAsia" w:eastAsiaTheme="majorEastAsia" w:cstheme="majorEastAsia"/>
          <w:b/>
          <w:color w:val="auto"/>
          <w:sz w:val="24"/>
          <w:szCs w:val="24"/>
        </w:rPr>
        <w:fldChar w:fldCharType="begin"/>
      </w:r>
      <w:r>
        <w:rPr>
          <w:rStyle w:val="15"/>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color w:val="auto"/>
          <w:sz w:val="24"/>
          <w:szCs w:val="24"/>
        </w:rPr>
        <w:instrText xml:space="preserve">HYPERLINK \l "_Toc421610997"</w:instrText>
      </w:r>
      <w:r>
        <w:rPr>
          <w:rStyle w:val="15"/>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color w:val="auto"/>
          <w:sz w:val="24"/>
          <w:szCs w:val="24"/>
        </w:rPr>
        <w:fldChar w:fldCharType="separate"/>
      </w:r>
      <w:r>
        <w:rPr>
          <w:rStyle w:val="15"/>
          <w:rFonts w:hint="eastAsia" w:asciiTheme="majorEastAsia" w:hAnsiTheme="majorEastAsia" w:eastAsiaTheme="majorEastAsia" w:cstheme="majorEastAsia"/>
          <w:b/>
          <w:color w:val="auto"/>
          <w:sz w:val="24"/>
          <w:szCs w:val="24"/>
          <w:u w:val="none"/>
        </w:rPr>
        <w:t>附件：</w:t>
      </w:r>
      <w:r>
        <w:rPr>
          <w:rFonts w:hint="eastAsia" w:asciiTheme="majorEastAsia" w:hAnsiTheme="majorEastAsia" w:eastAsiaTheme="majorEastAsia" w:cstheme="majorEastAsia"/>
          <w:b/>
          <w:color w:val="auto"/>
          <w:sz w:val="24"/>
          <w:szCs w:val="24"/>
        </w:rPr>
        <w:fldChar w:fldCharType="end"/>
      </w:r>
      <w:bookmarkEnd w:id="48"/>
      <w:bookmarkEnd w:id="49"/>
      <w:r>
        <w:rPr>
          <w:rFonts w:hint="eastAsia" w:asciiTheme="majorEastAsia" w:hAnsiTheme="majorEastAsia" w:eastAsiaTheme="majorEastAsia" w:cstheme="majorEastAsia"/>
          <w:b/>
          <w:color w:val="auto"/>
          <w:sz w:val="24"/>
          <w:szCs w:val="24"/>
        </w:rPr>
        <w:t xml:space="preserve"> </w:t>
      </w:r>
    </w:p>
    <w:p w14:paraId="6A3AB8F2">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绩效评价评分明细表（分项目评分明细表和样本点评分明细汇总表）</w:t>
      </w:r>
    </w:p>
    <w:p w14:paraId="0E966A0F">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绩效目标完成情况对比表</w:t>
      </w:r>
    </w:p>
    <w:p w14:paraId="18FC2691">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基础数据汇总表</w:t>
      </w:r>
    </w:p>
    <w:p w14:paraId="51BAFE53">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访谈提纲及主要信息记录汇总</w:t>
      </w:r>
    </w:p>
    <w:p w14:paraId="7AAF5882">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调查问卷主要信息汇总表</w:t>
      </w:r>
    </w:p>
    <w:p w14:paraId="57AD101B">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评价依据目录</w:t>
      </w:r>
    </w:p>
    <w:p w14:paraId="0EB3A3B7">
      <w:pPr>
        <w:pageBreakBefore w:val="0"/>
        <w:kinsoku/>
        <w:wordWrap/>
        <w:overflowPunct/>
        <w:topLinePunct w:val="0"/>
        <w:autoSpaceDE/>
        <w:autoSpaceDN/>
        <w:bidi w:val="0"/>
        <w:adjustRightInd/>
        <w:snapToGrid/>
        <w:spacing w:line="360" w:lineRule="auto"/>
        <w:ind w:right="480"/>
        <w:jc w:val="left"/>
        <w:textAlignment w:val="auto"/>
        <w:rPr>
          <w:rFonts w:hint="eastAsia" w:asciiTheme="majorEastAsia" w:hAnsiTheme="majorEastAsia" w:eastAsiaTheme="majorEastAsia" w:cstheme="majorEastAsia"/>
          <w:color w:val="auto"/>
          <w:sz w:val="24"/>
          <w:szCs w:val="24"/>
          <w:highlight w:val="none"/>
        </w:rPr>
      </w:pPr>
    </w:p>
    <w:p w14:paraId="545F39F2">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rPr>
      </w:pPr>
    </w:p>
    <w:sectPr>
      <w:type w:val="continuous"/>
      <w:pgSz w:w="11906" w:h="16838"/>
      <w:pgMar w:top="1191" w:right="1191" w:bottom="1191" w:left="1191" w:header="851" w:footer="539"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40DE">
    <w:pPr>
      <w:pStyle w:val="8"/>
      <w:pBdr>
        <w:top w:val="thinThickSmallGap" w:color="622423" w:sz="24" w:space="1"/>
      </w:pBdr>
      <w:rPr>
        <w:rFonts w:hint="eastAsia"/>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posOffset>5097145</wp:posOffset>
              </wp:positionH>
              <wp:positionV relativeFrom="paragraph">
                <wp:posOffset>9525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172B5">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35pt;margin-top:0.75pt;height:144pt;width:144pt;mso-position-horizontal-relative:margin;mso-wrap-style:none;z-index:251666432;mso-width-relative:page;mso-height-relative:page;" filled="f" stroked="f" coordsize="21600,21600" o:gfxdata="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6g/h1gAAAAoBAAAPAAAAAAAAAAEAIAAAACIAAABkcnMvZG93bnJldi54bWxQ&#10;SwECFAAUAAAACACHTuJAm4x66jICAABjBAAADgAAAAAAAAABACAAAAAlAQAAZHJzL2Uyb0RvYy54&#10;bWxQSwUGAAAAAAYABgBZAQAAyQUAAAAA&#10;">
              <v:fill on="f" focussize="0,0"/>
              <v:stroke on="f" weight="0.5pt"/>
              <v:imagedata o:title=""/>
              <o:lock v:ext="edit" aspectratio="f"/>
              <v:textbox inset="0mm,0mm,0mm,0mm" style="mso-fit-shape-to-text:t;">
                <w:txbxContent>
                  <w:p w14:paraId="064172B5">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4995545</wp:posOffset>
              </wp:positionH>
              <wp:positionV relativeFrom="paragraph">
                <wp:posOffset>-635</wp:posOffset>
              </wp:positionV>
              <wp:extent cx="971550" cy="273050"/>
              <wp:effectExtent l="0" t="0" r="0" b="0"/>
              <wp:wrapNone/>
              <wp:docPr id="52" name="文本框 8"/>
              <wp:cNvGraphicFramePr/>
              <a:graphic xmlns:a="http://schemas.openxmlformats.org/drawingml/2006/main">
                <a:graphicData uri="http://schemas.microsoft.com/office/word/2010/wordprocessingShape">
                  <wps:wsp>
                    <wps:cNvSpPr txBox="1"/>
                    <wps:spPr>
                      <a:xfrm>
                        <a:off x="0" y="0"/>
                        <a:ext cx="971550" cy="273050"/>
                      </a:xfrm>
                      <a:prstGeom prst="rect">
                        <a:avLst/>
                      </a:prstGeom>
                      <a:noFill/>
                      <a:ln w="9525">
                        <a:noFill/>
                      </a:ln>
                    </wps:spPr>
                    <wps:txbx>
                      <w:txbxContent>
                        <w:p w14:paraId="68048C1E">
                          <w:pPr>
                            <w:snapToGrid w:val="0"/>
                            <w:rPr>
                              <w:rFonts w:hint="eastAsia" w:eastAsia="宋体"/>
                              <w:sz w:val="18"/>
                              <w:lang w:eastAsia="zh-CN"/>
                            </w:rPr>
                          </w:pPr>
                        </w:p>
                      </w:txbxContent>
                    </wps:txbx>
                    <wps:bodyPr lIns="0" tIns="0" rIns="0" bIns="0" upright="0"/>
                  </wps:wsp>
                </a:graphicData>
              </a:graphic>
            </wp:anchor>
          </w:drawing>
        </mc:Choice>
        <mc:Fallback>
          <w:pict>
            <v:shape id="文本框 8" o:spid="_x0000_s1026" o:spt="202" type="#_x0000_t202" style="position:absolute;left:0pt;margin-left:393.35pt;margin-top:-0.05pt;height:21.5pt;width:76.5pt;mso-position-horizontal-relative:margin;z-index:251663360;mso-width-relative:page;mso-height-relative:page;" filled="f" stroked="f" coordsize="21600,21600" o:gfxdata="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6bI+k1wAAAAgBAAAPAAAAAAAAAAEAIAAAACIAAABkcnMvZG93bnJldi54&#10;bWxQSwECFAAUAAAACACHTuJArs/qO8IBAAB7AwAADgAAAAAAAAABACAAAAAmAQAAZHJzL2Uyb0Rv&#10;Yy54bWxQSwUGAAAAAAYABgBZAQAAWgUAAAAA&#10;">
              <v:fill on="f" focussize="0,0"/>
              <v:stroke on="f"/>
              <v:imagedata o:title=""/>
              <o:lock v:ext="edit" aspectratio="f"/>
              <v:textbox inset="0mm,0mm,0mm,0mm">
                <w:txbxContent>
                  <w:p w14:paraId="68048C1E">
                    <w:pPr>
                      <w:snapToGrid w:val="0"/>
                      <w:rPr>
                        <w:rFonts w:hint="eastAsia" w:eastAsia="宋体"/>
                        <w:sz w:val="18"/>
                        <w:lang w:eastAsia="zh-CN"/>
                      </w:rPr>
                    </w:pPr>
                  </w:p>
                </w:txbxContent>
              </v:textbox>
            </v:shape>
          </w:pict>
        </mc:Fallback>
      </mc:AlternateContent>
    </w:r>
    <w:r>
      <w:rPr>
        <w:rFonts w:hint="eastAsia"/>
      </w:rPr>
      <w:t xml:space="preserve">湖北中天诚资产评估有限公司                 </w:t>
    </w:r>
    <w:r>
      <w:rPr>
        <w:rFonts w:hint="eastAsia"/>
        <w:lang w:val="en-US" w:eastAsia="zh-CN"/>
      </w:rPr>
      <w:t xml:space="preserve">                        </w:t>
    </w:r>
  </w:p>
  <w:p w14:paraId="4A903474">
    <w:pPr>
      <w:pStyle w:val="8"/>
      <w:pBdr>
        <w:top w:val="thinThickSmallGap" w:color="622423" w:sz="24" w:space="1"/>
      </w:pBdr>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575D">
    <w:pPr>
      <w:pStyle w:val="8"/>
      <w:jc w:val="center"/>
    </w:pPr>
    <w:r>
      <w:rPr>
        <w:rFonts w:hint="eastAsia"/>
      </w:rPr>
      <w:t xml:space="preserve">  </w:t>
    </w:r>
    <w:r>
      <w:rPr>
        <w:rFonts w:hint="eastAsia"/>
        <w:lang w:val="en-US" w:eastAsia="zh-CN"/>
      </w:rPr>
      <w:t xml:space="preserve">   </w: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9AE90B1">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jxsystMBAACjAwAADgAAAAAAAAABACAAAAAeAQAA&#10;ZHJzL2Uyb0RvYy54bWxQSwUGAAAAAAYABgBZAQAAYwUAAAAA&#10;">
              <v:fill on="f" focussize="0,0"/>
              <v:stroke on="f"/>
              <v:imagedata o:title=""/>
              <o:lock v:ext="edit" aspectratio="f"/>
              <v:textbox inset="0mm,0mm,0mm,0mm" style="mso-fit-shape-to-text:t;">
                <w:txbxContent>
                  <w:p w14:paraId="49AE90B1">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2433">
    <w:pPr>
      <w:pStyle w:val="8"/>
      <w:pBdr>
        <w:top w:val="thinThickSmallGap" w:color="622423" w:sz="24" w:space="1"/>
      </w:pBdr>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posOffset>5020945</wp:posOffset>
              </wp:positionH>
              <wp:positionV relativeFrom="paragraph">
                <wp:posOffset>28575</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6557E">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35pt;margin-top:2.25pt;height:144pt;width:144pt;mso-position-horizontal-relative:margin;mso-wrap-style:none;z-index:251667456;mso-width-relative:page;mso-height-relative:page;" filled="f" stroked="f" coordsize="21600,21600" o:gfxdata="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s24EdcAAAAKAQAADwAAAAAAAAABACAAAAAiAAAAZHJzL2Rvd25yZXYueG1s&#10;UEsBAhQAFAAAAAgAh07iQMAs4fcyAgAAYwQAAA4AAAAAAAAAAQAgAAAAJgEAAGRycy9lMm9Eb2Mu&#10;eG1sUEsFBgAAAAAGAAYAWQEAAMoFAAAAAA==&#10;">
              <v:fill on="f" focussize="0,0"/>
              <v:stroke on="f" weight="0.5pt"/>
              <v:imagedata o:title=""/>
              <o:lock v:ext="edit" aspectratio="f"/>
              <v:textbox inset="0mm,0mm,0mm,0mm" style="mso-fit-shape-to-text:t;">
                <w:txbxContent>
                  <w:p w14:paraId="0896557E">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14:paraId="504A86BA">
    <w:pPr>
      <w:pStyle w:val="8"/>
    </w:pPr>
  </w:p>
  <w:p w14:paraId="32718664">
    <w:pPr>
      <w:pStyle w:val="8"/>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1B91">
    <w:pPr>
      <w:pStyle w:val="8"/>
      <w:pBdr>
        <w:top w:val="thinThickSmallGap" w:color="622423" w:sz="24" w:space="1"/>
      </w:pBdr>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posOffset>5020945</wp:posOffset>
              </wp:positionH>
              <wp:positionV relativeFrom="paragraph">
                <wp:posOffset>28575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4D36C">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35pt;margin-top:2.25pt;height:144pt;width:144pt;mso-position-horizontal-relative:margin;mso-wrap-style:none;z-index:251668480;mso-width-relative:page;mso-height-relative:page;" filled="f" stroked="f" coordsize="21600,21600" o:gfxdata="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LNuBHXAAAACgEAAA8AAAAAAAAAAQAgAAAAIgAAAGRycy9kb3ducmV2Lnht&#10;bFBLAQIUABQAAAAIAIdO4kCChHYYMwIAAGMEAAAOAAAAAAAAAAEAIAAAACYBAABkcnMvZTJvRG9j&#10;LnhtbFBLBQYAAAAABgAGAFkBAADLBQAAAAA=&#10;">
              <v:fill on="f" focussize="0,0"/>
              <v:stroke on="f" weight="0.5pt"/>
              <v:imagedata o:title=""/>
              <o:lock v:ext="edit" aspectratio="f"/>
              <v:textbox inset="0mm,0mm,0mm,0mm" style="mso-fit-shape-to-text:t;">
                <w:txbxContent>
                  <w:p w14:paraId="13F4D36C">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p>
  <w:p w14:paraId="02B172DD">
    <w:pPr>
      <w:pStyle w:val="8"/>
    </w:pPr>
  </w:p>
  <w:p w14:paraId="203E621F">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9F2037">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I/5jRAQAAogMAAA4AAAAAAAAAAQAgAAAAHgEAAGRy&#10;cy9lMm9Eb2MueG1sUEsFBgAAAAAGAAYAWQEAAGEFAAAAAA==&#10;">
              <v:fill on="f" focussize="0,0"/>
              <v:stroke on="f"/>
              <v:imagedata o:title=""/>
              <o:lock v:ext="edit" aspectratio="f"/>
              <v:textbox inset="0mm,0mm,0mm,0mm" style="mso-fit-shape-to-text:t;">
                <w:txbxContent>
                  <w:p w14:paraId="349F2037">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422C">
    <w:pPr>
      <w:pStyle w:val="9"/>
      <w:pBdr>
        <w:bottom w:val="thickThinSmallGap" w:color="622423" w:sz="24" w:space="1"/>
      </w:pBdr>
      <w:jc w:val="both"/>
      <w:rPr>
        <w:rFonts w:hint="eastAsia" w:ascii="宋体" w:hAnsi="宋体"/>
        <w:bCs/>
        <w:spacing w:val="-6"/>
        <w:sz w:val="21"/>
        <w:szCs w:val="21"/>
      </w:rPr>
    </w:pPr>
    <w:r>
      <w:rPr>
        <w:rFonts w:hint="eastAsia" w:ascii="宋体" w:hAnsi="宋体"/>
        <w:bCs/>
        <w:spacing w:val="-6"/>
        <w:sz w:val="21"/>
        <w:szCs w:val="21"/>
        <w:lang w:val="en-US" w:eastAsia="zh-CN"/>
      </w:rPr>
      <w:t>2017年度武昌区聘用人员经费项目</w:t>
    </w:r>
    <w:r>
      <w:rPr>
        <w:rFonts w:hint="eastAsia" w:ascii="宋体" w:hAnsi="宋体"/>
        <w:bCs/>
        <w:spacing w:val="-6"/>
        <w:sz w:val="21"/>
        <w:szCs w:val="21"/>
      </w:rPr>
      <w:t>绩效评</w:t>
    </w:r>
    <w:r>
      <w:rPr>
        <w:rFonts w:hint="eastAsia" w:ascii="宋体" w:hAnsi="宋体"/>
        <w:bCs/>
        <w:spacing w:val="-6"/>
        <w:sz w:val="21"/>
        <w:szCs w:val="21"/>
      </w:rPr>
      <w:drawing>
        <wp:anchor distT="0" distB="0" distL="114300" distR="114300" simplePos="0" relativeHeight="251665408" behindDoc="0" locked="0" layoutInCell="1" allowOverlap="1">
          <wp:simplePos x="0" y="0"/>
          <wp:positionH relativeFrom="column">
            <wp:posOffset>5848350</wp:posOffset>
          </wp:positionH>
          <wp:positionV relativeFrom="paragraph">
            <wp:posOffset>-163195</wp:posOffset>
          </wp:positionV>
          <wp:extent cx="377190" cy="359410"/>
          <wp:effectExtent l="0" t="0" r="3810" b="2540"/>
          <wp:wrapSquare wrapText="bothSides"/>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r>
      <w:rPr>
        <w:rFonts w:hint="eastAsia" w:ascii="宋体" w:hAnsi="宋体"/>
        <w:bCs/>
        <w:spacing w:val="-6"/>
        <w:sz w:val="21"/>
        <w:szCs w:val="21"/>
        <w:lang w:eastAsia="zh-CN"/>
      </w:rPr>
      <w:t>价报告</w:t>
    </w:r>
    <w:r>
      <w:rPr>
        <w:rFonts w:hint="eastAsia" w:ascii="宋体" w:hAnsi="宋体"/>
        <w:bCs/>
        <w:spacing w:val="-6"/>
        <w:sz w:val="21"/>
        <w:szCs w:val="21"/>
      </w:rPr>
      <w:drawing>
        <wp:anchor distT="0" distB="0" distL="114300" distR="114300" simplePos="0" relativeHeight="251659264" behindDoc="0" locked="0" layoutInCell="1" allowOverlap="1">
          <wp:simplePos x="0" y="0"/>
          <wp:positionH relativeFrom="column">
            <wp:posOffset>5848350</wp:posOffset>
          </wp:positionH>
          <wp:positionV relativeFrom="paragraph">
            <wp:posOffset>-163195</wp:posOffset>
          </wp:positionV>
          <wp:extent cx="377190" cy="359410"/>
          <wp:effectExtent l="0" t="0" r="3810" b="2540"/>
          <wp:wrapSquare wrapText="bothSides"/>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p>
  <w:p w14:paraId="3B845D7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46720"/>
    <w:multiLevelType w:val="singleLevel"/>
    <w:tmpl w:val="A4846720"/>
    <w:lvl w:ilvl="0" w:tentative="0">
      <w:start w:val="1"/>
      <w:numFmt w:val="chineseCounting"/>
      <w:suff w:val="nothing"/>
      <w:lvlText w:val="（%1）"/>
      <w:lvlJc w:val="left"/>
      <w:rPr>
        <w:rFonts w:hint="eastAsia"/>
      </w:rPr>
    </w:lvl>
  </w:abstractNum>
  <w:abstractNum w:abstractNumId="1">
    <w:nsid w:val="B0B93CA1"/>
    <w:multiLevelType w:val="singleLevel"/>
    <w:tmpl w:val="B0B93CA1"/>
    <w:lvl w:ilvl="0" w:tentative="0">
      <w:start w:val="2"/>
      <w:numFmt w:val="chineseCounting"/>
      <w:suff w:val="nothing"/>
      <w:lvlText w:val="%1、"/>
      <w:lvlJc w:val="left"/>
      <w:rPr>
        <w:rFonts w:hint="eastAsia"/>
      </w:rPr>
    </w:lvl>
  </w:abstractNum>
  <w:abstractNum w:abstractNumId="2">
    <w:nsid w:val="E01DDE72"/>
    <w:multiLevelType w:val="singleLevel"/>
    <w:tmpl w:val="E01DDE72"/>
    <w:lvl w:ilvl="0" w:tentative="0">
      <w:start w:val="1"/>
      <w:numFmt w:val="chineseCounting"/>
      <w:suff w:val="nothing"/>
      <w:lvlText w:val="%1、"/>
      <w:lvlJc w:val="left"/>
      <w:rPr>
        <w:rFonts w:hint="eastAsia"/>
      </w:rPr>
    </w:lvl>
  </w:abstractNum>
  <w:abstractNum w:abstractNumId="3">
    <w:nsid w:val="025FF173"/>
    <w:multiLevelType w:val="singleLevel"/>
    <w:tmpl w:val="025FF173"/>
    <w:lvl w:ilvl="0" w:tentative="0">
      <w:start w:val="2"/>
      <w:numFmt w:val="chineseCounting"/>
      <w:suff w:val="nothing"/>
      <w:lvlText w:val="%1、"/>
      <w:lvlJc w:val="left"/>
      <w:rPr>
        <w:rFonts w:hint="eastAsia"/>
      </w:rPr>
    </w:lvl>
  </w:abstractNum>
  <w:abstractNum w:abstractNumId="4">
    <w:nsid w:val="1D6D47DD"/>
    <w:multiLevelType w:val="singleLevel"/>
    <w:tmpl w:val="1D6D47DD"/>
    <w:lvl w:ilvl="0" w:tentative="0">
      <w:start w:val="3"/>
      <w:numFmt w:val="chineseCounting"/>
      <w:suff w:val="nothing"/>
      <w:lvlText w:val="（%1）"/>
      <w:lvlJc w:val="left"/>
      <w:rPr>
        <w:rFonts w:hint="eastAsia"/>
      </w:rPr>
    </w:lvl>
  </w:abstractNum>
  <w:abstractNum w:abstractNumId="5">
    <w:nsid w:val="3BA183D3"/>
    <w:multiLevelType w:val="singleLevel"/>
    <w:tmpl w:val="3BA183D3"/>
    <w:lvl w:ilvl="0" w:tentative="0">
      <w:start w:val="2"/>
      <w:numFmt w:val="decimal"/>
      <w:suff w:val="nothing"/>
      <w:lvlText w:val="%1、"/>
      <w:lvlJc w:val="left"/>
      <w:pPr>
        <w:ind w:left="480" w:leftChars="0" w:firstLine="0" w:firstLineChars="0"/>
      </w:pPr>
    </w:lvl>
  </w:abstractNum>
  <w:abstractNum w:abstractNumId="6">
    <w:nsid w:val="4DDEA408"/>
    <w:multiLevelType w:val="singleLevel"/>
    <w:tmpl w:val="4DDEA408"/>
    <w:lvl w:ilvl="0" w:tentative="0">
      <w:start w:val="1"/>
      <w:numFmt w:val="decimal"/>
      <w:lvlText w:val="%1."/>
      <w:lvlJc w:val="left"/>
      <w:pPr>
        <w:tabs>
          <w:tab w:val="left" w:pos="312"/>
        </w:tabs>
      </w:pPr>
    </w:lvl>
  </w:abstractNum>
  <w:abstractNum w:abstractNumId="7">
    <w:nsid w:val="5B173761"/>
    <w:multiLevelType w:val="singleLevel"/>
    <w:tmpl w:val="5B173761"/>
    <w:lvl w:ilvl="0" w:tentative="0">
      <w:start w:val="2"/>
      <w:numFmt w:val="decimal"/>
      <w:suff w:val="nothing"/>
      <w:lvlText w:val="%1、"/>
      <w:lvlJc w:val="left"/>
    </w:lvl>
  </w:abstractNum>
  <w:abstractNum w:abstractNumId="8">
    <w:nsid w:val="5B1748A9"/>
    <w:multiLevelType w:val="singleLevel"/>
    <w:tmpl w:val="5B1748A9"/>
    <w:lvl w:ilvl="0" w:tentative="0">
      <w:start w:val="4"/>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67708"/>
    <w:rsid w:val="009D6611"/>
    <w:rsid w:val="00AB0D0C"/>
    <w:rsid w:val="00B461C6"/>
    <w:rsid w:val="00C17E53"/>
    <w:rsid w:val="012144C1"/>
    <w:rsid w:val="015D1144"/>
    <w:rsid w:val="02131D4D"/>
    <w:rsid w:val="02805BD4"/>
    <w:rsid w:val="02E71E31"/>
    <w:rsid w:val="037B0D20"/>
    <w:rsid w:val="03DB7AF1"/>
    <w:rsid w:val="04243B0D"/>
    <w:rsid w:val="046C5204"/>
    <w:rsid w:val="05890630"/>
    <w:rsid w:val="05A11999"/>
    <w:rsid w:val="05FB5227"/>
    <w:rsid w:val="06266906"/>
    <w:rsid w:val="07107C21"/>
    <w:rsid w:val="07305B6F"/>
    <w:rsid w:val="07A765F3"/>
    <w:rsid w:val="07A82D16"/>
    <w:rsid w:val="07EC2FA6"/>
    <w:rsid w:val="08D124A6"/>
    <w:rsid w:val="08DA7138"/>
    <w:rsid w:val="09586F58"/>
    <w:rsid w:val="09F73EA7"/>
    <w:rsid w:val="0A0E5A48"/>
    <w:rsid w:val="0AF05A6A"/>
    <w:rsid w:val="0B175EA0"/>
    <w:rsid w:val="0BCB189A"/>
    <w:rsid w:val="0C4B5B28"/>
    <w:rsid w:val="0CDD11AA"/>
    <w:rsid w:val="0D0E13AC"/>
    <w:rsid w:val="0D75288F"/>
    <w:rsid w:val="0DAA6E6C"/>
    <w:rsid w:val="0E221E05"/>
    <w:rsid w:val="0EA0612E"/>
    <w:rsid w:val="0EEC5B91"/>
    <w:rsid w:val="0F051F09"/>
    <w:rsid w:val="0F256098"/>
    <w:rsid w:val="0FA9547D"/>
    <w:rsid w:val="0FC36F19"/>
    <w:rsid w:val="1030519A"/>
    <w:rsid w:val="105977C3"/>
    <w:rsid w:val="10752692"/>
    <w:rsid w:val="110E2A86"/>
    <w:rsid w:val="11BB0772"/>
    <w:rsid w:val="12341E31"/>
    <w:rsid w:val="126A4713"/>
    <w:rsid w:val="12FB5C38"/>
    <w:rsid w:val="131833E1"/>
    <w:rsid w:val="14692417"/>
    <w:rsid w:val="146D3A76"/>
    <w:rsid w:val="14872A8D"/>
    <w:rsid w:val="148D3F0D"/>
    <w:rsid w:val="1504731F"/>
    <w:rsid w:val="15C24EC3"/>
    <w:rsid w:val="16472BFF"/>
    <w:rsid w:val="16541946"/>
    <w:rsid w:val="168020AE"/>
    <w:rsid w:val="1740711E"/>
    <w:rsid w:val="19364133"/>
    <w:rsid w:val="199911AC"/>
    <w:rsid w:val="19AC0CD3"/>
    <w:rsid w:val="19B65A43"/>
    <w:rsid w:val="1A117D62"/>
    <w:rsid w:val="1A1A792E"/>
    <w:rsid w:val="1A762914"/>
    <w:rsid w:val="1ABA38E2"/>
    <w:rsid w:val="1B5232B2"/>
    <w:rsid w:val="1B855DA0"/>
    <w:rsid w:val="1B9C6B93"/>
    <w:rsid w:val="1BBB5990"/>
    <w:rsid w:val="1C184F8E"/>
    <w:rsid w:val="1C7331F9"/>
    <w:rsid w:val="1CBD5E1F"/>
    <w:rsid w:val="1DFF0308"/>
    <w:rsid w:val="1E297CFB"/>
    <w:rsid w:val="1E7C3896"/>
    <w:rsid w:val="1E802B4F"/>
    <w:rsid w:val="1E873BDF"/>
    <w:rsid w:val="1F5D0A85"/>
    <w:rsid w:val="1F6D4FC3"/>
    <w:rsid w:val="1F96345D"/>
    <w:rsid w:val="1FE675FD"/>
    <w:rsid w:val="217E3BC2"/>
    <w:rsid w:val="22200C4E"/>
    <w:rsid w:val="223A417F"/>
    <w:rsid w:val="225126C1"/>
    <w:rsid w:val="226679D7"/>
    <w:rsid w:val="229A60BB"/>
    <w:rsid w:val="22CB3FEB"/>
    <w:rsid w:val="231370CD"/>
    <w:rsid w:val="234C1770"/>
    <w:rsid w:val="237D60A9"/>
    <w:rsid w:val="23F979A1"/>
    <w:rsid w:val="248018AC"/>
    <w:rsid w:val="24F021FA"/>
    <w:rsid w:val="250F5ED6"/>
    <w:rsid w:val="25CF4162"/>
    <w:rsid w:val="264C26FC"/>
    <w:rsid w:val="26915DE3"/>
    <w:rsid w:val="26D22705"/>
    <w:rsid w:val="26E8320C"/>
    <w:rsid w:val="271E25E5"/>
    <w:rsid w:val="27724F4E"/>
    <w:rsid w:val="278E6B9E"/>
    <w:rsid w:val="27D209A5"/>
    <w:rsid w:val="284542AB"/>
    <w:rsid w:val="28E104C8"/>
    <w:rsid w:val="299751AC"/>
    <w:rsid w:val="2B186B46"/>
    <w:rsid w:val="2B2F3E29"/>
    <w:rsid w:val="2C3B65A4"/>
    <w:rsid w:val="2C851909"/>
    <w:rsid w:val="2CB1091B"/>
    <w:rsid w:val="2D132DDD"/>
    <w:rsid w:val="2E22736E"/>
    <w:rsid w:val="2E23748C"/>
    <w:rsid w:val="2E754678"/>
    <w:rsid w:val="2E802760"/>
    <w:rsid w:val="2ECE7C17"/>
    <w:rsid w:val="2EEF41F2"/>
    <w:rsid w:val="2EF3091A"/>
    <w:rsid w:val="2FB55195"/>
    <w:rsid w:val="30203F57"/>
    <w:rsid w:val="302A3B02"/>
    <w:rsid w:val="309C07AA"/>
    <w:rsid w:val="30D07C8E"/>
    <w:rsid w:val="30F86E6B"/>
    <w:rsid w:val="31232D7F"/>
    <w:rsid w:val="318E6A2C"/>
    <w:rsid w:val="32160991"/>
    <w:rsid w:val="33601F84"/>
    <w:rsid w:val="34600D34"/>
    <w:rsid w:val="353D0832"/>
    <w:rsid w:val="354F4CAF"/>
    <w:rsid w:val="35B0215C"/>
    <w:rsid w:val="35CD7916"/>
    <w:rsid w:val="365B1FB2"/>
    <w:rsid w:val="36932A7E"/>
    <w:rsid w:val="369704A2"/>
    <w:rsid w:val="369F100E"/>
    <w:rsid w:val="36AA6013"/>
    <w:rsid w:val="36AB3592"/>
    <w:rsid w:val="36FF14E0"/>
    <w:rsid w:val="370D27B7"/>
    <w:rsid w:val="372931D3"/>
    <w:rsid w:val="37DC3064"/>
    <w:rsid w:val="38D23867"/>
    <w:rsid w:val="39403262"/>
    <w:rsid w:val="39845E32"/>
    <w:rsid w:val="39EC5392"/>
    <w:rsid w:val="3A550093"/>
    <w:rsid w:val="3AE46F43"/>
    <w:rsid w:val="3BC45602"/>
    <w:rsid w:val="3BCA4ED2"/>
    <w:rsid w:val="3C080B94"/>
    <w:rsid w:val="3C4F08FD"/>
    <w:rsid w:val="3CA37757"/>
    <w:rsid w:val="3D972A7B"/>
    <w:rsid w:val="3DBF1909"/>
    <w:rsid w:val="3DE5050B"/>
    <w:rsid w:val="3E680D67"/>
    <w:rsid w:val="3EDA31C3"/>
    <w:rsid w:val="401C5B88"/>
    <w:rsid w:val="403401F3"/>
    <w:rsid w:val="40E819AB"/>
    <w:rsid w:val="413B1951"/>
    <w:rsid w:val="413B69BF"/>
    <w:rsid w:val="415C11CE"/>
    <w:rsid w:val="42D44147"/>
    <w:rsid w:val="43420EE0"/>
    <w:rsid w:val="43845C26"/>
    <w:rsid w:val="43A07DB3"/>
    <w:rsid w:val="43AB4FB3"/>
    <w:rsid w:val="44202DE8"/>
    <w:rsid w:val="454E1424"/>
    <w:rsid w:val="45FD46C4"/>
    <w:rsid w:val="46A27ED3"/>
    <w:rsid w:val="48FA01B7"/>
    <w:rsid w:val="490267CF"/>
    <w:rsid w:val="492E62F9"/>
    <w:rsid w:val="49D144DC"/>
    <w:rsid w:val="4A1A45C2"/>
    <w:rsid w:val="4A392E47"/>
    <w:rsid w:val="4A7360DE"/>
    <w:rsid w:val="4AB968A0"/>
    <w:rsid w:val="4AF94847"/>
    <w:rsid w:val="4B1A4EAA"/>
    <w:rsid w:val="4B9613A1"/>
    <w:rsid w:val="4C091BCE"/>
    <w:rsid w:val="4C2C08B6"/>
    <w:rsid w:val="4C5022C1"/>
    <w:rsid w:val="4C9B6616"/>
    <w:rsid w:val="4CCB0746"/>
    <w:rsid w:val="4CEC7905"/>
    <w:rsid w:val="4CF041EA"/>
    <w:rsid w:val="4D0B36A6"/>
    <w:rsid w:val="4D594211"/>
    <w:rsid w:val="4D807DEB"/>
    <w:rsid w:val="4DA26D7D"/>
    <w:rsid w:val="4DB044D2"/>
    <w:rsid w:val="4E021D85"/>
    <w:rsid w:val="4E4C58DF"/>
    <w:rsid w:val="4EA63F69"/>
    <w:rsid w:val="4EAF2D88"/>
    <w:rsid w:val="4F09689E"/>
    <w:rsid w:val="4FB27E39"/>
    <w:rsid w:val="503D20BC"/>
    <w:rsid w:val="50D100CC"/>
    <w:rsid w:val="50E96629"/>
    <w:rsid w:val="50F1784D"/>
    <w:rsid w:val="515F3443"/>
    <w:rsid w:val="51DF4345"/>
    <w:rsid w:val="51E55E87"/>
    <w:rsid w:val="52467BAA"/>
    <w:rsid w:val="529369C2"/>
    <w:rsid w:val="53495593"/>
    <w:rsid w:val="53565DB4"/>
    <w:rsid w:val="53E616D7"/>
    <w:rsid w:val="54767708"/>
    <w:rsid w:val="54D40ECD"/>
    <w:rsid w:val="54EB46E2"/>
    <w:rsid w:val="55997986"/>
    <w:rsid w:val="55C9793B"/>
    <w:rsid w:val="562A053B"/>
    <w:rsid w:val="568160B3"/>
    <w:rsid w:val="569F736B"/>
    <w:rsid w:val="570723C1"/>
    <w:rsid w:val="570D65D0"/>
    <w:rsid w:val="57383664"/>
    <w:rsid w:val="57594626"/>
    <w:rsid w:val="577026E8"/>
    <w:rsid w:val="57814767"/>
    <w:rsid w:val="57D73A95"/>
    <w:rsid w:val="585175F3"/>
    <w:rsid w:val="58651E5A"/>
    <w:rsid w:val="59325A23"/>
    <w:rsid w:val="59934A2C"/>
    <w:rsid w:val="5AE51EB3"/>
    <w:rsid w:val="5AF33F1D"/>
    <w:rsid w:val="5AF3715D"/>
    <w:rsid w:val="5AF75CA2"/>
    <w:rsid w:val="5B826BCA"/>
    <w:rsid w:val="5BB00137"/>
    <w:rsid w:val="5BEC5805"/>
    <w:rsid w:val="5C2C0516"/>
    <w:rsid w:val="5C754E09"/>
    <w:rsid w:val="5CD75621"/>
    <w:rsid w:val="5D124FC5"/>
    <w:rsid w:val="5D517558"/>
    <w:rsid w:val="5D973F1B"/>
    <w:rsid w:val="5DB825FE"/>
    <w:rsid w:val="5E4B2B42"/>
    <w:rsid w:val="5E5C3C46"/>
    <w:rsid w:val="5E7146D8"/>
    <w:rsid w:val="5ED45B94"/>
    <w:rsid w:val="5EFB6C45"/>
    <w:rsid w:val="5F2123FC"/>
    <w:rsid w:val="5F2E138D"/>
    <w:rsid w:val="5F373ED0"/>
    <w:rsid w:val="5F44159D"/>
    <w:rsid w:val="5F61739B"/>
    <w:rsid w:val="5F91162B"/>
    <w:rsid w:val="60254A40"/>
    <w:rsid w:val="60280491"/>
    <w:rsid w:val="603A5946"/>
    <w:rsid w:val="607A1395"/>
    <w:rsid w:val="60CB0D31"/>
    <w:rsid w:val="60DF66C2"/>
    <w:rsid w:val="614E50BB"/>
    <w:rsid w:val="6175086E"/>
    <w:rsid w:val="618904EB"/>
    <w:rsid w:val="61B0714A"/>
    <w:rsid w:val="620A4D81"/>
    <w:rsid w:val="628C7CB5"/>
    <w:rsid w:val="62A635C5"/>
    <w:rsid w:val="62C4048F"/>
    <w:rsid w:val="62FD6ADF"/>
    <w:rsid w:val="63C7101C"/>
    <w:rsid w:val="64261C2F"/>
    <w:rsid w:val="645C3E1C"/>
    <w:rsid w:val="64E05152"/>
    <w:rsid w:val="64FD20A0"/>
    <w:rsid w:val="65B8049A"/>
    <w:rsid w:val="65D64D5A"/>
    <w:rsid w:val="65EE07B9"/>
    <w:rsid w:val="65FD7CA9"/>
    <w:rsid w:val="66120C0F"/>
    <w:rsid w:val="66B9543E"/>
    <w:rsid w:val="66BA2267"/>
    <w:rsid w:val="66D137C7"/>
    <w:rsid w:val="66F35271"/>
    <w:rsid w:val="674C36A0"/>
    <w:rsid w:val="675F1DEF"/>
    <w:rsid w:val="67827DA8"/>
    <w:rsid w:val="67B64F17"/>
    <w:rsid w:val="67CA13DE"/>
    <w:rsid w:val="67E75BFA"/>
    <w:rsid w:val="681526AA"/>
    <w:rsid w:val="681A24EE"/>
    <w:rsid w:val="68922F46"/>
    <w:rsid w:val="68F23630"/>
    <w:rsid w:val="68FF471D"/>
    <w:rsid w:val="6ACF148C"/>
    <w:rsid w:val="6AF113B4"/>
    <w:rsid w:val="6AF37B6C"/>
    <w:rsid w:val="6AFE1011"/>
    <w:rsid w:val="6B1F6ACA"/>
    <w:rsid w:val="6B936DD9"/>
    <w:rsid w:val="6C1B4EF3"/>
    <w:rsid w:val="6C360024"/>
    <w:rsid w:val="6C675D6F"/>
    <w:rsid w:val="6CE11431"/>
    <w:rsid w:val="6D371F41"/>
    <w:rsid w:val="6D707097"/>
    <w:rsid w:val="6D8E1E50"/>
    <w:rsid w:val="6DDA0CB9"/>
    <w:rsid w:val="6E2D72CB"/>
    <w:rsid w:val="6EB03B7D"/>
    <w:rsid w:val="6ECE5E34"/>
    <w:rsid w:val="6EDE14AF"/>
    <w:rsid w:val="6F4748F8"/>
    <w:rsid w:val="6F474CA5"/>
    <w:rsid w:val="6F5D79C2"/>
    <w:rsid w:val="6F8F4FF6"/>
    <w:rsid w:val="6F9A2344"/>
    <w:rsid w:val="70002075"/>
    <w:rsid w:val="70132A6B"/>
    <w:rsid w:val="70A6015B"/>
    <w:rsid w:val="70D74B65"/>
    <w:rsid w:val="70F268DA"/>
    <w:rsid w:val="71556406"/>
    <w:rsid w:val="71731023"/>
    <w:rsid w:val="726D0E25"/>
    <w:rsid w:val="72AA7833"/>
    <w:rsid w:val="72F93C0A"/>
    <w:rsid w:val="73147C67"/>
    <w:rsid w:val="733E14BB"/>
    <w:rsid w:val="74217EA4"/>
    <w:rsid w:val="747C2F71"/>
    <w:rsid w:val="74C975E7"/>
    <w:rsid w:val="74F51AF1"/>
    <w:rsid w:val="75091B86"/>
    <w:rsid w:val="75413600"/>
    <w:rsid w:val="75D8590C"/>
    <w:rsid w:val="761A103B"/>
    <w:rsid w:val="76526D65"/>
    <w:rsid w:val="7674124C"/>
    <w:rsid w:val="76FF6907"/>
    <w:rsid w:val="77440C0A"/>
    <w:rsid w:val="776B7A36"/>
    <w:rsid w:val="779D419C"/>
    <w:rsid w:val="78E65A5B"/>
    <w:rsid w:val="79A22C7D"/>
    <w:rsid w:val="79F929DA"/>
    <w:rsid w:val="7A294BC8"/>
    <w:rsid w:val="7ACE3B53"/>
    <w:rsid w:val="7AE7717F"/>
    <w:rsid w:val="7B350E78"/>
    <w:rsid w:val="7C202D83"/>
    <w:rsid w:val="7CD04513"/>
    <w:rsid w:val="7CDC2326"/>
    <w:rsid w:val="7DBF5B09"/>
    <w:rsid w:val="7E221BA6"/>
    <w:rsid w:val="7EF672D4"/>
    <w:rsid w:val="7FA62E8F"/>
    <w:rsid w:val="7FC01BB3"/>
    <w:rsid w:val="7FF87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eastAsia="黑体"/>
      <w:b/>
      <w:bCs/>
      <w:kern w:val="44"/>
      <w:sz w:val="28"/>
      <w:szCs w:val="44"/>
    </w:rPr>
  </w:style>
  <w:style w:type="paragraph" w:styleId="3">
    <w:name w:val="heading 2"/>
    <w:basedOn w:val="1"/>
    <w:next w:val="1"/>
    <w:link w:val="18"/>
    <w:unhideWhenUsed/>
    <w:qFormat/>
    <w:uiPriority w:val="0"/>
    <w:pPr>
      <w:keepNext/>
      <w:keepLines/>
      <w:spacing w:line="413" w:lineRule="auto"/>
      <w:ind w:left="200" w:leftChars="200"/>
      <w:outlineLvl w:val="1"/>
    </w:pPr>
    <w:rPr>
      <w:rFonts w:ascii="Arial" w:hAnsi="Arial" w:eastAsia="仿宋"/>
      <w:b/>
      <w:bCs/>
      <w:kern w:val="2"/>
      <w:sz w:val="28"/>
      <w:szCs w:val="32"/>
    </w:rPr>
  </w:style>
  <w:style w:type="paragraph" w:styleId="4">
    <w:name w:val="heading 3"/>
    <w:basedOn w:val="1"/>
    <w:next w:val="1"/>
    <w:unhideWhenUsed/>
    <w:qFormat/>
    <w:uiPriority w:val="0"/>
    <w:pPr>
      <w:keepNext/>
      <w:keepLines/>
      <w:spacing w:line="413" w:lineRule="auto"/>
      <w:ind w:left="400" w:leftChars="400"/>
      <w:outlineLvl w:val="2"/>
    </w:pPr>
    <w:rPr>
      <w:rFonts w:eastAsia="仿宋"/>
      <w:b/>
      <w:bCs/>
      <w:kern w:val="2"/>
      <w:sz w:val="28"/>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rFonts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0">
    <w:name w:val="toc 1"/>
    <w:basedOn w:val="1"/>
    <w:next w:val="1"/>
    <w:qFormat/>
    <w:uiPriority w:val="0"/>
  </w:style>
  <w:style w:type="paragraph" w:styleId="11">
    <w:name w:val="toc 2"/>
    <w:basedOn w:val="1"/>
    <w:next w:val="1"/>
    <w:qFormat/>
    <w:uiPriority w:val="0"/>
    <w:pPr>
      <w:tabs>
        <w:tab w:val="right" w:leader="dot" w:pos="8296"/>
      </w:tabs>
      <w:ind w:left="420" w:leftChars="200"/>
    </w:p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5">
    <w:name w:val="Hyperlink"/>
    <w:qFormat/>
    <w:uiPriority w:val="0"/>
    <w:rPr>
      <w:color w:val="0563C1"/>
      <w:u w:val="single"/>
    </w:rPr>
  </w:style>
  <w:style w:type="paragraph" w:customStyle="1" w:styleId="16">
    <w:name w:val="List Paragraph"/>
    <w:basedOn w:val="1"/>
    <w:qFormat/>
    <w:uiPriority w:val="0"/>
    <w:pPr>
      <w:ind w:firstLine="420" w:firstLineChars="200"/>
    </w:pPr>
  </w:style>
  <w:style w:type="paragraph" w:customStyle="1" w:styleId="17">
    <w:name w:val="p0"/>
    <w:basedOn w:val="1"/>
    <w:qFormat/>
    <w:uiPriority w:val="0"/>
    <w:pPr>
      <w:widowControl/>
    </w:pPr>
    <w:rPr>
      <w:rFonts w:ascii="Calibri" w:hAnsi="Calibri" w:cs="宋体"/>
      <w:kern w:val="0"/>
      <w:szCs w:val="21"/>
    </w:rPr>
  </w:style>
  <w:style w:type="character" w:customStyle="1" w:styleId="18">
    <w:name w:val=" Char Char4"/>
    <w:link w:val="3"/>
    <w:qFormat/>
    <w:uiPriority w:val="0"/>
    <w:rPr>
      <w:rFonts w:ascii="Arial" w:hAnsi="Arial" w:eastAsia="仿宋"/>
      <w:b/>
      <w:bCs/>
      <w:kern w:val="2"/>
      <w:sz w:val="28"/>
      <w:szCs w:val="32"/>
    </w:rPr>
  </w:style>
  <w:style w:type="paragraph" w:customStyle="1" w:styleId="19">
    <w:name w:val="p16"/>
    <w:basedOn w:val="1"/>
    <w:qFormat/>
    <w:uiPriority w:val="0"/>
    <w:pPr>
      <w:widowControl/>
      <w:ind w:firstLine="420"/>
    </w:pPr>
    <w:rPr>
      <w:rFonts w:cs="宋体"/>
      <w:kern w:val="0"/>
      <w:szCs w:val="21"/>
    </w:rPr>
  </w:style>
  <w:style w:type="paragraph" w:customStyle="1" w:styleId="2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7569</Words>
  <Characters>8317</Characters>
  <Lines>0</Lines>
  <Paragraphs>0</Paragraphs>
  <TotalTime>3</TotalTime>
  <ScaleCrop>false</ScaleCrop>
  <LinksUpToDate>false</LinksUpToDate>
  <CharactersWithSpaces>8616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2017-11-13T05:36:00Z</dcterms:created>
  <dc:creator>Ryoma</dc:creator>
  <cp:lastModifiedBy>WPS_1627442272</cp:lastModifiedBy>
  <cp:lastPrinted>2018-05-24T01:17:00Z</cp:lastPrinted>
  <dcterms:modified xsi:type="dcterms:W3CDTF">2025-04-27T07:19:19Z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eyJoZGlkIjoiNDI1MzUzM2UyZjIyMDdjNzk1MDZhMTUyODg5ZTE1YzIiLCJ1c2VySWQiOiIxMjM5MTEzMDg1In0=</vt:lpwstr>
  </property>
  <property fmtid="{D5CDD505-2E9C-101B-9397-08002B2CF9AE}" pid="4" name="ICV">
    <vt:lpwstr>F854E0339EB64BBEA7495033166DC2D1_12</vt:lpwstr>
  </property>
</Properties>
</file>