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DF6575">
      <w:pPr>
        <w:spacing w:line="600" w:lineRule="exact"/>
        <w:ind w:firstLine="560"/>
        <w:rPr>
          <w:rFonts w:ascii="Arial Narrow" w:hAnsi="Arial Narrow" w:cs="Arial Narrow"/>
          <w:sz w:val="28"/>
          <w:szCs w:val="28"/>
        </w:rPr>
      </w:pPr>
    </w:p>
    <w:p w14:paraId="2EE991F8">
      <w:pPr>
        <w:ind w:firstLine="0" w:firstLineChars="0"/>
        <w:jc w:val="center"/>
        <w:rPr>
          <w:rFonts w:ascii="Arial Narrow" w:hAnsi="Arial Narrow" w:cs="Arial Narrow"/>
          <w:b/>
          <w:color w:val="000000"/>
          <w:sz w:val="44"/>
          <w:szCs w:val="44"/>
        </w:rPr>
      </w:pPr>
      <w:r>
        <w:rPr>
          <w:rFonts w:hint="eastAsia" w:ascii="Arial Narrow" w:hAnsi="Arial Narrow" w:cs="Arial Narrow"/>
          <w:b/>
          <w:color w:val="000000"/>
          <w:sz w:val="44"/>
          <w:szCs w:val="44"/>
        </w:rPr>
        <w:t>代表活动</w:t>
      </w:r>
      <w:r>
        <w:rPr>
          <w:rFonts w:ascii="Arial Narrow" w:hAnsi="Arial Narrow" w:cs="Arial Narrow"/>
          <w:b/>
          <w:color w:val="000000"/>
          <w:sz w:val="44"/>
          <w:szCs w:val="44"/>
        </w:rPr>
        <w:t xml:space="preserve">经费项目绩效评价报告 </w:t>
      </w:r>
    </w:p>
    <w:p w14:paraId="2D61437B">
      <w:pPr>
        <w:spacing w:before="240"/>
        <w:ind w:firstLine="0" w:firstLineChars="0"/>
        <w:jc w:val="center"/>
        <w:rPr>
          <w:rFonts w:ascii="Arial Narrow" w:hAnsi="Arial Narrow" w:cs="Arial Narrow"/>
          <w:b/>
          <w:bCs/>
          <w:color w:val="000000"/>
          <w:sz w:val="44"/>
          <w:szCs w:val="44"/>
        </w:rPr>
      </w:pPr>
      <w:r>
        <w:rPr>
          <w:rFonts w:ascii="Arial Narrow" w:hAnsi="Arial Narrow" w:cs="Arial Narrow"/>
          <w:b/>
          <w:bCs/>
          <w:color w:val="000000"/>
          <w:sz w:val="44"/>
          <w:szCs w:val="44"/>
        </w:rPr>
        <w:t>（201</w:t>
      </w:r>
      <w:r>
        <w:rPr>
          <w:rFonts w:hint="eastAsia" w:ascii="Arial Narrow" w:hAnsi="Arial Narrow" w:cs="Arial Narrow"/>
          <w:b/>
          <w:bCs/>
          <w:color w:val="000000"/>
          <w:sz w:val="44"/>
          <w:szCs w:val="44"/>
        </w:rPr>
        <w:t>9</w:t>
      </w:r>
      <w:r>
        <w:rPr>
          <w:rFonts w:ascii="Arial Narrow" w:hAnsi="Arial Narrow" w:cs="Arial Narrow"/>
          <w:b/>
          <w:bCs/>
          <w:color w:val="000000"/>
          <w:sz w:val="44"/>
          <w:szCs w:val="44"/>
        </w:rPr>
        <w:t>年度）</w:t>
      </w:r>
    </w:p>
    <w:p w14:paraId="14EE8A76">
      <w:pPr>
        <w:ind w:firstLine="480"/>
        <w:rPr>
          <w:rFonts w:ascii="Arial Narrow" w:hAnsi="Arial Narrow" w:cs="Arial Narrow"/>
        </w:rPr>
      </w:pPr>
    </w:p>
    <w:p w14:paraId="23333301">
      <w:pPr>
        <w:ind w:firstLine="480"/>
        <w:rPr>
          <w:rFonts w:ascii="Arial Narrow" w:hAnsi="Arial Narrow" w:cs="Arial Narrow"/>
        </w:rPr>
      </w:pPr>
    </w:p>
    <w:p w14:paraId="0661AFBD">
      <w:pPr>
        <w:ind w:firstLine="480"/>
        <w:rPr>
          <w:rFonts w:ascii="Arial Narrow" w:hAnsi="Arial Narrow" w:cs="Arial Narrow"/>
        </w:rPr>
      </w:pPr>
    </w:p>
    <w:p w14:paraId="2BDC86E2">
      <w:pPr>
        <w:ind w:firstLine="480"/>
        <w:rPr>
          <w:rFonts w:ascii="Arial Narrow" w:hAnsi="Arial Narrow" w:cs="Arial Narrow"/>
        </w:rPr>
      </w:pPr>
    </w:p>
    <w:p w14:paraId="78D30ACE">
      <w:pPr>
        <w:widowControl/>
        <w:spacing w:line="800" w:lineRule="exact"/>
        <w:ind w:firstLine="790" w:firstLineChars="246"/>
        <w:jc w:val="left"/>
        <w:rPr>
          <w:rFonts w:ascii="Arial Narrow" w:hAnsi="Arial Narrow" w:cs="Arial Narrow"/>
          <w:b/>
          <w:bCs/>
          <w:kern w:val="32"/>
          <w:sz w:val="32"/>
          <w:lang w:bidi="he-IL"/>
        </w:rPr>
      </w:pPr>
    </w:p>
    <w:p w14:paraId="076983F8">
      <w:pPr>
        <w:widowControl/>
        <w:spacing w:line="800" w:lineRule="exact"/>
        <w:ind w:right="-192" w:rightChars="-80" w:firstLine="424" w:firstLineChars="132"/>
        <w:jc w:val="left"/>
        <w:rPr>
          <w:rFonts w:ascii="Arial Narrow" w:hAnsi="Arial Narrow" w:cs="Arial Narrow"/>
          <w:b/>
          <w:bCs/>
          <w:kern w:val="32"/>
          <w:sz w:val="32"/>
          <w:szCs w:val="32"/>
          <w:lang w:bidi="he-IL"/>
        </w:rPr>
      </w:pPr>
      <w:r>
        <w:rPr>
          <w:rFonts w:ascii="Arial Narrow" w:hAnsi="Arial Narrow" w:cs="Arial Narrow"/>
          <w:b/>
          <w:bCs/>
          <w:kern w:val="32"/>
          <w:sz w:val="32"/>
          <w:lang w:bidi="he-IL"/>
        </w:rPr>
        <w:t>项目名称：</w:t>
      </w:r>
      <w:r>
        <w:rPr>
          <w:rFonts w:hint="eastAsia" w:ascii="Arial Narrow" w:hAnsi="Arial Narrow" w:cs="Arial Narrow"/>
          <w:b/>
          <w:bCs/>
          <w:kern w:val="32"/>
          <w:sz w:val="32"/>
          <w:lang w:bidi="he-IL"/>
        </w:rPr>
        <w:t>代表活动</w:t>
      </w:r>
      <w:r>
        <w:rPr>
          <w:rFonts w:ascii="Arial Narrow" w:hAnsi="Arial Narrow" w:cs="Arial Narrow"/>
          <w:b/>
          <w:bCs/>
          <w:kern w:val="32"/>
          <w:sz w:val="32"/>
          <w:lang w:bidi="he-IL"/>
        </w:rPr>
        <w:t>经费项目</w:t>
      </w:r>
    </w:p>
    <w:p w14:paraId="04C26F3D">
      <w:pPr>
        <w:widowControl/>
        <w:spacing w:line="800" w:lineRule="exact"/>
        <w:ind w:right="-192" w:rightChars="-80" w:firstLine="424" w:firstLineChars="132"/>
        <w:jc w:val="left"/>
        <w:rPr>
          <w:rFonts w:ascii="Arial Narrow" w:hAnsi="Arial Narrow" w:cs="Arial Narrow"/>
          <w:b/>
          <w:bCs/>
          <w:kern w:val="32"/>
          <w:sz w:val="32"/>
          <w:lang w:bidi="he-IL"/>
        </w:rPr>
      </w:pPr>
      <w:r>
        <w:rPr>
          <w:rFonts w:ascii="Arial Narrow" w:hAnsi="Arial Narrow" w:cs="Arial Narrow"/>
          <w:b/>
          <w:bCs/>
          <w:kern w:val="32"/>
          <w:sz w:val="32"/>
          <w:lang w:bidi="he-IL"/>
        </w:rPr>
        <w:t>项目单位：</w:t>
      </w:r>
      <w:r>
        <w:rPr>
          <w:rFonts w:hint="eastAsia" w:ascii="Arial Narrow" w:hAnsi="Arial Narrow" w:cs="Arial Narrow"/>
          <w:b/>
          <w:bCs/>
          <w:kern w:val="32"/>
          <w:sz w:val="32"/>
          <w:lang w:bidi="he-IL"/>
        </w:rPr>
        <w:t>武汉市武昌区人民代表大会常务委员会</w:t>
      </w:r>
    </w:p>
    <w:p w14:paraId="33117031">
      <w:pPr>
        <w:widowControl/>
        <w:spacing w:line="800" w:lineRule="exact"/>
        <w:ind w:right="-192" w:rightChars="-80" w:firstLine="424" w:firstLineChars="132"/>
        <w:jc w:val="left"/>
        <w:rPr>
          <w:rFonts w:ascii="Arial Narrow" w:hAnsi="Arial Narrow" w:cs="Arial Narrow"/>
          <w:b/>
          <w:bCs/>
          <w:kern w:val="32"/>
          <w:sz w:val="32"/>
          <w:lang w:bidi="he-IL"/>
        </w:rPr>
      </w:pPr>
      <w:r>
        <w:rPr>
          <w:rFonts w:ascii="Arial Narrow" w:hAnsi="Arial Narrow" w:cs="Arial Narrow"/>
          <w:b/>
          <w:bCs/>
          <w:kern w:val="32"/>
          <w:sz w:val="32"/>
          <w:lang w:bidi="he-IL"/>
        </w:rPr>
        <w:t>主管部门：</w:t>
      </w:r>
      <w:r>
        <w:rPr>
          <w:rFonts w:hint="eastAsia" w:ascii="Arial Narrow" w:hAnsi="Arial Narrow" w:cs="Arial Narrow"/>
          <w:b/>
          <w:bCs/>
          <w:kern w:val="32"/>
          <w:sz w:val="32"/>
          <w:lang w:bidi="he-IL"/>
        </w:rPr>
        <w:t>武汉市武昌区人民代表大会常务委员会</w:t>
      </w:r>
    </w:p>
    <w:p w14:paraId="3EA0A191">
      <w:pPr>
        <w:spacing w:line="240" w:lineRule="auto"/>
        <w:ind w:firstLine="482" w:firstLineChars="0"/>
        <w:jc w:val="center"/>
        <w:rPr>
          <w:rFonts w:ascii="Arial Narrow" w:hAnsi="Arial Narrow" w:cs="Arial Narrow"/>
          <w:b/>
        </w:rPr>
      </w:pPr>
    </w:p>
    <w:p w14:paraId="2600E3BE">
      <w:pPr>
        <w:spacing w:line="240" w:lineRule="auto"/>
        <w:ind w:firstLine="482" w:firstLineChars="0"/>
        <w:jc w:val="center"/>
        <w:rPr>
          <w:rFonts w:ascii="Arial Narrow" w:hAnsi="Arial Narrow" w:cs="Arial Narrow"/>
          <w:b/>
        </w:rPr>
      </w:pPr>
    </w:p>
    <w:p w14:paraId="52242F23">
      <w:pPr>
        <w:spacing w:line="240" w:lineRule="auto"/>
        <w:ind w:firstLine="482" w:firstLineChars="0"/>
        <w:jc w:val="center"/>
        <w:rPr>
          <w:rFonts w:ascii="Arial Narrow" w:hAnsi="Arial Narrow" w:cs="Arial Narrow"/>
          <w:b/>
        </w:rPr>
      </w:pPr>
    </w:p>
    <w:p w14:paraId="5317B2F7">
      <w:pPr>
        <w:spacing w:line="240" w:lineRule="auto"/>
        <w:ind w:firstLine="482" w:firstLineChars="0"/>
        <w:jc w:val="center"/>
        <w:rPr>
          <w:rFonts w:ascii="Arial Narrow" w:hAnsi="Arial Narrow" w:cs="Arial Narrow"/>
          <w:b/>
        </w:rPr>
      </w:pPr>
    </w:p>
    <w:p w14:paraId="19222226">
      <w:pPr>
        <w:spacing w:line="240" w:lineRule="auto"/>
        <w:ind w:firstLine="482" w:firstLineChars="0"/>
        <w:jc w:val="center"/>
        <w:rPr>
          <w:rFonts w:ascii="Arial Narrow" w:hAnsi="Arial Narrow" w:cs="Arial Narrow"/>
          <w:b/>
        </w:rPr>
      </w:pPr>
    </w:p>
    <w:p w14:paraId="38B7CE74">
      <w:pPr>
        <w:spacing w:line="240" w:lineRule="auto"/>
        <w:ind w:firstLine="482" w:firstLineChars="0"/>
        <w:jc w:val="center"/>
        <w:rPr>
          <w:rFonts w:ascii="Arial Narrow" w:hAnsi="Arial Narrow"/>
          <w:b/>
        </w:rPr>
      </w:pPr>
    </w:p>
    <w:p w14:paraId="15B442BF">
      <w:pPr>
        <w:widowControl/>
        <w:spacing w:line="240" w:lineRule="auto"/>
        <w:ind w:firstLine="0" w:firstLineChars="0"/>
        <w:jc w:val="left"/>
        <w:rPr>
          <w:rFonts w:ascii="华文宋体" w:hAnsi="华文宋体" w:eastAsia="华文宋体" w:cs="华文宋体"/>
          <w:b/>
          <w:bCs/>
          <w:kern w:val="44"/>
          <w:sz w:val="44"/>
          <w:szCs w:val="44"/>
        </w:rPr>
      </w:pPr>
      <w:bookmarkStart w:id="0" w:name="_Toc7332"/>
      <w:bookmarkStart w:id="1" w:name="_Toc2481"/>
      <w:r>
        <w:rPr>
          <w:rFonts w:ascii="华文宋体" w:hAnsi="华文宋体" w:eastAsia="华文宋体" w:cs="华文宋体"/>
          <w:sz w:val="44"/>
        </w:rPr>
        <w:br w:type="page"/>
      </w:r>
    </w:p>
    <w:p w14:paraId="22531BB6">
      <w:pPr>
        <w:pStyle w:val="2"/>
        <w:jc w:val="center"/>
        <w:rPr>
          <w:rFonts w:ascii="华文宋体" w:hAnsi="华文宋体" w:eastAsia="华文宋体" w:cs="华文宋体"/>
          <w:sz w:val="44"/>
        </w:rPr>
      </w:pPr>
      <w:r>
        <w:rPr>
          <w:rFonts w:hint="eastAsia" w:ascii="华文宋体" w:hAnsi="华文宋体" w:eastAsia="华文宋体" w:cs="华文宋体"/>
          <w:sz w:val="44"/>
        </w:rPr>
        <w:t>摘   要</w:t>
      </w:r>
      <w:bookmarkEnd w:id="0"/>
      <w:bookmarkEnd w:id="1"/>
    </w:p>
    <w:p w14:paraId="2FB3CD2E">
      <w:pPr>
        <w:spacing w:line="240" w:lineRule="auto"/>
        <w:ind w:firstLine="482" w:firstLineChars="0"/>
        <w:jc w:val="center"/>
        <w:rPr>
          <w:rFonts w:ascii="Arial Narrow" w:hAnsi="Arial Narrow"/>
          <w:b/>
        </w:rPr>
      </w:pPr>
    </w:p>
    <w:p w14:paraId="3BCB6E56">
      <w:pPr>
        <w:ind w:firstLine="0" w:firstLineChars="0"/>
        <w:rPr>
          <w:rFonts w:ascii="仿宋_GB2312" w:hAnsi="仿宋_GB2312" w:cs="仿宋_GB2312"/>
          <w:b/>
          <w:color w:val="000000"/>
        </w:rPr>
      </w:pPr>
      <w:r>
        <w:rPr>
          <w:rFonts w:hint="eastAsia" w:ascii="Arial Narrow" w:hAnsi="Arial Narrow" w:cs="Arial Narrow"/>
          <w:b/>
        </w:rPr>
        <w:t>一、项目名称：</w:t>
      </w:r>
      <w:r>
        <w:rPr>
          <w:rFonts w:hint="eastAsia" w:ascii="仿宋_GB2312" w:hAnsi="仿宋_GB2312" w:cs="仿宋_GB2312"/>
          <w:b/>
          <w:color w:val="000000"/>
        </w:rPr>
        <w:t>代表活动经费项目</w:t>
      </w:r>
    </w:p>
    <w:p w14:paraId="27E8D45F">
      <w:pPr>
        <w:ind w:firstLine="0" w:firstLineChars="0"/>
        <w:rPr>
          <w:rFonts w:ascii="Arial Narrow" w:hAnsi="Arial Narrow" w:cs="Arial Narrow"/>
          <w:b/>
        </w:rPr>
      </w:pPr>
      <w:r>
        <w:rPr>
          <w:rFonts w:hint="eastAsia" w:ascii="Arial Narrow" w:hAnsi="Arial Narrow" w:cs="Arial Narrow"/>
          <w:b/>
        </w:rPr>
        <w:t>二、项目金额：76.38万</w:t>
      </w:r>
    </w:p>
    <w:p w14:paraId="325C474D">
      <w:pPr>
        <w:ind w:firstLine="0" w:firstLineChars="0"/>
        <w:jc w:val="left"/>
        <w:rPr>
          <w:rFonts w:ascii="Arial Narrow" w:hAnsi="Arial Narrow" w:cs="Arial Narrow"/>
          <w:b/>
        </w:rPr>
      </w:pPr>
      <w:r>
        <w:rPr>
          <w:rFonts w:hint="eastAsia" w:ascii="Arial Narrow" w:hAnsi="Arial Narrow" w:cs="Arial Narrow"/>
          <w:b/>
        </w:rPr>
        <w:t>三、</w:t>
      </w:r>
      <w:r>
        <w:rPr>
          <w:rFonts w:ascii="Arial Narrow" w:hAnsi="Arial Narrow" w:cs="Arial Narrow"/>
          <w:b/>
        </w:rPr>
        <w:t>绩效评价结果</w:t>
      </w:r>
    </w:p>
    <w:tbl>
      <w:tblPr>
        <w:tblStyle w:val="15"/>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2192"/>
        <w:gridCol w:w="2192"/>
        <w:gridCol w:w="2197"/>
      </w:tblGrid>
      <w:tr w14:paraId="6203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0" w:type="dxa"/>
            <w:tcBorders>
              <w:bottom w:val="single" w:color="008000" w:sz="6" w:space="0"/>
            </w:tcBorders>
            <w:vAlign w:val="center"/>
          </w:tcPr>
          <w:p w14:paraId="0F834594">
            <w:pPr>
              <w:spacing w:line="240" w:lineRule="auto"/>
              <w:ind w:firstLine="560"/>
              <w:rPr>
                <w:rFonts w:ascii="Arial Narrow" w:hAnsi="Arial Narrow" w:cs="Arial Narrow"/>
                <w:sz w:val="28"/>
                <w:szCs w:val="28"/>
              </w:rPr>
            </w:pPr>
            <w:r>
              <w:rPr>
                <w:rFonts w:ascii="Arial Narrow" w:hAnsi="Arial Narrow" w:cs="Arial Narrow"/>
                <w:sz w:val="28"/>
                <w:szCs w:val="28"/>
              </w:rPr>
              <w:t>评价准则</w:t>
            </w:r>
          </w:p>
        </w:tc>
        <w:tc>
          <w:tcPr>
            <w:tcW w:w="2192" w:type="dxa"/>
            <w:tcBorders>
              <w:bottom w:val="single" w:color="008000" w:sz="6" w:space="0"/>
            </w:tcBorders>
            <w:vAlign w:val="center"/>
          </w:tcPr>
          <w:p w14:paraId="74537D11">
            <w:pPr>
              <w:spacing w:line="240" w:lineRule="auto"/>
              <w:ind w:firstLine="980" w:firstLineChars="350"/>
              <w:rPr>
                <w:rFonts w:ascii="Arial Narrow" w:hAnsi="Arial Narrow" w:cs="Arial Narrow"/>
                <w:sz w:val="28"/>
                <w:szCs w:val="28"/>
              </w:rPr>
            </w:pPr>
            <w:r>
              <w:rPr>
                <w:rFonts w:ascii="Arial Narrow" w:hAnsi="Arial Narrow" w:cs="Arial Narrow"/>
                <w:sz w:val="28"/>
                <w:szCs w:val="28"/>
              </w:rPr>
              <w:t>权重</w:t>
            </w:r>
          </w:p>
        </w:tc>
        <w:tc>
          <w:tcPr>
            <w:tcW w:w="2192" w:type="dxa"/>
            <w:tcBorders>
              <w:bottom w:val="single" w:color="008000" w:sz="6" w:space="0"/>
            </w:tcBorders>
            <w:vAlign w:val="center"/>
          </w:tcPr>
          <w:p w14:paraId="5A1AEF36">
            <w:pPr>
              <w:spacing w:line="240" w:lineRule="auto"/>
              <w:ind w:firstLine="560"/>
              <w:rPr>
                <w:rFonts w:ascii="Arial Narrow" w:hAnsi="Arial Narrow" w:cs="Arial Narrow"/>
                <w:sz w:val="28"/>
                <w:szCs w:val="28"/>
              </w:rPr>
            </w:pPr>
            <w:r>
              <w:rPr>
                <w:rFonts w:ascii="Arial Narrow" w:hAnsi="Arial Narrow" w:cs="Arial Narrow"/>
                <w:sz w:val="28"/>
                <w:szCs w:val="28"/>
              </w:rPr>
              <w:t>评价得分</w:t>
            </w:r>
          </w:p>
        </w:tc>
        <w:tc>
          <w:tcPr>
            <w:tcW w:w="2197" w:type="dxa"/>
            <w:tcBorders>
              <w:bottom w:val="single" w:color="008000" w:sz="6" w:space="0"/>
            </w:tcBorders>
            <w:vAlign w:val="center"/>
          </w:tcPr>
          <w:p w14:paraId="5BD9A6F3">
            <w:pPr>
              <w:spacing w:line="240" w:lineRule="auto"/>
              <w:ind w:firstLine="560"/>
              <w:rPr>
                <w:rFonts w:ascii="Arial Narrow" w:hAnsi="Arial Narrow" w:cs="Arial Narrow"/>
                <w:sz w:val="28"/>
                <w:szCs w:val="28"/>
              </w:rPr>
            </w:pPr>
            <w:r>
              <w:rPr>
                <w:rFonts w:ascii="Arial Narrow" w:hAnsi="Arial Narrow" w:cs="Arial Narrow"/>
                <w:sz w:val="28"/>
                <w:szCs w:val="28"/>
              </w:rPr>
              <w:t>评价等级</w:t>
            </w:r>
          </w:p>
        </w:tc>
      </w:tr>
      <w:tr w14:paraId="5765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0" w:type="dxa"/>
            <w:vAlign w:val="center"/>
          </w:tcPr>
          <w:p w14:paraId="47ABD9D2">
            <w:pPr>
              <w:spacing w:line="240" w:lineRule="auto"/>
              <w:ind w:firstLine="758" w:firstLineChars="271"/>
              <w:rPr>
                <w:rFonts w:ascii="Arial Narrow" w:hAnsi="Arial Narrow" w:cs="Arial Narrow"/>
                <w:sz w:val="28"/>
                <w:szCs w:val="28"/>
              </w:rPr>
            </w:pPr>
            <w:r>
              <w:rPr>
                <w:rFonts w:ascii="Arial Narrow" w:hAnsi="Arial Narrow" w:cs="Arial Narrow"/>
                <w:sz w:val="28"/>
                <w:szCs w:val="28"/>
              </w:rPr>
              <w:t>投入</w:t>
            </w:r>
          </w:p>
        </w:tc>
        <w:tc>
          <w:tcPr>
            <w:tcW w:w="2192" w:type="dxa"/>
            <w:vAlign w:val="center"/>
          </w:tcPr>
          <w:p w14:paraId="3989D564">
            <w:pPr>
              <w:spacing w:line="240" w:lineRule="auto"/>
              <w:ind w:firstLine="1120" w:firstLineChars="400"/>
              <w:rPr>
                <w:rFonts w:ascii="Arial Narrow" w:hAnsi="Arial Narrow" w:cs="Arial Narrow"/>
                <w:sz w:val="28"/>
                <w:szCs w:val="28"/>
              </w:rPr>
            </w:pPr>
            <w:r>
              <w:rPr>
                <w:rFonts w:ascii="Arial Narrow" w:hAnsi="Arial Narrow" w:cs="Arial Narrow"/>
                <w:sz w:val="28"/>
                <w:szCs w:val="28"/>
              </w:rPr>
              <w:t>12</w:t>
            </w:r>
          </w:p>
        </w:tc>
        <w:tc>
          <w:tcPr>
            <w:tcW w:w="2192" w:type="dxa"/>
            <w:vAlign w:val="center"/>
          </w:tcPr>
          <w:p w14:paraId="48119854">
            <w:pPr>
              <w:spacing w:line="240" w:lineRule="auto"/>
              <w:ind w:firstLine="0" w:firstLineChars="0"/>
              <w:jc w:val="center"/>
              <w:rPr>
                <w:rFonts w:ascii="Arial Narrow" w:hAnsi="Arial Narrow" w:cs="Arial Narrow"/>
                <w:sz w:val="28"/>
                <w:szCs w:val="28"/>
              </w:rPr>
            </w:pPr>
            <w:r>
              <w:rPr>
                <w:rFonts w:hint="eastAsia" w:ascii="Arial Narrow" w:hAnsi="Arial Narrow" w:cs="Arial Narrow"/>
                <w:sz w:val="28"/>
                <w:szCs w:val="28"/>
              </w:rPr>
              <w:t>10</w:t>
            </w:r>
          </w:p>
        </w:tc>
        <w:tc>
          <w:tcPr>
            <w:tcW w:w="2197" w:type="dxa"/>
            <w:vAlign w:val="center"/>
          </w:tcPr>
          <w:p w14:paraId="78AA0FA8">
            <w:pPr>
              <w:spacing w:line="240" w:lineRule="auto"/>
              <w:ind w:firstLine="0" w:firstLineChars="0"/>
              <w:jc w:val="center"/>
              <w:rPr>
                <w:rFonts w:ascii="Arial Narrow" w:hAnsi="Arial Narrow" w:cs="Arial Narrow"/>
                <w:sz w:val="28"/>
                <w:szCs w:val="28"/>
              </w:rPr>
            </w:pPr>
            <w:r>
              <w:rPr>
                <w:rFonts w:ascii="Arial Narrow" w:hAnsi="Arial Narrow" w:cs="Arial Narrow"/>
                <w:sz w:val="28"/>
                <w:szCs w:val="28"/>
              </w:rPr>
              <w:t>中（C）</w:t>
            </w:r>
          </w:p>
        </w:tc>
      </w:tr>
      <w:tr w14:paraId="5539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0" w:type="dxa"/>
            <w:vAlign w:val="center"/>
          </w:tcPr>
          <w:p w14:paraId="24F28ECA">
            <w:pPr>
              <w:spacing w:line="240" w:lineRule="auto"/>
              <w:ind w:firstLine="758" w:firstLineChars="271"/>
              <w:rPr>
                <w:rFonts w:ascii="Arial Narrow" w:hAnsi="Arial Narrow" w:cs="Arial Narrow"/>
                <w:sz w:val="28"/>
                <w:szCs w:val="28"/>
              </w:rPr>
            </w:pPr>
            <w:r>
              <w:rPr>
                <w:rFonts w:ascii="Arial Narrow" w:hAnsi="Arial Narrow" w:cs="Arial Narrow"/>
                <w:sz w:val="28"/>
                <w:szCs w:val="28"/>
              </w:rPr>
              <w:t>过程</w:t>
            </w:r>
          </w:p>
        </w:tc>
        <w:tc>
          <w:tcPr>
            <w:tcW w:w="2192" w:type="dxa"/>
            <w:vAlign w:val="center"/>
          </w:tcPr>
          <w:p w14:paraId="2D0F9A13">
            <w:pPr>
              <w:spacing w:line="240" w:lineRule="auto"/>
              <w:ind w:firstLine="1120" w:firstLineChars="400"/>
              <w:rPr>
                <w:rFonts w:ascii="Arial Narrow" w:hAnsi="Arial Narrow" w:cs="Arial Narrow"/>
                <w:sz w:val="28"/>
                <w:szCs w:val="28"/>
              </w:rPr>
            </w:pPr>
            <w:r>
              <w:rPr>
                <w:rFonts w:ascii="Arial Narrow" w:hAnsi="Arial Narrow" w:cs="Arial Narrow"/>
                <w:sz w:val="28"/>
                <w:szCs w:val="28"/>
              </w:rPr>
              <w:t>28</w:t>
            </w:r>
          </w:p>
        </w:tc>
        <w:tc>
          <w:tcPr>
            <w:tcW w:w="2192" w:type="dxa"/>
            <w:vAlign w:val="center"/>
          </w:tcPr>
          <w:p w14:paraId="5589620D">
            <w:pPr>
              <w:spacing w:line="240" w:lineRule="auto"/>
              <w:ind w:firstLine="0" w:firstLineChars="0"/>
              <w:jc w:val="center"/>
              <w:rPr>
                <w:rFonts w:ascii="Arial Narrow" w:hAnsi="Arial Narrow" w:cs="Arial Narrow"/>
                <w:sz w:val="28"/>
                <w:szCs w:val="28"/>
              </w:rPr>
            </w:pPr>
            <w:r>
              <w:rPr>
                <w:rFonts w:ascii="Arial Narrow" w:hAnsi="Arial Narrow" w:cs="Arial Narrow"/>
                <w:sz w:val="28"/>
                <w:szCs w:val="28"/>
              </w:rPr>
              <w:t>27</w:t>
            </w:r>
          </w:p>
        </w:tc>
        <w:tc>
          <w:tcPr>
            <w:tcW w:w="2197" w:type="dxa"/>
            <w:vAlign w:val="center"/>
          </w:tcPr>
          <w:p w14:paraId="0DF20FC0">
            <w:pPr>
              <w:spacing w:line="240" w:lineRule="auto"/>
              <w:ind w:firstLine="0" w:firstLineChars="0"/>
              <w:jc w:val="center"/>
              <w:rPr>
                <w:rFonts w:ascii="Arial Narrow" w:hAnsi="Arial Narrow" w:cs="Arial Narrow"/>
                <w:sz w:val="28"/>
                <w:szCs w:val="28"/>
              </w:rPr>
            </w:pPr>
            <w:r>
              <w:rPr>
                <w:rFonts w:ascii="Arial Narrow" w:hAnsi="Arial Narrow" w:cs="Arial Narrow"/>
                <w:sz w:val="28"/>
                <w:szCs w:val="28"/>
              </w:rPr>
              <w:t>优（A）</w:t>
            </w:r>
          </w:p>
        </w:tc>
      </w:tr>
      <w:tr w14:paraId="2886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0" w:type="dxa"/>
            <w:vAlign w:val="center"/>
          </w:tcPr>
          <w:p w14:paraId="67EE157E">
            <w:pPr>
              <w:spacing w:line="240" w:lineRule="auto"/>
              <w:ind w:firstLine="758" w:firstLineChars="271"/>
              <w:rPr>
                <w:rFonts w:ascii="Arial Narrow" w:hAnsi="Arial Narrow" w:cs="Arial Narrow"/>
                <w:sz w:val="28"/>
                <w:szCs w:val="28"/>
              </w:rPr>
            </w:pPr>
            <w:r>
              <w:rPr>
                <w:rFonts w:ascii="Arial Narrow" w:hAnsi="Arial Narrow" w:cs="Arial Narrow"/>
                <w:sz w:val="28"/>
                <w:szCs w:val="28"/>
              </w:rPr>
              <w:t>产出</w:t>
            </w:r>
          </w:p>
        </w:tc>
        <w:tc>
          <w:tcPr>
            <w:tcW w:w="2192" w:type="dxa"/>
            <w:vAlign w:val="center"/>
          </w:tcPr>
          <w:p w14:paraId="68FE336E">
            <w:pPr>
              <w:spacing w:line="240" w:lineRule="auto"/>
              <w:ind w:firstLine="1120" w:firstLineChars="400"/>
              <w:rPr>
                <w:rFonts w:ascii="Arial Narrow" w:hAnsi="Arial Narrow" w:cs="Arial Narrow"/>
                <w:sz w:val="28"/>
                <w:szCs w:val="28"/>
              </w:rPr>
            </w:pPr>
            <w:r>
              <w:rPr>
                <w:rFonts w:ascii="Arial Narrow" w:hAnsi="Arial Narrow" w:cs="Arial Narrow"/>
                <w:sz w:val="28"/>
                <w:szCs w:val="28"/>
              </w:rPr>
              <w:t>26</w:t>
            </w:r>
          </w:p>
        </w:tc>
        <w:tc>
          <w:tcPr>
            <w:tcW w:w="2192" w:type="dxa"/>
            <w:vAlign w:val="center"/>
          </w:tcPr>
          <w:p w14:paraId="0775C8EB">
            <w:pPr>
              <w:ind w:firstLine="0" w:firstLineChars="0"/>
              <w:jc w:val="center"/>
              <w:textAlignment w:val="top"/>
              <w:rPr>
                <w:rFonts w:ascii="Arial Narrow" w:hAnsi="Arial Narrow" w:cs="Arial Narrow"/>
                <w:sz w:val="28"/>
                <w:szCs w:val="28"/>
              </w:rPr>
            </w:pPr>
            <w:r>
              <w:rPr>
                <w:rFonts w:ascii="Arial Narrow" w:hAnsi="Arial Narrow" w:cs="Arial Narrow"/>
                <w:sz w:val="28"/>
                <w:szCs w:val="28"/>
              </w:rPr>
              <w:t>22</w:t>
            </w:r>
          </w:p>
        </w:tc>
        <w:tc>
          <w:tcPr>
            <w:tcW w:w="2197" w:type="dxa"/>
            <w:vAlign w:val="center"/>
          </w:tcPr>
          <w:p w14:paraId="331C3EE2">
            <w:pPr>
              <w:ind w:firstLine="0" w:firstLineChars="0"/>
              <w:jc w:val="center"/>
              <w:textAlignment w:val="top"/>
              <w:rPr>
                <w:rFonts w:ascii="Arial Narrow" w:hAnsi="Arial Narrow" w:cs="Arial Narrow"/>
                <w:sz w:val="28"/>
                <w:szCs w:val="28"/>
              </w:rPr>
            </w:pPr>
            <w:r>
              <w:rPr>
                <w:rFonts w:ascii="Arial Narrow" w:hAnsi="Arial Narrow" w:cs="Arial Narrow"/>
                <w:sz w:val="28"/>
                <w:szCs w:val="28"/>
              </w:rPr>
              <w:t>良（B）</w:t>
            </w:r>
          </w:p>
        </w:tc>
      </w:tr>
      <w:tr w14:paraId="0D0D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0" w:type="dxa"/>
            <w:vAlign w:val="center"/>
          </w:tcPr>
          <w:p w14:paraId="5F5D0A44">
            <w:pPr>
              <w:spacing w:line="240" w:lineRule="auto"/>
              <w:ind w:firstLine="758" w:firstLineChars="271"/>
              <w:rPr>
                <w:rFonts w:ascii="Arial Narrow" w:hAnsi="Arial Narrow" w:cs="Arial Narrow"/>
                <w:sz w:val="28"/>
                <w:szCs w:val="28"/>
              </w:rPr>
            </w:pPr>
            <w:r>
              <w:rPr>
                <w:rFonts w:ascii="Arial Narrow" w:hAnsi="Arial Narrow" w:cs="Arial Narrow"/>
                <w:sz w:val="28"/>
                <w:szCs w:val="28"/>
              </w:rPr>
              <w:t>效果</w:t>
            </w:r>
          </w:p>
        </w:tc>
        <w:tc>
          <w:tcPr>
            <w:tcW w:w="2192" w:type="dxa"/>
            <w:vAlign w:val="center"/>
          </w:tcPr>
          <w:p w14:paraId="63020431">
            <w:pPr>
              <w:spacing w:line="240" w:lineRule="auto"/>
              <w:ind w:firstLine="1120" w:firstLineChars="400"/>
              <w:rPr>
                <w:rFonts w:ascii="Arial Narrow" w:hAnsi="Arial Narrow" w:cs="Arial Narrow"/>
                <w:sz w:val="28"/>
                <w:szCs w:val="28"/>
              </w:rPr>
            </w:pPr>
            <w:r>
              <w:rPr>
                <w:rFonts w:ascii="Arial Narrow" w:hAnsi="Arial Narrow" w:cs="Arial Narrow"/>
                <w:sz w:val="28"/>
                <w:szCs w:val="28"/>
              </w:rPr>
              <w:t>34</w:t>
            </w:r>
          </w:p>
        </w:tc>
        <w:tc>
          <w:tcPr>
            <w:tcW w:w="2192" w:type="dxa"/>
            <w:vAlign w:val="center"/>
          </w:tcPr>
          <w:p w14:paraId="60956BF5">
            <w:pPr>
              <w:ind w:firstLine="0" w:firstLineChars="0"/>
              <w:jc w:val="center"/>
              <w:textAlignment w:val="top"/>
              <w:rPr>
                <w:rFonts w:ascii="Arial Narrow" w:hAnsi="Arial Narrow" w:cs="Arial Narrow"/>
                <w:sz w:val="28"/>
                <w:szCs w:val="28"/>
              </w:rPr>
            </w:pPr>
            <w:r>
              <w:rPr>
                <w:rFonts w:ascii="Arial Narrow" w:hAnsi="Arial Narrow" w:cs="Arial Narrow"/>
                <w:sz w:val="28"/>
                <w:szCs w:val="28"/>
              </w:rPr>
              <w:t>31</w:t>
            </w:r>
          </w:p>
        </w:tc>
        <w:tc>
          <w:tcPr>
            <w:tcW w:w="2197" w:type="dxa"/>
            <w:vAlign w:val="center"/>
          </w:tcPr>
          <w:p w14:paraId="56EF4756">
            <w:pPr>
              <w:ind w:firstLine="0" w:firstLineChars="0"/>
              <w:jc w:val="center"/>
              <w:textAlignment w:val="top"/>
              <w:rPr>
                <w:rFonts w:ascii="Arial Narrow" w:hAnsi="Arial Narrow" w:cs="Arial Narrow"/>
                <w:sz w:val="28"/>
                <w:szCs w:val="28"/>
              </w:rPr>
            </w:pPr>
            <w:r>
              <w:rPr>
                <w:rFonts w:ascii="Arial Narrow" w:hAnsi="Arial Narrow" w:cs="Arial Narrow"/>
                <w:sz w:val="28"/>
                <w:szCs w:val="28"/>
              </w:rPr>
              <w:t>优（A）</w:t>
            </w:r>
          </w:p>
        </w:tc>
      </w:tr>
      <w:tr w14:paraId="502B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50" w:type="dxa"/>
            <w:tcBorders>
              <w:top w:val="single" w:color="008000" w:sz="6" w:space="0"/>
            </w:tcBorders>
            <w:vAlign w:val="center"/>
          </w:tcPr>
          <w:p w14:paraId="317A34DC">
            <w:pPr>
              <w:spacing w:line="240" w:lineRule="auto"/>
              <w:ind w:firstLine="560"/>
              <w:rPr>
                <w:rFonts w:ascii="Arial Narrow" w:hAnsi="Arial Narrow" w:cs="Arial Narrow"/>
                <w:sz w:val="28"/>
                <w:szCs w:val="28"/>
              </w:rPr>
            </w:pPr>
            <w:r>
              <w:rPr>
                <w:rFonts w:ascii="Arial Narrow" w:hAnsi="Arial Narrow" w:cs="Arial Narrow"/>
                <w:sz w:val="28"/>
                <w:szCs w:val="28"/>
              </w:rPr>
              <w:t>综合绩效</w:t>
            </w:r>
          </w:p>
        </w:tc>
        <w:tc>
          <w:tcPr>
            <w:tcW w:w="2192" w:type="dxa"/>
            <w:tcBorders>
              <w:top w:val="single" w:color="008000" w:sz="6" w:space="0"/>
            </w:tcBorders>
            <w:vAlign w:val="center"/>
          </w:tcPr>
          <w:p w14:paraId="77F5BC6F">
            <w:pPr>
              <w:spacing w:line="240" w:lineRule="auto"/>
              <w:ind w:firstLine="980" w:firstLineChars="350"/>
              <w:rPr>
                <w:rFonts w:ascii="Arial Narrow" w:hAnsi="Arial Narrow" w:cs="Arial Narrow"/>
                <w:sz w:val="28"/>
                <w:szCs w:val="28"/>
              </w:rPr>
            </w:pPr>
            <w:r>
              <w:rPr>
                <w:rFonts w:ascii="Arial Narrow" w:hAnsi="Arial Narrow" w:cs="Arial Narrow"/>
                <w:sz w:val="28"/>
                <w:szCs w:val="28"/>
              </w:rPr>
              <w:t>100</w:t>
            </w:r>
          </w:p>
        </w:tc>
        <w:tc>
          <w:tcPr>
            <w:tcW w:w="2192" w:type="dxa"/>
            <w:tcBorders>
              <w:top w:val="single" w:color="008000" w:sz="6" w:space="0"/>
            </w:tcBorders>
            <w:vAlign w:val="center"/>
          </w:tcPr>
          <w:p w14:paraId="46C7231D">
            <w:pPr>
              <w:spacing w:line="240" w:lineRule="auto"/>
              <w:ind w:firstLine="0" w:firstLineChars="0"/>
              <w:jc w:val="center"/>
              <w:rPr>
                <w:rFonts w:ascii="Arial Narrow" w:hAnsi="Arial Narrow" w:cs="Arial Narrow"/>
                <w:sz w:val="28"/>
                <w:szCs w:val="28"/>
              </w:rPr>
            </w:pPr>
            <w:r>
              <w:rPr>
                <w:rFonts w:hint="eastAsia" w:ascii="Arial Narrow" w:hAnsi="Arial Narrow" w:cs="Arial Narrow"/>
                <w:sz w:val="28"/>
                <w:szCs w:val="28"/>
              </w:rPr>
              <w:t>90</w:t>
            </w:r>
          </w:p>
        </w:tc>
        <w:tc>
          <w:tcPr>
            <w:tcW w:w="2197" w:type="dxa"/>
            <w:tcBorders>
              <w:top w:val="single" w:color="008000" w:sz="6" w:space="0"/>
            </w:tcBorders>
            <w:vAlign w:val="center"/>
          </w:tcPr>
          <w:p w14:paraId="69FCAF7F">
            <w:pPr>
              <w:tabs>
                <w:tab w:val="left" w:pos="1099"/>
                <w:tab w:val="center" w:pos="1863"/>
              </w:tabs>
              <w:spacing w:line="240" w:lineRule="auto"/>
              <w:ind w:firstLine="0" w:firstLineChars="0"/>
              <w:jc w:val="center"/>
              <w:rPr>
                <w:rFonts w:ascii="Arial Narrow" w:hAnsi="Arial Narrow" w:cs="Arial Narrow"/>
                <w:sz w:val="28"/>
                <w:szCs w:val="28"/>
              </w:rPr>
            </w:pPr>
            <w:r>
              <w:rPr>
                <w:rFonts w:ascii="Arial Narrow" w:hAnsi="Arial Narrow" w:cs="Arial Narrow"/>
                <w:sz w:val="28"/>
                <w:szCs w:val="28"/>
              </w:rPr>
              <w:t>良（B）</w:t>
            </w:r>
          </w:p>
        </w:tc>
      </w:tr>
    </w:tbl>
    <w:p w14:paraId="3A8D446F">
      <w:pPr>
        <w:snapToGrid w:val="0"/>
        <w:ind w:firstLine="0" w:firstLineChars="0"/>
        <w:jc w:val="left"/>
        <w:rPr>
          <w:rFonts w:ascii="Arial Narrow" w:hAnsi="Arial Narrow" w:cs="Arial Narrow"/>
          <w:b/>
        </w:rPr>
      </w:pPr>
      <w:r>
        <w:rPr>
          <w:rFonts w:hint="eastAsia" w:ascii="Arial Narrow" w:hAnsi="Arial Narrow" w:cs="Arial Narrow"/>
          <w:b/>
        </w:rPr>
        <w:t>四、主要评价方法概述</w:t>
      </w:r>
    </w:p>
    <w:p w14:paraId="57869B50">
      <w:pPr>
        <w:snapToGrid w:val="0"/>
        <w:ind w:firstLine="480"/>
        <w:rPr>
          <w:rFonts w:ascii="Arial Narrow" w:hAnsi="Arial Narrow" w:cs="Arial Narrow"/>
        </w:rPr>
      </w:pPr>
      <w:r>
        <w:rPr>
          <w:rFonts w:hint="eastAsia" w:ascii="Arial Narrow" w:hAnsi="Arial Narrow" w:cs="Arial Narrow"/>
        </w:rPr>
        <w:t>武汉市武昌区人民代表大会常务委员会2019年度“代表活动经费”项目</w:t>
      </w:r>
      <w:r>
        <w:rPr>
          <w:rFonts w:ascii="Arial Narrow" w:hAnsi="Arial Narrow" w:cs="Arial Narrow"/>
        </w:rPr>
        <w:t>绩效评价根据项目特点和评价工作的要求，选择比较法、公众评判法、统计计算法、实地考察等方法进行绩效评价分析，与此同时，我们收集了大量项目实施单位的各种统计资料进行分析研究。</w:t>
      </w:r>
    </w:p>
    <w:p w14:paraId="0C221ABF">
      <w:pPr>
        <w:numPr>
          <w:ilvl w:val="0"/>
          <w:numId w:val="1"/>
        </w:numPr>
        <w:snapToGrid w:val="0"/>
        <w:ind w:firstLine="480"/>
        <w:rPr>
          <w:rFonts w:ascii="Arial Narrow" w:hAnsi="Arial Narrow" w:cs="Arial Narrow"/>
        </w:rPr>
      </w:pPr>
      <w:r>
        <w:rPr>
          <w:rFonts w:hint="eastAsia" w:ascii="Arial Narrow" w:hAnsi="Arial Narrow" w:cs="Arial Narrow"/>
        </w:rPr>
        <w:t>比较法。是指通过对武汉市武昌区人民代表大会常务委员会2019年度“代表活动经费”项目绩效目标与实际实施效果的对比，综合分析其绩效目标实现程度。项目小组根据收集的武汉市武昌区人民代表大会常务委员会2019年度“代表活动经费”项目资料和前往实地观察，了解项目实际实施情况，与项目申报时确定的绩效目标进行对比，评价绩效目标的实现程度。</w:t>
      </w:r>
    </w:p>
    <w:p w14:paraId="3419D95B">
      <w:pPr>
        <w:numPr>
          <w:ilvl w:val="0"/>
          <w:numId w:val="1"/>
        </w:numPr>
        <w:snapToGrid w:val="0"/>
        <w:ind w:firstLine="480"/>
        <w:rPr>
          <w:rFonts w:ascii="Arial Narrow" w:hAnsi="Arial Narrow" w:cs="Arial Narrow"/>
        </w:rPr>
      </w:pPr>
      <w:r>
        <w:rPr>
          <w:rFonts w:hint="eastAsia" w:ascii="Arial Narrow" w:hAnsi="Arial Narrow" w:cs="Arial Narrow"/>
        </w:rPr>
        <w:t>公众评判法。是指通过专家评估、公众问卷及抽样调查等对财政支出效果进行评判，评价绩效目标实现程度。项目小组对实施单位人员进行访谈，同时对其辖区内相关社区的居民进行问卷调查，收集武汉市武昌区人民代表大会常务委员会2019年度“代表活动经费”项目具体实施情况和效果的相关证据，为绩效分析结论提供有力支撑。</w:t>
      </w:r>
    </w:p>
    <w:p w14:paraId="0C18C828">
      <w:pPr>
        <w:numPr>
          <w:ilvl w:val="0"/>
          <w:numId w:val="1"/>
        </w:numPr>
        <w:snapToGrid w:val="0"/>
        <w:ind w:firstLine="480"/>
        <w:rPr>
          <w:rFonts w:ascii="Arial Narrow" w:hAnsi="Arial Narrow" w:cs="Arial Narrow"/>
        </w:rPr>
      </w:pPr>
      <w:r>
        <w:rPr>
          <w:rFonts w:hint="eastAsia" w:ascii="Arial Narrow" w:hAnsi="Arial Narrow" w:cs="Arial Narrow"/>
        </w:rPr>
        <w:t>统计计算法。是指采用各种专业（或专门）指标的计算方法，通过收集项目实施的相关数据，采用统计或核算等方式进行计算实际完成或达到的结果，评价绩效目标实现程度。项目小组根据相关文件依据，设计符合武汉市武昌区人民代表大会常务委员会2019年度“代表活动经费”项目特点的评价指标体系，然后采集数据依据计算公式进行计算分析，并根据计算结果分析项目的绩效目标实现程度。</w:t>
      </w:r>
    </w:p>
    <w:p w14:paraId="32BBA178">
      <w:pPr>
        <w:numPr>
          <w:ilvl w:val="0"/>
          <w:numId w:val="1"/>
        </w:numPr>
        <w:snapToGrid w:val="0"/>
        <w:ind w:firstLine="480"/>
        <w:rPr>
          <w:rFonts w:ascii="Arial Narrow" w:hAnsi="Arial Narrow" w:cs="Arial Narrow"/>
        </w:rPr>
      </w:pPr>
      <w:r>
        <w:rPr>
          <w:rFonts w:hint="eastAsia" w:ascii="Arial Narrow" w:hAnsi="Arial Narrow" w:cs="Arial Narrow"/>
        </w:rPr>
        <w:t>实地考察。是指前往项目实施地点进行考察，了解项目的实施情况，评价项目绩效目标实现程度。项目小组将前往项目实施单位进行资料的收集，并向相关人核实项目实际情况，与收集的资料进行验证核对，并拍照留痕。</w:t>
      </w:r>
    </w:p>
    <w:p w14:paraId="60BE48F2">
      <w:pPr>
        <w:numPr>
          <w:ilvl w:val="0"/>
          <w:numId w:val="2"/>
        </w:numPr>
        <w:ind w:firstLine="0" w:firstLineChars="0"/>
        <w:rPr>
          <w:rFonts w:ascii="Arial Narrow" w:hAnsi="Arial Narrow" w:cs="Arial Narrow"/>
          <w:b/>
        </w:rPr>
      </w:pPr>
      <w:r>
        <w:rPr>
          <w:rFonts w:hint="eastAsia" w:ascii="Arial Narrow" w:hAnsi="Arial Narrow" w:cs="Arial Narrow"/>
          <w:b/>
        </w:rPr>
        <w:t>存在的主要问题概述</w:t>
      </w:r>
    </w:p>
    <w:p w14:paraId="7E6F6082">
      <w:pPr>
        <w:ind w:firstLine="480"/>
        <w:rPr>
          <w:rFonts w:ascii="Arial Narrow" w:hAnsi="Arial Narrow" w:cs="Arial Narrow"/>
          <w:bCs/>
        </w:rPr>
      </w:pPr>
      <w:r>
        <w:rPr>
          <w:rFonts w:hint="eastAsia" w:ascii="Arial Narrow" w:hAnsi="Arial Narrow" w:cs="Arial Narrow"/>
          <w:bCs/>
        </w:rPr>
        <w:t>（一）</w:t>
      </w:r>
      <w:r>
        <w:rPr>
          <w:rFonts w:ascii="Arial Narrow" w:hAnsi="Arial Narrow" w:cs="Arial Narrow"/>
          <w:bCs/>
        </w:rPr>
        <w:t>未设立绩效目标</w:t>
      </w:r>
      <w:r>
        <w:rPr>
          <w:rFonts w:hint="eastAsia" w:ascii="Arial Narrow" w:hAnsi="Arial Narrow" w:cs="Arial Narrow"/>
          <w:bCs/>
        </w:rPr>
        <w:t>、</w:t>
      </w:r>
      <w:r>
        <w:rPr>
          <w:rFonts w:ascii="Arial Narrow" w:hAnsi="Arial Narrow" w:cs="Arial Narrow"/>
          <w:bCs/>
        </w:rPr>
        <w:t>绩效指标</w:t>
      </w:r>
      <w:r>
        <w:rPr>
          <w:rFonts w:hint="eastAsia" w:ascii="Arial Narrow" w:hAnsi="Arial Narrow" w:cs="Arial Narrow"/>
          <w:bCs/>
        </w:rPr>
        <w:t>。</w:t>
      </w:r>
      <w:r>
        <w:rPr>
          <w:rFonts w:ascii="Arial Narrow" w:hAnsi="Arial Narrow" w:cs="Arial Narrow"/>
          <w:bCs/>
        </w:rPr>
        <w:t>项目单位未设立相应的绩效目标和绩效指标，</w:t>
      </w:r>
      <w:r>
        <w:rPr>
          <w:rFonts w:hint="eastAsia" w:ascii="Arial Narrow" w:hAnsi="Arial Narrow" w:cs="Arial Narrow"/>
          <w:bCs/>
        </w:rPr>
        <w:t>无法对项目的执行进行监督及评价工作。</w:t>
      </w:r>
    </w:p>
    <w:p w14:paraId="154E453B">
      <w:pPr>
        <w:ind w:firstLine="480"/>
        <w:rPr>
          <w:rFonts w:ascii="Arial Narrow" w:hAnsi="Arial Narrow"/>
          <w:bCs/>
        </w:rPr>
      </w:pPr>
      <w:r>
        <w:rPr>
          <w:rFonts w:hint="eastAsia" w:ascii="Arial Narrow" w:hAnsi="Arial Narrow" w:cs="Arial Narrow"/>
          <w:bCs/>
        </w:rPr>
        <w:t>（二）</w:t>
      </w:r>
      <w:r>
        <w:rPr>
          <w:rFonts w:hint="eastAsia" w:ascii="Arial Narrow" w:hAnsi="Arial Narrow"/>
          <w:bCs/>
        </w:rPr>
        <w:t>项目在实施过程中留存档案资料不够全面，</w:t>
      </w:r>
      <w:r>
        <w:rPr>
          <w:rFonts w:hint="eastAsia"/>
        </w:rPr>
        <w:t>不利于对项目实施成果进行经验总结和为今后项目实施提供借鉴</w:t>
      </w:r>
      <w:r>
        <w:rPr>
          <w:rFonts w:hint="eastAsia" w:ascii="Arial Narrow" w:hAnsi="Arial Narrow"/>
          <w:bCs/>
        </w:rPr>
        <w:t>。</w:t>
      </w:r>
    </w:p>
    <w:p w14:paraId="2B4C909C">
      <w:pPr>
        <w:ind w:firstLine="480"/>
        <w:rPr>
          <w:rFonts w:ascii="Arial Narrow" w:hAnsi="Arial Narrow" w:cs="Arial Narrow"/>
          <w:bCs/>
        </w:rPr>
      </w:pPr>
      <w:r>
        <w:rPr>
          <w:rFonts w:hint="eastAsia" w:ascii="Arial Narrow" w:hAnsi="Arial Narrow" w:cs="Arial Narrow"/>
          <w:bCs/>
        </w:rPr>
        <w:t>（三）预算文本内容不具体。评价小组在项目评价过程中了解到，项目预算文本内容不具体</w:t>
      </w:r>
      <w:r>
        <w:rPr>
          <w:rFonts w:hint="eastAsia" w:ascii="Arial Narrow" w:hAnsi="Arial Narrow"/>
        </w:rPr>
        <w:t>，影响项目实施效果。</w:t>
      </w:r>
    </w:p>
    <w:p w14:paraId="752F61CB">
      <w:pPr>
        <w:numPr>
          <w:ilvl w:val="0"/>
          <w:numId w:val="2"/>
        </w:numPr>
        <w:ind w:firstLine="0" w:firstLineChars="0"/>
        <w:rPr>
          <w:rFonts w:ascii="Arial Narrow" w:hAnsi="Arial Narrow" w:cs="Arial Narrow"/>
          <w:b/>
        </w:rPr>
      </w:pPr>
      <w:r>
        <w:rPr>
          <w:rFonts w:hint="eastAsia" w:ascii="Arial Narrow" w:hAnsi="Arial Narrow" w:cs="Arial Narrow"/>
          <w:b/>
        </w:rPr>
        <w:t>管理建议概述</w:t>
      </w:r>
    </w:p>
    <w:p w14:paraId="49124C9D">
      <w:pPr>
        <w:tabs>
          <w:tab w:val="right" w:pos="8505"/>
        </w:tabs>
        <w:ind w:firstLine="480"/>
        <w:rPr>
          <w:rFonts w:ascii="Arial Narrow" w:hAnsi="Arial Narrow" w:cs="Arial Narrow"/>
          <w:bCs/>
        </w:rPr>
      </w:pPr>
      <w:r>
        <w:rPr>
          <w:rFonts w:hint="eastAsia" w:ascii="Arial Narrow" w:hAnsi="Arial Narrow" w:cs="Arial Narrow"/>
          <w:bCs/>
        </w:rPr>
        <w:t>（一）加强与业务部门的联系，提高预算文本编制的合理性。项目具体实施部门根据财务部门下达的预算指标，对本年度的工作计划进行分解，并结合项目历史完成情况，编制客观可行的预算文本初稿，由财务部门进行汇总审核，提高预算文本的科学性。</w:t>
      </w:r>
    </w:p>
    <w:p w14:paraId="30123545">
      <w:pPr>
        <w:tabs>
          <w:tab w:val="right" w:pos="8505"/>
        </w:tabs>
        <w:ind w:firstLine="480"/>
        <w:rPr>
          <w:rFonts w:ascii="Arial Narrow" w:hAnsi="Arial Narrow" w:cs="Arial Narrow"/>
          <w:bCs/>
        </w:rPr>
      </w:pPr>
      <w:r>
        <w:rPr>
          <w:rFonts w:hint="eastAsia" w:ascii="Arial Narrow" w:hAnsi="Arial Narrow" w:cs="Arial Narrow"/>
          <w:bCs/>
        </w:rPr>
        <w:t>（二）加强档案资料的留存意识，提高项目质量的可控性。项目单位在组织人大代表活动时，可要求各街道在开展活动时记录活动开展过程，并将各街道活动记录取关键部分整理成册，以便人大代表工委监督工作的开展，进一步完善项目档案资料，保证项目质量的可控性。</w:t>
      </w:r>
    </w:p>
    <w:p w14:paraId="15CE8AE6">
      <w:pPr>
        <w:tabs>
          <w:tab w:val="right" w:pos="8505"/>
        </w:tabs>
        <w:ind w:firstLine="480"/>
        <w:rPr>
          <w:rFonts w:ascii="Arial Narrow" w:hAnsi="Arial Narrow" w:cs="Arial Narrow"/>
          <w:bCs/>
        </w:rPr>
      </w:pPr>
      <w:r>
        <w:rPr>
          <w:rFonts w:hint="eastAsia" w:ascii="Arial Narrow" w:hAnsi="Arial Narrow" w:cs="Arial Narrow"/>
          <w:bCs/>
        </w:rPr>
        <w:t>（三）项目实施单位应及时关注项目资金拨付情况，加强预算执行的日常控制与监督，定期进行预算执行分析，强化预算执行、监督的力度，实现对项目资金全方位、全过程的控制，合理安排项目资金支出，严格做到专款专用，提高资金使用率，保证项目实施效果。</w:t>
      </w:r>
    </w:p>
    <w:p w14:paraId="44FC12EF">
      <w:pPr>
        <w:spacing w:line="800" w:lineRule="exact"/>
        <w:ind w:firstLine="0" w:firstLineChars="0"/>
        <w:jc w:val="center"/>
        <w:rPr>
          <w:rFonts w:ascii="Arial Narrow" w:hAnsi="Arial Narrow" w:cs="Arial Narrow"/>
          <w:b/>
          <w:sz w:val="32"/>
          <w:szCs w:val="32"/>
        </w:rPr>
      </w:pPr>
    </w:p>
    <w:p w14:paraId="72CD9824">
      <w:pPr>
        <w:pStyle w:val="11"/>
        <w:tabs>
          <w:tab w:val="right" w:leader="dot" w:pos="8296"/>
        </w:tabs>
        <w:snapToGrid w:val="0"/>
        <w:spacing w:before="165" w:beforeLines="50" w:after="165" w:afterLines="50" w:line="360" w:lineRule="auto"/>
        <w:jc w:val="center"/>
        <w:rPr>
          <w:rFonts w:ascii="Arial Narrow" w:hAnsi="Arial Narrow" w:cs="Arial Narrow"/>
          <w:b/>
          <w:sz w:val="32"/>
          <w:szCs w:val="32"/>
        </w:rPr>
      </w:pPr>
    </w:p>
    <w:p w14:paraId="0D6DF826">
      <w:pPr>
        <w:pStyle w:val="11"/>
        <w:tabs>
          <w:tab w:val="right" w:leader="dot" w:pos="8296"/>
        </w:tabs>
        <w:snapToGrid w:val="0"/>
        <w:spacing w:before="165" w:beforeLines="50" w:after="165" w:afterLines="50" w:line="360" w:lineRule="auto"/>
        <w:jc w:val="center"/>
        <w:rPr>
          <w:rFonts w:ascii="Arial Narrow" w:hAnsi="Arial Narrow" w:cs="Arial Narrow"/>
          <w:b/>
          <w:sz w:val="32"/>
          <w:szCs w:val="32"/>
        </w:rPr>
      </w:pPr>
    </w:p>
    <w:p w14:paraId="542B6933">
      <w:pPr>
        <w:pStyle w:val="11"/>
        <w:tabs>
          <w:tab w:val="right" w:leader="dot" w:pos="8296"/>
        </w:tabs>
        <w:snapToGrid w:val="0"/>
        <w:spacing w:before="165" w:beforeLines="50" w:after="165" w:afterLines="50" w:line="360" w:lineRule="auto"/>
        <w:jc w:val="center"/>
        <w:rPr>
          <w:rFonts w:ascii="Arial Narrow" w:hAnsi="Arial Narrow" w:cs="Arial Narrow"/>
          <w:b/>
          <w:sz w:val="32"/>
          <w:szCs w:val="32"/>
        </w:rPr>
      </w:pPr>
    </w:p>
    <w:p w14:paraId="49CF8716">
      <w:pPr>
        <w:pStyle w:val="11"/>
        <w:tabs>
          <w:tab w:val="right" w:leader="dot" w:pos="8296"/>
        </w:tabs>
        <w:snapToGrid w:val="0"/>
        <w:spacing w:before="165" w:beforeLines="50" w:after="165" w:afterLines="50" w:line="360" w:lineRule="auto"/>
        <w:jc w:val="center"/>
        <w:rPr>
          <w:rFonts w:ascii="Arial Narrow" w:hAnsi="Arial Narrow" w:cs="Arial Narrow"/>
          <w:b/>
          <w:sz w:val="32"/>
          <w:szCs w:val="32"/>
        </w:rPr>
      </w:pPr>
    </w:p>
    <w:p w14:paraId="360E5FE8">
      <w:pPr>
        <w:pStyle w:val="11"/>
        <w:tabs>
          <w:tab w:val="right" w:leader="dot" w:pos="8296"/>
        </w:tabs>
        <w:snapToGrid w:val="0"/>
        <w:spacing w:before="165" w:beforeLines="50" w:after="165" w:afterLines="50" w:line="360" w:lineRule="auto"/>
        <w:jc w:val="center"/>
        <w:rPr>
          <w:rFonts w:ascii="Arial Narrow" w:hAnsi="Arial Narrow" w:cs="Arial Narrow"/>
          <w:b/>
          <w:sz w:val="32"/>
          <w:szCs w:val="32"/>
        </w:rPr>
      </w:pPr>
    </w:p>
    <w:p w14:paraId="6E772CCE">
      <w:pPr>
        <w:pStyle w:val="11"/>
        <w:tabs>
          <w:tab w:val="right" w:leader="dot" w:pos="8296"/>
        </w:tabs>
        <w:snapToGrid w:val="0"/>
        <w:spacing w:before="165" w:beforeLines="50" w:after="165" w:afterLines="50" w:line="360" w:lineRule="auto"/>
        <w:jc w:val="center"/>
        <w:rPr>
          <w:rFonts w:ascii="Arial Narrow" w:hAnsi="Arial Narrow" w:cs="Arial Narrow"/>
          <w:b/>
          <w:sz w:val="32"/>
          <w:szCs w:val="32"/>
        </w:rPr>
      </w:pPr>
    </w:p>
    <w:p w14:paraId="21A751A6">
      <w:pPr>
        <w:ind w:firstLine="480"/>
      </w:pPr>
    </w:p>
    <w:p w14:paraId="35C7F395">
      <w:pPr>
        <w:ind w:firstLine="480"/>
      </w:pPr>
    </w:p>
    <w:p w14:paraId="2980461A">
      <w:pPr>
        <w:ind w:firstLine="480"/>
      </w:pPr>
    </w:p>
    <w:p w14:paraId="760225B4">
      <w:pPr>
        <w:ind w:firstLine="480"/>
      </w:pPr>
    </w:p>
    <w:p w14:paraId="6A801D52">
      <w:pPr>
        <w:ind w:firstLine="480"/>
      </w:pPr>
    </w:p>
    <w:p w14:paraId="3F6CACE6">
      <w:pPr>
        <w:pStyle w:val="11"/>
        <w:tabs>
          <w:tab w:val="right" w:leader="dot" w:pos="8296"/>
        </w:tabs>
        <w:snapToGrid w:val="0"/>
        <w:spacing w:before="165" w:beforeLines="50" w:after="165" w:afterLines="50" w:line="360" w:lineRule="auto"/>
        <w:jc w:val="center"/>
        <w:rPr>
          <w:rFonts w:ascii="Arial Narrow" w:hAnsi="Arial Narrow" w:cs="Arial Narrow"/>
          <w:b/>
          <w:sz w:val="32"/>
          <w:szCs w:val="32"/>
        </w:rPr>
      </w:pPr>
    </w:p>
    <w:p w14:paraId="5C11FFD8">
      <w:pPr>
        <w:pStyle w:val="11"/>
        <w:tabs>
          <w:tab w:val="right" w:leader="dot" w:pos="8296"/>
        </w:tabs>
        <w:snapToGrid w:val="0"/>
        <w:spacing w:before="165" w:beforeLines="50" w:after="165" w:afterLines="50" w:line="360" w:lineRule="auto"/>
        <w:jc w:val="center"/>
        <w:rPr>
          <w:rFonts w:ascii="Arial Narrow" w:hAnsi="Arial Narrow" w:cs="Arial Narrow"/>
          <w:b/>
        </w:rPr>
      </w:pPr>
      <w:r>
        <w:rPr>
          <w:rFonts w:ascii="Arial Narrow" w:hAnsi="Arial Narrow" w:cs="Arial Narrow"/>
          <w:b/>
          <w:sz w:val="32"/>
          <w:szCs w:val="32"/>
        </w:rPr>
        <w:t>目  录</w:t>
      </w:r>
    </w:p>
    <w:p w14:paraId="2048DC0B">
      <w:pPr>
        <w:pStyle w:val="11"/>
        <w:tabs>
          <w:tab w:val="right" w:leader="dot" w:pos="8505"/>
        </w:tabs>
        <w:rPr>
          <w:rFonts w:ascii="Arial Narrow" w:hAnsi="Arial Narrow" w:cs="Arial Narrow"/>
        </w:rPr>
      </w:pPr>
      <w:r>
        <w:rPr>
          <w:rFonts w:ascii="Arial Narrow" w:hAnsi="Arial Narrow" w:cs="Arial Narrow"/>
        </w:rPr>
        <w:fldChar w:fldCharType="begin"/>
      </w:r>
      <w:r>
        <w:rPr>
          <w:rFonts w:ascii="Arial Narrow" w:hAnsi="Arial Narrow" w:cs="Arial Narrow"/>
        </w:rPr>
        <w:instrText xml:space="preserve"> TOC \o "1-3" \h \z \u </w:instrText>
      </w:r>
      <w:r>
        <w:rPr>
          <w:rFonts w:ascii="Arial Narrow" w:hAnsi="Arial Narrow" w:cs="Arial Narrow"/>
        </w:rPr>
        <w:fldChar w:fldCharType="separate"/>
      </w:r>
      <w:r>
        <w:rPr>
          <w:rFonts w:hint="eastAsia" w:ascii="Arial Narrow" w:hAnsi="Arial Narrow" w:cs="Arial Narrow"/>
        </w:rPr>
        <w:t>摘要</w:t>
      </w:r>
    </w:p>
    <w:p w14:paraId="249BD169">
      <w:pPr>
        <w:pStyle w:val="11"/>
        <w:tabs>
          <w:tab w:val="right" w:leader="dot" w:pos="8505"/>
        </w:tabs>
      </w:pPr>
      <w:r>
        <w:fldChar w:fldCharType="begin"/>
      </w:r>
      <w:r>
        <w:instrText xml:space="preserve"> HYPERLINK \l "_Toc16919" </w:instrText>
      </w:r>
      <w:r>
        <w:fldChar w:fldCharType="separate"/>
      </w:r>
      <w:r>
        <w:rPr>
          <w:szCs w:val="40"/>
        </w:rPr>
        <w:t>前</w:t>
      </w:r>
      <w:r>
        <w:rPr>
          <w:rFonts w:hint="eastAsia"/>
          <w:szCs w:val="40"/>
        </w:rPr>
        <w:t xml:space="preserve">  </w:t>
      </w:r>
      <w:r>
        <w:rPr>
          <w:szCs w:val="40"/>
        </w:rPr>
        <w:t>言</w:t>
      </w:r>
      <w:r>
        <w:tab/>
      </w:r>
      <w:r>
        <w:fldChar w:fldCharType="end"/>
      </w:r>
    </w:p>
    <w:p w14:paraId="6049C73B">
      <w:pPr>
        <w:pStyle w:val="12"/>
        <w:tabs>
          <w:tab w:val="right" w:leader="dot" w:pos="8505"/>
        </w:tabs>
        <w:ind w:firstLine="240"/>
      </w:pPr>
      <w:r>
        <w:fldChar w:fldCharType="begin"/>
      </w:r>
      <w:r>
        <w:instrText xml:space="preserve"> HYPERLINK \l "_Toc16269" </w:instrText>
      </w:r>
      <w:r>
        <w:fldChar w:fldCharType="separate"/>
      </w:r>
      <w:r>
        <w:rPr>
          <w:rFonts w:hint="eastAsia" w:ascii="Arial Narrow" w:hAnsi="Arial Narrow" w:cs="Arial Narrow"/>
          <w:szCs w:val="28"/>
        </w:rPr>
        <w:t>一、项目基本情况</w:t>
      </w:r>
      <w:r>
        <w:tab/>
      </w:r>
      <w:r>
        <w:fldChar w:fldCharType="end"/>
      </w:r>
    </w:p>
    <w:p w14:paraId="45D26CE1">
      <w:pPr>
        <w:pStyle w:val="12"/>
        <w:tabs>
          <w:tab w:val="right" w:leader="dot" w:pos="8505"/>
        </w:tabs>
        <w:ind w:firstLine="240"/>
      </w:pPr>
      <w:r>
        <w:fldChar w:fldCharType="begin"/>
      </w:r>
      <w:r>
        <w:instrText xml:space="preserve"> HYPERLINK \l "_Toc27821" </w:instrText>
      </w:r>
      <w:r>
        <w:fldChar w:fldCharType="separate"/>
      </w:r>
      <w:r>
        <w:rPr>
          <w:rFonts w:hint="eastAsia" w:ascii="Arial Narrow" w:hAnsi="Arial Narrow" w:cs="Arial Narrow"/>
          <w:bCs/>
        </w:rPr>
        <w:t>（一）项目概况</w:t>
      </w:r>
      <w:r>
        <w:tab/>
      </w:r>
      <w:r>
        <w:fldChar w:fldCharType="end"/>
      </w:r>
    </w:p>
    <w:p w14:paraId="4D6B0D87">
      <w:pPr>
        <w:pStyle w:val="12"/>
        <w:tabs>
          <w:tab w:val="right" w:leader="dot" w:pos="8505"/>
        </w:tabs>
        <w:ind w:firstLine="240"/>
      </w:pPr>
      <w:r>
        <w:fldChar w:fldCharType="begin"/>
      </w:r>
      <w:r>
        <w:instrText xml:space="preserve"> HYPERLINK \l "_Toc26613" </w:instrText>
      </w:r>
      <w:r>
        <w:fldChar w:fldCharType="separate"/>
      </w:r>
      <w:r>
        <w:rPr>
          <w:rFonts w:hint="eastAsia" w:ascii="Arial Narrow" w:hAnsi="Arial Narrow" w:cs="Arial Narrow"/>
          <w:bCs/>
        </w:rPr>
        <w:t>（二）项目绩效目标</w:t>
      </w:r>
      <w:r>
        <w:tab/>
      </w:r>
      <w:r>
        <w:fldChar w:fldCharType="end"/>
      </w:r>
    </w:p>
    <w:p w14:paraId="13220E65">
      <w:pPr>
        <w:pStyle w:val="12"/>
        <w:tabs>
          <w:tab w:val="right" w:leader="dot" w:pos="8505"/>
        </w:tabs>
        <w:ind w:firstLine="240"/>
      </w:pPr>
      <w:r>
        <w:fldChar w:fldCharType="begin"/>
      </w:r>
      <w:r>
        <w:instrText xml:space="preserve"> HYPERLINK \l "_Toc21655" </w:instrText>
      </w:r>
      <w:r>
        <w:fldChar w:fldCharType="separate"/>
      </w:r>
      <w:r>
        <w:rPr>
          <w:rFonts w:hint="eastAsia" w:ascii="Arial Narrow" w:hAnsi="Arial Narrow" w:cs="Arial Narrow"/>
          <w:szCs w:val="28"/>
        </w:rPr>
        <w:t>二、绩效评价工作情况</w:t>
      </w:r>
      <w:r>
        <w:tab/>
      </w:r>
      <w:r>
        <w:fldChar w:fldCharType="end"/>
      </w:r>
    </w:p>
    <w:p w14:paraId="4C0BBA27">
      <w:pPr>
        <w:pStyle w:val="12"/>
        <w:tabs>
          <w:tab w:val="right" w:leader="dot" w:pos="8505"/>
        </w:tabs>
        <w:ind w:firstLine="240"/>
      </w:pPr>
      <w:r>
        <w:fldChar w:fldCharType="begin"/>
      </w:r>
      <w:r>
        <w:instrText xml:space="preserve"> HYPERLINK \l "_Toc32752" </w:instrText>
      </w:r>
      <w:r>
        <w:fldChar w:fldCharType="separate"/>
      </w:r>
      <w:r>
        <w:rPr>
          <w:rFonts w:hint="eastAsia" w:ascii="Arial Narrow" w:hAnsi="Arial Narrow" w:cs="Arial Narrow"/>
          <w:bCs/>
        </w:rPr>
        <w:t>（一）绩效评价目的</w:t>
      </w:r>
      <w:r>
        <w:tab/>
      </w:r>
      <w:r>
        <w:fldChar w:fldCharType="end"/>
      </w:r>
    </w:p>
    <w:p w14:paraId="27E58D87">
      <w:pPr>
        <w:pStyle w:val="12"/>
        <w:tabs>
          <w:tab w:val="right" w:leader="dot" w:pos="8505"/>
        </w:tabs>
        <w:ind w:firstLine="240"/>
      </w:pPr>
      <w:r>
        <w:fldChar w:fldCharType="begin"/>
      </w:r>
      <w:r>
        <w:instrText xml:space="preserve"> HYPERLINK \l "_Toc17434" </w:instrText>
      </w:r>
      <w:r>
        <w:fldChar w:fldCharType="separate"/>
      </w:r>
      <w:r>
        <w:rPr>
          <w:rFonts w:hint="eastAsia" w:ascii="Arial Narrow" w:hAnsi="Arial Narrow" w:cs="Arial Narrow"/>
          <w:bCs/>
        </w:rPr>
        <w:t>（二）绩效评价工作过程</w:t>
      </w:r>
      <w:r>
        <w:tab/>
      </w:r>
      <w:r>
        <w:fldChar w:fldCharType="end"/>
      </w:r>
    </w:p>
    <w:p w14:paraId="4A82E7FE">
      <w:pPr>
        <w:pStyle w:val="12"/>
        <w:tabs>
          <w:tab w:val="right" w:leader="dot" w:pos="8505"/>
        </w:tabs>
        <w:ind w:firstLine="240"/>
      </w:pPr>
      <w:r>
        <w:fldChar w:fldCharType="begin"/>
      </w:r>
      <w:r>
        <w:instrText xml:space="preserve"> HYPERLINK \l "_Toc5928" </w:instrText>
      </w:r>
      <w:r>
        <w:fldChar w:fldCharType="separate"/>
      </w:r>
      <w:r>
        <w:rPr>
          <w:rFonts w:hint="eastAsia" w:ascii="Arial Narrow" w:hAnsi="Arial Narrow" w:cs="Arial Narrow"/>
          <w:bCs/>
        </w:rPr>
        <w:t>（三）绩效评价框架</w:t>
      </w:r>
      <w:r>
        <w:tab/>
      </w:r>
      <w:r>
        <w:fldChar w:fldCharType="end"/>
      </w:r>
    </w:p>
    <w:p w14:paraId="3FA4F979">
      <w:pPr>
        <w:pStyle w:val="12"/>
        <w:tabs>
          <w:tab w:val="right" w:leader="dot" w:pos="8505"/>
        </w:tabs>
        <w:ind w:firstLine="240"/>
      </w:pPr>
      <w:r>
        <w:fldChar w:fldCharType="begin"/>
      </w:r>
      <w:r>
        <w:instrText xml:space="preserve"> HYPERLINK \l "_Toc10443" </w:instrText>
      </w:r>
      <w:r>
        <w:fldChar w:fldCharType="separate"/>
      </w:r>
      <w:r>
        <w:rPr>
          <w:rFonts w:hint="eastAsia" w:ascii="Arial Narrow" w:hAnsi="Arial Narrow" w:cs="Arial Narrow"/>
          <w:bCs/>
        </w:rPr>
        <w:t>（四）证据收集方式</w:t>
      </w:r>
      <w:r>
        <w:tab/>
      </w:r>
      <w:r>
        <w:fldChar w:fldCharType="end"/>
      </w:r>
    </w:p>
    <w:p w14:paraId="4FFC2FB9">
      <w:pPr>
        <w:pStyle w:val="12"/>
        <w:tabs>
          <w:tab w:val="right" w:leader="dot" w:pos="8505"/>
        </w:tabs>
        <w:ind w:firstLine="240"/>
      </w:pPr>
      <w:r>
        <w:fldChar w:fldCharType="begin"/>
      </w:r>
      <w:r>
        <w:instrText xml:space="preserve"> HYPERLINK \l "_Toc22315" </w:instrText>
      </w:r>
      <w:r>
        <w:fldChar w:fldCharType="separate"/>
      </w:r>
      <w:r>
        <w:rPr>
          <w:rFonts w:hint="eastAsia" w:ascii="Arial Narrow" w:hAnsi="Arial Narrow" w:cs="Arial Narrow"/>
          <w:szCs w:val="28"/>
        </w:rPr>
        <w:t>三、绩效分析</w:t>
      </w:r>
      <w:r>
        <w:tab/>
      </w:r>
      <w:r>
        <w:fldChar w:fldCharType="end"/>
      </w:r>
    </w:p>
    <w:p w14:paraId="10EFC0CC">
      <w:pPr>
        <w:pStyle w:val="12"/>
        <w:tabs>
          <w:tab w:val="right" w:leader="dot" w:pos="8505"/>
        </w:tabs>
        <w:ind w:firstLine="240"/>
      </w:pPr>
      <w:r>
        <w:fldChar w:fldCharType="begin"/>
      </w:r>
      <w:r>
        <w:instrText xml:space="preserve"> HYPERLINK \l "_Toc22306" </w:instrText>
      </w:r>
      <w:r>
        <w:fldChar w:fldCharType="separate"/>
      </w:r>
      <w:r>
        <w:rPr>
          <w:rFonts w:hint="eastAsia" w:ascii="Arial Narrow" w:hAnsi="Arial Narrow" w:cs="Arial Narrow"/>
          <w:bCs/>
        </w:rPr>
        <w:t>（一）项目投入（12分）</w:t>
      </w:r>
      <w:r>
        <w:tab/>
      </w:r>
      <w:r>
        <w:fldChar w:fldCharType="end"/>
      </w:r>
    </w:p>
    <w:p w14:paraId="54A3D973">
      <w:pPr>
        <w:pStyle w:val="12"/>
        <w:tabs>
          <w:tab w:val="right" w:leader="dot" w:pos="8505"/>
        </w:tabs>
        <w:ind w:firstLine="240"/>
      </w:pPr>
      <w:r>
        <w:fldChar w:fldCharType="begin"/>
      </w:r>
      <w:r>
        <w:instrText xml:space="preserve"> HYPERLINK \l "_Toc22313" </w:instrText>
      </w:r>
      <w:r>
        <w:fldChar w:fldCharType="separate"/>
      </w:r>
      <w:r>
        <w:rPr>
          <w:rFonts w:hint="eastAsia" w:ascii="Arial Narrow" w:hAnsi="Arial Narrow" w:cs="Arial Narrow"/>
          <w:bCs/>
        </w:rPr>
        <w:t>（二）项目过程（28分）</w:t>
      </w:r>
      <w:r>
        <w:tab/>
      </w:r>
      <w:r>
        <w:fldChar w:fldCharType="end"/>
      </w:r>
    </w:p>
    <w:p w14:paraId="33E93A21">
      <w:pPr>
        <w:pStyle w:val="12"/>
        <w:tabs>
          <w:tab w:val="right" w:leader="dot" w:pos="8505"/>
        </w:tabs>
        <w:ind w:firstLine="240"/>
      </w:pPr>
      <w:r>
        <w:fldChar w:fldCharType="begin"/>
      </w:r>
      <w:r>
        <w:instrText xml:space="preserve"> HYPERLINK \l "_Toc13246" </w:instrText>
      </w:r>
      <w:r>
        <w:fldChar w:fldCharType="separate"/>
      </w:r>
      <w:r>
        <w:rPr>
          <w:rFonts w:hint="eastAsia" w:ascii="Arial Narrow" w:hAnsi="Arial Narrow" w:cs="Arial Narrow"/>
          <w:bCs/>
        </w:rPr>
        <w:t>（三）项目产出（26分）</w:t>
      </w:r>
      <w:r>
        <w:tab/>
      </w:r>
      <w:r>
        <w:fldChar w:fldCharType="end"/>
      </w:r>
    </w:p>
    <w:p w14:paraId="7D024593">
      <w:pPr>
        <w:pStyle w:val="12"/>
        <w:tabs>
          <w:tab w:val="right" w:leader="dot" w:pos="8505"/>
        </w:tabs>
        <w:ind w:firstLine="240"/>
      </w:pPr>
      <w:r>
        <w:fldChar w:fldCharType="begin"/>
      </w:r>
      <w:r>
        <w:instrText xml:space="preserve"> HYPERLINK \l "_Toc12976" </w:instrText>
      </w:r>
      <w:r>
        <w:fldChar w:fldCharType="separate"/>
      </w:r>
      <w:r>
        <w:rPr>
          <w:rFonts w:hint="eastAsia" w:ascii="Arial Narrow" w:hAnsi="Arial Narrow" w:cs="Arial Narrow"/>
          <w:bCs/>
        </w:rPr>
        <w:t>（四）项目效果（34分）</w:t>
      </w:r>
      <w:r>
        <w:tab/>
      </w:r>
      <w:r>
        <w:fldChar w:fldCharType="end"/>
      </w:r>
    </w:p>
    <w:p w14:paraId="54D33553">
      <w:pPr>
        <w:pStyle w:val="12"/>
        <w:tabs>
          <w:tab w:val="right" w:leader="dot" w:pos="8505"/>
        </w:tabs>
        <w:ind w:firstLine="240"/>
      </w:pPr>
      <w:r>
        <w:fldChar w:fldCharType="begin"/>
      </w:r>
      <w:r>
        <w:instrText xml:space="preserve"> HYPERLINK \l "_Toc8990" </w:instrText>
      </w:r>
      <w:r>
        <w:fldChar w:fldCharType="separate"/>
      </w:r>
      <w:r>
        <w:rPr>
          <w:rFonts w:hint="eastAsia" w:ascii="Arial Narrow" w:hAnsi="Arial Narrow" w:cs="Arial Narrow"/>
        </w:rPr>
        <w:t>四、评价结论</w:t>
      </w:r>
      <w:r>
        <w:tab/>
      </w:r>
      <w:r>
        <w:fldChar w:fldCharType="end"/>
      </w:r>
    </w:p>
    <w:p w14:paraId="51C462C9">
      <w:pPr>
        <w:pStyle w:val="12"/>
        <w:tabs>
          <w:tab w:val="right" w:leader="dot" w:pos="8505"/>
        </w:tabs>
        <w:ind w:firstLine="240"/>
      </w:pPr>
      <w:r>
        <w:fldChar w:fldCharType="begin"/>
      </w:r>
      <w:r>
        <w:instrText xml:space="preserve"> HYPERLINK \l "_Toc12496" </w:instrText>
      </w:r>
      <w:r>
        <w:fldChar w:fldCharType="separate"/>
      </w:r>
      <w:r>
        <w:rPr>
          <w:rFonts w:hint="eastAsia" w:ascii="Arial Narrow" w:hAnsi="Arial Narrow" w:cs="Arial Narrow"/>
          <w:bCs/>
        </w:rPr>
        <w:t>（一）评分结果</w:t>
      </w:r>
      <w:r>
        <w:tab/>
      </w:r>
      <w:r>
        <w:fldChar w:fldCharType="end"/>
      </w:r>
    </w:p>
    <w:p w14:paraId="6CC99AA4">
      <w:pPr>
        <w:pStyle w:val="12"/>
        <w:tabs>
          <w:tab w:val="right" w:leader="dot" w:pos="8505"/>
        </w:tabs>
        <w:ind w:firstLine="240"/>
      </w:pPr>
      <w:r>
        <w:fldChar w:fldCharType="begin"/>
      </w:r>
      <w:r>
        <w:instrText xml:space="preserve"> HYPERLINK \l "_Toc6635" </w:instrText>
      </w:r>
      <w:r>
        <w:fldChar w:fldCharType="separate"/>
      </w:r>
      <w:r>
        <w:rPr>
          <w:rFonts w:hint="eastAsia" w:ascii="Arial Narrow" w:hAnsi="Arial Narrow" w:cs="Arial Narrow"/>
          <w:bCs/>
        </w:rPr>
        <w:t>（二）主要结论</w:t>
      </w:r>
      <w:r>
        <w:tab/>
      </w:r>
      <w:r>
        <w:fldChar w:fldCharType="end"/>
      </w:r>
    </w:p>
    <w:p w14:paraId="28E47120">
      <w:pPr>
        <w:pStyle w:val="12"/>
        <w:tabs>
          <w:tab w:val="right" w:leader="dot" w:pos="8505"/>
        </w:tabs>
        <w:ind w:firstLine="240"/>
      </w:pPr>
      <w:r>
        <w:fldChar w:fldCharType="begin"/>
      </w:r>
      <w:r>
        <w:instrText xml:space="preserve"> HYPERLINK \l "_Toc25334" </w:instrText>
      </w:r>
      <w:r>
        <w:fldChar w:fldCharType="separate"/>
      </w:r>
      <w:r>
        <w:rPr>
          <w:rFonts w:hint="eastAsia" w:ascii="Arial Narrow" w:hAnsi="Arial Narrow" w:cs="Arial Narrow"/>
        </w:rPr>
        <w:t>五、主要经验及做法、存在的问题和建议</w:t>
      </w:r>
      <w:r>
        <w:tab/>
      </w:r>
      <w:r>
        <w:fldChar w:fldCharType="end"/>
      </w:r>
    </w:p>
    <w:p w14:paraId="1FDE97DD">
      <w:pPr>
        <w:pStyle w:val="12"/>
        <w:tabs>
          <w:tab w:val="right" w:leader="dot" w:pos="8505"/>
        </w:tabs>
        <w:ind w:firstLine="240"/>
      </w:pPr>
      <w:r>
        <w:fldChar w:fldCharType="begin"/>
      </w:r>
      <w:r>
        <w:instrText xml:space="preserve"> HYPERLINK \l "_Toc2550" </w:instrText>
      </w:r>
      <w:r>
        <w:fldChar w:fldCharType="separate"/>
      </w:r>
      <w:r>
        <w:rPr>
          <w:rFonts w:hint="eastAsia" w:ascii="Arial Narrow" w:hAnsi="Arial Narrow" w:cs="Arial Narrow"/>
          <w:bCs/>
        </w:rPr>
        <w:t>（一）主要经验及做法</w:t>
      </w:r>
      <w:r>
        <w:tab/>
      </w:r>
      <w:r>
        <w:fldChar w:fldCharType="end"/>
      </w:r>
    </w:p>
    <w:p w14:paraId="47DA1D7C">
      <w:pPr>
        <w:pStyle w:val="12"/>
        <w:tabs>
          <w:tab w:val="right" w:leader="dot" w:pos="8505"/>
        </w:tabs>
        <w:ind w:firstLine="240"/>
      </w:pPr>
      <w:r>
        <w:fldChar w:fldCharType="begin"/>
      </w:r>
      <w:r>
        <w:instrText xml:space="preserve"> HYPERLINK \l "_Toc8446" </w:instrText>
      </w:r>
      <w:r>
        <w:fldChar w:fldCharType="separate"/>
      </w:r>
      <w:r>
        <w:rPr>
          <w:rFonts w:hint="eastAsia" w:ascii="Arial Narrow" w:hAnsi="Arial Narrow" w:cs="Arial Narrow"/>
          <w:bCs/>
        </w:rPr>
        <w:t>（二）存在的问题</w:t>
      </w:r>
      <w:r>
        <w:tab/>
      </w:r>
      <w:r>
        <w:fldChar w:fldCharType="end"/>
      </w:r>
    </w:p>
    <w:p w14:paraId="26E7DB0F">
      <w:pPr>
        <w:pStyle w:val="12"/>
        <w:tabs>
          <w:tab w:val="right" w:leader="dot" w:pos="8505"/>
        </w:tabs>
        <w:ind w:firstLine="240"/>
      </w:pPr>
      <w:r>
        <w:fldChar w:fldCharType="begin"/>
      </w:r>
      <w:r>
        <w:instrText xml:space="preserve"> HYPERLINK \l "_Toc16503" </w:instrText>
      </w:r>
      <w:r>
        <w:fldChar w:fldCharType="separate"/>
      </w:r>
      <w:r>
        <w:rPr>
          <w:rFonts w:hint="eastAsia" w:ascii="Arial Narrow" w:hAnsi="Arial Narrow" w:cs="Arial Narrow"/>
          <w:bCs/>
        </w:rPr>
        <w:t>（三）建议</w:t>
      </w:r>
      <w:r>
        <w:tab/>
      </w:r>
      <w:r>
        <w:fldChar w:fldCharType="end"/>
      </w:r>
    </w:p>
    <w:p w14:paraId="4B8F7419">
      <w:pPr>
        <w:pStyle w:val="12"/>
        <w:tabs>
          <w:tab w:val="right" w:leader="dot" w:pos="8505"/>
        </w:tabs>
        <w:ind w:firstLine="240"/>
      </w:pPr>
      <w:r>
        <w:fldChar w:fldCharType="begin"/>
      </w:r>
      <w:r>
        <w:instrText xml:space="preserve"> HYPERLINK \l "_Toc23115" </w:instrText>
      </w:r>
      <w:r>
        <w:fldChar w:fldCharType="separate"/>
      </w:r>
      <w:r>
        <w:rPr>
          <w:rFonts w:hint="eastAsia" w:ascii="Arial Narrow" w:hAnsi="Arial Narrow" w:cs="Arial Narrow"/>
        </w:rPr>
        <w:t>六、</w:t>
      </w:r>
      <w:r>
        <w:rPr>
          <w:rFonts w:ascii="Arial Narrow" w:hAnsi="Arial Narrow" w:cs="Arial Narrow"/>
        </w:rPr>
        <w:t>其他需说明的问题</w:t>
      </w:r>
      <w:r>
        <w:tab/>
      </w:r>
      <w:r>
        <w:fldChar w:fldCharType="end"/>
      </w:r>
    </w:p>
    <w:p w14:paraId="40E7BF80">
      <w:pPr>
        <w:pStyle w:val="12"/>
        <w:tabs>
          <w:tab w:val="right" w:leader="dot" w:pos="8505"/>
        </w:tabs>
        <w:ind w:firstLine="240"/>
      </w:pPr>
      <w:r>
        <w:fldChar w:fldCharType="begin"/>
      </w:r>
      <w:r>
        <w:instrText xml:space="preserve"> HYPERLINK \l "_Toc29253" </w:instrText>
      </w:r>
      <w:r>
        <w:fldChar w:fldCharType="separate"/>
      </w:r>
      <w:r>
        <w:rPr>
          <w:rFonts w:hint="eastAsia" w:ascii="Arial Narrow" w:hAnsi="Arial Narrow" w:cs="Arial Narrow"/>
          <w:bCs/>
        </w:rPr>
        <w:t>（一）关于评价责任的说明</w:t>
      </w:r>
      <w:r>
        <w:tab/>
      </w:r>
      <w:r>
        <w:fldChar w:fldCharType="end"/>
      </w:r>
    </w:p>
    <w:p w14:paraId="6903DFFE">
      <w:pPr>
        <w:pStyle w:val="12"/>
        <w:tabs>
          <w:tab w:val="right" w:leader="dot" w:pos="8505"/>
        </w:tabs>
        <w:ind w:firstLine="240"/>
      </w:pPr>
      <w:r>
        <w:fldChar w:fldCharType="begin"/>
      </w:r>
      <w:r>
        <w:instrText xml:space="preserve"> HYPERLINK \l "_Toc20324" </w:instrText>
      </w:r>
      <w:r>
        <w:fldChar w:fldCharType="separate"/>
      </w:r>
      <w:r>
        <w:rPr>
          <w:rFonts w:hint="eastAsia" w:ascii="Arial Narrow" w:hAnsi="Arial Narrow" w:cs="Arial Narrow"/>
          <w:bCs/>
        </w:rPr>
        <w:t>（二）关于评价局限性的说明</w:t>
      </w:r>
      <w:r>
        <w:tab/>
      </w:r>
      <w:r>
        <w:fldChar w:fldCharType="end"/>
      </w:r>
    </w:p>
    <w:p w14:paraId="1C4399E6">
      <w:pPr>
        <w:pStyle w:val="11"/>
        <w:tabs>
          <w:tab w:val="right" w:leader="dot" w:pos="8505"/>
        </w:tabs>
      </w:pPr>
      <w:r>
        <w:fldChar w:fldCharType="begin"/>
      </w:r>
      <w:r>
        <w:instrText xml:space="preserve"> HYPERLINK \l "_Toc20559" </w:instrText>
      </w:r>
      <w:r>
        <w:fldChar w:fldCharType="separate"/>
      </w:r>
      <w:r>
        <w:rPr>
          <w:rFonts w:ascii="Arial Narrow" w:hAnsi="Arial Narrow" w:cs="Arial Narrow"/>
          <w:lang w:val="zh-CN"/>
        </w:rPr>
        <w:t>附件:</w:t>
      </w:r>
      <w:r>
        <w:tab/>
      </w:r>
      <w:r>
        <w:fldChar w:fldCharType="end"/>
      </w:r>
    </w:p>
    <w:p w14:paraId="18324E97">
      <w:pPr>
        <w:spacing w:line="240" w:lineRule="auto"/>
        <w:ind w:firstLine="0" w:firstLineChars="0"/>
        <w:outlineLvl w:val="0"/>
        <w:rPr>
          <w:rFonts w:ascii="Arial Narrow" w:hAnsi="Arial Narrow" w:cs="Arial Narrow"/>
        </w:rPr>
        <w:sectPr>
          <w:headerReference r:id="rId7" w:type="first"/>
          <w:footerReference r:id="rId10" w:type="first"/>
          <w:headerReference r:id="rId5" w:type="default"/>
          <w:footerReference r:id="rId8" w:type="default"/>
          <w:headerReference r:id="rId6" w:type="even"/>
          <w:footerReference r:id="rId9" w:type="even"/>
          <w:pgSz w:w="11906" w:h="16838"/>
          <w:pgMar w:top="2835" w:right="1417" w:bottom="1417" w:left="1984" w:header="851" w:footer="992" w:gutter="0"/>
          <w:cols w:space="720" w:num="1"/>
          <w:docGrid w:type="lines" w:linePitch="331" w:charSpace="0"/>
        </w:sectPr>
      </w:pPr>
      <w:r>
        <w:rPr>
          <w:rFonts w:ascii="Arial Narrow" w:hAnsi="Arial Narrow" w:cs="Arial Narrow"/>
        </w:rPr>
        <w:fldChar w:fldCharType="end"/>
      </w:r>
      <w:bookmarkStart w:id="2" w:name="_Toc430020777"/>
      <w:bookmarkStart w:id="3" w:name="_Toc430020501"/>
      <w:bookmarkStart w:id="4" w:name="_Toc430020653"/>
      <w:bookmarkStart w:id="5" w:name="_Toc430076886"/>
    </w:p>
    <w:p w14:paraId="6C95C48F">
      <w:pPr>
        <w:pStyle w:val="2"/>
        <w:rPr>
          <w:sz w:val="24"/>
          <w:szCs w:val="40"/>
        </w:rPr>
      </w:pPr>
      <w:bookmarkStart w:id="6" w:name="_Toc6369"/>
      <w:bookmarkStart w:id="7" w:name="_Toc16919"/>
      <w:bookmarkStart w:id="8" w:name="_Toc12005"/>
      <w:bookmarkStart w:id="9" w:name="_Toc406666351"/>
      <w:bookmarkStart w:id="10" w:name="_Toc27609"/>
      <w:bookmarkStart w:id="11" w:name="_Toc406668024"/>
      <w:r>
        <w:rPr>
          <w:sz w:val="24"/>
          <w:szCs w:val="40"/>
        </w:rPr>
        <w:t>前</w:t>
      </w:r>
      <w:r>
        <w:rPr>
          <w:rFonts w:hint="eastAsia"/>
          <w:sz w:val="24"/>
          <w:szCs w:val="40"/>
        </w:rPr>
        <w:t xml:space="preserve">  </w:t>
      </w:r>
      <w:r>
        <w:rPr>
          <w:sz w:val="24"/>
          <w:szCs w:val="40"/>
        </w:rPr>
        <w:t>言</w:t>
      </w:r>
      <w:bookmarkEnd w:id="6"/>
      <w:bookmarkEnd w:id="7"/>
      <w:bookmarkEnd w:id="8"/>
      <w:bookmarkEnd w:id="9"/>
      <w:bookmarkEnd w:id="10"/>
      <w:bookmarkEnd w:id="11"/>
    </w:p>
    <w:p w14:paraId="3E3DDCA9">
      <w:pPr>
        <w:snapToGrid w:val="0"/>
        <w:ind w:firstLine="482"/>
        <w:rPr>
          <w:rFonts w:ascii="Arial Narrow" w:hAnsi="Arial Narrow" w:cs="Arial Narrow"/>
          <w:b/>
          <w:bCs/>
        </w:rPr>
      </w:pPr>
      <w:r>
        <w:rPr>
          <w:rFonts w:ascii="Arial Narrow" w:hAnsi="Arial Narrow" w:cs="Arial Narrow"/>
          <w:b/>
          <w:bCs/>
        </w:rPr>
        <w:t>开展绩效评价的背景</w:t>
      </w:r>
    </w:p>
    <w:p w14:paraId="1C4CD79B">
      <w:pPr>
        <w:snapToGrid w:val="0"/>
        <w:ind w:firstLine="480"/>
        <w:rPr>
          <w:rFonts w:ascii="Arial Narrow" w:hAnsi="Arial Narrow" w:cs="Arial Narrow"/>
        </w:rPr>
      </w:pPr>
      <w:r>
        <w:rPr>
          <w:rFonts w:ascii="Arial Narrow" w:hAnsi="Arial Narrow" w:cs="Arial Narrow"/>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绩效评价是预算绩效管理的核心内容。</w:t>
      </w:r>
    </w:p>
    <w:p w14:paraId="0740D09F">
      <w:pPr>
        <w:snapToGrid w:val="0"/>
        <w:ind w:firstLine="480"/>
        <w:rPr>
          <w:rFonts w:ascii="Arial Narrow" w:hAnsi="Arial Narrow" w:cs="Arial Narrow"/>
        </w:rPr>
      </w:pPr>
      <w:r>
        <w:rPr>
          <w:rFonts w:ascii="Arial Narrow" w:hAnsi="Arial Narrow" w:cs="Arial Narrow"/>
        </w:rPr>
        <w:t>为贯彻落实我国财政部绩效管理工作的一系列规定，财政部出台了《财政支出绩效评价管理暂行办法》（财预〔2011〕285号）、湖北省财政厅印发《湖北省财政项目资金绩效评价操作指南》的通知（鄂财函[2014]376号）、市政府印发《关于推进预算绩效管理的意见》(武政[2013]95号)、市财政局印发《武汉市预算绩效管理工作方案(2014-2015年)》（武财绩[2014]218号）等，随着各项制度的逐步完善，我省绩效评价体系和制度已步入常态。武昌区颁布的《武昌区财政支出绩效评价暂行办法》为此次</w:t>
      </w:r>
      <w:r>
        <w:rPr>
          <w:rFonts w:hint="eastAsia" w:ascii="Arial Narrow" w:hAnsi="Arial Narrow" w:cs="Arial Narrow"/>
        </w:rPr>
        <w:t>“代表活动经费”项目</w:t>
      </w:r>
      <w:r>
        <w:rPr>
          <w:rFonts w:ascii="Arial Narrow" w:hAnsi="Arial Narrow" w:cs="Arial Narrow"/>
        </w:rPr>
        <w:t>绩效评价的具体实施提供了指导，确保了绩效评价工作的顺利开展。 </w:t>
      </w:r>
    </w:p>
    <w:p w14:paraId="7A436086">
      <w:pPr>
        <w:ind w:firstLine="0" w:firstLineChars="0"/>
        <w:rPr>
          <w:rFonts w:ascii="Arial Narrow" w:hAnsi="Arial Narrow" w:cs="Arial Narrow"/>
        </w:rPr>
        <w:sectPr>
          <w:headerReference r:id="rId11" w:type="default"/>
          <w:footerReference r:id="rId12" w:type="default"/>
          <w:pgSz w:w="11906" w:h="16838"/>
          <w:pgMar w:top="2835" w:right="1417" w:bottom="1417" w:left="1984" w:header="851" w:footer="992" w:gutter="0"/>
          <w:pgNumType w:start="1"/>
          <w:cols w:space="720" w:num="1"/>
          <w:docGrid w:type="lines" w:linePitch="331" w:charSpace="0"/>
        </w:sectPr>
      </w:pPr>
    </w:p>
    <w:p w14:paraId="4AEAC292">
      <w:pPr>
        <w:snapToGrid w:val="0"/>
        <w:ind w:firstLine="0" w:firstLineChars="0"/>
        <w:outlineLvl w:val="1"/>
        <w:rPr>
          <w:rFonts w:ascii="Arial Narrow" w:hAnsi="Arial Narrow" w:cs="Arial Narrow"/>
          <w:b/>
          <w:sz w:val="28"/>
          <w:szCs w:val="28"/>
        </w:rPr>
      </w:pPr>
      <w:bookmarkStart w:id="12" w:name="_Toc11368"/>
      <w:bookmarkStart w:id="13" w:name="_Toc16269"/>
      <w:bookmarkStart w:id="14" w:name="_Toc12421"/>
      <w:r>
        <w:rPr>
          <w:rFonts w:hint="eastAsia" w:ascii="Arial Narrow" w:hAnsi="Arial Narrow" w:cs="Arial Narrow"/>
          <w:b/>
          <w:sz w:val="28"/>
          <w:szCs w:val="28"/>
        </w:rPr>
        <w:t>一、项目基本情况</w:t>
      </w:r>
      <w:bookmarkEnd w:id="12"/>
      <w:bookmarkEnd w:id="13"/>
      <w:bookmarkEnd w:id="14"/>
      <w:bookmarkStart w:id="15" w:name="_Toc20346"/>
    </w:p>
    <w:p w14:paraId="4B110DFF">
      <w:pPr>
        <w:snapToGrid w:val="0"/>
        <w:ind w:firstLine="482"/>
        <w:outlineLvl w:val="1"/>
        <w:rPr>
          <w:rFonts w:ascii="Arial Narrow" w:hAnsi="Arial Narrow" w:cs="Arial Narrow"/>
          <w:b/>
          <w:bCs/>
        </w:rPr>
      </w:pPr>
      <w:bookmarkStart w:id="16" w:name="_Toc14269"/>
      <w:bookmarkStart w:id="17" w:name="_Toc27821"/>
      <w:bookmarkStart w:id="18" w:name="_Toc12564"/>
      <w:r>
        <w:rPr>
          <w:rFonts w:hint="eastAsia" w:ascii="Arial Narrow" w:hAnsi="Arial Narrow" w:cs="Arial Narrow"/>
          <w:b/>
          <w:bCs/>
        </w:rPr>
        <w:t>（一）项目概况</w:t>
      </w:r>
      <w:bookmarkEnd w:id="15"/>
      <w:bookmarkEnd w:id="16"/>
      <w:bookmarkEnd w:id="17"/>
      <w:bookmarkEnd w:id="18"/>
    </w:p>
    <w:p w14:paraId="2AB48FA6">
      <w:pPr>
        <w:snapToGrid w:val="0"/>
        <w:ind w:firstLine="482"/>
        <w:rPr>
          <w:rFonts w:ascii="Arial Narrow" w:hAnsi="Arial Narrow" w:cs="Arial Narrow"/>
          <w:b/>
          <w:bCs/>
        </w:rPr>
      </w:pPr>
      <w:r>
        <w:rPr>
          <w:rFonts w:hint="eastAsia" w:ascii="Arial Narrow" w:hAnsi="Arial Narrow" w:cs="Arial Narrow"/>
          <w:b/>
          <w:bCs/>
        </w:rPr>
        <w:t>1. 项目立项</w:t>
      </w:r>
      <w:r>
        <w:rPr>
          <w:rFonts w:ascii="Arial Narrow" w:hAnsi="Arial Narrow" w:cs="Arial Narrow"/>
          <w:b/>
          <w:bCs/>
        </w:rPr>
        <w:t>背景</w:t>
      </w:r>
    </w:p>
    <w:p w14:paraId="5EEF2F8B">
      <w:pPr>
        <w:snapToGrid w:val="0"/>
        <w:ind w:firstLine="480"/>
        <w:rPr>
          <w:rFonts w:ascii="Arial Narrow" w:hAnsi="Arial Narrow" w:cs="Arial Narrow"/>
        </w:rPr>
      </w:pPr>
      <w:r>
        <w:rPr>
          <w:rFonts w:hint="eastAsia" w:ascii="Arial Narrow" w:hAnsi="Arial Narrow" w:cs="Arial Narrow"/>
        </w:rPr>
        <w:t>1.1 项目立项依据</w:t>
      </w:r>
    </w:p>
    <w:p w14:paraId="7EF2CDFA">
      <w:pPr>
        <w:snapToGrid w:val="0"/>
        <w:ind w:firstLine="480"/>
        <w:rPr>
          <w:rFonts w:ascii="Arial Narrow" w:hAnsi="Arial Narrow" w:cs="Arial Narrow"/>
        </w:rPr>
      </w:pPr>
      <w:r>
        <w:rPr>
          <w:rFonts w:hint="eastAsia" w:ascii="Arial Narrow" w:hAnsi="Arial Narrow" w:cs="Arial Narrow"/>
        </w:rPr>
        <w:t>该项目是依据《中华人民共和国地方各级人民代表大会和地方各级人民政府</w:t>
      </w:r>
      <w:r>
        <w:rPr>
          <w:rFonts w:hint="eastAsia" w:ascii="Arial Narrow" w:hAnsi="Arial Narrow" w:cs="Arial Narrow"/>
          <w:lang w:val="en-US" w:eastAsia="zh-CN"/>
        </w:rPr>
        <w:t>组织</w:t>
      </w:r>
      <w:r>
        <w:rPr>
          <w:rFonts w:hint="eastAsia" w:ascii="Arial Narrow" w:hAnsi="Arial Narrow" w:cs="Arial Narrow"/>
        </w:rPr>
        <w:t>法》设立的，县级以上的各级人民代表大会常务委员会组织本级人民代表大会代表开展闭会期间的活动。</w:t>
      </w:r>
    </w:p>
    <w:p w14:paraId="6C7AB254">
      <w:pPr>
        <w:snapToGrid w:val="0"/>
        <w:ind w:firstLine="480"/>
        <w:rPr>
          <w:rFonts w:ascii="Arial Narrow" w:hAnsi="Arial Narrow" w:cs="Arial Narrow"/>
        </w:rPr>
      </w:pPr>
      <w:r>
        <w:rPr>
          <w:rFonts w:hint="eastAsia" w:ascii="Arial Narrow" w:hAnsi="Arial Narrow" w:cs="Arial Narrow"/>
        </w:rPr>
        <w:t>1.2 项目所属领域</w:t>
      </w:r>
    </w:p>
    <w:p w14:paraId="4231E02B">
      <w:pPr>
        <w:snapToGrid w:val="0"/>
        <w:ind w:firstLine="480"/>
        <w:rPr>
          <w:rFonts w:ascii="Arial Narrow" w:hAnsi="Arial Narrow" w:cs="Arial Narrow"/>
        </w:rPr>
      </w:pPr>
      <w:r>
        <w:rPr>
          <w:rFonts w:hint="eastAsia" w:ascii="Arial Narrow" w:hAnsi="Arial Narrow" w:cs="Arial Narrow"/>
        </w:rPr>
        <w:t>人大代表作为人民代表大会的组成人员，应代表人民的利益和意志，依照宪法和法律赋予本级人民代表大会的各项职权，参与行使国家权力，包括参与对国家和地方重大事项的决定，参与对行政机关、审判机关和检察机关等国家机关工作的监督，参与选举任免国家机关的领导人员，参与法律和地方性法规的制定，参与对人民群众的各种权利和利益的保护。</w:t>
      </w:r>
    </w:p>
    <w:p w14:paraId="42E1E4C0">
      <w:pPr>
        <w:snapToGrid w:val="0"/>
        <w:ind w:firstLine="480"/>
        <w:rPr>
          <w:rFonts w:ascii="Arial Narrow" w:hAnsi="Arial Narrow" w:cs="Arial Narrow"/>
        </w:rPr>
      </w:pPr>
      <w:r>
        <w:rPr>
          <w:rFonts w:hint="eastAsia" w:ascii="Arial Narrow" w:hAnsi="Arial Narrow" w:cs="Arial Narrow"/>
        </w:rPr>
        <w:t>1.3 项目性质与特点</w:t>
      </w:r>
    </w:p>
    <w:p w14:paraId="60E236D5">
      <w:pPr>
        <w:snapToGrid w:val="0"/>
        <w:ind w:firstLine="480"/>
        <w:rPr>
          <w:rFonts w:ascii="Arial Narrow" w:hAnsi="Arial Narrow" w:cs="Arial Narrow"/>
        </w:rPr>
      </w:pPr>
      <w:r>
        <w:rPr>
          <w:rFonts w:hint="eastAsia" w:ascii="Arial Narrow" w:hAnsi="Arial Narrow" w:cs="Arial Narrow"/>
        </w:rPr>
        <w:t>县级以上的各级人民代表大会代表根据本级人民代表大会常务委员会的安排，对本级或者下级国家机关和有关单位的工作进行视察。代表在本级人民代表大会闭会期间，有权向本级人民代表大会常务委员会提出对各方面工作的建议、批评和意见。建议、批评和意见应当明确具体，注重反映实际情况和问题。</w:t>
      </w:r>
    </w:p>
    <w:p w14:paraId="7D93ED80">
      <w:pPr>
        <w:snapToGrid w:val="0"/>
        <w:ind w:firstLine="480"/>
        <w:rPr>
          <w:rFonts w:ascii="Arial Narrow" w:hAnsi="Arial Narrow" w:cs="Arial Narrow"/>
        </w:rPr>
      </w:pPr>
      <w:r>
        <w:rPr>
          <w:rFonts w:hint="eastAsia" w:ascii="Arial Narrow" w:hAnsi="Arial Narrow" w:cs="Arial Narrow"/>
        </w:rPr>
        <w:t>1.4 项目立项时所属领域状况</w:t>
      </w:r>
    </w:p>
    <w:p w14:paraId="69179153">
      <w:pPr>
        <w:snapToGrid w:val="0"/>
        <w:ind w:firstLine="480"/>
        <w:rPr>
          <w:rFonts w:ascii="Arial Narrow" w:hAnsi="Arial Narrow" w:cs="Arial Narrow"/>
          <w:highlight w:val="yellow"/>
        </w:rPr>
      </w:pPr>
      <w:r>
        <w:rPr>
          <w:rFonts w:hint="eastAsia" w:ascii="Arial Narrow" w:hAnsi="Arial Narrow" w:cs="Arial Narrow"/>
        </w:rPr>
        <w:t>2019年，为提高代表的履职能力、确保代表活动的顺利开展、促进代表与武昌区民众的联系、提高代表建议的督办效果，充分发挥人大代表积极履行宪法和法律赋予的职能，区财政继续在部门预算中安排代表活动费，保障我区人大代表各项调研和专题活动的顺利开展。</w:t>
      </w:r>
    </w:p>
    <w:p w14:paraId="5E129BF6">
      <w:pPr>
        <w:snapToGrid w:val="0"/>
        <w:ind w:firstLine="482"/>
        <w:rPr>
          <w:rFonts w:ascii="仿宋_GB2312" w:hAnsi="仿宋_GB2312" w:cs="仿宋_GB2312"/>
          <w:b/>
          <w:bCs/>
        </w:rPr>
      </w:pPr>
      <w:r>
        <w:rPr>
          <w:rFonts w:hint="eastAsia" w:ascii="仿宋_GB2312" w:hAnsi="仿宋_GB2312" w:cs="仿宋_GB2312"/>
          <w:b/>
          <w:bCs/>
        </w:rPr>
        <w:t>2. 基准日及评价历时</w:t>
      </w:r>
    </w:p>
    <w:p w14:paraId="4348D6A6">
      <w:pPr>
        <w:snapToGrid w:val="0"/>
        <w:ind w:firstLine="480"/>
        <w:rPr>
          <w:rFonts w:ascii="Arial Narrow" w:hAnsi="Arial Narrow" w:cs="Arial Narrow"/>
        </w:rPr>
      </w:pPr>
      <w:r>
        <w:rPr>
          <w:rFonts w:hint="eastAsia" w:ascii="Arial Narrow" w:hAnsi="Arial Narrow" w:cs="Arial Narrow"/>
        </w:rPr>
        <w:t>2.1 评价基准日：2019年12月31日</w:t>
      </w:r>
    </w:p>
    <w:p w14:paraId="1F532CEB">
      <w:pPr>
        <w:snapToGrid w:val="0"/>
        <w:ind w:firstLine="482"/>
        <w:rPr>
          <w:rFonts w:ascii="仿宋_GB2312" w:hAnsi="仿宋_GB2312" w:cs="仿宋_GB2312"/>
          <w:b/>
        </w:rPr>
      </w:pPr>
      <w:bookmarkStart w:id="19" w:name="_Toc19158"/>
      <w:r>
        <w:rPr>
          <w:rFonts w:hint="eastAsia" w:ascii="仿宋_GB2312" w:hAnsi="仿宋_GB2312" w:cs="仿宋_GB2312"/>
          <w:b/>
        </w:rPr>
        <w:t>3．项目实施情况</w:t>
      </w:r>
      <w:bookmarkEnd w:id="19"/>
    </w:p>
    <w:p w14:paraId="0F0790A8">
      <w:pPr>
        <w:snapToGrid w:val="0"/>
        <w:ind w:firstLine="480"/>
        <w:rPr>
          <w:rFonts w:ascii="Arial Narrow" w:hAnsi="Arial Narrow" w:cs="Arial Narrow"/>
        </w:rPr>
      </w:pPr>
      <w:bookmarkStart w:id="20" w:name="_Toc2230"/>
      <w:r>
        <w:rPr>
          <w:rFonts w:hint="eastAsia" w:ascii="Arial Narrow" w:hAnsi="Arial Narrow" w:cs="Arial Narrow"/>
        </w:rPr>
        <w:t>（1）项目实施单位：</w:t>
      </w:r>
      <w:bookmarkEnd w:id="20"/>
      <w:r>
        <w:rPr>
          <w:rFonts w:hint="eastAsia" w:ascii="Arial Narrow" w:hAnsi="Arial Narrow" w:cs="Arial Narrow"/>
        </w:rPr>
        <w:t>武汉市武昌区人民代表大会常务委员会</w:t>
      </w:r>
    </w:p>
    <w:p w14:paraId="0B4185D5">
      <w:pPr>
        <w:numPr>
          <w:ilvl w:val="0"/>
          <w:numId w:val="3"/>
        </w:numPr>
        <w:snapToGrid w:val="0"/>
        <w:ind w:firstLine="480"/>
        <w:rPr>
          <w:rFonts w:ascii="Arial Narrow" w:hAnsi="Arial Narrow" w:cs="Arial Narrow"/>
        </w:rPr>
      </w:pPr>
      <w:bookmarkStart w:id="21" w:name="_Toc6445"/>
      <w:r>
        <w:rPr>
          <w:rFonts w:hint="eastAsia" w:ascii="Arial Narrow" w:hAnsi="Arial Narrow" w:cs="Arial Narrow"/>
        </w:rPr>
        <w:t>项目实施周期与地点：2019年；武昌区</w:t>
      </w:r>
      <w:bookmarkEnd w:id="21"/>
    </w:p>
    <w:p w14:paraId="129EA26F">
      <w:pPr>
        <w:numPr>
          <w:ilvl w:val="0"/>
          <w:numId w:val="3"/>
        </w:numPr>
        <w:snapToGrid w:val="0"/>
        <w:ind w:firstLine="480"/>
        <w:rPr>
          <w:rFonts w:ascii="Arial Narrow" w:hAnsi="Arial Narrow" w:cs="Arial Narrow"/>
        </w:rPr>
      </w:pPr>
      <w:r>
        <w:rPr>
          <w:rFonts w:hint="eastAsia" w:ascii="Arial Narrow" w:hAnsi="Arial Narrow" w:cs="Arial Narrow"/>
        </w:rPr>
        <w:t>项目主要内容：组织开展武昌区人大代表各项活动，</w:t>
      </w:r>
      <w:r>
        <w:rPr>
          <w:rFonts w:ascii="Arial Narrow" w:hAnsi="Arial Narrow" w:cs="Arial Narrow"/>
        </w:rPr>
        <w:t>提高代表工作的创新意识</w:t>
      </w:r>
      <w:r>
        <w:rPr>
          <w:rFonts w:hint="eastAsia" w:ascii="Arial Narrow" w:hAnsi="Arial Narrow" w:cs="Arial Narrow"/>
        </w:rPr>
        <w:t>，拓宽代表建议的督办面，加强代表管理的力度，保障代表的履职能力。牢记使命，恪尽职守，忠诚为民，认真做好各项工作，为武昌经济社会全面发展作出新的贡献。</w:t>
      </w:r>
    </w:p>
    <w:p w14:paraId="16580465">
      <w:pPr>
        <w:numPr>
          <w:ilvl w:val="0"/>
          <w:numId w:val="3"/>
        </w:numPr>
        <w:snapToGrid w:val="0"/>
        <w:ind w:firstLine="480"/>
        <w:rPr>
          <w:rFonts w:ascii="Arial Narrow" w:hAnsi="Arial Narrow" w:cs="Arial Narrow"/>
        </w:rPr>
      </w:pPr>
      <w:bookmarkStart w:id="22" w:name="_Toc29682"/>
      <w:r>
        <w:rPr>
          <w:rFonts w:hint="eastAsia" w:ascii="Arial Narrow" w:hAnsi="Arial Narrow" w:cs="Arial Narrow"/>
        </w:rPr>
        <w:t>项目完成概况：</w:t>
      </w:r>
      <w:bookmarkEnd w:id="22"/>
      <w:r>
        <w:rPr>
          <w:rFonts w:hint="eastAsia" w:ascii="Arial Narrow" w:hAnsi="Arial Narrow" w:cs="Arial Narrow"/>
        </w:rPr>
        <w:t>截止到2019年12月31日，项目实施单位已开展了</w:t>
      </w:r>
      <w:r>
        <w:rPr>
          <w:rFonts w:hint="eastAsia" w:ascii="Arial Narrow" w:hAnsi="Arial Narrow" w:cs="Arial Narrow"/>
          <w:bCs/>
        </w:rPr>
        <w:t>人大代表活动，</w:t>
      </w:r>
      <w:r>
        <w:rPr>
          <w:rFonts w:hint="eastAsia" w:ascii="Arial Narrow" w:hAnsi="Arial Narrow" w:cs="Arial Narrow"/>
        </w:rPr>
        <w:t>人大代表培训工作，监督办理武昌区人大四次会议的代表议案2件、代表建议283件。</w:t>
      </w:r>
    </w:p>
    <w:p w14:paraId="39DE719F">
      <w:pPr>
        <w:snapToGrid w:val="0"/>
        <w:ind w:firstLine="482"/>
        <w:rPr>
          <w:rFonts w:ascii="仿宋_GB2312" w:hAnsi="仿宋_GB2312" w:cs="仿宋_GB2312"/>
          <w:b/>
          <w:bCs/>
          <w:color w:val="000000"/>
        </w:rPr>
      </w:pPr>
      <w:r>
        <w:rPr>
          <w:rFonts w:hint="eastAsia" w:ascii="仿宋_GB2312" w:hAnsi="仿宋_GB2312" w:cs="仿宋_GB2312"/>
          <w:b/>
          <w:bCs/>
          <w:color w:val="000000"/>
        </w:rPr>
        <w:t>4．项目经费来源和使用情况</w:t>
      </w:r>
    </w:p>
    <w:p w14:paraId="0427D395">
      <w:pPr>
        <w:snapToGrid w:val="0"/>
        <w:ind w:firstLine="480" w:firstLineChars="0"/>
        <w:rPr>
          <w:rFonts w:ascii="Arial Narrow" w:hAnsi="Arial Narrow" w:cs="Arial Narrow"/>
        </w:rPr>
      </w:pPr>
      <w:r>
        <w:rPr>
          <w:rFonts w:hint="eastAsia" w:ascii="Arial Narrow" w:hAnsi="Arial Narrow" w:cs="Arial Narrow"/>
        </w:rPr>
        <w:t>（1）项目资金来源概况：“代表活动经费”项目经费为76.38万元，项目资金均为区级财政资金。</w:t>
      </w:r>
    </w:p>
    <w:p w14:paraId="7BBF5221">
      <w:pPr>
        <w:ind w:firstLine="480"/>
        <w:rPr>
          <w:rFonts w:ascii="Arial Narrow" w:hAnsi="Arial Narrow" w:cs="Arial Narrow"/>
        </w:rPr>
      </w:pPr>
      <w:r>
        <w:rPr>
          <w:rFonts w:hint="eastAsia" w:ascii="Arial Narrow" w:hAnsi="Arial Narrow" w:cs="Arial Narrow"/>
        </w:rPr>
        <w:t>（2）项目资金使用概况：</w:t>
      </w:r>
      <w:r>
        <w:rPr>
          <w:rFonts w:ascii="Arial Narrow" w:hAnsi="Arial Narrow" w:cs="Arial Narrow"/>
        </w:rPr>
        <w:t>“</w:t>
      </w:r>
      <w:r>
        <w:rPr>
          <w:rFonts w:hint="eastAsia" w:ascii="Arial Narrow" w:hAnsi="Arial Narrow" w:cs="Arial Narrow"/>
          <w:kern w:val="0"/>
        </w:rPr>
        <w:t>代表活动</w:t>
      </w:r>
      <w:r>
        <w:rPr>
          <w:rFonts w:ascii="Arial Narrow" w:hAnsi="Arial Narrow" w:cs="Arial Narrow"/>
          <w:kern w:val="0"/>
        </w:rPr>
        <w:t>经费</w:t>
      </w:r>
      <w:r>
        <w:rPr>
          <w:rFonts w:ascii="Arial Narrow" w:hAnsi="Arial Narrow" w:cs="Arial Narrow"/>
        </w:rPr>
        <w:t>项目”实际支出</w:t>
      </w:r>
      <w:r>
        <w:rPr>
          <w:rFonts w:hint="eastAsia" w:ascii="Arial Narrow" w:hAnsi="Arial Narrow" w:cs="Arial Narrow"/>
        </w:rPr>
        <w:t>76.38</w:t>
      </w:r>
      <w:r>
        <w:rPr>
          <w:rFonts w:ascii="Arial Narrow" w:hAnsi="Arial Narrow" w:cs="Arial Narrow"/>
        </w:rPr>
        <w:t>万元</w:t>
      </w:r>
      <w:r>
        <w:rPr>
          <w:rFonts w:hint="eastAsia" w:ascii="Arial Narrow" w:hAnsi="Arial Narrow" w:cs="Arial Narrow"/>
        </w:rPr>
        <w:t>，具体支出情况</w:t>
      </w:r>
      <w:r>
        <w:rPr>
          <w:rFonts w:ascii="Arial Narrow" w:hAnsi="Arial Narrow" w:cs="Arial Narrow"/>
        </w:rPr>
        <w:t>如下：</w:t>
      </w:r>
    </w:p>
    <w:p w14:paraId="3A47B80D">
      <w:pPr>
        <w:snapToGrid w:val="0"/>
        <w:ind w:firstLine="482"/>
        <w:outlineLvl w:val="1"/>
        <w:rPr>
          <w:rFonts w:ascii="Arial Narrow" w:hAnsi="Arial Narrow" w:cs="Arial Narrow"/>
          <w:b/>
          <w:bCs/>
        </w:rPr>
      </w:pPr>
      <w:bookmarkStart w:id="23" w:name="_Toc24699"/>
      <w:bookmarkStart w:id="24" w:name="_Toc7608"/>
      <w:bookmarkStart w:id="25" w:name="_Toc26613"/>
      <w:r>
        <w:rPr>
          <w:rFonts w:hint="eastAsia" w:ascii="Arial Narrow" w:hAnsi="Arial Narrow" w:cs="Arial Narrow"/>
          <w:b/>
          <w:bCs/>
        </w:rPr>
        <w:t>（二）项目绩效目标</w:t>
      </w:r>
      <w:bookmarkEnd w:id="23"/>
      <w:bookmarkEnd w:id="24"/>
      <w:bookmarkEnd w:id="25"/>
    </w:p>
    <w:p w14:paraId="71F86888">
      <w:pPr>
        <w:snapToGrid w:val="0"/>
        <w:ind w:firstLine="480"/>
        <w:rPr>
          <w:rFonts w:ascii="Arial Narrow" w:hAnsi="Arial Narrow" w:cs="Arial Narrow"/>
          <w:bCs/>
        </w:rPr>
      </w:pPr>
      <w:bookmarkStart w:id="26" w:name="_Toc16109"/>
      <w:r>
        <w:rPr>
          <w:rFonts w:hint="eastAsia" w:ascii="Arial Narrow" w:hAnsi="Arial Narrow" w:cs="Arial Narrow"/>
          <w:bCs/>
        </w:rPr>
        <w:t>1、项目立项设定绩效目标</w:t>
      </w:r>
      <w:bookmarkEnd w:id="26"/>
    </w:p>
    <w:p w14:paraId="1790BAB1">
      <w:pPr>
        <w:snapToGrid w:val="0"/>
        <w:ind w:firstLine="480"/>
        <w:rPr>
          <w:rFonts w:ascii="Arial Narrow" w:hAnsi="Arial Narrow" w:cs="Arial Narrow"/>
          <w:bCs/>
        </w:rPr>
      </w:pPr>
      <w:r>
        <w:rPr>
          <w:rFonts w:hint="eastAsia" w:ascii="Arial Narrow" w:hAnsi="Arial Narrow" w:cs="Arial Narrow"/>
          <w:bCs/>
        </w:rPr>
        <w:t>组织武昌区人大代表参加各项培训活动，开展武昌区人大代表补选工作，监督办理武昌区人大四次会议议案及代表建议。</w:t>
      </w:r>
    </w:p>
    <w:p w14:paraId="463FA2CA">
      <w:pPr>
        <w:snapToGrid w:val="0"/>
        <w:ind w:firstLine="480"/>
        <w:rPr>
          <w:rFonts w:ascii="Arial Narrow" w:hAnsi="Arial Narrow" w:cs="Arial Narrow"/>
          <w:bCs/>
        </w:rPr>
      </w:pPr>
      <w:bookmarkStart w:id="27" w:name="_Toc1734"/>
      <w:bookmarkStart w:id="28" w:name="_Toc3631"/>
      <w:r>
        <w:rPr>
          <w:rFonts w:hint="eastAsia" w:ascii="Arial Narrow" w:hAnsi="Arial Narrow" w:cs="Arial Narrow"/>
          <w:bCs/>
        </w:rPr>
        <w:t>2、绩效目标完成情况</w:t>
      </w:r>
      <w:bookmarkEnd w:id="27"/>
      <w:bookmarkEnd w:id="28"/>
    </w:p>
    <w:p w14:paraId="0266A781">
      <w:pPr>
        <w:snapToGrid w:val="0"/>
        <w:ind w:firstLine="480"/>
        <w:rPr>
          <w:rFonts w:ascii="Arial Narrow" w:hAnsi="Arial Narrow" w:cs="Arial Narrow"/>
          <w:bCs/>
        </w:rPr>
      </w:pPr>
      <w:r>
        <w:rPr>
          <w:rFonts w:hint="eastAsia" w:ascii="Arial Narrow" w:hAnsi="Arial Narrow" w:cs="Arial Narrow"/>
          <w:bCs/>
        </w:rPr>
        <w:t>截止到2019年12月31日，项目实施单位已开展了人大代表活动，人大代表培训工作，监督办理武昌区人大四次会议的议案2件、代表建议283件。</w:t>
      </w:r>
    </w:p>
    <w:bookmarkEnd w:id="2"/>
    <w:bookmarkEnd w:id="3"/>
    <w:bookmarkEnd w:id="4"/>
    <w:bookmarkEnd w:id="5"/>
    <w:p w14:paraId="76554209">
      <w:pPr>
        <w:snapToGrid w:val="0"/>
        <w:ind w:firstLine="0" w:firstLineChars="0"/>
        <w:outlineLvl w:val="1"/>
        <w:rPr>
          <w:rFonts w:ascii="Arial Narrow" w:hAnsi="Arial Narrow" w:cs="Arial Narrow"/>
          <w:b/>
          <w:sz w:val="28"/>
          <w:szCs w:val="28"/>
        </w:rPr>
      </w:pPr>
      <w:bookmarkStart w:id="29" w:name="_Toc430076894"/>
      <w:bookmarkStart w:id="30" w:name="_Toc21655"/>
      <w:bookmarkStart w:id="31" w:name="_Toc372574198"/>
      <w:bookmarkStart w:id="32" w:name="_Toc430018227"/>
      <w:bookmarkStart w:id="33" w:name="_Toc394869150"/>
      <w:bookmarkStart w:id="34" w:name="_Toc430020661"/>
      <w:bookmarkStart w:id="35" w:name="_Toc430020509"/>
      <w:bookmarkStart w:id="36" w:name="_Toc430020785"/>
      <w:r>
        <w:rPr>
          <w:rFonts w:hint="eastAsia" w:ascii="Arial Narrow" w:hAnsi="Arial Narrow" w:cs="Arial Narrow"/>
          <w:b/>
          <w:sz w:val="28"/>
          <w:szCs w:val="28"/>
        </w:rPr>
        <w:t>二、绩效评价工作情况</w:t>
      </w:r>
      <w:bookmarkEnd w:id="29"/>
      <w:bookmarkEnd w:id="30"/>
      <w:bookmarkEnd w:id="31"/>
      <w:bookmarkEnd w:id="32"/>
      <w:bookmarkEnd w:id="33"/>
      <w:bookmarkEnd w:id="34"/>
      <w:bookmarkEnd w:id="35"/>
      <w:bookmarkEnd w:id="36"/>
    </w:p>
    <w:p w14:paraId="5671F092">
      <w:pPr>
        <w:snapToGrid w:val="0"/>
        <w:ind w:firstLine="482"/>
        <w:outlineLvl w:val="1"/>
        <w:rPr>
          <w:rFonts w:ascii="Arial Narrow" w:hAnsi="Arial Narrow" w:cs="Arial Narrow"/>
          <w:b/>
          <w:bCs/>
        </w:rPr>
      </w:pPr>
      <w:bookmarkStart w:id="37" w:name="_Toc394869151"/>
      <w:bookmarkStart w:id="38" w:name="_Toc430018228"/>
      <w:bookmarkStart w:id="39" w:name="_Toc32752"/>
      <w:bookmarkStart w:id="40" w:name="_Toc430020786"/>
      <w:bookmarkStart w:id="41" w:name="_Toc430020662"/>
      <w:bookmarkStart w:id="42" w:name="_Toc372574199"/>
      <w:bookmarkStart w:id="43" w:name="_Toc430020510"/>
      <w:bookmarkStart w:id="44" w:name="_Toc430076895"/>
      <w:r>
        <w:rPr>
          <w:rFonts w:hint="eastAsia" w:ascii="Arial Narrow" w:hAnsi="Arial Narrow" w:cs="Arial Narrow"/>
          <w:b/>
          <w:bCs/>
        </w:rPr>
        <w:t>（一）绩效评价目的</w:t>
      </w:r>
      <w:bookmarkEnd w:id="37"/>
      <w:bookmarkEnd w:id="38"/>
      <w:bookmarkEnd w:id="39"/>
      <w:bookmarkEnd w:id="40"/>
      <w:bookmarkEnd w:id="41"/>
      <w:bookmarkEnd w:id="42"/>
      <w:bookmarkEnd w:id="43"/>
      <w:bookmarkEnd w:id="44"/>
    </w:p>
    <w:p w14:paraId="7AE37CD4">
      <w:pPr>
        <w:ind w:firstLine="480"/>
        <w:rPr>
          <w:rFonts w:ascii="Arial Narrow" w:hAnsi="Arial Narrow" w:cs="Arial Narrow"/>
        </w:rPr>
      </w:pPr>
      <w:r>
        <w:rPr>
          <w:rFonts w:ascii="Arial Narrow" w:hAnsi="Arial Narrow" w:cs="Arial Narrow"/>
        </w:rPr>
        <w:t>为深化预算管理改革，进一步加强科研、能力建设项目经费支出的监督，提高财政资金使用效益，根据《中华人民共和国预算法》和《财政支出绩效评价管理暂行办法》等国家有关财务规章制度，</w:t>
      </w:r>
      <w:r>
        <w:rPr>
          <w:rFonts w:hint="eastAsia" w:ascii="Arial Narrow" w:hAnsi="Arial Narrow" w:cs="仿宋"/>
        </w:rPr>
        <w:t>结合武昌区人大代表活动经费项目经费支出的具体情况，根据武昌区人大的总体部署进行此绩效评价工作</w:t>
      </w:r>
      <w:r>
        <w:rPr>
          <w:rFonts w:ascii="Arial Narrow" w:hAnsi="Arial Narrow" w:cs="Arial Narrow"/>
        </w:rPr>
        <w:t>；同时也可在实践中检验绩效评价工作文件的针对性和可操作性，推动绩效评价的制度建设。此外，本次绩效评价还力争实现以下目的：</w:t>
      </w:r>
    </w:p>
    <w:p w14:paraId="77EF853C">
      <w:pPr>
        <w:ind w:firstLine="480"/>
        <w:rPr>
          <w:rFonts w:ascii="Arial Narrow" w:hAnsi="Arial Narrow" w:cs="Arial Narrow"/>
        </w:rPr>
      </w:pPr>
      <w:r>
        <w:rPr>
          <w:rFonts w:hint="eastAsia" w:ascii="Arial Narrow" w:hAnsi="Arial Narrow" w:cs="Arial Narrow"/>
        </w:rPr>
        <w:t>1、</w:t>
      </w:r>
      <w:r>
        <w:rPr>
          <w:rFonts w:hint="eastAsia" w:ascii="Arial Narrow" w:hAnsi="Arial Narrow" w:cs="仿宋"/>
        </w:rPr>
        <w:t>贯彻落实财政部《财政支出绩效评价管理暂行办法》（财预</w:t>
      </w:r>
      <w:r>
        <w:rPr>
          <w:rFonts w:ascii="Arial Narrow" w:hAnsi="Arial Narrow" w:cs="仿宋"/>
        </w:rPr>
        <w:t>[2011]285</w:t>
      </w:r>
      <w:r>
        <w:rPr>
          <w:rFonts w:hint="eastAsia" w:ascii="Arial Narrow" w:hAnsi="Arial Narrow" w:cs="仿宋"/>
        </w:rPr>
        <w:t>号）文件精神，按照公共财政管理要求，运用一定的指标体系和评价标准，采取科学、规范的评价方法，采用定性及定量相结合的评价指标，对本项目的投入、过程、产出、效益进行客观公正地评价</w:t>
      </w:r>
      <w:r>
        <w:rPr>
          <w:rFonts w:ascii="Arial Narrow" w:hAnsi="Arial Narrow" w:cs="Arial Narrow"/>
        </w:rPr>
        <w:t>。</w:t>
      </w:r>
    </w:p>
    <w:p w14:paraId="7BA8AEA8">
      <w:pPr>
        <w:ind w:firstLine="480"/>
        <w:rPr>
          <w:rFonts w:ascii="Arial Narrow" w:hAnsi="Arial Narrow" w:cs="Arial Narrow"/>
        </w:rPr>
      </w:pPr>
      <w:r>
        <w:rPr>
          <w:rFonts w:hint="eastAsia" w:ascii="Arial Narrow" w:hAnsi="Arial Narrow" w:cs="Arial Narrow"/>
        </w:rPr>
        <w:t>2、</w:t>
      </w:r>
      <w:r>
        <w:rPr>
          <w:rFonts w:ascii="Arial Narrow" w:hAnsi="Arial Narrow" w:cs="Arial Narrow"/>
        </w:rPr>
        <w:t>通过绩效评价为合理分配资金、优化支出提供依据，也为逐步建立“预算编制有目标，预算执行有监控，预算完成有评价，评价结果有反馈，反馈结果有应用”的绩效评价机制提供决策依据。</w:t>
      </w:r>
    </w:p>
    <w:p w14:paraId="4256EFE7">
      <w:pPr>
        <w:ind w:firstLine="480"/>
        <w:rPr>
          <w:rFonts w:ascii="Arial Narrow" w:hAnsi="Arial Narrow" w:cs="Arial Narrow"/>
        </w:rPr>
      </w:pPr>
      <w:r>
        <w:rPr>
          <w:rFonts w:hint="eastAsia" w:ascii="Arial Narrow" w:hAnsi="Arial Narrow" w:cs="Arial Narrow"/>
        </w:rPr>
        <w:t>3、</w:t>
      </w:r>
      <w:r>
        <w:rPr>
          <w:rFonts w:ascii="Arial Narrow" w:hAnsi="Arial Narrow" w:cs="Arial Narrow"/>
        </w:rPr>
        <w:t>通过绩效评价总结前一年度项目实施的经验教训，为进一步加强“</w:t>
      </w:r>
      <w:r>
        <w:rPr>
          <w:rFonts w:hint="eastAsia" w:ascii="Arial Narrow" w:hAnsi="Arial Narrow" w:cs="Arial Narrow"/>
          <w:kern w:val="0"/>
        </w:rPr>
        <w:t>代表活动</w:t>
      </w:r>
      <w:r>
        <w:rPr>
          <w:rFonts w:ascii="Arial Narrow" w:hAnsi="Arial Narrow" w:cs="Arial Narrow"/>
          <w:kern w:val="0"/>
        </w:rPr>
        <w:t>经费</w:t>
      </w:r>
      <w:r>
        <w:rPr>
          <w:rFonts w:ascii="Arial Narrow" w:hAnsi="Arial Narrow" w:cs="Arial Narrow"/>
        </w:rPr>
        <w:t>”管理，提高项目建设水平，发挥资金效益提供重要的参考依据，也为将来的</w:t>
      </w:r>
      <w:r>
        <w:rPr>
          <w:rFonts w:hint="eastAsia" w:ascii="Arial Narrow" w:hAnsi="Arial Narrow" w:cs="Arial Narrow"/>
          <w:kern w:val="0"/>
        </w:rPr>
        <w:t>代表活动</w:t>
      </w:r>
      <w:r>
        <w:rPr>
          <w:rFonts w:ascii="Arial Narrow" w:hAnsi="Arial Narrow" w:cs="Arial Narrow"/>
          <w:kern w:val="0"/>
        </w:rPr>
        <w:t>经费</w:t>
      </w:r>
      <w:r>
        <w:rPr>
          <w:rFonts w:ascii="Arial Narrow" w:hAnsi="Arial Narrow" w:cs="Arial Narrow"/>
        </w:rPr>
        <w:t>项目提供借鉴。</w:t>
      </w:r>
    </w:p>
    <w:p w14:paraId="45265F15">
      <w:pPr>
        <w:snapToGrid w:val="0"/>
        <w:ind w:firstLine="482"/>
        <w:outlineLvl w:val="1"/>
        <w:rPr>
          <w:rFonts w:ascii="仿宋_GB2312" w:hAnsi="仿宋_GB2312" w:cs="仿宋_GB2312"/>
          <w:b/>
          <w:bCs/>
          <w:szCs w:val="21"/>
        </w:rPr>
      </w:pPr>
      <w:bookmarkStart w:id="45" w:name="_Toc32197"/>
      <w:bookmarkStart w:id="46" w:name="_Toc29646"/>
      <w:bookmarkStart w:id="47" w:name="_Toc32733"/>
      <w:bookmarkStart w:id="48" w:name="_Toc30325"/>
      <w:bookmarkStart w:id="49" w:name="_Toc17434"/>
      <w:r>
        <w:rPr>
          <w:rFonts w:hint="eastAsia" w:ascii="Arial Narrow" w:hAnsi="Arial Narrow" w:cs="Arial Narrow"/>
          <w:b/>
          <w:bCs/>
        </w:rPr>
        <w:t>（二）绩效评价工作过程</w:t>
      </w:r>
      <w:bookmarkEnd w:id="45"/>
      <w:bookmarkEnd w:id="46"/>
      <w:bookmarkEnd w:id="47"/>
      <w:bookmarkEnd w:id="48"/>
      <w:bookmarkEnd w:id="49"/>
    </w:p>
    <w:p w14:paraId="38C3172A">
      <w:pPr>
        <w:snapToGrid w:val="0"/>
        <w:ind w:firstLine="482"/>
        <w:jc w:val="center"/>
        <w:rPr>
          <w:rFonts w:ascii="Arial Narrow" w:hAnsi="Arial Narrow" w:cs="Arial Narrow"/>
          <w:b/>
        </w:rPr>
      </w:pPr>
      <w:r>
        <w:rPr>
          <w:rFonts w:ascii="Arial Narrow" w:hAnsi="Arial Narrow" w:cs="Arial Narrow"/>
          <w:b/>
          <w:lang w:bidi="mn-Mong-CN"/>
        </w:rPr>
        <w:drawing>
          <wp:inline distT="0" distB="0" distL="114300" distR="114300">
            <wp:extent cx="4025265" cy="2720340"/>
            <wp:effectExtent l="0" t="0" r="635" b="10160"/>
            <wp:docPr id="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pic:cNvPicPr>
                      <a:picLocks noChangeAspect="1"/>
                    </pic:cNvPicPr>
                  </pic:nvPicPr>
                  <pic:blipFill>
                    <a:blip r:embed="rId16"/>
                    <a:stretch>
                      <a:fillRect/>
                    </a:stretch>
                  </pic:blipFill>
                  <pic:spPr>
                    <a:xfrm>
                      <a:off x="0" y="0"/>
                      <a:ext cx="4025265" cy="2720340"/>
                    </a:xfrm>
                    <a:prstGeom prst="rect">
                      <a:avLst/>
                    </a:prstGeom>
                    <a:noFill/>
                    <a:ln w="9525">
                      <a:noFill/>
                    </a:ln>
                  </pic:spPr>
                </pic:pic>
              </a:graphicData>
            </a:graphic>
          </wp:inline>
        </w:drawing>
      </w:r>
    </w:p>
    <w:p w14:paraId="7576834C">
      <w:pPr>
        <w:snapToGrid w:val="0"/>
        <w:ind w:firstLine="480"/>
        <w:jc w:val="left"/>
        <w:rPr>
          <w:rFonts w:ascii="Arial Narrow" w:hAnsi="Arial Narrow" w:cs="Arial Narrow"/>
        </w:rPr>
      </w:pPr>
      <w:bookmarkStart w:id="50" w:name="_Toc30996"/>
      <w:r>
        <w:rPr>
          <w:rFonts w:hint="eastAsia" w:ascii="Arial Narrow" w:hAnsi="Arial Narrow" w:cs="Arial Narrow"/>
        </w:rPr>
        <w:t>1、前期准备工作内容</w:t>
      </w:r>
      <w:bookmarkEnd w:id="50"/>
    </w:p>
    <w:p w14:paraId="2EFA41E2">
      <w:pPr>
        <w:snapToGrid w:val="0"/>
        <w:ind w:firstLine="480"/>
        <w:rPr>
          <w:rFonts w:ascii="Arial Narrow" w:hAnsi="Arial Narrow" w:cs="Arial Narrow"/>
        </w:rPr>
      </w:pPr>
      <w:r>
        <w:rPr>
          <w:rFonts w:ascii="Arial Narrow" w:hAnsi="Arial Narrow" w:cs="Arial Narrow"/>
        </w:rPr>
        <w:t>首先，查阅项目的相关文件。通过查阅</w:t>
      </w:r>
      <w:r>
        <w:rPr>
          <w:rFonts w:hint="eastAsia" w:ascii="Arial Narrow" w:hAnsi="Arial Narrow" w:cs="Arial Narrow"/>
        </w:rPr>
        <w:t>“代表活动经费”项目</w:t>
      </w:r>
      <w:r>
        <w:rPr>
          <w:rFonts w:ascii="Arial Narrow" w:hAnsi="Arial Narrow" w:cs="Arial Narrow"/>
        </w:rPr>
        <w:t>单位的</w:t>
      </w:r>
      <w:r>
        <w:rPr>
          <w:rFonts w:hint="eastAsia" w:ascii="Arial Narrow" w:hAnsi="Arial Narrow" w:cs="Arial Narrow"/>
        </w:rPr>
        <w:t>项目</w:t>
      </w:r>
      <w:r>
        <w:rPr>
          <w:rFonts w:ascii="Arial Narrow" w:hAnsi="Arial Narrow" w:cs="Arial Narrow"/>
        </w:rPr>
        <w:t>资料，结合《武昌区财政支出绩效评价管理暂行办法》的要求，绩效评价</w:t>
      </w:r>
      <w:r>
        <w:rPr>
          <w:rFonts w:hint="eastAsia" w:ascii="Arial Narrow" w:hAnsi="Arial Narrow" w:cs="Arial Narrow"/>
        </w:rPr>
        <w:t>工作</w:t>
      </w:r>
      <w:r>
        <w:rPr>
          <w:rFonts w:ascii="Arial Narrow" w:hAnsi="Arial Narrow" w:cs="Arial Narrow"/>
        </w:rPr>
        <w:t>小组充分熟悉项目背景、项目内容、项目活动等信息，这为绩效评价</w:t>
      </w:r>
      <w:r>
        <w:rPr>
          <w:rFonts w:hint="eastAsia" w:ascii="Arial Narrow" w:hAnsi="Arial Narrow" w:cs="Arial Narrow"/>
        </w:rPr>
        <w:t>工作</w:t>
      </w:r>
      <w:r>
        <w:rPr>
          <w:rFonts w:ascii="Arial Narrow" w:hAnsi="Arial Narrow" w:cs="Arial Narrow"/>
        </w:rPr>
        <w:t>小组后续制定绩效评价方案奠定了基础。</w:t>
      </w:r>
    </w:p>
    <w:p w14:paraId="61E78D87">
      <w:pPr>
        <w:snapToGrid w:val="0"/>
        <w:ind w:firstLine="480"/>
        <w:rPr>
          <w:rFonts w:ascii="Arial Narrow" w:hAnsi="Arial Narrow" w:cs="Arial Narrow"/>
        </w:rPr>
      </w:pPr>
      <w:r>
        <w:rPr>
          <w:rFonts w:ascii="Arial Narrow" w:hAnsi="Arial Narrow" w:cs="Arial Narrow"/>
        </w:rPr>
        <w:t>其次，根据项目具体情况设定共性指标与个性指标相结合的绩效评价指标体系。</w:t>
      </w:r>
      <w:r>
        <w:rPr>
          <w:rFonts w:hint="eastAsia" w:ascii="Arial Narrow" w:hAnsi="Arial Narrow" w:cs="Arial Narrow"/>
        </w:rPr>
        <w:t>“代表活动经费”项目</w:t>
      </w:r>
      <w:r>
        <w:rPr>
          <w:rFonts w:ascii="Arial Narrow" w:hAnsi="Arial Narrow" w:cs="Arial Narrow"/>
        </w:rPr>
        <w:t>绩效评价指标体系由</w:t>
      </w:r>
      <w:r>
        <w:rPr>
          <w:rFonts w:hint="eastAsia" w:ascii="Arial Narrow" w:hAnsi="Arial Narrow" w:cs="Arial Narrow"/>
        </w:rPr>
        <w:t>4</w:t>
      </w:r>
      <w:r>
        <w:rPr>
          <w:rFonts w:ascii="Arial Narrow" w:hAnsi="Arial Narrow" w:cs="Arial Narrow"/>
        </w:rPr>
        <w:t>个一级指标、</w:t>
      </w:r>
      <w:r>
        <w:rPr>
          <w:rFonts w:hint="eastAsia" w:ascii="Arial Narrow" w:hAnsi="Arial Narrow" w:cs="Arial Narrow"/>
        </w:rPr>
        <w:t>7</w:t>
      </w:r>
      <w:r>
        <w:rPr>
          <w:rFonts w:ascii="Arial Narrow" w:hAnsi="Arial Narrow" w:cs="Arial Narrow"/>
        </w:rPr>
        <w:t>个二级指标、2</w:t>
      </w:r>
      <w:r>
        <w:rPr>
          <w:rFonts w:hint="eastAsia" w:ascii="Arial Narrow" w:hAnsi="Arial Narrow" w:cs="Arial Narrow"/>
        </w:rPr>
        <w:t>5</w:t>
      </w:r>
      <w:r>
        <w:rPr>
          <w:rFonts w:ascii="Arial Narrow" w:hAnsi="Arial Narrow" w:cs="Arial Narrow"/>
        </w:rPr>
        <w:t>个三级指标构成</w:t>
      </w:r>
      <w:r>
        <w:rPr>
          <w:rFonts w:hint="eastAsia" w:ascii="Arial Narrow" w:hAnsi="Arial Narrow" w:cs="Arial Narrow"/>
        </w:rPr>
        <w:t>，</w:t>
      </w:r>
      <w:r>
        <w:rPr>
          <w:rFonts w:ascii="Arial Narrow" w:hAnsi="Arial Narrow" w:cs="Arial Narrow"/>
        </w:rPr>
        <w:t>定性定量指标相结合，量化程度较高。</w:t>
      </w:r>
      <w:r>
        <w:rPr>
          <w:rFonts w:hint="eastAsia" w:ascii="Arial Narrow" w:hAnsi="Arial Narrow" w:cs="Arial Narrow"/>
        </w:rPr>
        <w:t>绩效</w:t>
      </w:r>
      <w:r>
        <w:rPr>
          <w:rFonts w:ascii="Arial Narrow" w:hAnsi="Arial Narrow" w:cs="Arial Narrow"/>
        </w:rPr>
        <w:t>评价</w:t>
      </w:r>
      <w:r>
        <w:rPr>
          <w:rFonts w:hint="eastAsia" w:ascii="Arial Narrow" w:hAnsi="Arial Narrow" w:cs="Arial Narrow"/>
        </w:rPr>
        <w:t>工作</w:t>
      </w:r>
      <w:r>
        <w:rPr>
          <w:rFonts w:ascii="Arial Narrow" w:hAnsi="Arial Narrow" w:cs="Arial Narrow"/>
        </w:rPr>
        <w:t>小组针对绩效评价对象的特点设计了</w:t>
      </w:r>
      <w:r>
        <w:rPr>
          <w:rFonts w:hint="eastAsia" w:ascii="Arial Narrow" w:hAnsi="Arial Narrow" w:cs="Arial Narrow"/>
        </w:rPr>
        <w:t>多</w:t>
      </w:r>
      <w:r>
        <w:rPr>
          <w:rFonts w:ascii="Arial Narrow" w:hAnsi="Arial Narrow" w:cs="Arial Narrow"/>
        </w:rPr>
        <w:t>个</w:t>
      </w:r>
      <w:r>
        <w:rPr>
          <w:rFonts w:hint="eastAsia" w:ascii="Arial Narrow" w:hAnsi="Arial Narrow" w:cs="Arial Narrow"/>
        </w:rPr>
        <w:t>个</w:t>
      </w:r>
      <w:r>
        <w:rPr>
          <w:rFonts w:ascii="Arial Narrow" w:hAnsi="Arial Narrow" w:cs="Arial Narrow"/>
        </w:rPr>
        <w:t>性化指标，包括</w:t>
      </w:r>
      <w:r>
        <w:rPr>
          <w:rFonts w:hint="eastAsia" w:ascii="Arial Narrow" w:hAnsi="Arial Narrow" w:cs="Arial Narrow"/>
        </w:rPr>
        <w:t>会议完成率、决议及审查报告事项完成率、会议记录完善度等。</w:t>
      </w:r>
    </w:p>
    <w:p w14:paraId="2CF3A03F">
      <w:pPr>
        <w:snapToGrid w:val="0"/>
        <w:ind w:firstLine="480"/>
        <w:rPr>
          <w:rFonts w:ascii="Arial Narrow" w:hAnsi="Arial Narrow" w:cs="Arial Narrow"/>
        </w:rPr>
      </w:pPr>
      <w:r>
        <w:rPr>
          <w:rFonts w:ascii="Arial Narrow" w:hAnsi="Arial Narrow" w:cs="Arial Narrow"/>
        </w:rPr>
        <w:t>第三，设计绩效评价指标体系和评分标准。项目小组与</w:t>
      </w:r>
      <w:r>
        <w:rPr>
          <w:rFonts w:hint="eastAsia" w:ascii="Arial Narrow" w:hAnsi="Arial Narrow" w:cs="Arial Narrow"/>
        </w:rPr>
        <w:t>武昌区人民代表大会常务委员会</w:t>
      </w:r>
      <w:r>
        <w:rPr>
          <w:rFonts w:ascii="Arial Narrow" w:hAnsi="Arial Narrow" w:cs="Arial Narrow"/>
        </w:rPr>
        <w:t>就</w:t>
      </w:r>
      <w:r>
        <w:rPr>
          <w:rFonts w:hint="eastAsia" w:ascii="Arial Narrow" w:hAnsi="Arial Narrow" w:cs="Arial Narrow"/>
        </w:rPr>
        <w:t>“代表活动经费”</w:t>
      </w:r>
      <w:r>
        <w:rPr>
          <w:rFonts w:hint="eastAsia" w:ascii="Arial Narrow" w:hAnsi="Arial Narrow" w:cs="Arial Narrow"/>
          <w:bCs/>
        </w:rPr>
        <w:t>项目</w:t>
      </w:r>
      <w:r>
        <w:rPr>
          <w:rFonts w:ascii="Arial Narrow" w:hAnsi="Arial Narrow" w:cs="Arial Narrow"/>
        </w:rPr>
        <w:t>绩效评价相关事项进行了充分的讨论与研究，制定了绩效评价指标体系和评分标准。</w:t>
      </w:r>
    </w:p>
    <w:p w14:paraId="1AD6877D">
      <w:pPr>
        <w:snapToGrid w:val="0"/>
        <w:ind w:firstLine="480"/>
        <w:jc w:val="left"/>
        <w:rPr>
          <w:rFonts w:ascii="Arial Narrow" w:hAnsi="Arial Narrow" w:cs="Arial Narrow"/>
        </w:rPr>
      </w:pPr>
      <w:bookmarkStart w:id="51" w:name="_Toc2081"/>
      <w:r>
        <w:rPr>
          <w:rFonts w:ascii="Arial Narrow" w:hAnsi="Arial Narrow" w:cs="Arial Narrow"/>
        </w:rPr>
        <w:t>最后，制定项目实施方案。实施方案明确了评价对象、依据、评价方法、评分办法、实施步骤、评价人员及分工等。实施方案对绩效评价工作小组具体工作内容和时间进一步细化，保证评价工作顺利开展。同时，为了保证得出科学、合理、公正的评价结果，绩效评价工作小组制定了专门的调查问卷、基础数据表、访谈大纲和资料清单，帮助绩效评价工作小组在报告后期对调查问卷、基础数据表和访谈记录等进行分析汇总。</w:t>
      </w:r>
      <w:bookmarkEnd w:id="51"/>
    </w:p>
    <w:p w14:paraId="5FF446D9">
      <w:pPr>
        <w:snapToGrid w:val="0"/>
        <w:ind w:firstLine="480"/>
        <w:jc w:val="left"/>
        <w:rPr>
          <w:rFonts w:ascii="Arial Narrow" w:hAnsi="Arial Narrow" w:cs="Arial Narrow"/>
        </w:rPr>
      </w:pPr>
      <w:bookmarkStart w:id="52" w:name="_Toc6572"/>
      <w:r>
        <w:rPr>
          <w:rFonts w:hint="eastAsia" w:ascii="Arial Narrow" w:hAnsi="Arial Narrow" w:cs="Arial Narrow"/>
        </w:rPr>
        <w:t>2、组织实施过程内容</w:t>
      </w:r>
      <w:bookmarkEnd w:id="52"/>
    </w:p>
    <w:p w14:paraId="4392B9B8">
      <w:pPr>
        <w:snapToGrid w:val="0"/>
        <w:ind w:firstLine="480"/>
        <w:rPr>
          <w:rFonts w:ascii="Arial Narrow" w:hAnsi="Arial Narrow" w:cs="Arial Narrow"/>
        </w:rPr>
      </w:pPr>
      <w:r>
        <w:rPr>
          <w:rFonts w:ascii="Arial Narrow" w:hAnsi="Arial Narrow" w:cs="Arial Narrow"/>
        </w:rPr>
        <w:t>根据制定的绩效评价工作方案，绩效评价工作小组首先收集实施单位的项目有关材料，前往项目实施地，通过现场评价方法进行绩效评价。包括收集、审核基础资料；开展现场核查，核实项目是否实施以及项目实施情况是否良好，并进行拍照留痕；对收集的证据运用科学的方法进行综合分析。</w:t>
      </w:r>
    </w:p>
    <w:p w14:paraId="4E188022">
      <w:pPr>
        <w:snapToGrid w:val="0"/>
        <w:ind w:left="480" w:leftChars="200" w:firstLine="0" w:firstLineChars="0"/>
        <w:jc w:val="left"/>
        <w:rPr>
          <w:rFonts w:ascii="Arial Narrow" w:hAnsi="Arial Narrow" w:cs="Arial Narrow"/>
        </w:rPr>
      </w:pPr>
      <w:bookmarkStart w:id="53" w:name="_Toc24229"/>
      <w:r>
        <w:rPr>
          <w:rFonts w:hint="eastAsia" w:ascii="Arial Narrow" w:hAnsi="Arial Narrow" w:cs="Arial Narrow"/>
        </w:rPr>
        <w:t>3、分析评价工作内容</w:t>
      </w:r>
      <w:bookmarkEnd w:id="53"/>
    </w:p>
    <w:p w14:paraId="620DA588">
      <w:pPr>
        <w:snapToGrid w:val="0"/>
        <w:ind w:firstLine="480"/>
        <w:rPr>
          <w:rFonts w:ascii="Arial Narrow" w:hAnsi="Arial Narrow" w:cs="Arial Narrow"/>
        </w:rPr>
      </w:pPr>
      <w:r>
        <w:rPr>
          <w:rFonts w:ascii="Arial Narrow" w:hAnsi="Arial Narrow" w:cs="Arial Narrow"/>
        </w:rPr>
        <w:t>根据绩效评价指标体系和评分标准、调查问卷、基础数据表、访谈大纲和资料清单后期对调查情况、基础数据、访谈记录分析后形成综合评价结果，将评价结果纳入已确定的各项指标临界区间进行比较，确定绩效评价等级（优、良、中、差）。最后，对评价工作进行总结，将项目基本情况、绩效评价工作情况、评价分析及评价结果、评价等级、经验及做法、问题及建议等形成书面报告。</w:t>
      </w:r>
    </w:p>
    <w:p w14:paraId="186F909B">
      <w:pPr>
        <w:snapToGrid w:val="0"/>
        <w:ind w:firstLine="482"/>
        <w:outlineLvl w:val="1"/>
        <w:rPr>
          <w:rFonts w:ascii="Arial Narrow" w:hAnsi="Arial Narrow" w:cs="Arial Narrow"/>
          <w:b/>
          <w:bCs/>
        </w:rPr>
      </w:pPr>
      <w:bookmarkStart w:id="54" w:name="_Toc5928"/>
      <w:r>
        <w:rPr>
          <w:rFonts w:hint="eastAsia" w:ascii="Arial Narrow" w:hAnsi="Arial Narrow" w:cs="Arial Narrow"/>
          <w:b/>
          <w:bCs/>
        </w:rPr>
        <w:t>（三）绩效评价框架</w:t>
      </w:r>
      <w:bookmarkEnd w:id="54"/>
    </w:p>
    <w:p w14:paraId="1AE53E10">
      <w:pPr>
        <w:snapToGrid w:val="0"/>
        <w:ind w:firstLine="480" w:firstLineChars="0"/>
        <w:jc w:val="left"/>
        <w:rPr>
          <w:rFonts w:ascii="Arial Narrow" w:hAnsi="Arial Narrow" w:cs="Arial Narrow"/>
        </w:rPr>
      </w:pPr>
      <w:r>
        <w:rPr>
          <w:rFonts w:hint="eastAsia" w:ascii="Arial Narrow" w:hAnsi="Arial Narrow" w:cs="Arial Narrow"/>
        </w:rPr>
        <w:t>1、</w:t>
      </w:r>
      <w:r>
        <w:rPr>
          <w:rFonts w:ascii="Arial Narrow" w:hAnsi="Arial Narrow" w:cs="Arial Narrow"/>
        </w:rPr>
        <w:t>评价原则</w:t>
      </w:r>
    </w:p>
    <w:p w14:paraId="2463DA6D">
      <w:pPr>
        <w:snapToGrid w:val="0"/>
        <w:ind w:firstLine="480" w:firstLineChars="0"/>
        <w:jc w:val="left"/>
        <w:rPr>
          <w:rFonts w:ascii="Arial Narrow" w:hAnsi="Arial Narrow" w:cs="Arial Narrow"/>
          <w:b/>
          <w:bCs/>
        </w:rPr>
      </w:pPr>
      <w:r>
        <w:rPr>
          <w:rFonts w:ascii="Arial Narrow" w:hAnsi="Arial Narrow" w:cs="Arial Narrow"/>
          <w:b/>
          <w:lang w:bidi="mn-Mong-CN"/>
        </w:rPr>
        <w:drawing>
          <wp:inline distT="0" distB="0" distL="0" distR="0">
            <wp:extent cx="4820285" cy="1400175"/>
            <wp:effectExtent l="57150" t="0" r="75565" b="0"/>
            <wp:docPr id="7" name="图片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2A8E0FE">
      <w:pPr>
        <w:snapToGrid w:val="0"/>
        <w:ind w:firstLine="480"/>
        <w:jc w:val="left"/>
        <w:rPr>
          <w:rFonts w:ascii="Arial Narrow" w:hAnsi="Arial Narrow" w:cs="Arial Narrow"/>
        </w:rPr>
      </w:pPr>
      <w:r>
        <w:rPr>
          <w:rFonts w:ascii="Arial Narrow" w:hAnsi="Arial Narrow" w:cs="Arial Narrow"/>
        </w:rPr>
        <w:t>本次绩效评价，我们遵循相关性原则、重要性原则、可比性原则、系统性原则、经济性原则。</w:t>
      </w:r>
    </w:p>
    <w:p w14:paraId="2102537D">
      <w:pPr>
        <w:snapToGrid w:val="0"/>
        <w:ind w:firstLine="480"/>
        <w:jc w:val="left"/>
        <w:rPr>
          <w:rFonts w:ascii="Arial Narrow" w:hAnsi="Arial Narrow" w:cs="Arial Narrow"/>
          <w:highlight w:val="yellow"/>
        </w:rPr>
      </w:pPr>
      <w:r>
        <w:rPr>
          <w:rFonts w:hint="eastAsia" w:ascii="Arial Narrow" w:hAnsi="Arial Narrow" w:cs="Arial Narrow"/>
        </w:rPr>
        <w:t>（1）</w:t>
      </w:r>
      <w:r>
        <w:rPr>
          <w:rFonts w:ascii="Arial Narrow" w:hAnsi="Arial Narrow" w:cs="Arial Narrow"/>
        </w:rPr>
        <w:t>相关性原则。绩效评价指标应当与绩效目标有直接的联系，能够恰当反映目标的实现程度。如</w:t>
      </w:r>
      <w:r>
        <w:rPr>
          <w:rFonts w:hint="eastAsia" w:ascii="Arial Narrow" w:hAnsi="Arial Narrow" w:cs="Arial Narrow"/>
        </w:rPr>
        <w:t>人大代表补选工作完成率、培训工作完成率。</w:t>
      </w:r>
    </w:p>
    <w:p w14:paraId="11E8D6B4">
      <w:pPr>
        <w:snapToGrid w:val="0"/>
        <w:ind w:firstLine="480"/>
        <w:jc w:val="left"/>
        <w:rPr>
          <w:rFonts w:ascii="Arial Narrow" w:hAnsi="Arial Narrow" w:cs="Arial Narrow"/>
        </w:rPr>
      </w:pPr>
      <w:r>
        <w:rPr>
          <w:rFonts w:hint="eastAsia" w:ascii="Arial Narrow" w:hAnsi="Arial Narrow" w:cs="Arial Narrow"/>
        </w:rPr>
        <w:t>（2）</w:t>
      </w:r>
      <w:r>
        <w:rPr>
          <w:rFonts w:ascii="Arial Narrow" w:hAnsi="Arial Narrow" w:cs="Arial Narrow"/>
        </w:rPr>
        <w:t>重要性原则。应当优先使用最具评价对象代表性、最能反映评价要求的核心指标。如</w:t>
      </w:r>
      <w:r>
        <w:rPr>
          <w:rFonts w:hint="eastAsia" w:ascii="Arial Narrow" w:hAnsi="Arial Narrow" w:cs="Arial Narrow"/>
        </w:rPr>
        <w:t>社会公众满意度、代表“联系”机制建立情况</w:t>
      </w:r>
      <w:r>
        <w:rPr>
          <w:rFonts w:ascii="Arial Narrow" w:hAnsi="Arial Narrow" w:cs="Arial Narrow"/>
        </w:rPr>
        <w:t>。</w:t>
      </w:r>
    </w:p>
    <w:p w14:paraId="74F5EDC4">
      <w:pPr>
        <w:snapToGrid w:val="0"/>
        <w:ind w:firstLine="480"/>
        <w:jc w:val="left"/>
        <w:rPr>
          <w:rFonts w:ascii="Arial Narrow" w:hAnsi="Arial Narrow" w:cs="Arial Narrow"/>
        </w:rPr>
      </w:pPr>
      <w:r>
        <w:rPr>
          <w:rFonts w:hint="eastAsia" w:ascii="Arial Narrow" w:hAnsi="Arial Narrow" w:cs="Arial Narrow"/>
        </w:rPr>
        <w:t>（3）</w:t>
      </w:r>
      <w:r>
        <w:rPr>
          <w:rFonts w:ascii="Arial Narrow" w:hAnsi="Arial Narrow" w:cs="Arial Narrow"/>
        </w:rPr>
        <w:t>可比性原则。对同类评价对象要设定共性的绩效评价指标，以便于评价结果可以相互比较。如到位及时率、资金使用率等指标按照可比性原则制定。</w:t>
      </w:r>
    </w:p>
    <w:p w14:paraId="64FEA470">
      <w:pPr>
        <w:snapToGrid w:val="0"/>
        <w:ind w:firstLine="480"/>
        <w:jc w:val="left"/>
        <w:rPr>
          <w:rFonts w:ascii="Arial Narrow" w:hAnsi="Arial Narrow" w:cs="Arial Narrow"/>
          <w:color w:val="FF0000"/>
        </w:rPr>
      </w:pPr>
      <w:r>
        <w:rPr>
          <w:rFonts w:hint="eastAsia" w:ascii="Arial Narrow" w:hAnsi="Arial Narrow" w:cs="Arial Narrow"/>
        </w:rPr>
        <w:t>（4）</w:t>
      </w:r>
      <w:r>
        <w:rPr>
          <w:rFonts w:ascii="Arial Narrow" w:hAnsi="Arial Narrow" w:cs="Arial Narrow"/>
        </w:rPr>
        <w:t>系统性原则。绩效评价指标的设置应当将定量指标与定性指标相结合，能系统反映财政支出所产生的社会效益和可持续影响等。</w:t>
      </w:r>
    </w:p>
    <w:p w14:paraId="531E7E08">
      <w:pPr>
        <w:snapToGrid w:val="0"/>
        <w:ind w:firstLine="480"/>
        <w:jc w:val="left"/>
        <w:rPr>
          <w:rFonts w:ascii="Arial Narrow" w:hAnsi="Arial Narrow" w:cs="Arial Narrow"/>
        </w:rPr>
      </w:pPr>
      <w:r>
        <w:rPr>
          <w:rFonts w:hint="eastAsia" w:ascii="Arial Narrow" w:hAnsi="Arial Narrow" w:cs="Arial Narrow"/>
        </w:rPr>
        <w:t>（5）</w:t>
      </w:r>
      <w:r>
        <w:rPr>
          <w:rFonts w:ascii="Arial Narrow" w:hAnsi="Arial Narrow" w:cs="Arial Narrow"/>
        </w:rPr>
        <w:t xml:space="preserve"> 经济性原则。绩效评价指标设计应当通俗易懂、简便易行，数据的获得应当考虑现实条件和可操作性，符合成本效益原则。</w:t>
      </w:r>
    </w:p>
    <w:p w14:paraId="79BFF159">
      <w:pPr>
        <w:snapToGrid w:val="0"/>
        <w:ind w:firstLine="480"/>
        <w:jc w:val="left"/>
        <w:rPr>
          <w:rFonts w:ascii="Arial Narrow" w:hAnsi="Arial Narrow" w:cs="Arial Narrow"/>
        </w:rPr>
      </w:pPr>
      <w:r>
        <w:rPr>
          <w:rFonts w:hint="eastAsia" w:ascii="Arial Narrow" w:hAnsi="Arial Narrow" w:cs="Arial Narrow"/>
        </w:rPr>
        <w:t>2、评价依据</w:t>
      </w:r>
    </w:p>
    <w:p w14:paraId="33C37A0C">
      <w:pPr>
        <w:snapToGrid w:val="0"/>
        <w:ind w:firstLine="480"/>
        <w:jc w:val="left"/>
        <w:rPr>
          <w:rFonts w:ascii="Arial Narrow" w:hAnsi="Arial Narrow" w:cs="Arial Narrow"/>
        </w:rPr>
      </w:pPr>
      <w:r>
        <w:rPr>
          <w:rFonts w:hint="eastAsia" w:ascii="Arial Narrow" w:hAnsi="Arial Narrow" w:cs="Arial Narrow"/>
        </w:rPr>
        <w:t>（1）项目行为依据</w:t>
      </w:r>
    </w:p>
    <w:p w14:paraId="5346E117">
      <w:pPr>
        <w:snapToGrid w:val="0"/>
        <w:ind w:firstLine="480"/>
        <w:jc w:val="left"/>
        <w:rPr>
          <w:rFonts w:ascii="Arial Narrow" w:hAnsi="Arial Narrow" w:cs="Arial Narrow"/>
        </w:rPr>
      </w:pPr>
      <w:r>
        <w:rPr>
          <w:rFonts w:hint="eastAsia" w:ascii="Arial Narrow" w:hAnsi="Arial Narrow" w:cs="Arial Narrow"/>
        </w:rPr>
        <w:t>①《中华人民共和国地方各级人民代表大会和地方各级人民政府</w:t>
      </w:r>
      <w:r>
        <w:rPr>
          <w:rFonts w:hint="eastAsia" w:ascii="Arial Narrow" w:hAnsi="Arial Narrow" w:cs="Arial Narrow"/>
          <w:lang w:val="en-US" w:eastAsia="zh-CN"/>
        </w:rPr>
        <w:t>组织</w:t>
      </w:r>
      <w:r>
        <w:rPr>
          <w:rFonts w:hint="eastAsia" w:ascii="Arial Narrow" w:hAnsi="Arial Narrow" w:cs="Arial Narrow"/>
        </w:rPr>
        <w:t>法》</w:t>
      </w:r>
    </w:p>
    <w:p w14:paraId="78EB4638">
      <w:pPr>
        <w:numPr>
          <w:ilvl w:val="0"/>
          <w:numId w:val="4"/>
        </w:numPr>
        <w:snapToGrid w:val="0"/>
        <w:ind w:firstLine="480"/>
        <w:jc w:val="left"/>
        <w:rPr>
          <w:rFonts w:ascii="Arial Narrow" w:hAnsi="Arial Narrow" w:cs="Arial Narrow"/>
        </w:rPr>
      </w:pPr>
      <w:r>
        <w:rPr>
          <w:rFonts w:hint="eastAsia" w:ascii="Arial Narrow" w:hAnsi="Arial Narrow" w:cs="Arial Narrow"/>
        </w:rPr>
        <w:t>法律、法规依据</w:t>
      </w:r>
    </w:p>
    <w:p w14:paraId="065987CB">
      <w:pPr>
        <w:snapToGrid w:val="0"/>
        <w:ind w:left="480" w:leftChars="200" w:firstLine="0" w:firstLineChars="0"/>
        <w:jc w:val="left"/>
        <w:rPr>
          <w:rFonts w:ascii="Arial Narrow" w:hAnsi="Arial Narrow" w:cs="Arial Narrow"/>
        </w:rPr>
      </w:pPr>
      <w:r>
        <w:rPr>
          <w:rFonts w:hint="eastAsia" w:ascii="Arial Narrow" w:hAnsi="Arial Narrow" w:cs="Arial Narrow"/>
        </w:rPr>
        <w:t>①《中华人民共和国预算法》</w:t>
      </w:r>
    </w:p>
    <w:p w14:paraId="63107F1C">
      <w:pPr>
        <w:snapToGrid w:val="0"/>
        <w:ind w:left="480" w:leftChars="200" w:firstLine="0" w:firstLineChars="0"/>
        <w:jc w:val="left"/>
        <w:rPr>
          <w:rFonts w:ascii="Arial Narrow" w:hAnsi="Arial Narrow" w:cs="Arial Narrow"/>
        </w:rPr>
      </w:pPr>
      <w:r>
        <w:rPr>
          <w:rFonts w:hint="eastAsia" w:ascii="Arial Narrow" w:hAnsi="Arial Narrow" w:cs="Arial Narrow"/>
        </w:rPr>
        <w:t>②财政部《财政支出绩效评价管理暂行办法》（财预[2011]285号）</w:t>
      </w:r>
    </w:p>
    <w:p w14:paraId="7A222C42">
      <w:pPr>
        <w:snapToGrid w:val="0"/>
        <w:ind w:left="480" w:leftChars="200" w:firstLine="0" w:firstLineChars="0"/>
        <w:jc w:val="left"/>
        <w:rPr>
          <w:rFonts w:ascii="Arial Narrow" w:hAnsi="Arial Narrow" w:cs="Arial Narrow"/>
        </w:rPr>
      </w:pPr>
      <w:r>
        <w:rPr>
          <w:rFonts w:hint="eastAsia" w:ascii="Arial Narrow" w:hAnsi="Arial Narrow" w:cs="Arial Narrow"/>
        </w:rPr>
        <w:t>③《武昌区财政支出绩效评价管理暂行办法》</w:t>
      </w:r>
    </w:p>
    <w:p w14:paraId="1F170CDC">
      <w:pPr>
        <w:numPr>
          <w:ilvl w:val="0"/>
          <w:numId w:val="4"/>
        </w:numPr>
        <w:tabs>
          <w:tab w:val="left" w:pos="533"/>
        </w:tabs>
        <w:snapToGrid w:val="0"/>
        <w:ind w:firstLine="480"/>
        <w:jc w:val="left"/>
        <w:rPr>
          <w:rFonts w:ascii="Arial Narrow" w:hAnsi="Arial Narrow" w:cs="Arial Narrow"/>
        </w:rPr>
      </w:pPr>
      <w:r>
        <w:rPr>
          <w:rFonts w:hint="eastAsia" w:ascii="Arial Narrow" w:hAnsi="Arial Narrow" w:cs="Arial Narrow"/>
        </w:rPr>
        <w:t>项目财务资料依据</w:t>
      </w:r>
    </w:p>
    <w:p w14:paraId="40D2E738">
      <w:pPr>
        <w:tabs>
          <w:tab w:val="left" w:pos="533"/>
        </w:tabs>
        <w:snapToGrid w:val="0"/>
        <w:ind w:left="480" w:leftChars="200" w:firstLine="0" w:firstLineChars="0"/>
        <w:jc w:val="left"/>
        <w:rPr>
          <w:rFonts w:ascii="Arial Narrow" w:hAnsi="Arial Narrow" w:cs="Arial Narrow"/>
        </w:rPr>
      </w:pPr>
      <w:r>
        <w:rPr>
          <w:rFonts w:hint="eastAsia" w:ascii="Arial Narrow" w:hAnsi="Arial Narrow" w:cs="Arial Narrow"/>
        </w:rPr>
        <w:t>①《武昌区财政局关于武昌区人民代表大会常务委员会办公室2017年部门预算的批复》；</w:t>
      </w:r>
    </w:p>
    <w:p w14:paraId="09050BBA">
      <w:pPr>
        <w:tabs>
          <w:tab w:val="left" w:pos="533"/>
        </w:tabs>
        <w:snapToGrid w:val="0"/>
        <w:ind w:left="480" w:leftChars="200" w:firstLine="0" w:firstLineChars="0"/>
        <w:jc w:val="left"/>
        <w:rPr>
          <w:rFonts w:ascii="Arial Narrow" w:hAnsi="Arial Narrow" w:cs="Arial Narrow"/>
        </w:rPr>
      </w:pPr>
      <w:r>
        <w:rPr>
          <w:rFonts w:hint="eastAsia" w:ascii="Arial Narrow" w:hAnsi="Arial Narrow" w:cs="Arial Narrow"/>
        </w:rPr>
        <w:t>②财务凭证及支出明细表</w:t>
      </w:r>
    </w:p>
    <w:p w14:paraId="0C7E8856">
      <w:pPr>
        <w:numPr>
          <w:ilvl w:val="0"/>
          <w:numId w:val="4"/>
        </w:numPr>
        <w:snapToGrid w:val="0"/>
        <w:ind w:firstLine="480"/>
        <w:jc w:val="left"/>
        <w:rPr>
          <w:rFonts w:ascii="Arial Narrow" w:hAnsi="Arial Narrow" w:cs="Arial Narrow"/>
        </w:rPr>
      </w:pPr>
      <w:r>
        <w:rPr>
          <w:rFonts w:hint="eastAsia" w:ascii="Arial Narrow" w:hAnsi="Arial Narrow" w:cs="Arial Narrow"/>
        </w:rPr>
        <w:t>基础数据、资料依据</w:t>
      </w:r>
    </w:p>
    <w:p w14:paraId="2E51B9B4">
      <w:pPr>
        <w:snapToGrid w:val="0"/>
        <w:ind w:left="480" w:leftChars="200" w:firstLine="0" w:firstLineChars="0"/>
        <w:jc w:val="left"/>
        <w:rPr>
          <w:rFonts w:ascii="Arial Narrow" w:hAnsi="Arial Narrow" w:cs="Arial Narrow"/>
        </w:rPr>
      </w:pPr>
      <w:r>
        <w:rPr>
          <w:rFonts w:hint="eastAsia" w:ascii="Arial Narrow" w:hAnsi="Arial Narrow" w:cs="Arial Narrow"/>
        </w:rPr>
        <w:t>①关于组织代表参加学习培训的通知</w:t>
      </w:r>
    </w:p>
    <w:p w14:paraId="1273D89E">
      <w:pPr>
        <w:snapToGrid w:val="0"/>
        <w:ind w:left="480" w:leftChars="200" w:firstLine="0" w:firstLineChars="0"/>
        <w:jc w:val="left"/>
        <w:rPr>
          <w:rFonts w:ascii="Arial Narrow" w:hAnsi="Arial Narrow" w:cs="Arial Narrow"/>
        </w:rPr>
      </w:pPr>
      <w:r>
        <w:rPr>
          <w:rFonts w:hint="eastAsia" w:ascii="Arial Narrow" w:hAnsi="Arial Narrow" w:cs="Arial Narrow"/>
        </w:rPr>
        <w:t>②2019年第七、八期人大常委会组成人员能力提升班学习手册</w:t>
      </w:r>
    </w:p>
    <w:p w14:paraId="69F700A3">
      <w:pPr>
        <w:snapToGrid w:val="0"/>
        <w:ind w:left="480" w:leftChars="200" w:firstLine="0" w:firstLineChars="0"/>
        <w:jc w:val="left"/>
        <w:rPr>
          <w:rFonts w:ascii="Arial Narrow" w:hAnsi="Arial Narrow" w:cs="Arial Narrow"/>
        </w:rPr>
      </w:pPr>
      <w:r>
        <w:rPr>
          <w:rFonts w:hint="eastAsia" w:ascii="Arial Narrow" w:hAnsi="Arial Narrow" w:cs="Arial Narrow"/>
        </w:rPr>
        <w:t>③代表建议汇编</w:t>
      </w:r>
    </w:p>
    <w:p w14:paraId="25CCB235">
      <w:pPr>
        <w:ind w:firstLine="480"/>
        <w:rPr>
          <w:rFonts w:ascii="Arial Narrow" w:hAnsi="Arial Narrow" w:cs="Arial Narrow"/>
        </w:rPr>
      </w:pPr>
      <w:r>
        <w:rPr>
          <w:rFonts w:hint="eastAsia" w:ascii="Arial Narrow" w:hAnsi="Arial Narrow" w:cs="Arial Narrow"/>
        </w:rPr>
        <w:t>3、</w:t>
      </w:r>
      <w:r>
        <w:rPr>
          <w:rFonts w:ascii="Arial Narrow" w:hAnsi="Arial Narrow" w:cs="Arial Narrow"/>
        </w:rPr>
        <w:t>绩效评价指标体系</w:t>
      </w:r>
    </w:p>
    <w:p w14:paraId="40173BD9">
      <w:pPr>
        <w:ind w:firstLine="480" w:firstLineChars="0"/>
        <w:rPr>
          <w:rFonts w:ascii="Arial Narrow" w:hAnsi="Arial Narrow" w:cs="Arial Narrow"/>
        </w:rPr>
      </w:pPr>
      <w:r>
        <w:rPr>
          <w:rFonts w:hint="eastAsia" w:ascii="Arial Narrow" w:hAnsi="Arial Narrow" w:cs="Arial Narrow"/>
          <w:lang w:bidi="mn-Mong-CN"/>
        </w:rPr>
        <w:drawing>
          <wp:inline distT="0" distB="0" distL="0" distR="0">
            <wp:extent cx="5918200" cy="1920240"/>
            <wp:effectExtent l="38100" t="57150" r="25400" b="22860"/>
            <wp:docPr id="25"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05C47A3">
      <w:pPr>
        <w:ind w:firstLine="480" w:firstLineChars="0"/>
        <w:jc w:val="center"/>
        <w:rPr>
          <w:rFonts w:ascii="Arial Narrow" w:hAnsi="Arial Narrow" w:cs="Arial Narrow"/>
        </w:rPr>
      </w:pPr>
    </w:p>
    <w:p w14:paraId="2046637F">
      <w:pPr>
        <w:ind w:firstLine="480" w:firstLineChars="0"/>
        <w:rPr>
          <w:rFonts w:ascii="Arial Narrow" w:hAnsi="Arial Narrow" w:cs="Arial Narrow"/>
        </w:rPr>
      </w:pPr>
      <w:r>
        <w:rPr>
          <w:rFonts w:ascii="Arial Narrow" w:hAnsi="Arial Narrow" w:cs="Arial Narrow"/>
        </w:rPr>
        <w:t>评价指标体系是开展绩效评价工作的核心。评价小组在参考财政支出绩效评价指标框架的基础上，依据《湖北省财政项目资金绩效评价操作指南》，结合</w:t>
      </w:r>
      <w:r>
        <w:rPr>
          <w:rFonts w:hint="eastAsia" w:ascii="Arial Narrow" w:hAnsi="Arial Narrow" w:cs="Arial Narrow"/>
        </w:rPr>
        <w:t>会议专项经费</w:t>
      </w:r>
      <w:r>
        <w:rPr>
          <w:rFonts w:ascii="Arial Narrow" w:hAnsi="Arial Narrow" w:cs="Arial Narrow"/>
        </w:rPr>
        <w:t>项目的特点，运用定量定性原则，确定了绩效评价一级指标、二级指标和三级指标。</w:t>
      </w:r>
    </w:p>
    <w:p w14:paraId="30604948">
      <w:pPr>
        <w:ind w:firstLine="480" w:firstLineChars="0"/>
        <w:rPr>
          <w:rFonts w:ascii="Arial Narrow" w:hAnsi="Arial Narrow" w:cs="Arial Narrow"/>
        </w:rPr>
      </w:pPr>
      <w:r>
        <w:rPr>
          <w:rFonts w:ascii="Arial Narrow" w:hAnsi="Arial Narrow" w:cs="Arial Narrow"/>
        </w:rPr>
        <w:t>绩效评价指标体系包括投入、过程、产出、效果四个方面。</w:t>
      </w:r>
    </w:p>
    <w:p w14:paraId="7846B7D9">
      <w:pPr>
        <w:ind w:firstLine="480" w:firstLineChars="0"/>
        <w:rPr>
          <w:rFonts w:ascii="Arial Narrow" w:hAnsi="Arial Narrow" w:cs="Arial Narrow"/>
        </w:rPr>
      </w:pPr>
      <w:r>
        <w:rPr>
          <w:rFonts w:ascii="Arial Narrow" w:hAnsi="Arial Narrow" w:cs="Arial Narrow"/>
        </w:rPr>
        <w:t xml:space="preserve"> “投入”权重12分，下设二级指标“项目立项”、“资金落实”，主要评价项目立项规范性、绩效目标合理性和绩效指标明确性、资金到位率和到位及时率，下设4个三级指标具体评价；</w:t>
      </w:r>
    </w:p>
    <w:p w14:paraId="0D077E93">
      <w:pPr>
        <w:ind w:firstLine="480" w:firstLineChars="0"/>
        <w:rPr>
          <w:rFonts w:ascii="Arial Narrow" w:hAnsi="Arial Narrow" w:cs="Arial Narrow"/>
        </w:rPr>
      </w:pPr>
      <w:r>
        <w:rPr>
          <w:rFonts w:ascii="Arial Narrow" w:hAnsi="Arial Narrow" w:cs="Arial Narrow"/>
        </w:rPr>
        <w:t>“过程”权重28分，下设二级指标“</w:t>
      </w:r>
      <w:r>
        <w:rPr>
          <w:rFonts w:hint="eastAsia" w:ascii="Arial Narrow" w:hAnsi="Arial Narrow" w:cs="Arial Narrow"/>
        </w:rPr>
        <w:t>项目</w:t>
      </w:r>
      <w:r>
        <w:rPr>
          <w:rFonts w:ascii="Arial Narrow" w:hAnsi="Arial Narrow" w:cs="Arial Narrow"/>
        </w:rPr>
        <w:t>管理” 、“财务管理”和“项目实施”，主要评价项目管理制度的执行、资金使用情况和项目具体实施情况，下设9个三级指标具体评价；</w:t>
      </w:r>
    </w:p>
    <w:p w14:paraId="730534BD">
      <w:pPr>
        <w:ind w:firstLine="480" w:firstLineChars="0"/>
        <w:rPr>
          <w:rFonts w:ascii="Arial Narrow" w:hAnsi="Arial Narrow" w:cs="Arial Narrow"/>
        </w:rPr>
      </w:pPr>
      <w:r>
        <w:rPr>
          <w:rFonts w:ascii="Arial Narrow" w:hAnsi="Arial Narrow" w:cs="Arial Narrow"/>
        </w:rPr>
        <w:t xml:space="preserve"> “产出”权重26分，下设二级指标“</w:t>
      </w:r>
      <w:r>
        <w:rPr>
          <w:rFonts w:hint="eastAsia" w:ascii="Arial Narrow" w:hAnsi="Arial Narrow" w:cs="Arial Narrow"/>
        </w:rPr>
        <w:t>项目</w:t>
      </w:r>
      <w:r>
        <w:rPr>
          <w:rFonts w:ascii="Arial Narrow" w:hAnsi="Arial Narrow" w:cs="Arial Narrow"/>
        </w:rPr>
        <w:t>产出”，主要评价项目各项数量产出和质量产出的实现程度以及资金使用率，下设6个三级指标具体评价；</w:t>
      </w:r>
    </w:p>
    <w:p w14:paraId="4F8A0D90">
      <w:pPr>
        <w:ind w:firstLine="480" w:firstLineChars="0"/>
        <w:rPr>
          <w:rFonts w:ascii="Arial Narrow" w:hAnsi="Arial Narrow" w:cs="Arial Narrow"/>
        </w:rPr>
      </w:pPr>
      <w:r>
        <w:rPr>
          <w:rFonts w:ascii="Arial Narrow" w:hAnsi="Arial Narrow" w:cs="Arial Narrow"/>
        </w:rPr>
        <w:t xml:space="preserve"> “效果”权重34分，下设二级指标“</w:t>
      </w:r>
      <w:r>
        <w:rPr>
          <w:rFonts w:hint="eastAsia" w:ascii="Arial Narrow" w:hAnsi="Arial Narrow" w:cs="Arial Narrow"/>
        </w:rPr>
        <w:t>项目效果</w:t>
      </w:r>
      <w:r>
        <w:rPr>
          <w:rFonts w:ascii="Arial Narrow" w:hAnsi="Arial Narrow" w:cs="Arial Narrow"/>
        </w:rPr>
        <w:t>”，主要评价项目实施后的社会效益、可持续影响、整体满意度，下设6个三级指标具体评价。</w:t>
      </w:r>
    </w:p>
    <w:p w14:paraId="7EF4D8CE">
      <w:pPr>
        <w:ind w:firstLine="720" w:firstLineChars="300"/>
        <w:rPr>
          <w:rFonts w:ascii="Arial Narrow" w:hAnsi="Arial Narrow" w:cs="Arial Narrow"/>
        </w:rPr>
      </w:pPr>
      <w:r>
        <w:rPr>
          <w:rFonts w:ascii="Arial Narrow" w:hAnsi="Arial Narrow" w:cs="Arial Narrow"/>
        </w:rPr>
        <w:t>具体指标的分布情况、权重、指标解释、指标说明如下表所示：</w:t>
      </w:r>
    </w:p>
    <w:tbl>
      <w:tblPr>
        <w:tblStyle w:val="15"/>
        <w:tblW w:w="8364" w:type="dxa"/>
        <w:tblInd w:w="0" w:type="dxa"/>
        <w:tblLayout w:type="fixed"/>
        <w:tblCellMar>
          <w:top w:w="15" w:type="dxa"/>
          <w:left w:w="15" w:type="dxa"/>
          <w:bottom w:w="15" w:type="dxa"/>
          <w:right w:w="15" w:type="dxa"/>
        </w:tblCellMar>
      </w:tblPr>
      <w:tblGrid>
        <w:gridCol w:w="625"/>
        <w:gridCol w:w="1260"/>
        <w:gridCol w:w="2632"/>
        <w:gridCol w:w="3847"/>
      </w:tblGrid>
      <w:tr w14:paraId="3A0DB1F2">
        <w:tblPrEx>
          <w:tblCellMar>
            <w:top w:w="15" w:type="dxa"/>
            <w:left w:w="15" w:type="dxa"/>
            <w:bottom w:w="15" w:type="dxa"/>
            <w:right w:w="15" w:type="dxa"/>
          </w:tblCellMar>
        </w:tblPrEx>
        <w:trPr>
          <w:trHeight w:val="480" w:hRule="atLeast"/>
          <w:tblHeader/>
        </w:trPr>
        <w:tc>
          <w:tcPr>
            <w:tcW w:w="1885" w:type="dxa"/>
            <w:gridSpan w:val="2"/>
            <w:tcBorders>
              <w:top w:val="single" w:color="000000" w:sz="4" w:space="0"/>
              <w:left w:val="single" w:color="000000" w:sz="4" w:space="0"/>
              <w:bottom w:val="single" w:color="000000" w:sz="4" w:space="0"/>
              <w:right w:val="single" w:color="000000" w:sz="4" w:space="0"/>
            </w:tcBorders>
            <w:vAlign w:val="center"/>
          </w:tcPr>
          <w:p w14:paraId="17B8647D">
            <w:pPr>
              <w:widowControl/>
              <w:spacing w:line="240" w:lineRule="auto"/>
              <w:ind w:firstLine="0" w:firstLineChars="0"/>
              <w:jc w:val="center"/>
              <w:textAlignment w:val="center"/>
              <w:rPr>
                <w:rFonts w:ascii="Arial Narrow" w:hAnsi="Arial Narrow" w:cs="Arial Narrow"/>
                <w:b/>
                <w:color w:val="000000"/>
                <w:sz w:val="20"/>
                <w:szCs w:val="20"/>
              </w:rPr>
            </w:pPr>
            <w:r>
              <w:rPr>
                <w:rFonts w:ascii="Arial Narrow" w:hAnsi="Arial Narrow" w:cs="Arial Narrow"/>
                <w:b/>
                <w:color w:val="000000"/>
                <w:kern w:val="0"/>
                <w:sz w:val="20"/>
                <w:szCs w:val="20"/>
                <w:lang w:bidi="ar"/>
              </w:rPr>
              <w:t>指标名称（权重）</w:t>
            </w:r>
          </w:p>
        </w:tc>
        <w:tc>
          <w:tcPr>
            <w:tcW w:w="2632" w:type="dxa"/>
            <w:tcBorders>
              <w:top w:val="single" w:color="000000" w:sz="4" w:space="0"/>
              <w:left w:val="single" w:color="000000" w:sz="4" w:space="0"/>
              <w:bottom w:val="single" w:color="000000" w:sz="4" w:space="0"/>
              <w:right w:val="single" w:color="000000" w:sz="4" w:space="0"/>
            </w:tcBorders>
            <w:vAlign w:val="center"/>
          </w:tcPr>
          <w:p w14:paraId="148C17C6">
            <w:pPr>
              <w:widowControl/>
              <w:spacing w:line="240" w:lineRule="auto"/>
              <w:ind w:firstLine="0" w:firstLineChars="0"/>
              <w:textAlignment w:val="center"/>
              <w:rPr>
                <w:rFonts w:ascii="Arial Narrow" w:hAnsi="Arial Narrow" w:cs="Arial Narrow"/>
                <w:b/>
                <w:color w:val="000000"/>
                <w:sz w:val="20"/>
                <w:szCs w:val="20"/>
              </w:rPr>
            </w:pPr>
            <w:r>
              <w:rPr>
                <w:rFonts w:ascii="Arial Narrow" w:hAnsi="Arial Narrow" w:cs="Arial Narrow"/>
                <w:b/>
                <w:color w:val="000000"/>
                <w:kern w:val="0"/>
                <w:sz w:val="20"/>
                <w:szCs w:val="20"/>
                <w:lang w:bidi="ar"/>
              </w:rPr>
              <w:t>指标解释</w:t>
            </w:r>
          </w:p>
        </w:tc>
        <w:tc>
          <w:tcPr>
            <w:tcW w:w="3847" w:type="dxa"/>
            <w:tcBorders>
              <w:top w:val="single" w:color="000000" w:sz="4" w:space="0"/>
              <w:left w:val="single" w:color="000000" w:sz="4" w:space="0"/>
              <w:bottom w:val="single" w:color="000000" w:sz="4" w:space="0"/>
              <w:right w:val="single" w:color="000000" w:sz="4" w:space="0"/>
            </w:tcBorders>
            <w:vAlign w:val="center"/>
          </w:tcPr>
          <w:p w14:paraId="18E34F3E">
            <w:pPr>
              <w:widowControl/>
              <w:spacing w:line="240" w:lineRule="auto"/>
              <w:ind w:firstLine="402"/>
              <w:jc w:val="center"/>
              <w:textAlignment w:val="center"/>
              <w:rPr>
                <w:rFonts w:ascii="Arial Narrow" w:hAnsi="Arial Narrow" w:cs="Arial Narrow"/>
                <w:b/>
                <w:color w:val="000000"/>
                <w:sz w:val="20"/>
                <w:szCs w:val="20"/>
              </w:rPr>
            </w:pPr>
            <w:r>
              <w:rPr>
                <w:rFonts w:ascii="Arial Narrow" w:hAnsi="Arial Narrow" w:cs="Arial Narrow"/>
                <w:b/>
                <w:color w:val="000000"/>
                <w:kern w:val="0"/>
                <w:sz w:val="20"/>
                <w:szCs w:val="20"/>
                <w:lang w:bidi="ar"/>
              </w:rPr>
              <w:t>指标说明</w:t>
            </w:r>
          </w:p>
        </w:tc>
      </w:tr>
      <w:tr w14:paraId="2A25765F">
        <w:tblPrEx>
          <w:tblCellMar>
            <w:top w:w="15" w:type="dxa"/>
            <w:left w:w="15" w:type="dxa"/>
            <w:bottom w:w="15" w:type="dxa"/>
            <w:right w:w="15" w:type="dxa"/>
          </w:tblCellMar>
        </w:tblPrEx>
        <w:trPr>
          <w:trHeight w:val="2487" w:hRule="atLeast"/>
        </w:trPr>
        <w:tc>
          <w:tcPr>
            <w:tcW w:w="625" w:type="dxa"/>
            <w:vMerge w:val="restart"/>
            <w:tcBorders>
              <w:top w:val="single" w:color="000000" w:sz="4" w:space="0"/>
              <w:left w:val="single" w:color="000000" w:sz="4" w:space="0"/>
              <w:bottom w:val="single" w:color="000000" w:sz="4" w:space="0"/>
              <w:right w:val="single" w:color="000000" w:sz="4" w:space="0"/>
            </w:tcBorders>
            <w:vAlign w:val="center"/>
          </w:tcPr>
          <w:p w14:paraId="643A2DC7">
            <w:pPr>
              <w:widowControl/>
              <w:spacing w:line="240" w:lineRule="auto"/>
              <w:ind w:firstLine="0" w:firstLineChars="0"/>
              <w:jc w:val="center"/>
              <w:textAlignment w:val="center"/>
              <w:rPr>
                <w:rFonts w:ascii="Arial Narrow" w:hAnsi="Arial Narrow" w:cs="Arial Narrow"/>
                <w:color w:val="000000"/>
                <w:sz w:val="20"/>
                <w:szCs w:val="20"/>
              </w:rPr>
            </w:pPr>
            <w:r>
              <w:rPr>
                <w:rFonts w:ascii="Arial Narrow" w:hAnsi="Arial Narrow" w:cs="Arial Narrow"/>
                <w:color w:val="000000"/>
                <w:sz w:val="20"/>
                <w:szCs w:val="20"/>
              </w:rPr>
              <w:t>项目立项（6）</w:t>
            </w:r>
          </w:p>
        </w:tc>
        <w:tc>
          <w:tcPr>
            <w:tcW w:w="1260" w:type="dxa"/>
            <w:tcBorders>
              <w:top w:val="single" w:color="000000" w:sz="4" w:space="0"/>
              <w:left w:val="single" w:color="000000" w:sz="4" w:space="0"/>
              <w:bottom w:val="single" w:color="000000" w:sz="4" w:space="0"/>
              <w:right w:val="single" w:color="000000" w:sz="4" w:space="0"/>
            </w:tcBorders>
            <w:vAlign w:val="center"/>
          </w:tcPr>
          <w:p w14:paraId="318780BA">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项目立项规范性（3）</w:t>
            </w:r>
          </w:p>
        </w:tc>
        <w:tc>
          <w:tcPr>
            <w:tcW w:w="2632" w:type="dxa"/>
            <w:tcBorders>
              <w:top w:val="single" w:color="000000" w:sz="4" w:space="0"/>
              <w:left w:val="single" w:color="000000" w:sz="4" w:space="0"/>
              <w:bottom w:val="single" w:color="000000" w:sz="4" w:space="0"/>
              <w:right w:val="single" w:color="000000" w:sz="4" w:space="0"/>
            </w:tcBorders>
            <w:vAlign w:val="center"/>
          </w:tcPr>
          <w:p w14:paraId="742D9362">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项目的申请、设立过程是否符合相关要求，用以反映和考核项目立项的规范情况。</w:t>
            </w:r>
          </w:p>
        </w:tc>
        <w:tc>
          <w:tcPr>
            <w:tcW w:w="3847" w:type="dxa"/>
            <w:tcBorders>
              <w:top w:val="single" w:color="000000" w:sz="4" w:space="0"/>
              <w:left w:val="single" w:color="000000" w:sz="4" w:space="0"/>
              <w:bottom w:val="single" w:color="000000" w:sz="4" w:space="0"/>
              <w:right w:val="single" w:color="000000" w:sz="4" w:space="0"/>
            </w:tcBorders>
            <w:vAlign w:val="center"/>
          </w:tcPr>
          <w:p w14:paraId="586BD40B">
            <w:pPr>
              <w:widowControl/>
              <w:spacing w:line="240" w:lineRule="auto"/>
              <w:ind w:firstLine="0" w:firstLineChars="0"/>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评价要点：</w:t>
            </w:r>
          </w:p>
          <w:p w14:paraId="484C0F61">
            <w:pPr>
              <w:widowControl/>
              <w:spacing w:line="240" w:lineRule="auto"/>
              <w:ind w:firstLine="0" w:firstLineChars="0"/>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①项目是否有规划，项目是否按照规定的程序申请设立；</w:t>
            </w:r>
          </w:p>
          <w:p w14:paraId="4BBB9156">
            <w:pPr>
              <w:widowControl/>
              <w:spacing w:line="240" w:lineRule="auto"/>
              <w:ind w:firstLine="0" w:firstLineChars="0"/>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②是否按管理办法和分配办法分配资金。</w:t>
            </w:r>
          </w:p>
          <w:p w14:paraId="23C27B10">
            <w:pPr>
              <w:widowControl/>
              <w:spacing w:line="240" w:lineRule="auto"/>
              <w:ind w:firstLine="0" w:firstLineChars="0"/>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③所提交的文件、材料是否符合相关要求；</w:t>
            </w:r>
          </w:p>
          <w:p w14:paraId="7FA23661">
            <w:pPr>
              <w:widowControl/>
              <w:spacing w:line="240" w:lineRule="auto"/>
              <w:ind w:firstLine="0" w:firstLineChars="0"/>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④项目执行时是否发生重大调整。</w:t>
            </w:r>
          </w:p>
        </w:tc>
      </w:tr>
      <w:tr w14:paraId="4B773569">
        <w:tblPrEx>
          <w:tblCellMar>
            <w:top w:w="15" w:type="dxa"/>
            <w:left w:w="15" w:type="dxa"/>
            <w:bottom w:w="15" w:type="dxa"/>
            <w:right w:w="15" w:type="dxa"/>
          </w:tblCellMar>
        </w:tblPrEx>
        <w:trPr>
          <w:trHeight w:val="1105"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7C128B85">
            <w:pPr>
              <w:spacing w:line="240" w:lineRule="auto"/>
              <w:ind w:firstLine="400"/>
              <w:jc w:val="center"/>
              <w:rPr>
                <w:rFonts w:ascii="Arial Narrow" w:hAnsi="Arial Narrow" w:cs="Arial Narrow"/>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1429298">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绩效目标合理性（3）</w:t>
            </w:r>
          </w:p>
        </w:tc>
        <w:tc>
          <w:tcPr>
            <w:tcW w:w="2632" w:type="dxa"/>
            <w:tcBorders>
              <w:top w:val="single" w:color="000000" w:sz="4" w:space="0"/>
              <w:left w:val="single" w:color="000000" w:sz="4" w:space="0"/>
              <w:bottom w:val="single" w:color="000000" w:sz="4" w:space="0"/>
              <w:right w:val="single" w:color="000000" w:sz="4" w:space="0"/>
            </w:tcBorders>
            <w:vAlign w:val="center"/>
          </w:tcPr>
          <w:p w14:paraId="44F6658E">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项目是否设定绩效目标和绩效指标，所设定的绩效目标和指标是否符合实际，用以反映和考核项目绩效目标与项目实施的相符情况。</w:t>
            </w:r>
          </w:p>
        </w:tc>
        <w:tc>
          <w:tcPr>
            <w:tcW w:w="3847" w:type="dxa"/>
            <w:tcBorders>
              <w:top w:val="single" w:color="000000" w:sz="4" w:space="0"/>
              <w:left w:val="single" w:color="000000" w:sz="4" w:space="0"/>
              <w:bottom w:val="single" w:color="000000" w:sz="4" w:space="0"/>
              <w:right w:val="single" w:color="000000" w:sz="4" w:space="0"/>
            </w:tcBorders>
            <w:vAlign w:val="center"/>
          </w:tcPr>
          <w:p w14:paraId="7D1A09EA">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评价要点：</w:t>
            </w:r>
          </w:p>
          <w:p w14:paraId="3785E77E">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①是否设定长期目标、年度目标和绩效指标；</w:t>
            </w:r>
          </w:p>
          <w:p w14:paraId="5728519F">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②目标和指标的设计是否符合目标管理规范；</w:t>
            </w:r>
          </w:p>
          <w:p w14:paraId="0741D136">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③根据绩效目标和完成情况的对比考核目标设立的合理性；</w:t>
            </w:r>
          </w:p>
          <w:p w14:paraId="3413B911">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④绩效指标是否具有可测性。</w:t>
            </w:r>
          </w:p>
        </w:tc>
      </w:tr>
      <w:tr w14:paraId="6F52B8FC">
        <w:tblPrEx>
          <w:tblCellMar>
            <w:top w:w="15" w:type="dxa"/>
            <w:left w:w="15" w:type="dxa"/>
            <w:bottom w:w="15" w:type="dxa"/>
            <w:right w:w="15" w:type="dxa"/>
          </w:tblCellMar>
        </w:tblPrEx>
        <w:trPr>
          <w:trHeight w:val="808" w:hRule="atLeast"/>
        </w:trPr>
        <w:tc>
          <w:tcPr>
            <w:tcW w:w="625" w:type="dxa"/>
            <w:vMerge w:val="restart"/>
            <w:tcBorders>
              <w:top w:val="single" w:color="000000" w:sz="4" w:space="0"/>
              <w:left w:val="single" w:color="000000" w:sz="4" w:space="0"/>
              <w:bottom w:val="single" w:color="000000" w:sz="4" w:space="0"/>
              <w:right w:val="single" w:color="000000" w:sz="4" w:space="0"/>
            </w:tcBorders>
            <w:vAlign w:val="center"/>
          </w:tcPr>
          <w:p w14:paraId="3E67BFF7">
            <w:pPr>
              <w:widowControl/>
              <w:spacing w:line="240" w:lineRule="auto"/>
              <w:ind w:firstLine="0" w:firstLineChars="0"/>
              <w:jc w:val="center"/>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资金</w:t>
            </w:r>
            <w:r>
              <w:rPr>
                <w:rFonts w:ascii="Arial Narrow" w:hAnsi="Arial Narrow" w:cs="Arial Narrow"/>
                <w:color w:val="000000"/>
                <w:kern w:val="0"/>
                <w:sz w:val="20"/>
                <w:szCs w:val="20"/>
                <w:lang w:bidi="ar"/>
              </w:rPr>
              <w:br w:type="textWrapping"/>
            </w:r>
            <w:r>
              <w:rPr>
                <w:rFonts w:ascii="Arial Narrow" w:hAnsi="Arial Narrow" w:cs="Arial Narrow"/>
                <w:color w:val="000000"/>
                <w:kern w:val="0"/>
                <w:sz w:val="20"/>
                <w:szCs w:val="20"/>
                <w:lang w:bidi="ar"/>
              </w:rPr>
              <w:t>落实（6）</w:t>
            </w:r>
          </w:p>
        </w:tc>
        <w:tc>
          <w:tcPr>
            <w:tcW w:w="1260" w:type="dxa"/>
            <w:tcBorders>
              <w:top w:val="single" w:color="000000" w:sz="4" w:space="0"/>
              <w:left w:val="single" w:color="000000" w:sz="4" w:space="0"/>
              <w:bottom w:val="single" w:color="000000" w:sz="4" w:space="0"/>
              <w:right w:val="single" w:color="000000" w:sz="4" w:space="0"/>
            </w:tcBorders>
            <w:vAlign w:val="center"/>
          </w:tcPr>
          <w:p w14:paraId="58F82457">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资金到位率（3）</w:t>
            </w:r>
          </w:p>
        </w:tc>
        <w:tc>
          <w:tcPr>
            <w:tcW w:w="2632" w:type="dxa"/>
            <w:tcBorders>
              <w:top w:val="single" w:color="000000" w:sz="4" w:space="0"/>
              <w:left w:val="single" w:color="000000" w:sz="4" w:space="0"/>
              <w:bottom w:val="single" w:color="000000" w:sz="4" w:space="0"/>
              <w:right w:val="single" w:color="000000" w:sz="4" w:space="0"/>
            </w:tcBorders>
            <w:vAlign w:val="center"/>
          </w:tcPr>
          <w:p w14:paraId="12462618">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实际到位资金与计划投入资金的比率，用以反映和考核资金落实情况对项目实施的总体保障程度。</w:t>
            </w:r>
          </w:p>
        </w:tc>
        <w:tc>
          <w:tcPr>
            <w:tcW w:w="3847" w:type="dxa"/>
            <w:tcBorders>
              <w:top w:val="single" w:color="000000" w:sz="4" w:space="0"/>
              <w:left w:val="single" w:color="000000" w:sz="4" w:space="0"/>
              <w:bottom w:val="single" w:color="000000" w:sz="4" w:space="0"/>
              <w:right w:val="single" w:color="000000" w:sz="4" w:space="0"/>
            </w:tcBorders>
            <w:vAlign w:val="center"/>
          </w:tcPr>
          <w:p w14:paraId="1E26F1C6">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资金到位率=（实际到位资金/计划投入资金）×100%。</w:t>
            </w:r>
          </w:p>
          <w:p w14:paraId="06F3C75D">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实际到位资金：一定时期（本年度或项目期）内实际落实到具体项目的资金。</w:t>
            </w:r>
          </w:p>
          <w:p w14:paraId="37B75F11">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计划投入资金：一定时期（本年度或项目期）内计划投入到具体项目的资金。</w:t>
            </w:r>
          </w:p>
        </w:tc>
      </w:tr>
      <w:tr w14:paraId="56D0C36C">
        <w:tblPrEx>
          <w:tblCellMar>
            <w:top w:w="15" w:type="dxa"/>
            <w:left w:w="15" w:type="dxa"/>
            <w:bottom w:w="15" w:type="dxa"/>
            <w:right w:w="15" w:type="dxa"/>
          </w:tblCellMar>
        </w:tblPrEx>
        <w:trPr>
          <w:trHeight w:val="522"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345B8F4B">
            <w:pPr>
              <w:spacing w:line="240" w:lineRule="auto"/>
              <w:ind w:firstLine="400"/>
              <w:jc w:val="center"/>
              <w:rPr>
                <w:rFonts w:ascii="Arial Narrow" w:hAnsi="Arial Narrow" w:cs="Arial Narrow"/>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7D33674">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到位及时率（3）</w:t>
            </w:r>
          </w:p>
        </w:tc>
        <w:tc>
          <w:tcPr>
            <w:tcW w:w="2632" w:type="dxa"/>
            <w:tcBorders>
              <w:top w:val="single" w:color="000000" w:sz="4" w:space="0"/>
              <w:left w:val="single" w:color="000000" w:sz="4" w:space="0"/>
              <w:bottom w:val="single" w:color="000000" w:sz="4" w:space="0"/>
              <w:right w:val="single" w:color="000000" w:sz="4" w:space="0"/>
            </w:tcBorders>
            <w:vAlign w:val="center"/>
          </w:tcPr>
          <w:p w14:paraId="0CEBFCBC">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及时到位资金与应到位资金的比率，用以反映和考核项目资金落实的及时性程度。</w:t>
            </w:r>
          </w:p>
        </w:tc>
        <w:tc>
          <w:tcPr>
            <w:tcW w:w="3847" w:type="dxa"/>
            <w:tcBorders>
              <w:top w:val="single" w:color="000000" w:sz="4" w:space="0"/>
              <w:left w:val="single" w:color="000000" w:sz="4" w:space="0"/>
              <w:bottom w:val="single" w:color="000000" w:sz="4" w:space="0"/>
              <w:right w:val="single" w:color="000000" w:sz="4" w:space="0"/>
            </w:tcBorders>
            <w:vAlign w:val="center"/>
          </w:tcPr>
          <w:p w14:paraId="48F1DED5">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到位及时率=（及时到位资金/应到位资金）×100%。</w:t>
            </w:r>
            <w:r>
              <w:rPr>
                <w:rFonts w:hint="eastAsia" w:ascii="仿宋_GB2312" w:hAnsi="宋体"/>
                <w:sz w:val="20"/>
                <w:szCs w:val="20"/>
              </w:rPr>
              <w:br w:type="textWrapping"/>
            </w:r>
            <w:r>
              <w:rPr>
                <w:rFonts w:hint="eastAsia" w:ascii="仿宋_GB2312" w:hAnsi="宋体"/>
                <w:sz w:val="20"/>
                <w:szCs w:val="20"/>
              </w:rPr>
              <w:t>及时到位资金：截至规定时点实际落实到具体项目的资金。</w:t>
            </w:r>
            <w:r>
              <w:rPr>
                <w:rFonts w:hint="eastAsia" w:ascii="仿宋_GB2312" w:hAnsi="宋体"/>
                <w:sz w:val="20"/>
                <w:szCs w:val="20"/>
              </w:rPr>
              <w:br w:type="textWrapping"/>
            </w:r>
            <w:r>
              <w:rPr>
                <w:rFonts w:hint="eastAsia" w:ascii="仿宋_GB2312" w:hAnsi="宋体"/>
                <w:sz w:val="20"/>
                <w:szCs w:val="20"/>
              </w:rPr>
              <w:t>应到位资金：按照合同或项目进度要求截至规定时点应落实到具体项目的资金。</w:t>
            </w:r>
          </w:p>
        </w:tc>
      </w:tr>
      <w:tr w14:paraId="352DE96B">
        <w:tblPrEx>
          <w:tblCellMar>
            <w:top w:w="15" w:type="dxa"/>
            <w:left w:w="15" w:type="dxa"/>
            <w:bottom w:w="15" w:type="dxa"/>
            <w:right w:w="15" w:type="dxa"/>
          </w:tblCellMar>
        </w:tblPrEx>
        <w:trPr>
          <w:trHeight w:val="817" w:hRule="atLeast"/>
        </w:trPr>
        <w:tc>
          <w:tcPr>
            <w:tcW w:w="625" w:type="dxa"/>
            <w:vMerge w:val="restart"/>
            <w:tcBorders>
              <w:top w:val="single" w:color="000000" w:sz="4" w:space="0"/>
              <w:left w:val="single" w:color="000000" w:sz="4" w:space="0"/>
              <w:bottom w:val="single" w:color="000000" w:sz="4" w:space="0"/>
              <w:right w:val="single" w:color="000000" w:sz="4" w:space="0"/>
            </w:tcBorders>
            <w:vAlign w:val="center"/>
          </w:tcPr>
          <w:p w14:paraId="3F89DCCA">
            <w:pPr>
              <w:widowControl/>
              <w:spacing w:line="240" w:lineRule="auto"/>
              <w:ind w:firstLine="0" w:firstLineChars="0"/>
              <w:jc w:val="center"/>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项目</w:t>
            </w:r>
            <w:r>
              <w:rPr>
                <w:rFonts w:ascii="Arial Narrow" w:hAnsi="Arial Narrow" w:cs="Arial Narrow"/>
                <w:color w:val="000000"/>
                <w:kern w:val="0"/>
                <w:sz w:val="20"/>
                <w:szCs w:val="20"/>
                <w:lang w:bidi="ar"/>
              </w:rPr>
              <w:br w:type="textWrapping"/>
            </w:r>
            <w:r>
              <w:rPr>
                <w:rFonts w:ascii="Arial Narrow" w:hAnsi="Arial Narrow" w:cs="Arial Narrow"/>
                <w:color w:val="000000"/>
                <w:kern w:val="0"/>
                <w:sz w:val="20"/>
                <w:szCs w:val="20"/>
                <w:lang w:bidi="ar"/>
              </w:rPr>
              <w:t>管理（9）</w:t>
            </w:r>
          </w:p>
        </w:tc>
        <w:tc>
          <w:tcPr>
            <w:tcW w:w="1260" w:type="dxa"/>
            <w:tcBorders>
              <w:top w:val="single" w:color="000000" w:sz="4" w:space="0"/>
              <w:left w:val="single" w:color="000000" w:sz="4" w:space="0"/>
              <w:bottom w:val="single" w:color="000000" w:sz="4" w:space="0"/>
              <w:right w:val="single" w:color="000000" w:sz="4" w:space="0"/>
            </w:tcBorders>
            <w:vAlign w:val="center"/>
          </w:tcPr>
          <w:p w14:paraId="2EF9339B">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管理制度健全性（3）</w:t>
            </w:r>
          </w:p>
        </w:tc>
        <w:tc>
          <w:tcPr>
            <w:tcW w:w="2632" w:type="dxa"/>
            <w:tcBorders>
              <w:top w:val="single" w:color="000000" w:sz="4" w:space="0"/>
              <w:left w:val="single" w:color="000000" w:sz="4" w:space="0"/>
              <w:bottom w:val="single" w:color="000000" w:sz="4" w:space="0"/>
              <w:right w:val="single" w:color="000000" w:sz="4" w:space="0"/>
            </w:tcBorders>
            <w:vAlign w:val="center"/>
          </w:tcPr>
          <w:p w14:paraId="549836D7">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项目管理制度是否健全，用以反映和考核项目管理制度对项目顺利实施的保障情况。</w:t>
            </w:r>
          </w:p>
        </w:tc>
        <w:tc>
          <w:tcPr>
            <w:tcW w:w="3847" w:type="dxa"/>
            <w:tcBorders>
              <w:top w:val="single" w:color="000000" w:sz="4" w:space="0"/>
              <w:left w:val="single" w:color="000000" w:sz="4" w:space="0"/>
              <w:bottom w:val="single" w:color="000000" w:sz="4" w:space="0"/>
              <w:right w:val="single" w:color="000000" w:sz="4" w:space="0"/>
            </w:tcBorders>
            <w:vAlign w:val="center"/>
          </w:tcPr>
          <w:p w14:paraId="7390C9D3">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评价要点：</w:t>
            </w:r>
          </w:p>
          <w:p w14:paraId="2AE9DB9C">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总项目：</w:t>
            </w:r>
          </w:p>
          <w:p w14:paraId="24A9C8D7">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①是否制定相应的采购制、台账管理制度、档案管理制度、合同制、代表活动管理制度等。</w:t>
            </w:r>
          </w:p>
          <w:p w14:paraId="26E33F26">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②项目管理制度是否合法、合规、完整。</w:t>
            </w:r>
          </w:p>
        </w:tc>
      </w:tr>
      <w:tr w14:paraId="1008710D">
        <w:tblPrEx>
          <w:tblCellMar>
            <w:top w:w="15" w:type="dxa"/>
            <w:left w:w="15" w:type="dxa"/>
            <w:bottom w:w="15" w:type="dxa"/>
            <w:right w:w="15" w:type="dxa"/>
          </w:tblCellMar>
        </w:tblPrEx>
        <w:trPr>
          <w:trHeight w:val="1341"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0F64B46A">
            <w:pPr>
              <w:spacing w:line="240" w:lineRule="auto"/>
              <w:ind w:firstLine="400"/>
              <w:jc w:val="center"/>
              <w:rPr>
                <w:rFonts w:ascii="Arial Narrow" w:hAnsi="Arial Narrow" w:cs="Arial Narrow"/>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7E1AE3EC">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sz w:val="20"/>
                <w:szCs w:val="20"/>
              </w:rPr>
              <w:t>制度执行有效性（3）</w:t>
            </w:r>
          </w:p>
        </w:tc>
        <w:tc>
          <w:tcPr>
            <w:tcW w:w="2632" w:type="dxa"/>
            <w:tcBorders>
              <w:top w:val="single" w:color="000000" w:sz="4" w:space="0"/>
              <w:left w:val="single" w:color="000000" w:sz="4" w:space="0"/>
              <w:bottom w:val="single" w:color="000000" w:sz="4" w:space="0"/>
              <w:right w:val="single" w:color="000000" w:sz="4" w:space="0"/>
            </w:tcBorders>
            <w:vAlign w:val="center"/>
          </w:tcPr>
          <w:p w14:paraId="65BDF0A0">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项目实施是否符合相关项目管理规定，用以反映和考核项目管理制度的有效执行情况。</w:t>
            </w:r>
          </w:p>
        </w:tc>
        <w:tc>
          <w:tcPr>
            <w:tcW w:w="3847" w:type="dxa"/>
            <w:tcBorders>
              <w:top w:val="single" w:color="000000" w:sz="4" w:space="0"/>
              <w:left w:val="single" w:color="000000" w:sz="4" w:space="0"/>
              <w:bottom w:val="single" w:color="000000" w:sz="4" w:space="0"/>
              <w:right w:val="single" w:color="000000" w:sz="4" w:space="0"/>
            </w:tcBorders>
            <w:vAlign w:val="center"/>
          </w:tcPr>
          <w:p w14:paraId="579D0CFE">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评价要点：</w:t>
            </w:r>
          </w:p>
          <w:p w14:paraId="639AA98E">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①是否遵守相应的采购制、台账管理制度、档案管理制度、合同制、代表活动管理制度。</w:t>
            </w:r>
          </w:p>
          <w:p w14:paraId="11E82433">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②制度执行过程是否留痕。</w:t>
            </w:r>
          </w:p>
        </w:tc>
      </w:tr>
      <w:tr w14:paraId="2A3E7C8F">
        <w:tblPrEx>
          <w:tblCellMar>
            <w:top w:w="15" w:type="dxa"/>
            <w:left w:w="15" w:type="dxa"/>
            <w:bottom w:w="15" w:type="dxa"/>
            <w:right w:w="15" w:type="dxa"/>
          </w:tblCellMar>
        </w:tblPrEx>
        <w:trPr>
          <w:trHeight w:val="1252"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3CF43F96">
            <w:pPr>
              <w:spacing w:line="240" w:lineRule="auto"/>
              <w:ind w:firstLine="400"/>
              <w:jc w:val="center"/>
              <w:rPr>
                <w:rFonts w:ascii="Arial Narrow" w:hAnsi="Arial Narrow" w:cs="Arial Narrow"/>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3FAE9FE">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项目质量可控性（3）</w:t>
            </w:r>
          </w:p>
        </w:tc>
        <w:tc>
          <w:tcPr>
            <w:tcW w:w="2632" w:type="dxa"/>
            <w:tcBorders>
              <w:top w:val="single" w:color="000000" w:sz="4" w:space="0"/>
              <w:left w:val="single" w:color="000000" w:sz="4" w:space="0"/>
              <w:bottom w:val="single" w:color="000000" w:sz="4" w:space="0"/>
              <w:right w:val="single" w:color="000000" w:sz="4" w:space="0"/>
            </w:tcBorders>
            <w:vAlign w:val="center"/>
          </w:tcPr>
          <w:p w14:paraId="59AB40A6">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项目实施单位是否为达到项目质量要求而采取了必需的措施，用以反映和考核项目实施单位对项目质量的控制情况。</w:t>
            </w:r>
          </w:p>
        </w:tc>
        <w:tc>
          <w:tcPr>
            <w:tcW w:w="3847" w:type="dxa"/>
            <w:tcBorders>
              <w:top w:val="single" w:color="000000" w:sz="4" w:space="0"/>
              <w:left w:val="single" w:color="000000" w:sz="4" w:space="0"/>
              <w:bottom w:val="single" w:color="000000" w:sz="4" w:space="0"/>
              <w:right w:val="single" w:color="000000" w:sz="4" w:space="0"/>
            </w:tcBorders>
            <w:vAlign w:val="center"/>
          </w:tcPr>
          <w:p w14:paraId="6DB19D38">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sz w:val="20"/>
                <w:szCs w:val="20"/>
              </w:rPr>
              <w:t>评价要点：</w:t>
            </w:r>
          </w:p>
          <w:p w14:paraId="46256BC5">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sz w:val="20"/>
                <w:szCs w:val="20"/>
              </w:rPr>
              <w:t>①期初是否制定代表活动方案；</w:t>
            </w:r>
          </w:p>
          <w:p w14:paraId="2C60816B">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sz w:val="20"/>
                <w:szCs w:val="20"/>
              </w:rPr>
              <w:t>②是否严格按照活动方案开展代表活动；</w:t>
            </w:r>
          </w:p>
          <w:p w14:paraId="6F939440">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sz w:val="20"/>
                <w:szCs w:val="20"/>
              </w:rPr>
              <w:t>③是否留存相关活动记录。</w:t>
            </w:r>
          </w:p>
        </w:tc>
      </w:tr>
      <w:tr w14:paraId="46B830D7">
        <w:tblPrEx>
          <w:tblCellMar>
            <w:top w:w="15" w:type="dxa"/>
            <w:left w:w="15" w:type="dxa"/>
            <w:bottom w:w="15" w:type="dxa"/>
            <w:right w:w="15" w:type="dxa"/>
          </w:tblCellMar>
        </w:tblPrEx>
        <w:trPr>
          <w:trHeight w:val="1147" w:hRule="atLeast"/>
        </w:trPr>
        <w:tc>
          <w:tcPr>
            <w:tcW w:w="625" w:type="dxa"/>
            <w:vMerge w:val="restart"/>
            <w:tcBorders>
              <w:top w:val="single" w:color="000000" w:sz="4" w:space="0"/>
              <w:left w:val="single" w:color="000000" w:sz="4" w:space="0"/>
              <w:bottom w:val="single" w:color="000000" w:sz="4" w:space="0"/>
              <w:right w:val="single" w:color="000000" w:sz="4" w:space="0"/>
            </w:tcBorders>
            <w:vAlign w:val="center"/>
          </w:tcPr>
          <w:p w14:paraId="05EE9F58">
            <w:pPr>
              <w:widowControl/>
              <w:spacing w:line="240" w:lineRule="auto"/>
              <w:ind w:firstLine="0" w:firstLineChars="0"/>
              <w:jc w:val="center"/>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财务</w:t>
            </w:r>
            <w:r>
              <w:rPr>
                <w:rFonts w:ascii="Arial Narrow" w:hAnsi="Arial Narrow" w:cs="Arial Narrow"/>
                <w:color w:val="000000"/>
                <w:kern w:val="0"/>
                <w:sz w:val="20"/>
                <w:szCs w:val="20"/>
                <w:lang w:bidi="ar"/>
              </w:rPr>
              <w:br w:type="textWrapping"/>
            </w:r>
            <w:r>
              <w:rPr>
                <w:rFonts w:ascii="Arial Narrow" w:hAnsi="Arial Narrow" w:cs="Arial Narrow"/>
                <w:color w:val="000000"/>
                <w:kern w:val="0"/>
                <w:sz w:val="20"/>
                <w:szCs w:val="20"/>
                <w:lang w:bidi="ar"/>
              </w:rPr>
              <w:t>管理（9）</w:t>
            </w:r>
          </w:p>
        </w:tc>
        <w:tc>
          <w:tcPr>
            <w:tcW w:w="1260" w:type="dxa"/>
            <w:tcBorders>
              <w:top w:val="single" w:color="000000" w:sz="4" w:space="0"/>
              <w:left w:val="single" w:color="000000" w:sz="4" w:space="0"/>
              <w:bottom w:val="single" w:color="000000" w:sz="4" w:space="0"/>
              <w:right w:val="single" w:color="000000" w:sz="4" w:space="0"/>
            </w:tcBorders>
            <w:vAlign w:val="center"/>
          </w:tcPr>
          <w:p w14:paraId="17773769">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财务制度健全性（3）</w:t>
            </w:r>
          </w:p>
        </w:tc>
        <w:tc>
          <w:tcPr>
            <w:tcW w:w="2632" w:type="dxa"/>
            <w:tcBorders>
              <w:top w:val="single" w:color="000000" w:sz="4" w:space="0"/>
              <w:left w:val="single" w:color="000000" w:sz="4" w:space="0"/>
              <w:bottom w:val="single" w:color="000000" w:sz="4" w:space="0"/>
              <w:right w:val="single" w:color="000000" w:sz="4" w:space="0"/>
            </w:tcBorders>
            <w:vAlign w:val="center"/>
          </w:tcPr>
          <w:p w14:paraId="6077172A">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项目实施单位的财务制度是否健全，用以反映和考核财务管理制度对资金规范、安全运行的保障情况。</w:t>
            </w:r>
          </w:p>
        </w:tc>
        <w:tc>
          <w:tcPr>
            <w:tcW w:w="3847" w:type="dxa"/>
            <w:tcBorders>
              <w:top w:val="single" w:color="000000" w:sz="4" w:space="0"/>
              <w:left w:val="single" w:color="000000" w:sz="4" w:space="0"/>
              <w:bottom w:val="single" w:color="000000" w:sz="4" w:space="0"/>
              <w:right w:val="single" w:color="000000" w:sz="4" w:space="0"/>
            </w:tcBorders>
            <w:vAlign w:val="center"/>
          </w:tcPr>
          <w:p w14:paraId="43459AFF">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评价要点：</w:t>
            </w:r>
          </w:p>
          <w:p w14:paraId="3ECDD525">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①是否已制定或具有相应的项目资金管理办法；</w:t>
            </w:r>
          </w:p>
          <w:p w14:paraId="2190F557">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②项目资金管理办法是否符合相关财务会计制度的规定。</w:t>
            </w:r>
          </w:p>
        </w:tc>
      </w:tr>
      <w:tr w14:paraId="232EFC59">
        <w:tblPrEx>
          <w:tblCellMar>
            <w:top w:w="15" w:type="dxa"/>
            <w:left w:w="15" w:type="dxa"/>
            <w:bottom w:w="15" w:type="dxa"/>
            <w:right w:w="15" w:type="dxa"/>
          </w:tblCellMar>
        </w:tblPrEx>
        <w:trPr>
          <w:trHeight w:val="2072"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1BB53C60">
            <w:pPr>
              <w:spacing w:line="240" w:lineRule="auto"/>
              <w:ind w:firstLine="400"/>
              <w:jc w:val="center"/>
              <w:rPr>
                <w:rFonts w:ascii="Arial Narrow" w:hAnsi="Arial Narrow" w:cs="Arial Narrow"/>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03AB2B1">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资金使用合规性（3）</w:t>
            </w:r>
          </w:p>
        </w:tc>
        <w:tc>
          <w:tcPr>
            <w:tcW w:w="2632" w:type="dxa"/>
            <w:tcBorders>
              <w:top w:val="single" w:color="000000" w:sz="4" w:space="0"/>
              <w:left w:val="single" w:color="000000" w:sz="4" w:space="0"/>
              <w:bottom w:val="single" w:color="000000" w:sz="4" w:space="0"/>
              <w:right w:val="single" w:color="000000" w:sz="4" w:space="0"/>
            </w:tcBorders>
            <w:vAlign w:val="center"/>
          </w:tcPr>
          <w:p w14:paraId="0AA1389D">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项目资金使用是否符合相关的财务管理制度规定，用以反映和考核项目资金的规范运行情况。</w:t>
            </w:r>
          </w:p>
        </w:tc>
        <w:tc>
          <w:tcPr>
            <w:tcW w:w="3847" w:type="dxa"/>
            <w:tcBorders>
              <w:top w:val="single" w:color="000000" w:sz="4" w:space="0"/>
              <w:left w:val="single" w:color="000000" w:sz="4" w:space="0"/>
              <w:bottom w:val="single" w:color="000000" w:sz="4" w:space="0"/>
              <w:right w:val="single" w:color="000000" w:sz="4" w:space="0"/>
            </w:tcBorders>
            <w:vAlign w:val="center"/>
          </w:tcPr>
          <w:p w14:paraId="29B5D499">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评价要点：</w:t>
            </w:r>
          </w:p>
          <w:p w14:paraId="4E2936E9">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①是否符合国家财经法规和财务管理制度以及有关专项资金管理办法的规定；</w:t>
            </w:r>
          </w:p>
          <w:p w14:paraId="5756D561">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②是否符合项目预算批复规定的用途。</w:t>
            </w:r>
          </w:p>
          <w:p w14:paraId="401E31DA">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③是否存在截留、挤占、挪用、虚列支出等情况。</w:t>
            </w:r>
          </w:p>
        </w:tc>
      </w:tr>
      <w:tr w14:paraId="1060AB06">
        <w:tblPrEx>
          <w:tblCellMar>
            <w:top w:w="15" w:type="dxa"/>
            <w:left w:w="15" w:type="dxa"/>
            <w:bottom w:w="15" w:type="dxa"/>
            <w:right w:w="15" w:type="dxa"/>
          </w:tblCellMar>
        </w:tblPrEx>
        <w:trPr>
          <w:trHeight w:val="1262"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4DBC6E00">
            <w:pPr>
              <w:spacing w:line="240" w:lineRule="auto"/>
              <w:ind w:firstLine="400"/>
              <w:jc w:val="center"/>
              <w:rPr>
                <w:rFonts w:ascii="Arial Narrow" w:hAnsi="Arial Narrow" w:cs="Arial Narrow"/>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119CF8A">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财务监控有效性（3）</w:t>
            </w:r>
          </w:p>
        </w:tc>
        <w:tc>
          <w:tcPr>
            <w:tcW w:w="2632" w:type="dxa"/>
            <w:tcBorders>
              <w:top w:val="single" w:color="000000" w:sz="4" w:space="0"/>
              <w:left w:val="single" w:color="000000" w:sz="4" w:space="0"/>
              <w:bottom w:val="single" w:color="000000" w:sz="4" w:space="0"/>
              <w:right w:val="single" w:color="000000" w:sz="4" w:space="0"/>
            </w:tcBorders>
            <w:vAlign w:val="center"/>
          </w:tcPr>
          <w:p w14:paraId="58843D19">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项目实施单位是否为保障资金的安全、规范运行而采取了必要的监控措施，用以反映和考核项目实施单位对资金运行的控制情况。</w:t>
            </w:r>
          </w:p>
        </w:tc>
        <w:tc>
          <w:tcPr>
            <w:tcW w:w="3847" w:type="dxa"/>
            <w:tcBorders>
              <w:top w:val="single" w:color="000000" w:sz="4" w:space="0"/>
              <w:left w:val="single" w:color="000000" w:sz="4" w:space="0"/>
              <w:bottom w:val="single" w:color="000000" w:sz="4" w:space="0"/>
              <w:right w:val="single" w:color="000000" w:sz="4" w:space="0"/>
            </w:tcBorders>
            <w:vAlign w:val="center"/>
          </w:tcPr>
          <w:p w14:paraId="54B59B5F">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评价要点：</w:t>
            </w:r>
          </w:p>
          <w:p w14:paraId="6934903D">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①项目的重大开支是否经过集体决策和评估认证。</w:t>
            </w:r>
          </w:p>
          <w:p w14:paraId="33AA6C36">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②资金的拨付是否有完整的审批程序和手续。</w:t>
            </w:r>
          </w:p>
        </w:tc>
      </w:tr>
      <w:tr w14:paraId="210EC312">
        <w:tblPrEx>
          <w:tblCellMar>
            <w:top w:w="15" w:type="dxa"/>
            <w:left w:w="15" w:type="dxa"/>
            <w:bottom w:w="15" w:type="dxa"/>
            <w:right w:w="15" w:type="dxa"/>
          </w:tblCellMar>
        </w:tblPrEx>
        <w:trPr>
          <w:trHeight w:val="1249" w:hRule="atLeast"/>
        </w:trPr>
        <w:tc>
          <w:tcPr>
            <w:tcW w:w="625" w:type="dxa"/>
            <w:vMerge w:val="restart"/>
            <w:tcBorders>
              <w:left w:val="single" w:color="000000" w:sz="4" w:space="0"/>
              <w:bottom w:val="single" w:color="000000" w:sz="4" w:space="0"/>
              <w:right w:val="single" w:color="000000" w:sz="4" w:space="0"/>
            </w:tcBorders>
            <w:vAlign w:val="center"/>
          </w:tcPr>
          <w:p w14:paraId="1FEC3639">
            <w:pPr>
              <w:widowControl/>
              <w:spacing w:line="240" w:lineRule="auto"/>
              <w:ind w:firstLine="0" w:firstLineChars="0"/>
              <w:jc w:val="center"/>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项目实施（10）</w:t>
            </w:r>
          </w:p>
        </w:tc>
        <w:tc>
          <w:tcPr>
            <w:tcW w:w="1260" w:type="dxa"/>
            <w:tcBorders>
              <w:top w:val="single" w:color="000000" w:sz="4" w:space="0"/>
              <w:left w:val="single" w:color="000000" w:sz="4" w:space="0"/>
              <w:bottom w:val="single" w:color="000000" w:sz="4" w:space="0"/>
              <w:right w:val="single" w:color="000000" w:sz="4" w:space="0"/>
            </w:tcBorders>
            <w:vAlign w:val="center"/>
          </w:tcPr>
          <w:p w14:paraId="135FF556">
            <w:pPr>
              <w:widowControl/>
              <w:spacing w:line="240" w:lineRule="auto"/>
              <w:ind w:firstLine="0" w:firstLineChars="0"/>
              <w:jc w:val="left"/>
              <w:rPr>
                <w:rFonts w:ascii="仿宋_GB2312" w:hAnsi="宋体"/>
                <w:kern w:val="0"/>
                <w:sz w:val="20"/>
                <w:szCs w:val="20"/>
              </w:rPr>
            </w:pPr>
            <w:r>
              <w:rPr>
                <w:rFonts w:ascii="Arial Narrow" w:hAnsi="Arial Narrow" w:cs="Arial Narrow"/>
                <w:color w:val="000000"/>
                <w:kern w:val="0"/>
                <w:sz w:val="20"/>
                <w:szCs w:val="20"/>
                <w:lang w:bidi="ar"/>
              </w:rPr>
              <w:t>组织机构健全性（</w:t>
            </w:r>
            <w:r>
              <w:rPr>
                <w:rFonts w:hint="eastAsia" w:ascii="Arial Narrow" w:hAnsi="Arial Narrow" w:cs="Arial Narrow"/>
                <w:color w:val="000000"/>
                <w:kern w:val="0"/>
                <w:sz w:val="20"/>
                <w:szCs w:val="20"/>
                <w:lang w:bidi="ar"/>
              </w:rPr>
              <w:t>5</w:t>
            </w:r>
            <w:r>
              <w:rPr>
                <w:rFonts w:ascii="Arial Narrow" w:hAnsi="Arial Narrow" w:cs="Arial Narrow"/>
                <w:color w:val="000000"/>
                <w:kern w:val="0"/>
                <w:sz w:val="20"/>
                <w:szCs w:val="20"/>
                <w:lang w:bidi="ar"/>
              </w:rPr>
              <w:t>）</w:t>
            </w:r>
          </w:p>
        </w:tc>
        <w:tc>
          <w:tcPr>
            <w:tcW w:w="2632" w:type="dxa"/>
            <w:tcBorders>
              <w:top w:val="single" w:color="000000" w:sz="4" w:space="0"/>
              <w:left w:val="single" w:color="000000" w:sz="4" w:space="0"/>
              <w:bottom w:val="single" w:color="000000" w:sz="4" w:space="0"/>
              <w:right w:val="single" w:color="000000" w:sz="4" w:space="0"/>
            </w:tcBorders>
            <w:vAlign w:val="center"/>
          </w:tcPr>
          <w:p w14:paraId="3848A41A">
            <w:pPr>
              <w:widowControl/>
              <w:spacing w:line="240" w:lineRule="auto"/>
              <w:ind w:firstLine="0" w:firstLineChars="0"/>
              <w:jc w:val="left"/>
              <w:rPr>
                <w:rFonts w:ascii="仿宋_GB2312" w:hAnsi="宋体"/>
                <w:kern w:val="0"/>
                <w:sz w:val="20"/>
                <w:szCs w:val="20"/>
              </w:rPr>
            </w:pPr>
            <w:r>
              <w:rPr>
                <w:rFonts w:hint="eastAsia" w:ascii="Arial Narrow" w:hAnsi="Arial Narrow" w:cs="Arial Narrow"/>
                <w:color w:val="000000"/>
                <w:kern w:val="0"/>
                <w:sz w:val="20"/>
                <w:szCs w:val="20"/>
                <w:lang w:bidi="ar"/>
              </w:rPr>
              <w:t>项目实施单位的组织机构是否健全，分工是否明确，用以反映和考核组织机构的情况。</w:t>
            </w:r>
          </w:p>
        </w:tc>
        <w:tc>
          <w:tcPr>
            <w:tcW w:w="3847" w:type="dxa"/>
            <w:tcBorders>
              <w:top w:val="single" w:color="000000" w:sz="4" w:space="0"/>
              <w:left w:val="single" w:color="000000" w:sz="4" w:space="0"/>
              <w:bottom w:val="single" w:color="000000" w:sz="4" w:space="0"/>
              <w:right w:val="single" w:color="000000" w:sz="4" w:space="0"/>
            </w:tcBorders>
            <w:vAlign w:val="center"/>
          </w:tcPr>
          <w:p w14:paraId="6B51B96C">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项目实施单位组织结构是否健全、分工是否明确。</w:t>
            </w:r>
          </w:p>
        </w:tc>
      </w:tr>
      <w:tr w14:paraId="1F0E3F54">
        <w:tblPrEx>
          <w:tblCellMar>
            <w:top w:w="15" w:type="dxa"/>
            <w:left w:w="15" w:type="dxa"/>
            <w:bottom w:w="15" w:type="dxa"/>
            <w:right w:w="15" w:type="dxa"/>
          </w:tblCellMar>
        </w:tblPrEx>
        <w:trPr>
          <w:trHeight w:val="944" w:hRule="atLeast"/>
        </w:trPr>
        <w:tc>
          <w:tcPr>
            <w:tcW w:w="625" w:type="dxa"/>
            <w:vMerge w:val="continue"/>
            <w:tcBorders>
              <w:left w:val="single" w:color="000000" w:sz="4" w:space="0"/>
              <w:bottom w:val="single" w:color="000000" w:sz="4" w:space="0"/>
              <w:right w:val="single" w:color="000000" w:sz="4" w:space="0"/>
            </w:tcBorders>
            <w:vAlign w:val="center"/>
          </w:tcPr>
          <w:p w14:paraId="2E86FAAD">
            <w:pPr>
              <w:spacing w:line="240" w:lineRule="auto"/>
              <w:ind w:firstLine="400"/>
              <w:jc w:val="center"/>
              <w:rPr>
                <w:rFonts w:ascii="Arial Narrow" w:hAnsi="Arial Narrow" w:cs="Arial Narrow"/>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CCDE8C8">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项目档案资料完整性（</w:t>
            </w:r>
            <w:r>
              <w:rPr>
                <w:rFonts w:hint="eastAsia" w:ascii="Arial Narrow" w:hAnsi="Arial Narrow" w:cs="Arial Narrow"/>
                <w:color w:val="000000"/>
                <w:kern w:val="0"/>
                <w:sz w:val="20"/>
                <w:szCs w:val="20"/>
                <w:lang w:bidi="ar"/>
              </w:rPr>
              <w:t>5</w:t>
            </w:r>
            <w:r>
              <w:rPr>
                <w:rFonts w:ascii="Arial Narrow" w:hAnsi="Arial Narrow" w:cs="Arial Narrow"/>
                <w:color w:val="000000"/>
                <w:kern w:val="0"/>
                <w:sz w:val="20"/>
                <w:szCs w:val="20"/>
                <w:lang w:bidi="ar"/>
              </w:rPr>
              <w:t>）</w:t>
            </w:r>
          </w:p>
        </w:tc>
        <w:tc>
          <w:tcPr>
            <w:tcW w:w="2632" w:type="dxa"/>
            <w:tcBorders>
              <w:top w:val="single" w:color="000000" w:sz="4" w:space="0"/>
              <w:left w:val="single" w:color="000000" w:sz="4" w:space="0"/>
              <w:bottom w:val="single" w:color="000000" w:sz="4" w:space="0"/>
              <w:right w:val="single" w:color="000000" w:sz="4" w:space="0"/>
            </w:tcBorders>
            <w:vAlign w:val="center"/>
          </w:tcPr>
          <w:p w14:paraId="54029F87">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项目相关档案的保存是否完整，用以考核项目的档案管理合规性。</w:t>
            </w:r>
          </w:p>
        </w:tc>
        <w:tc>
          <w:tcPr>
            <w:tcW w:w="3847" w:type="dxa"/>
            <w:tcBorders>
              <w:top w:val="single" w:color="000000" w:sz="4" w:space="0"/>
              <w:left w:val="single" w:color="000000" w:sz="4" w:space="0"/>
              <w:bottom w:val="single" w:color="000000" w:sz="4" w:space="0"/>
              <w:right w:val="single" w:color="000000" w:sz="4" w:space="0"/>
            </w:tcBorders>
            <w:vAlign w:val="center"/>
          </w:tcPr>
          <w:p w14:paraId="7A78FF65">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项目相关资料的保存是否完整、齐全，资料是否有序归档。</w:t>
            </w:r>
          </w:p>
        </w:tc>
      </w:tr>
      <w:tr w14:paraId="2C1F6EA9">
        <w:tblPrEx>
          <w:tblCellMar>
            <w:top w:w="15" w:type="dxa"/>
            <w:left w:w="15" w:type="dxa"/>
            <w:bottom w:w="15" w:type="dxa"/>
            <w:right w:w="15" w:type="dxa"/>
          </w:tblCellMar>
        </w:tblPrEx>
        <w:trPr>
          <w:trHeight w:val="1235" w:hRule="atLeast"/>
        </w:trPr>
        <w:tc>
          <w:tcPr>
            <w:tcW w:w="625" w:type="dxa"/>
            <w:vMerge w:val="restart"/>
            <w:tcBorders>
              <w:top w:val="single" w:color="000000" w:sz="4" w:space="0"/>
              <w:left w:val="single" w:color="000000" w:sz="4" w:space="0"/>
              <w:bottom w:val="single" w:color="000000" w:sz="4" w:space="0"/>
              <w:right w:val="single" w:color="000000" w:sz="4" w:space="0"/>
            </w:tcBorders>
            <w:vAlign w:val="center"/>
          </w:tcPr>
          <w:p w14:paraId="726086AC">
            <w:pPr>
              <w:widowControl/>
              <w:spacing w:line="240" w:lineRule="auto"/>
              <w:ind w:firstLine="0" w:firstLineChars="0"/>
              <w:jc w:val="center"/>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项目</w:t>
            </w:r>
            <w:r>
              <w:rPr>
                <w:rFonts w:ascii="Arial Narrow" w:hAnsi="Arial Narrow" w:cs="Arial Narrow"/>
                <w:color w:val="000000"/>
                <w:kern w:val="0"/>
                <w:sz w:val="20"/>
                <w:szCs w:val="20"/>
                <w:lang w:bidi="ar"/>
              </w:rPr>
              <w:t>产出（26）</w:t>
            </w:r>
          </w:p>
          <w:p w14:paraId="6ED35720">
            <w:pPr>
              <w:widowControl/>
              <w:spacing w:line="240" w:lineRule="auto"/>
              <w:ind w:firstLine="0" w:firstLineChars="0"/>
              <w:textAlignment w:val="center"/>
              <w:rPr>
                <w:rFonts w:ascii="Arial Narrow" w:hAnsi="Arial Narrow" w:cs="Arial Narrow"/>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2F0CAFF">
            <w:pPr>
              <w:widowControl/>
              <w:spacing w:line="240" w:lineRule="auto"/>
              <w:ind w:firstLine="0" w:firstLineChars="0"/>
              <w:jc w:val="left"/>
              <w:rPr>
                <w:rFonts w:ascii="仿宋_GB2312" w:hAnsi="宋体"/>
                <w:kern w:val="0"/>
                <w:sz w:val="20"/>
                <w:szCs w:val="20"/>
              </w:rPr>
            </w:pPr>
            <w:r>
              <w:rPr>
                <w:rFonts w:hint="eastAsia" w:ascii="Arial Narrow" w:hAnsi="Arial Narrow" w:cs="Arial Narrow"/>
                <w:color w:val="000000"/>
                <w:kern w:val="0"/>
                <w:sz w:val="20"/>
                <w:szCs w:val="20"/>
                <w:lang w:bidi="ar"/>
              </w:rPr>
              <w:t>代表活动开展情况（</w:t>
            </w:r>
            <w:r>
              <w:rPr>
                <w:rFonts w:ascii="Arial Narrow" w:hAnsi="Arial Narrow" w:cs="Arial Narrow"/>
                <w:color w:val="000000"/>
                <w:kern w:val="0"/>
                <w:sz w:val="20"/>
                <w:szCs w:val="20"/>
                <w:lang w:bidi="ar"/>
              </w:rPr>
              <w:t>4</w:t>
            </w:r>
            <w:r>
              <w:rPr>
                <w:rFonts w:hint="eastAsia" w:ascii="Arial Narrow" w:hAnsi="Arial Narrow" w:cs="Arial Narrow"/>
                <w:color w:val="000000"/>
                <w:kern w:val="0"/>
                <w:sz w:val="20"/>
                <w:szCs w:val="20"/>
                <w:lang w:bidi="ar"/>
              </w:rPr>
              <w:t>）</w:t>
            </w:r>
          </w:p>
        </w:tc>
        <w:tc>
          <w:tcPr>
            <w:tcW w:w="2632" w:type="dxa"/>
            <w:tcBorders>
              <w:top w:val="single" w:color="000000" w:sz="4" w:space="0"/>
              <w:left w:val="single" w:color="000000" w:sz="4" w:space="0"/>
              <w:bottom w:val="single" w:color="000000" w:sz="4" w:space="0"/>
              <w:right w:val="single" w:color="000000" w:sz="4" w:space="0"/>
            </w:tcBorders>
            <w:vAlign w:val="center"/>
          </w:tcPr>
          <w:p w14:paraId="6749CDA4">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项目实施单位是否按计划开展代表活动，用以反映和考核项目实施后的数量指标。</w:t>
            </w:r>
          </w:p>
        </w:tc>
        <w:tc>
          <w:tcPr>
            <w:tcW w:w="3847" w:type="dxa"/>
            <w:tcBorders>
              <w:top w:val="single" w:color="000000" w:sz="4" w:space="0"/>
              <w:left w:val="single" w:color="000000" w:sz="4" w:space="0"/>
              <w:bottom w:val="single" w:color="000000" w:sz="4" w:space="0"/>
              <w:right w:val="single" w:color="000000" w:sz="4" w:space="0"/>
            </w:tcBorders>
            <w:vAlign w:val="center"/>
          </w:tcPr>
          <w:p w14:paraId="74999D55">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评价要点：</w:t>
            </w:r>
          </w:p>
          <w:p w14:paraId="58DBD001">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项目实施单位是否积极开展代表活动，密切人大代表与人民群众的联系，发挥代表在了解民情、反映民意、集中民智方面的作用。</w:t>
            </w:r>
          </w:p>
        </w:tc>
      </w:tr>
      <w:tr w14:paraId="7E9B5CFC">
        <w:tblPrEx>
          <w:tblCellMar>
            <w:top w:w="15" w:type="dxa"/>
            <w:left w:w="15" w:type="dxa"/>
            <w:bottom w:w="15" w:type="dxa"/>
            <w:right w:w="15" w:type="dxa"/>
          </w:tblCellMar>
        </w:tblPrEx>
        <w:trPr>
          <w:trHeight w:val="721"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2E6A1643">
            <w:pPr>
              <w:widowControl/>
              <w:spacing w:line="240" w:lineRule="auto"/>
              <w:ind w:firstLine="0" w:firstLineChars="0"/>
              <w:jc w:val="center"/>
              <w:textAlignment w:val="center"/>
              <w:rPr>
                <w:rFonts w:ascii="Arial Narrow" w:hAnsi="Arial Narrow" w:cs="Arial Narrow"/>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A0A0B3D">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培训工作完成率（4）</w:t>
            </w:r>
          </w:p>
        </w:tc>
        <w:tc>
          <w:tcPr>
            <w:tcW w:w="2632" w:type="dxa"/>
            <w:tcBorders>
              <w:top w:val="single" w:color="000000" w:sz="4" w:space="0"/>
              <w:left w:val="single" w:color="000000" w:sz="4" w:space="0"/>
              <w:bottom w:val="single" w:color="000000" w:sz="4" w:space="0"/>
              <w:right w:val="single" w:color="000000" w:sz="4" w:space="0"/>
            </w:tcBorders>
            <w:vAlign w:val="center"/>
          </w:tcPr>
          <w:p w14:paraId="6508F944">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项目实施单位是否按计划开展培训工作，用以反映和考核项目实施后的数量指标。</w:t>
            </w:r>
          </w:p>
        </w:tc>
        <w:tc>
          <w:tcPr>
            <w:tcW w:w="3847" w:type="dxa"/>
            <w:tcBorders>
              <w:top w:val="single" w:color="000000" w:sz="4" w:space="0"/>
              <w:left w:val="single" w:color="000000" w:sz="4" w:space="0"/>
              <w:bottom w:val="single" w:color="000000" w:sz="4" w:space="0"/>
              <w:right w:val="single" w:color="000000" w:sz="4" w:space="0"/>
            </w:tcBorders>
            <w:vAlign w:val="center"/>
          </w:tcPr>
          <w:p w14:paraId="210364B7">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sz w:val="20"/>
                <w:szCs w:val="20"/>
              </w:rPr>
              <w:t>培训工作完成率=实际参与的培训数/计划参与的培训数*100%</w:t>
            </w:r>
          </w:p>
        </w:tc>
      </w:tr>
      <w:tr w14:paraId="7B8CF800">
        <w:tblPrEx>
          <w:tblCellMar>
            <w:top w:w="15" w:type="dxa"/>
            <w:left w:w="15" w:type="dxa"/>
            <w:bottom w:w="15" w:type="dxa"/>
            <w:right w:w="15" w:type="dxa"/>
          </w:tblCellMar>
        </w:tblPrEx>
        <w:trPr>
          <w:trHeight w:val="721"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74740450">
            <w:pPr>
              <w:widowControl/>
              <w:spacing w:line="240" w:lineRule="auto"/>
              <w:ind w:firstLine="0" w:firstLineChars="0"/>
              <w:jc w:val="center"/>
              <w:textAlignment w:val="center"/>
              <w:rPr>
                <w:rFonts w:ascii="Arial Narrow" w:hAnsi="Arial Narrow" w:cs="Arial Narrow"/>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19F0615">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培训到训率（</w:t>
            </w:r>
            <w:r>
              <w:rPr>
                <w:rFonts w:ascii="Arial Narrow" w:hAnsi="Arial Narrow" w:cs="Arial Narrow"/>
                <w:color w:val="000000"/>
                <w:kern w:val="0"/>
                <w:sz w:val="20"/>
                <w:szCs w:val="20"/>
                <w:lang w:bidi="ar"/>
              </w:rPr>
              <w:t>5</w:t>
            </w:r>
            <w:r>
              <w:rPr>
                <w:rFonts w:hint="eastAsia" w:ascii="Arial Narrow" w:hAnsi="Arial Narrow" w:cs="Arial Narrow"/>
                <w:color w:val="000000"/>
                <w:kern w:val="0"/>
                <w:sz w:val="20"/>
                <w:szCs w:val="20"/>
                <w:lang w:bidi="ar"/>
              </w:rPr>
              <w:t>）</w:t>
            </w:r>
          </w:p>
        </w:tc>
        <w:tc>
          <w:tcPr>
            <w:tcW w:w="2632" w:type="dxa"/>
            <w:tcBorders>
              <w:top w:val="single" w:color="000000" w:sz="4" w:space="0"/>
              <w:left w:val="single" w:color="000000" w:sz="4" w:space="0"/>
              <w:bottom w:val="single" w:color="000000" w:sz="4" w:space="0"/>
              <w:right w:val="single" w:color="000000" w:sz="4" w:space="0"/>
            </w:tcBorders>
            <w:vAlign w:val="center"/>
          </w:tcPr>
          <w:p w14:paraId="54DE4C85">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项目实施后，实际参加培训的代表数与计划参加培训的代表数的比，用以反映和考核项目实施后的质量指标。</w:t>
            </w:r>
          </w:p>
        </w:tc>
        <w:tc>
          <w:tcPr>
            <w:tcW w:w="3847" w:type="dxa"/>
            <w:tcBorders>
              <w:top w:val="single" w:color="000000" w:sz="4" w:space="0"/>
              <w:left w:val="single" w:color="000000" w:sz="4" w:space="0"/>
              <w:bottom w:val="single" w:color="000000" w:sz="4" w:space="0"/>
              <w:right w:val="single" w:color="000000" w:sz="4" w:space="0"/>
            </w:tcBorders>
            <w:vAlign w:val="center"/>
          </w:tcPr>
          <w:p w14:paraId="0196A184">
            <w:pPr>
              <w:ind w:firstLine="0" w:firstLineChars="0"/>
              <w:rPr>
                <w:rFonts w:ascii="Arial Narrow" w:hAnsi="Arial Narrow" w:cs="Arial Narrow"/>
                <w:sz w:val="20"/>
                <w:szCs w:val="20"/>
              </w:rPr>
            </w:pPr>
            <w:r>
              <w:rPr>
                <w:rFonts w:hint="eastAsia" w:ascii="Arial Narrow" w:hAnsi="Arial Narrow" w:cs="Arial Narrow"/>
                <w:color w:val="000000"/>
                <w:kern w:val="0"/>
                <w:sz w:val="20"/>
                <w:szCs w:val="20"/>
                <w:lang w:bidi="ar"/>
              </w:rPr>
              <w:t>培训到训率=实际参加培训的代表人次/计划参加培训的代表人次*100%</w:t>
            </w:r>
          </w:p>
        </w:tc>
      </w:tr>
      <w:tr w14:paraId="2EBB7159">
        <w:tblPrEx>
          <w:tblCellMar>
            <w:top w:w="15" w:type="dxa"/>
            <w:left w:w="15" w:type="dxa"/>
            <w:bottom w:w="15" w:type="dxa"/>
            <w:right w:w="15" w:type="dxa"/>
          </w:tblCellMar>
        </w:tblPrEx>
        <w:trPr>
          <w:trHeight w:val="721"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1FF48831">
            <w:pPr>
              <w:widowControl/>
              <w:spacing w:line="240" w:lineRule="auto"/>
              <w:ind w:firstLine="0" w:firstLineChars="0"/>
              <w:jc w:val="center"/>
              <w:textAlignment w:val="center"/>
              <w:rPr>
                <w:rFonts w:ascii="Arial Narrow" w:hAnsi="Arial Narrow" w:cs="Arial Narrow"/>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7EDD607">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议案建议督办率（</w:t>
            </w:r>
            <w:r>
              <w:rPr>
                <w:rFonts w:ascii="Arial Narrow" w:hAnsi="Arial Narrow" w:cs="Arial Narrow"/>
                <w:color w:val="000000"/>
                <w:kern w:val="0"/>
                <w:sz w:val="20"/>
                <w:szCs w:val="20"/>
                <w:lang w:bidi="ar"/>
              </w:rPr>
              <w:t>5</w:t>
            </w:r>
            <w:r>
              <w:rPr>
                <w:rFonts w:hint="eastAsia" w:ascii="Arial Narrow" w:hAnsi="Arial Narrow" w:cs="Arial Narrow"/>
                <w:color w:val="000000"/>
                <w:kern w:val="0"/>
                <w:sz w:val="20"/>
                <w:szCs w:val="20"/>
                <w:lang w:bidi="ar"/>
              </w:rPr>
              <w:t>）</w:t>
            </w:r>
          </w:p>
        </w:tc>
        <w:tc>
          <w:tcPr>
            <w:tcW w:w="2632" w:type="dxa"/>
            <w:tcBorders>
              <w:top w:val="single" w:color="000000" w:sz="4" w:space="0"/>
              <w:left w:val="single" w:color="000000" w:sz="4" w:space="0"/>
              <w:bottom w:val="single" w:color="000000" w:sz="4" w:space="0"/>
              <w:right w:val="single" w:color="000000" w:sz="4" w:space="0"/>
            </w:tcBorders>
            <w:vAlign w:val="center"/>
          </w:tcPr>
          <w:p w14:paraId="45CB8B8C">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项目实施单位实际督办议案数量与于十五届人大一次会议上提出议案数量的比率，用以反映和考核议案督办情况。</w:t>
            </w:r>
          </w:p>
        </w:tc>
        <w:tc>
          <w:tcPr>
            <w:tcW w:w="3847" w:type="dxa"/>
            <w:tcBorders>
              <w:top w:val="single" w:color="000000" w:sz="4" w:space="0"/>
              <w:left w:val="single" w:color="000000" w:sz="4" w:space="0"/>
              <w:bottom w:val="single" w:color="000000" w:sz="4" w:space="0"/>
              <w:right w:val="single" w:color="000000" w:sz="4" w:space="0"/>
            </w:tcBorders>
            <w:vAlign w:val="center"/>
          </w:tcPr>
          <w:p w14:paraId="53D42262">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议案建议督办率=实际督办议案数量/十五届一次会议提出议案数量×100%</w:t>
            </w:r>
          </w:p>
        </w:tc>
      </w:tr>
      <w:tr w14:paraId="7F7DF999">
        <w:tblPrEx>
          <w:tblCellMar>
            <w:top w:w="15" w:type="dxa"/>
            <w:left w:w="15" w:type="dxa"/>
            <w:bottom w:w="15" w:type="dxa"/>
            <w:right w:w="15" w:type="dxa"/>
          </w:tblCellMar>
        </w:tblPrEx>
        <w:trPr>
          <w:trHeight w:val="721"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62D064E4">
            <w:pPr>
              <w:widowControl/>
              <w:spacing w:line="240" w:lineRule="auto"/>
              <w:ind w:firstLine="0" w:firstLineChars="0"/>
              <w:jc w:val="center"/>
              <w:textAlignment w:val="center"/>
              <w:rPr>
                <w:rFonts w:ascii="Arial Narrow" w:hAnsi="Arial Narrow" w:cs="Arial Narrow"/>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59627CC">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sz w:val="20"/>
                <w:szCs w:val="20"/>
              </w:rPr>
              <w:t>资金使用率（</w:t>
            </w:r>
            <w:r>
              <w:rPr>
                <w:rFonts w:ascii="Arial Narrow" w:hAnsi="Arial Narrow" w:cs="Arial Narrow"/>
                <w:color w:val="000000"/>
                <w:sz w:val="20"/>
                <w:szCs w:val="20"/>
              </w:rPr>
              <w:t>4</w:t>
            </w:r>
            <w:r>
              <w:rPr>
                <w:rFonts w:hint="eastAsia" w:ascii="Arial Narrow" w:hAnsi="Arial Narrow" w:cs="Arial Narrow"/>
                <w:color w:val="000000"/>
                <w:sz w:val="20"/>
                <w:szCs w:val="20"/>
              </w:rPr>
              <w:t>）</w:t>
            </w:r>
          </w:p>
        </w:tc>
        <w:tc>
          <w:tcPr>
            <w:tcW w:w="2632" w:type="dxa"/>
            <w:tcBorders>
              <w:top w:val="single" w:color="000000" w:sz="4" w:space="0"/>
              <w:left w:val="single" w:color="000000" w:sz="4" w:space="0"/>
              <w:bottom w:val="single" w:color="000000" w:sz="4" w:space="0"/>
              <w:right w:val="single" w:color="000000" w:sz="4" w:space="0"/>
            </w:tcBorders>
            <w:vAlign w:val="center"/>
          </w:tcPr>
          <w:p w14:paraId="3A43A825">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sz w:val="20"/>
                <w:szCs w:val="20"/>
              </w:rPr>
              <w:t>项目实际支出与项目到位资金的比率，用以反映和考核项目资金使用情况。</w:t>
            </w:r>
          </w:p>
        </w:tc>
        <w:tc>
          <w:tcPr>
            <w:tcW w:w="3847" w:type="dxa"/>
            <w:tcBorders>
              <w:top w:val="single" w:color="000000" w:sz="4" w:space="0"/>
              <w:left w:val="single" w:color="000000" w:sz="4" w:space="0"/>
              <w:bottom w:val="single" w:color="000000" w:sz="4" w:space="0"/>
              <w:right w:val="single" w:color="000000" w:sz="4" w:space="0"/>
            </w:tcBorders>
            <w:vAlign w:val="center"/>
          </w:tcPr>
          <w:p w14:paraId="0E3A073B">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sz w:val="20"/>
                <w:szCs w:val="20"/>
              </w:rPr>
              <w:t>资金使用率=项目实际支出/项目到位资金×100%。</w:t>
            </w:r>
          </w:p>
          <w:p w14:paraId="652A91F0">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sz w:val="20"/>
                <w:szCs w:val="20"/>
              </w:rPr>
              <w:t>实际支出：项目实施单位为完成既定工作目标一定时期（本年度或项目期）内实际所耗费的支出。</w:t>
            </w:r>
          </w:p>
          <w:p w14:paraId="3A1D919F">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sz w:val="20"/>
                <w:szCs w:val="20"/>
              </w:rPr>
              <w:t>到位资金：一定时期（本年度或项目期）内实际落实到具体项目的资金。</w:t>
            </w:r>
          </w:p>
        </w:tc>
      </w:tr>
      <w:tr w14:paraId="413073E6">
        <w:tblPrEx>
          <w:tblCellMar>
            <w:top w:w="15" w:type="dxa"/>
            <w:left w:w="15" w:type="dxa"/>
            <w:bottom w:w="15" w:type="dxa"/>
            <w:right w:w="15" w:type="dxa"/>
          </w:tblCellMar>
        </w:tblPrEx>
        <w:trPr>
          <w:trHeight w:val="920"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2A0F0CB9">
            <w:pPr>
              <w:spacing w:line="240" w:lineRule="auto"/>
              <w:ind w:firstLine="400"/>
              <w:jc w:val="center"/>
              <w:rPr>
                <w:rFonts w:ascii="Arial Narrow" w:hAnsi="Arial Narrow" w:cs="Arial Narrow"/>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9B1391C">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人大代表技能提升度（4）</w:t>
            </w:r>
          </w:p>
        </w:tc>
        <w:tc>
          <w:tcPr>
            <w:tcW w:w="2632" w:type="dxa"/>
            <w:tcBorders>
              <w:top w:val="single" w:color="000000" w:sz="4" w:space="0"/>
              <w:left w:val="single" w:color="000000" w:sz="4" w:space="0"/>
              <w:bottom w:val="single" w:color="000000" w:sz="4" w:space="0"/>
              <w:right w:val="single" w:color="000000" w:sz="4" w:space="0"/>
            </w:tcBorders>
            <w:vAlign w:val="center"/>
          </w:tcPr>
          <w:p w14:paraId="50708665">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项目实施后，人大代表技能提升的程度，用以反映和考核项目实施后的社会效益。</w:t>
            </w:r>
          </w:p>
        </w:tc>
        <w:tc>
          <w:tcPr>
            <w:tcW w:w="3847" w:type="dxa"/>
            <w:tcBorders>
              <w:top w:val="single" w:color="000000" w:sz="4" w:space="0"/>
              <w:left w:val="single" w:color="000000" w:sz="4" w:space="0"/>
              <w:bottom w:val="single" w:color="000000" w:sz="4" w:space="0"/>
              <w:right w:val="single" w:color="000000" w:sz="4" w:space="0"/>
            </w:tcBorders>
            <w:vAlign w:val="center"/>
          </w:tcPr>
          <w:p w14:paraId="391E7787">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评价要点：</w:t>
            </w:r>
          </w:p>
          <w:p w14:paraId="33870AE5">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①人大代表参加培训后，是否及时撰写培训记录、培训报告；</w:t>
            </w:r>
          </w:p>
          <w:p w14:paraId="69FE7DC4">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②参训代表是否将培训内容传授给其他未参训代表；</w:t>
            </w:r>
          </w:p>
          <w:p w14:paraId="7DC3B6EF">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③是否组织考核，对培训内容进行考校。</w:t>
            </w:r>
          </w:p>
        </w:tc>
      </w:tr>
      <w:tr w14:paraId="64A4EEB6">
        <w:tblPrEx>
          <w:tblCellMar>
            <w:top w:w="15" w:type="dxa"/>
            <w:left w:w="15" w:type="dxa"/>
            <w:bottom w:w="15" w:type="dxa"/>
            <w:right w:w="15" w:type="dxa"/>
          </w:tblCellMar>
        </w:tblPrEx>
        <w:trPr>
          <w:trHeight w:val="793" w:hRule="atLeast"/>
        </w:trPr>
        <w:tc>
          <w:tcPr>
            <w:tcW w:w="625" w:type="dxa"/>
            <w:vMerge w:val="restart"/>
            <w:tcBorders>
              <w:top w:val="single" w:color="000000" w:sz="4" w:space="0"/>
              <w:left w:val="single" w:color="000000" w:sz="4" w:space="0"/>
              <w:bottom w:val="single" w:color="000000" w:sz="4" w:space="0"/>
              <w:right w:val="single" w:color="000000" w:sz="4" w:space="0"/>
            </w:tcBorders>
            <w:vAlign w:val="center"/>
          </w:tcPr>
          <w:p w14:paraId="5A5FADE4">
            <w:pPr>
              <w:spacing w:line="240" w:lineRule="auto"/>
              <w:ind w:firstLine="0" w:firstLineChars="0"/>
              <w:rPr>
                <w:rFonts w:ascii="Arial Narrow" w:hAnsi="Arial Narrow" w:cs="Arial Narrow"/>
                <w:color w:val="000000"/>
                <w:sz w:val="20"/>
                <w:szCs w:val="20"/>
              </w:rPr>
            </w:pPr>
            <w:r>
              <w:rPr>
                <w:rFonts w:hint="eastAsia" w:ascii="Arial Narrow" w:hAnsi="Arial Narrow" w:cs="Arial Narrow"/>
                <w:color w:val="000000"/>
                <w:sz w:val="20"/>
                <w:szCs w:val="20"/>
              </w:rPr>
              <w:t>项目</w:t>
            </w:r>
            <w:r>
              <w:rPr>
                <w:rFonts w:ascii="Arial Narrow" w:hAnsi="Arial Narrow" w:cs="Arial Narrow"/>
                <w:color w:val="000000"/>
                <w:sz w:val="20"/>
                <w:szCs w:val="20"/>
              </w:rPr>
              <w:t>效果</w:t>
            </w:r>
            <w:r>
              <w:rPr>
                <w:rFonts w:hint="eastAsia" w:ascii="Arial Narrow" w:hAnsi="Arial Narrow" w:cs="Arial Narrow"/>
                <w:color w:val="000000"/>
                <w:sz w:val="20"/>
                <w:szCs w:val="20"/>
              </w:rPr>
              <w:t>（3</w:t>
            </w:r>
            <w:r>
              <w:rPr>
                <w:rFonts w:ascii="Arial Narrow" w:hAnsi="Arial Narrow" w:cs="Arial Narrow"/>
                <w:color w:val="000000"/>
                <w:sz w:val="20"/>
                <w:szCs w:val="20"/>
              </w:rPr>
              <w:t>4</w:t>
            </w:r>
            <w:r>
              <w:rPr>
                <w:rFonts w:hint="eastAsia" w:ascii="Arial Narrow" w:hAnsi="Arial Narrow" w:cs="Arial Narrow"/>
                <w:color w:val="000000"/>
                <w:sz w:val="20"/>
                <w:szCs w:val="20"/>
              </w:rPr>
              <w:t>）</w:t>
            </w:r>
          </w:p>
        </w:tc>
        <w:tc>
          <w:tcPr>
            <w:tcW w:w="1260" w:type="dxa"/>
            <w:tcBorders>
              <w:top w:val="single" w:color="000000" w:sz="4" w:space="0"/>
              <w:left w:val="single" w:color="000000" w:sz="4" w:space="0"/>
              <w:bottom w:val="single" w:color="000000" w:sz="4" w:space="0"/>
              <w:right w:val="single" w:color="000000" w:sz="4" w:space="0"/>
            </w:tcBorders>
            <w:vAlign w:val="center"/>
          </w:tcPr>
          <w:p w14:paraId="393436C2">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接待、走访成果运用（8）</w:t>
            </w:r>
          </w:p>
        </w:tc>
        <w:tc>
          <w:tcPr>
            <w:tcW w:w="2632" w:type="dxa"/>
            <w:tcBorders>
              <w:top w:val="single" w:color="000000" w:sz="4" w:space="0"/>
              <w:left w:val="single" w:color="000000" w:sz="4" w:space="0"/>
              <w:bottom w:val="single" w:color="000000" w:sz="4" w:space="0"/>
              <w:right w:val="single" w:color="000000" w:sz="4" w:space="0"/>
            </w:tcBorders>
            <w:vAlign w:val="center"/>
          </w:tcPr>
          <w:p w14:paraId="742CF797">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仿宋_GB2312" w:hAnsi="宋体"/>
                <w:sz w:val="20"/>
                <w:szCs w:val="20"/>
              </w:rPr>
              <w:t>项目实施后，各项接待、走访工作是否形成相关报告；接待、走访工作成果是否得到运用，用以反映和考核项目的社会效益。</w:t>
            </w:r>
          </w:p>
        </w:tc>
        <w:tc>
          <w:tcPr>
            <w:tcW w:w="3847" w:type="dxa"/>
            <w:tcBorders>
              <w:top w:val="single" w:color="000000" w:sz="4" w:space="0"/>
              <w:left w:val="single" w:color="000000" w:sz="4" w:space="0"/>
              <w:bottom w:val="single" w:color="000000" w:sz="4" w:space="0"/>
              <w:right w:val="single" w:color="000000" w:sz="4" w:space="0"/>
            </w:tcBorders>
            <w:vAlign w:val="center"/>
          </w:tcPr>
          <w:p w14:paraId="733FB487">
            <w:pPr>
              <w:widowControl/>
              <w:spacing w:line="240" w:lineRule="auto"/>
              <w:ind w:firstLine="0" w:firstLineChars="0"/>
              <w:jc w:val="left"/>
              <w:rPr>
                <w:rFonts w:ascii="仿宋_GB2312" w:hAnsi="宋体"/>
                <w:sz w:val="20"/>
                <w:szCs w:val="20"/>
              </w:rPr>
            </w:pPr>
            <w:r>
              <w:rPr>
                <w:rFonts w:hint="eastAsia" w:ascii="仿宋_GB2312" w:hAnsi="宋体"/>
                <w:sz w:val="20"/>
                <w:szCs w:val="20"/>
              </w:rPr>
              <w:t>评价要点：</w:t>
            </w:r>
          </w:p>
          <w:p w14:paraId="05540D45">
            <w:pPr>
              <w:widowControl/>
              <w:spacing w:line="240" w:lineRule="auto"/>
              <w:ind w:firstLine="0" w:firstLineChars="0"/>
              <w:jc w:val="left"/>
              <w:rPr>
                <w:rFonts w:ascii="仿宋_GB2312" w:hAnsi="宋体"/>
                <w:sz w:val="20"/>
                <w:szCs w:val="20"/>
              </w:rPr>
            </w:pPr>
            <w:r>
              <w:rPr>
                <w:rFonts w:hint="eastAsia" w:ascii="仿宋_GB2312" w:hAnsi="宋体"/>
                <w:sz w:val="20"/>
                <w:szCs w:val="20"/>
              </w:rPr>
              <w:t>①相应的接待、走访结果是否得出结论并形成相关报告；</w:t>
            </w:r>
          </w:p>
          <w:p w14:paraId="277D326D">
            <w:pPr>
              <w:widowControl/>
              <w:spacing w:line="240" w:lineRule="auto"/>
              <w:ind w:firstLine="0" w:firstLineChars="0"/>
              <w:jc w:val="left"/>
              <w:rPr>
                <w:rFonts w:ascii="仿宋_GB2312" w:hAnsi="宋体"/>
                <w:sz w:val="20"/>
                <w:szCs w:val="20"/>
              </w:rPr>
            </w:pPr>
            <w:r>
              <w:rPr>
                <w:rFonts w:hint="eastAsia" w:ascii="仿宋_GB2312" w:hAnsi="宋体"/>
                <w:sz w:val="20"/>
                <w:szCs w:val="20"/>
              </w:rPr>
              <w:t>②接待、走访工作结果及相关报告是否形成建议；</w:t>
            </w:r>
          </w:p>
          <w:p w14:paraId="0C4D6A22">
            <w:pPr>
              <w:widowControl/>
              <w:spacing w:line="240" w:lineRule="auto"/>
              <w:ind w:firstLine="0" w:firstLineChars="0"/>
              <w:jc w:val="left"/>
              <w:rPr>
                <w:rFonts w:ascii="仿宋_GB2312" w:hAnsi="宋体"/>
                <w:sz w:val="20"/>
                <w:szCs w:val="20"/>
              </w:rPr>
            </w:pPr>
            <w:r>
              <w:rPr>
                <w:rFonts w:hint="eastAsia" w:ascii="仿宋_GB2312" w:hAnsi="宋体"/>
                <w:sz w:val="20"/>
                <w:szCs w:val="20"/>
              </w:rPr>
              <w:t>③相关建议是否得到答复并得到落实。</w:t>
            </w:r>
          </w:p>
          <w:p w14:paraId="6D5C8E0D">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仿宋_GB2312" w:hAnsi="宋体"/>
                <w:sz w:val="20"/>
                <w:szCs w:val="20"/>
              </w:rPr>
              <w:t>③相关建议是否得到应用</w:t>
            </w:r>
          </w:p>
        </w:tc>
      </w:tr>
      <w:tr w14:paraId="6B3BD673">
        <w:tblPrEx>
          <w:tblCellMar>
            <w:top w:w="15" w:type="dxa"/>
            <w:left w:w="15" w:type="dxa"/>
            <w:bottom w:w="15" w:type="dxa"/>
            <w:right w:w="15" w:type="dxa"/>
          </w:tblCellMar>
        </w:tblPrEx>
        <w:trPr>
          <w:trHeight w:val="836"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310D4DDE">
            <w:pPr>
              <w:spacing w:line="240" w:lineRule="auto"/>
              <w:ind w:firstLine="400"/>
              <w:jc w:val="center"/>
              <w:rPr>
                <w:rFonts w:ascii="Arial Narrow" w:hAnsi="Arial Narrow" w:cs="Arial Narrow"/>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61E4036">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仿宋_GB2312" w:hAnsi="宋体"/>
                <w:color w:val="000000"/>
                <w:sz w:val="20"/>
                <w:szCs w:val="20"/>
              </w:rPr>
              <w:t>代表工作室推进建设程度</w:t>
            </w:r>
            <w:r>
              <w:rPr>
                <w:rFonts w:hint="eastAsia" w:ascii="Arial Narrow" w:hAnsi="Arial Narrow" w:cs="Arial Narrow"/>
                <w:color w:val="000000"/>
                <w:kern w:val="0"/>
                <w:sz w:val="20"/>
                <w:szCs w:val="20"/>
                <w:lang w:bidi="ar"/>
              </w:rPr>
              <w:t>（6）</w:t>
            </w:r>
          </w:p>
        </w:tc>
        <w:tc>
          <w:tcPr>
            <w:tcW w:w="2632" w:type="dxa"/>
            <w:tcBorders>
              <w:top w:val="single" w:color="000000" w:sz="4" w:space="0"/>
              <w:left w:val="single" w:color="000000" w:sz="4" w:space="0"/>
              <w:bottom w:val="single" w:color="000000" w:sz="4" w:space="0"/>
              <w:right w:val="single" w:color="000000" w:sz="4" w:space="0"/>
            </w:tcBorders>
            <w:vAlign w:val="center"/>
          </w:tcPr>
          <w:p w14:paraId="1C7F98BB">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仿宋_GB2312" w:hAnsi="宋体"/>
                <w:sz w:val="20"/>
                <w:szCs w:val="20"/>
              </w:rPr>
              <w:t>项目实施单位是否规范统筹、推进代表工作室（站）建设工作。</w:t>
            </w:r>
          </w:p>
        </w:tc>
        <w:tc>
          <w:tcPr>
            <w:tcW w:w="3847" w:type="dxa"/>
            <w:tcBorders>
              <w:top w:val="single" w:color="000000" w:sz="4" w:space="0"/>
              <w:left w:val="single" w:color="000000" w:sz="4" w:space="0"/>
              <w:bottom w:val="single" w:color="000000" w:sz="4" w:space="0"/>
              <w:right w:val="single" w:color="000000" w:sz="4" w:space="0"/>
            </w:tcBorders>
            <w:vAlign w:val="center"/>
          </w:tcPr>
          <w:p w14:paraId="00DBC2FC">
            <w:pPr>
              <w:widowControl/>
              <w:spacing w:line="240" w:lineRule="auto"/>
              <w:ind w:firstLine="0" w:firstLineChars="0"/>
              <w:jc w:val="left"/>
              <w:rPr>
                <w:rFonts w:ascii="仿宋_GB2312" w:hAnsi="宋体"/>
                <w:sz w:val="20"/>
                <w:szCs w:val="20"/>
              </w:rPr>
            </w:pPr>
            <w:r>
              <w:rPr>
                <w:rFonts w:hint="eastAsia" w:ascii="仿宋_GB2312" w:hAnsi="宋体"/>
                <w:sz w:val="20"/>
                <w:szCs w:val="20"/>
              </w:rPr>
              <w:t>评价要点：</w:t>
            </w:r>
          </w:p>
          <w:p w14:paraId="5A14C406">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仿宋_GB2312" w:hAnsi="宋体"/>
                <w:sz w:val="20"/>
                <w:szCs w:val="20"/>
              </w:rPr>
              <w:t>是否更深入的推进代表工作室的建设、设立，是否实现了街道代表工作室和社区代表接待站的全覆盖。</w:t>
            </w:r>
          </w:p>
        </w:tc>
      </w:tr>
      <w:tr w14:paraId="5C8CF11D">
        <w:tblPrEx>
          <w:tblCellMar>
            <w:top w:w="15" w:type="dxa"/>
            <w:left w:w="15" w:type="dxa"/>
            <w:bottom w:w="15" w:type="dxa"/>
            <w:right w:w="15" w:type="dxa"/>
          </w:tblCellMar>
        </w:tblPrEx>
        <w:trPr>
          <w:trHeight w:val="817"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7435594B">
            <w:pPr>
              <w:spacing w:line="240" w:lineRule="auto"/>
              <w:ind w:firstLine="400"/>
              <w:jc w:val="center"/>
              <w:rPr>
                <w:rFonts w:ascii="Arial Narrow" w:hAnsi="Arial Narrow" w:cs="Arial Narrow"/>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B43E883">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代表“联系”机制建立情况（10）</w:t>
            </w:r>
          </w:p>
        </w:tc>
        <w:tc>
          <w:tcPr>
            <w:tcW w:w="2632" w:type="dxa"/>
            <w:tcBorders>
              <w:top w:val="single" w:color="000000" w:sz="4" w:space="0"/>
              <w:left w:val="single" w:color="000000" w:sz="4" w:space="0"/>
              <w:bottom w:val="single" w:color="000000" w:sz="4" w:space="0"/>
              <w:right w:val="single" w:color="000000" w:sz="4" w:space="0"/>
            </w:tcBorders>
            <w:vAlign w:val="center"/>
          </w:tcPr>
          <w:p w14:paraId="68C3B56D">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项目单位是否建立并维护代表“联系”机制，支持项目长期运行，用以反映和考核项目的可持续性。</w:t>
            </w:r>
          </w:p>
        </w:tc>
        <w:tc>
          <w:tcPr>
            <w:tcW w:w="3847" w:type="dxa"/>
            <w:tcBorders>
              <w:top w:val="single" w:color="000000" w:sz="4" w:space="0"/>
              <w:left w:val="single" w:color="000000" w:sz="4" w:space="0"/>
              <w:bottom w:val="single" w:color="000000" w:sz="4" w:space="0"/>
              <w:right w:val="single" w:color="000000" w:sz="4" w:space="0"/>
            </w:tcBorders>
            <w:vAlign w:val="center"/>
          </w:tcPr>
          <w:p w14:paraId="043CADFA">
            <w:pPr>
              <w:widowControl/>
              <w:spacing w:line="240" w:lineRule="auto"/>
              <w:ind w:firstLine="0" w:firstLineChars="0"/>
              <w:jc w:val="left"/>
              <w:textAlignment w:val="center"/>
              <w:rPr>
                <w:rFonts w:ascii="仿宋_GB2312" w:hAnsi="宋体"/>
                <w:sz w:val="20"/>
                <w:szCs w:val="20"/>
              </w:rPr>
            </w:pPr>
            <w:r>
              <w:rPr>
                <w:rFonts w:hint="eastAsia" w:ascii="仿宋_GB2312" w:hAnsi="宋体"/>
                <w:sz w:val="20"/>
                <w:szCs w:val="20"/>
              </w:rPr>
              <w:t>评价要点：</w:t>
            </w:r>
          </w:p>
          <w:p w14:paraId="7C484C0E">
            <w:pPr>
              <w:widowControl/>
              <w:spacing w:line="240" w:lineRule="auto"/>
              <w:ind w:firstLine="0" w:firstLineChars="0"/>
              <w:jc w:val="left"/>
              <w:textAlignment w:val="center"/>
              <w:rPr>
                <w:rFonts w:ascii="仿宋_GB2312" w:hAnsi="宋体"/>
                <w:sz w:val="20"/>
                <w:szCs w:val="20"/>
              </w:rPr>
            </w:pPr>
            <w:r>
              <w:rPr>
                <w:rFonts w:hint="eastAsia" w:ascii="仿宋_GB2312" w:hAnsi="宋体"/>
                <w:sz w:val="20"/>
                <w:szCs w:val="20"/>
              </w:rPr>
              <w:t>①是否建立并完善联系制度；</w:t>
            </w:r>
          </w:p>
          <w:p w14:paraId="5EEBDDA8">
            <w:pPr>
              <w:widowControl/>
              <w:spacing w:line="240" w:lineRule="auto"/>
              <w:ind w:firstLine="0" w:firstLineChars="0"/>
              <w:jc w:val="left"/>
              <w:textAlignment w:val="center"/>
              <w:rPr>
                <w:rFonts w:ascii="仿宋_GB2312" w:hAnsi="宋体"/>
                <w:sz w:val="20"/>
                <w:szCs w:val="20"/>
              </w:rPr>
            </w:pPr>
            <w:r>
              <w:rPr>
                <w:rFonts w:hint="eastAsia" w:ascii="仿宋_GB2312" w:hAnsi="宋体"/>
                <w:sz w:val="20"/>
                <w:szCs w:val="20"/>
              </w:rPr>
              <w:t>②是否定期走访联系区人大代表；</w:t>
            </w:r>
          </w:p>
          <w:p w14:paraId="393EF299">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③是否加强区人大常委</w:t>
            </w:r>
            <w:r>
              <w:rPr>
                <w:rFonts w:hint="eastAsia" w:ascii="仿宋_GB2312" w:hAnsi="宋体"/>
                <w:sz w:val="20"/>
                <w:szCs w:val="20"/>
                <w:lang w:val="en-US" w:eastAsia="zh-CN"/>
              </w:rPr>
              <w:t>会</w:t>
            </w:r>
            <w:r>
              <w:rPr>
                <w:rFonts w:hint="eastAsia" w:ascii="仿宋_GB2312" w:hAnsi="宋体"/>
                <w:sz w:val="20"/>
                <w:szCs w:val="20"/>
              </w:rPr>
              <w:t>、区人大代表与选民之间的联系</w:t>
            </w:r>
          </w:p>
        </w:tc>
      </w:tr>
      <w:tr w14:paraId="2F758735">
        <w:tblPrEx>
          <w:tblCellMar>
            <w:top w:w="15" w:type="dxa"/>
            <w:left w:w="15" w:type="dxa"/>
            <w:bottom w:w="15" w:type="dxa"/>
            <w:right w:w="15" w:type="dxa"/>
          </w:tblCellMar>
        </w:tblPrEx>
        <w:trPr>
          <w:trHeight w:val="817"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2D39814C">
            <w:pPr>
              <w:spacing w:line="240" w:lineRule="auto"/>
              <w:ind w:firstLine="400"/>
              <w:jc w:val="center"/>
              <w:rPr>
                <w:rFonts w:ascii="Arial Narrow" w:hAnsi="Arial Narrow" w:cs="Arial Narrow"/>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D7F4047">
            <w:pPr>
              <w:widowControl/>
              <w:spacing w:line="240" w:lineRule="auto"/>
              <w:ind w:firstLine="0" w:firstLineChars="0"/>
              <w:jc w:val="left"/>
              <w:rPr>
                <w:rFonts w:ascii="仿宋_GB2312" w:hAnsi="宋体"/>
                <w:color w:val="000000"/>
                <w:kern w:val="0"/>
                <w:sz w:val="20"/>
                <w:szCs w:val="20"/>
              </w:rPr>
            </w:pPr>
            <w:r>
              <w:rPr>
                <w:rFonts w:hint="eastAsia" w:ascii="Arial Narrow" w:hAnsi="Arial Narrow" w:cs="Arial Narrow"/>
                <w:color w:val="000000"/>
                <w:kern w:val="0"/>
                <w:sz w:val="20"/>
                <w:szCs w:val="20"/>
                <w:lang w:bidi="ar"/>
              </w:rPr>
              <w:t>社会公众满意度（10）</w:t>
            </w:r>
          </w:p>
        </w:tc>
        <w:tc>
          <w:tcPr>
            <w:tcW w:w="2632" w:type="dxa"/>
            <w:tcBorders>
              <w:top w:val="single" w:color="000000" w:sz="4" w:space="0"/>
              <w:left w:val="single" w:color="000000" w:sz="4" w:space="0"/>
              <w:bottom w:val="single" w:color="000000" w:sz="4" w:space="0"/>
              <w:right w:val="single" w:color="000000" w:sz="4" w:space="0"/>
            </w:tcBorders>
            <w:vAlign w:val="center"/>
          </w:tcPr>
          <w:p w14:paraId="4D99BC38">
            <w:pPr>
              <w:widowControl/>
              <w:spacing w:line="240" w:lineRule="auto"/>
              <w:ind w:firstLine="0" w:firstLineChars="0"/>
              <w:jc w:val="left"/>
              <w:rPr>
                <w:rFonts w:ascii="仿宋_GB2312" w:hAnsi="宋体"/>
                <w:kern w:val="0"/>
                <w:sz w:val="20"/>
                <w:szCs w:val="20"/>
              </w:rPr>
            </w:pPr>
            <w:r>
              <w:rPr>
                <w:rFonts w:hint="eastAsia" w:ascii="Arial Narrow" w:hAnsi="Arial Narrow" w:cs="Arial Narrow"/>
                <w:color w:val="000000"/>
                <w:kern w:val="0"/>
                <w:sz w:val="20"/>
                <w:szCs w:val="20"/>
                <w:lang w:bidi="ar"/>
              </w:rPr>
              <w:t>社会公众或服务对象对项目实施效果的满意程度。</w:t>
            </w:r>
          </w:p>
        </w:tc>
        <w:tc>
          <w:tcPr>
            <w:tcW w:w="3847" w:type="dxa"/>
            <w:tcBorders>
              <w:top w:val="single" w:color="000000" w:sz="4" w:space="0"/>
              <w:left w:val="single" w:color="000000" w:sz="4" w:space="0"/>
              <w:bottom w:val="single" w:color="000000" w:sz="4" w:space="0"/>
              <w:right w:val="single" w:color="000000" w:sz="4" w:space="0"/>
            </w:tcBorders>
            <w:vAlign w:val="center"/>
          </w:tcPr>
          <w:p w14:paraId="790766BF">
            <w:pPr>
              <w:widowControl/>
              <w:spacing w:line="240" w:lineRule="auto"/>
              <w:ind w:firstLine="0" w:firstLineChars="0"/>
              <w:jc w:val="left"/>
              <w:rPr>
                <w:rFonts w:ascii="仿宋_GB2312" w:hAnsi="宋体"/>
                <w:kern w:val="0"/>
                <w:sz w:val="20"/>
                <w:szCs w:val="20"/>
              </w:rPr>
            </w:pPr>
            <w:r>
              <w:rPr>
                <w:rFonts w:hint="eastAsia" w:ascii="Arial Narrow" w:hAnsi="Arial Narrow" w:cs="Arial Narrow"/>
                <w:color w:val="000000"/>
                <w:kern w:val="0"/>
                <w:sz w:val="20"/>
                <w:szCs w:val="20"/>
                <w:lang w:bidi="ar"/>
              </w:rPr>
              <w:t>通过调查问卷的方式获取，社会公众对项目实施的整体满意程度。</w:t>
            </w:r>
          </w:p>
        </w:tc>
      </w:tr>
      <w:tr w14:paraId="79C07808">
        <w:tblPrEx>
          <w:tblCellMar>
            <w:top w:w="15" w:type="dxa"/>
            <w:left w:w="15" w:type="dxa"/>
            <w:bottom w:w="15" w:type="dxa"/>
            <w:right w:w="15" w:type="dxa"/>
          </w:tblCellMar>
        </w:tblPrEx>
        <w:trPr>
          <w:trHeight w:val="817"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18B41567">
            <w:pPr>
              <w:spacing w:line="240" w:lineRule="auto"/>
              <w:ind w:firstLine="400"/>
              <w:jc w:val="center"/>
              <w:rPr>
                <w:rFonts w:ascii="Arial Narrow" w:hAnsi="Arial Narrow" w:cs="Arial Narrow"/>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8BA7020">
            <w:pPr>
              <w:widowControl/>
              <w:spacing w:line="240" w:lineRule="auto"/>
              <w:ind w:firstLine="0" w:firstLineChars="0"/>
              <w:jc w:val="left"/>
              <w:textAlignment w:val="center"/>
              <w:rPr>
                <w:rFonts w:ascii="Arial Narrow" w:hAnsi="Arial Narrow" w:cs="Arial Narrow"/>
                <w:color w:val="000000"/>
                <w:kern w:val="0"/>
                <w:sz w:val="20"/>
                <w:szCs w:val="20"/>
                <w:lang w:bidi="ar"/>
              </w:rPr>
            </w:pPr>
          </w:p>
        </w:tc>
        <w:tc>
          <w:tcPr>
            <w:tcW w:w="2632" w:type="dxa"/>
            <w:tcBorders>
              <w:top w:val="single" w:color="000000" w:sz="4" w:space="0"/>
              <w:left w:val="single" w:color="000000" w:sz="4" w:space="0"/>
              <w:bottom w:val="single" w:color="000000" w:sz="4" w:space="0"/>
              <w:right w:val="single" w:color="000000" w:sz="4" w:space="0"/>
            </w:tcBorders>
            <w:vAlign w:val="center"/>
          </w:tcPr>
          <w:p w14:paraId="68577D21">
            <w:pPr>
              <w:widowControl/>
              <w:spacing w:line="240" w:lineRule="auto"/>
              <w:ind w:firstLine="0" w:firstLineChars="0"/>
              <w:jc w:val="left"/>
              <w:textAlignment w:val="center"/>
              <w:rPr>
                <w:rFonts w:ascii="Arial Narrow" w:hAnsi="Arial Narrow" w:cs="Arial Narrow"/>
                <w:color w:val="000000"/>
                <w:kern w:val="0"/>
                <w:sz w:val="20"/>
                <w:szCs w:val="20"/>
                <w:lang w:bidi="ar"/>
              </w:rPr>
            </w:pPr>
          </w:p>
        </w:tc>
        <w:tc>
          <w:tcPr>
            <w:tcW w:w="3847" w:type="dxa"/>
            <w:tcBorders>
              <w:top w:val="single" w:color="000000" w:sz="4" w:space="0"/>
              <w:left w:val="single" w:color="000000" w:sz="4" w:space="0"/>
              <w:bottom w:val="single" w:color="000000" w:sz="4" w:space="0"/>
              <w:right w:val="single" w:color="000000" w:sz="4" w:space="0"/>
            </w:tcBorders>
            <w:vAlign w:val="center"/>
          </w:tcPr>
          <w:p w14:paraId="6A88F9A5">
            <w:pPr>
              <w:widowControl/>
              <w:spacing w:line="240" w:lineRule="auto"/>
              <w:ind w:firstLine="0" w:firstLineChars="0"/>
              <w:jc w:val="left"/>
              <w:textAlignment w:val="center"/>
              <w:rPr>
                <w:rFonts w:ascii="Arial Narrow" w:hAnsi="Arial Narrow" w:cs="Arial Narrow"/>
                <w:color w:val="000000"/>
                <w:kern w:val="0"/>
                <w:sz w:val="20"/>
                <w:szCs w:val="20"/>
                <w:lang w:bidi="ar"/>
              </w:rPr>
            </w:pPr>
          </w:p>
        </w:tc>
      </w:tr>
      <w:tr w14:paraId="6A251B4C">
        <w:tblPrEx>
          <w:tblCellMar>
            <w:top w:w="15" w:type="dxa"/>
            <w:left w:w="15" w:type="dxa"/>
            <w:bottom w:w="15" w:type="dxa"/>
            <w:right w:w="15" w:type="dxa"/>
          </w:tblCellMar>
        </w:tblPrEx>
        <w:trPr>
          <w:trHeight w:val="817"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6AF5927F">
            <w:pPr>
              <w:spacing w:line="240" w:lineRule="auto"/>
              <w:ind w:firstLine="400"/>
              <w:jc w:val="center"/>
              <w:rPr>
                <w:rFonts w:ascii="Arial Narrow" w:hAnsi="Arial Narrow" w:cs="Arial Narrow"/>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7E6D2E10">
            <w:pPr>
              <w:widowControl/>
              <w:spacing w:line="240" w:lineRule="auto"/>
              <w:ind w:firstLine="0" w:firstLineChars="0"/>
              <w:jc w:val="left"/>
              <w:textAlignment w:val="center"/>
              <w:rPr>
                <w:rFonts w:ascii="Arial Narrow" w:hAnsi="Arial Narrow" w:cs="Arial Narrow"/>
                <w:color w:val="000000"/>
                <w:sz w:val="20"/>
                <w:szCs w:val="20"/>
              </w:rPr>
            </w:pPr>
          </w:p>
        </w:tc>
        <w:tc>
          <w:tcPr>
            <w:tcW w:w="2632" w:type="dxa"/>
            <w:tcBorders>
              <w:top w:val="single" w:color="000000" w:sz="4" w:space="0"/>
              <w:left w:val="single" w:color="000000" w:sz="4" w:space="0"/>
              <w:bottom w:val="single" w:color="000000" w:sz="4" w:space="0"/>
              <w:right w:val="single" w:color="000000" w:sz="4" w:space="0"/>
            </w:tcBorders>
            <w:vAlign w:val="center"/>
          </w:tcPr>
          <w:p w14:paraId="6E3EF71F">
            <w:pPr>
              <w:widowControl/>
              <w:spacing w:line="240" w:lineRule="auto"/>
              <w:ind w:firstLine="0" w:firstLineChars="0"/>
              <w:jc w:val="left"/>
              <w:textAlignment w:val="center"/>
              <w:rPr>
                <w:rFonts w:ascii="Arial Narrow" w:hAnsi="Arial Narrow" w:cs="Arial Narrow"/>
                <w:color w:val="000000"/>
                <w:sz w:val="20"/>
                <w:szCs w:val="20"/>
              </w:rPr>
            </w:pPr>
          </w:p>
        </w:tc>
        <w:tc>
          <w:tcPr>
            <w:tcW w:w="3847" w:type="dxa"/>
            <w:tcBorders>
              <w:top w:val="single" w:color="000000" w:sz="4" w:space="0"/>
              <w:left w:val="single" w:color="000000" w:sz="4" w:space="0"/>
              <w:bottom w:val="single" w:color="000000" w:sz="4" w:space="0"/>
              <w:right w:val="single" w:color="000000" w:sz="4" w:space="0"/>
            </w:tcBorders>
            <w:vAlign w:val="center"/>
          </w:tcPr>
          <w:p w14:paraId="7A9F7EB9">
            <w:pPr>
              <w:widowControl/>
              <w:spacing w:line="240" w:lineRule="auto"/>
              <w:ind w:firstLine="0" w:firstLineChars="0"/>
              <w:jc w:val="left"/>
              <w:textAlignment w:val="center"/>
              <w:rPr>
                <w:rFonts w:ascii="Arial Narrow" w:hAnsi="Arial Narrow" w:cs="Arial Narrow"/>
                <w:color w:val="000000"/>
                <w:sz w:val="20"/>
                <w:szCs w:val="20"/>
              </w:rPr>
            </w:pPr>
          </w:p>
        </w:tc>
      </w:tr>
    </w:tbl>
    <w:p w14:paraId="7D8C19D5">
      <w:pPr>
        <w:ind w:firstLine="480"/>
        <w:rPr>
          <w:rFonts w:ascii="Arial Narrow" w:hAnsi="Arial Narrow" w:cs="Arial Narrow"/>
        </w:rPr>
      </w:pPr>
    </w:p>
    <w:p w14:paraId="4EFECA26">
      <w:pPr>
        <w:ind w:firstLine="480"/>
        <w:rPr>
          <w:rFonts w:ascii="Arial Narrow" w:hAnsi="Arial Narrow" w:cs="Arial Narrow"/>
        </w:rPr>
      </w:pPr>
      <w:r>
        <w:rPr>
          <w:rFonts w:ascii="Arial Narrow" w:hAnsi="Arial Narrow" w:cs="Arial Narrow"/>
        </w:rPr>
        <w:t>具体指标目标值、绩效标准、评分细则如下表所示：</w:t>
      </w:r>
    </w:p>
    <w:tbl>
      <w:tblPr>
        <w:tblStyle w:val="15"/>
        <w:tblW w:w="8379" w:type="dxa"/>
        <w:tblInd w:w="0" w:type="dxa"/>
        <w:tblLayout w:type="fixed"/>
        <w:tblCellMar>
          <w:top w:w="15" w:type="dxa"/>
          <w:left w:w="15" w:type="dxa"/>
          <w:bottom w:w="15" w:type="dxa"/>
          <w:right w:w="15" w:type="dxa"/>
        </w:tblCellMar>
      </w:tblPr>
      <w:tblGrid>
        <w:gridCol w:w="558"/>
        <w:gridCol w:w="1369"/>
        <w:gridCol w:w="639"/>
        <w:gridCol w:w="502"/>
        <w:gridCol w:w="5311"/>
      </w:tblGrid>
      <w:tr w14:paraId="3CEEE23D">
        <w:tblPrEx>
          <w:tblCellMar>
            <w:top w:w="15" w:type="dxa"/>
            <w:left w:w="15" w:type="dxa"/>
            <w:bottom w:w="15" w:type="dxa"/>
            <w:right w:w="15" w:type="dxa"/>
          </w:tblCellMar>
        </w:tblPrEx>
        <w:trPr>
          <w:trHeight w:val="480" w:hRule="atLeast"/>
          <w:tblHeader/>
        </w:trPr>
        <w:tc>
          <w:tcPr>
            <w:tcW w:w="1927" w:type="dxa"/>
            <w:gridSpan w:val="2"/>
            <w:tcBorders>
              <w:top w:val="single" w:color="000000" w:sz="4" w:space="0"/>
              <w:left w:val="single" w:color="000000" w:sz="4" w:space="0"/>
              <w:bottom w:val="single" w:color="000000" w:sz="4" w:space="0"/>
              <w:right w:val="single" w:color="000000" w:sz="4" w:space="0"/>
            </w:tcBorders>
            <w:vAlign w:val="center"/>
          </w:tcPr>
          <w:p w14:paraId="5A4CEC15">
            <w:pPr>
              <w:widowControl/>
              <w:spacing w:line="240" w:lineRule="auto"/>
              <w:ind w:firstLine="0" w:firstLineChars="0"/>
              <w:jc w:val="center"/>
              <w:textAlignment w:val="center"/>
              <w:rPr>
                <w:rFonts w:ascii="Arial Narrow" w:hAnsi="Arial Narrow" w:cs="Arial Narrow"/>
                <w:b/>
                <w:color w:val="000000"/>
                <w:sz w:val="20"/>
                <w:szCs w:val="20"/>
              </w:rPr>
            </w:pPr>
            <w:r>
              <w:rPr>
                <w:rFonts w:ascii="Arial Narrow" w:hAnsi="Arial Narrow" w:cs="Arial Narrow"/>
                <w:b/>
                <w:color w:val="000000"/>
                <w:kern w:val="0"/>
                <w:sz w:val="20"/>
                <w:szCs w:val="20"/>
                <w:lang w:bidi="ar"/>
              </w:rPr>
              <w:t>指标名称（权重）</w:t>
            </w:r>
          </w:p>
        </w:tc>
        <w:tc>
          <w:tcPr>
            <w:tcW w:w="639" w:type="dxa"/>
            <w:tcBorders>
              <w:top w:val="single" w:color="000000" w:sz="4" w:space="0"/>
              <w:left w:val="single" w:color="000000" w:sz="4" w:space="0"/>
              <w:bottom w:val="single" w:color="000000" w:sz="4" w:space="0"/>
              <w:right w:val="single" w:color="000000" w:sz="4" w:space="0"/>
            </w:tcBorders>
            <w:vAlign w:val="center"/>
          </w:tcPr>
          <w:p w14:paraId="7034C000">
            <w:pPr>
              <w:widowControl/>
              <w:spacing w:line="240" w:lineRule="auto"/>
              <w:ind w:firstLine="0" w:firstLineChars="0"/>
              <w:jc w:val="center"/>
              <w:textAlignment w:val="center"/>
              <w:rPr>
                <w:rFonts w:ascii="Arial Narrow" w:hAnsi="Arial Narrow" w:cs="Arial Narrow"/>
                <w:b/>
                <w:color w:val="000000"/>
                <w:sz w:val="20"/>
                <w:szCs w:val="20"/>
              </w:rPr>
            </w:pPr>
            <w:r>
              <w:rPr>
                <w:rFonts w:ascii="Arial Narrow" w:hAnsi="Arial Narrow" w:cs="Arial Narrow"/>
                <w:b/>
                <w:color w:val="000000"/>
                <w:kern w:val="0"/>
                <w:sz w:val="20"/>
                <w:szCs w:val="20"/>
                <w:lang w:bidi="ar"/>
              </w:rPr>
              <w:t>参考值</w:t>
            </w:r>
            <w:r>
              <w:rPr>
                <w:rFonts w:ascii="Arial Narrow" w:hAnsi="Arial Narrow" w:cs="Arial Narrow"/>
                <w:b/>
                <w:color w:val="000000"/>
                <w:kern w:val="0"/>
                <w:sz w:val="20"/>
                <w:szCs w:val="20"/>
                <w:lang w:bidi="ar"/>
              </w:rPr>
              <w:br w:type="textWrapping"/>
            </w:r>
            <w:r>
              <w:rPr>
                <w:rFonts w:ascii="Arial Narrow" w:hAnsi="Arial Narrow" w:cs="Arial Narrow"/>
                <w:b/>
                <w:color w:val="000000"/>
                <w:kern w:val="0"/>
                <w:sz w:val="20"/>
                <w:szCs w:val="20"/>
                <w:lang w:bidi="ar"/>
              </w:rPr>
              <w:t>（目标值）</w:t>
            </w:r>
          </w:p>
        </w:tc>
        <w:tc>
          <w:tcPr>
            <w:tcW w:w="502" w:type="dxa"/>
            <w:tcBorders>
              <w:top w:val="single" w:color="000000" w:sz="4" w:space="0"/>
              <w:left w:val="single" w:color="000000" w:sz="4" w:space="0"/>
              <w:bottom w:val="single" w:color="000000" w:sz="4" w:space="0"/>
              <w:right w:val="single" w:color="000000" w:sz="4" w:space="0"/>
            </w:tcBorders>
            <w:vAlign w:val="center"/>
          </w:tcPr>
          <w:p w14:paraId="7A177A1C">
            <w:pPr>
              <w:widowControl/>
              <w:spacing w:line="240" w:lineRule="auto"/>
              <w:ind w:firstLine="0" w:firstLineChars="0"/>
              <w:jc w:val="center"/>
              <w:textAlignment w:val="center"/>
              <w:rPr>
                <w:rFonts w:ascii="Arial Narrow" w:hAnsi="Arial Narrow" w:cs="Arial Narrow"/>
                <w:b/>
                <w:color w:val="000000"/>
                <w:sz w:val="20"/>
                <w:szCs w:val="20"/>
              </w:rPr>
            </w:pPr>
            <w:r>
              <w:rPr>
                <w:rFonts w:ascii="Arial Narrow" w:hAnsi="Arial Narrow" w:cs="Arial Narrow"/>
                <w:b/>
                <w:color w:val="000000"/>
                <w:kern w:val="0"/>
                <w:sz w:val="20"/>
                <w:szCs w:val="20"/>
                <w:lang w:bidi="ar"/>
              </w:rPr>
              <w:t>绩效标准</w:t>
            </w:r>
          </w:p>
        </w:tc>
        <w:tc>
          <w:tcPr>
            <w:tcW w:w="5311" w:type="dxa"/>
            <w:tcBorders>
              <w:top w:val="single" w:color="000000" w:sz="4" w:space="0"/>
              <w:left w:val="single" w:color="000000" w:sz="4" w:space="0"/>
              <w:bottom w:val="single" w:color="000000" w:sz="4" w:space="0"/>
              <w:right w:val="single" w:color="000000" w:sz="4" w:space="0"/>
            </w:tcBorders>
            <w:vAlign w:val="center"/>
          </w:tcPr>
          <w:p w14:paraId="14C60444">
            <w:pPr>
              <w:widowControl/>
              <w:spacing w:line="240" w:lineRule="auto"/>
              <w:ind w:firstLine="0" w:firstLineChars="0"/>
              <w:jc w:val="center"/>
              <w:textAlignment w:val="center"/>
              <w:rPr>
                <w:rFonts w:ascii="Arial Narrow" w:hAnsi="Arial Narrow" w:cs="Arial Narrow"/>
                <w:b/>
                <w:color w:val="000000"/>
                <w:sz w:val="20"/>
                <w:szCs w:val="20"/>
              </w:rPr>
            </w:pPr>
            <w:r>
              <w:rPr>
                <w:rFonts w:ascii="Arial Narrow" w:hAnsi="Arial Narrow" w:cs="Arial Narrow"/>
                <w:b/>
                <w:color w:val="000000"/>
                <w:kern w:val="0"/>
                <w:sz w:val="20"/>
                <w:szCs w:val="20"/>
                <w:lang w:bidi="ar"/>
              </w:rPr>
              <w:t>评分细则</w:t>
            </w:r>
          </w:p>
        </w:tc>
      </w:tr>
      <w:tr w14:paraId="0B599049">
        <w:tblPrEx>
          <w:tblCellMar>
            <w:top w:w="15" w:type="dxa"/>
            <w:left w:w="15" w:type="dxa"/>
            <w:bottom w:w="15" w:type="dxa"/>
            <w:right w:w="15" w:type="dxa"/>
          </w:tblCellMar>
        </w:tblPrEx>
        <w:trPr>
          <w:trHeight w:val="837" w:hRule="atLeast"/>
        </w:trPr>
        <w:tc>
          <w:tcPr>
            <w:tcW w:w="558" w:type="dxa"/>
            <w:vMerge w:val="restart"/>
            <w:tcBorders>
              <w:top w:val="single" w:color="000000" w:sz="4" w:space="0"/>
              <w:left w:val="single" w:color="000000" w:sz="4" w:space="0"/>
              <w:bottom w:val="single" w:color="000000" w:sz="4" w:space="0"/>
              <w:right w:val="single" w:color="000000" w:sz="4" w:space="0"/>
            </w:tcBorders>
            <w:vAlign w:val="center"/>
          </w:tcPr>
          <w:p w14:paraId="0790A766">
            <w:pPr>
              <w:widowControl/>
              <w:spacing w:line="240" w:lineRule="auto"/>
              <w:ind w:firstLine="0" w:firstLineChars="0"/>
              <w:jc w:val="center"/>
              <w:textAlignment w:val="center"/>
              <w:rPr>
                <w:rFonts w:ascii="Arial Narrow" w:hAnsi="Arial Narrow" w:cs="Arial Narrow"/>
                <w:color w:val="000000"/>
                <w:sz w:val="20"/>
                <w:szCs w:val="20"/>
              </w:rPr>
            </w:pPr>
            <w:r>
              <w:rPr>
                <w:rFonts w:ascii="Arial Narrow" w:hAnsi="Arial Narrow" w:cs="Arial Narrow"/>
                <w:color w:val="000000"/>
                <w:sz w:val="20"/>
                <w:szCs w:val="20"/>
              </w:rPr>
              <w:t>项目立项（6）</w:t>
            </w:r>
          </w:p>
        </w:tc>
        <w:tc>
          <w:tcPr>
            <w:tcW w:w="1369" w:type="dxa"/>
            <w:tcBorders>
              <w:top w:val="single" w:color="000000" w:sz="4" w:space="0"/>
              <w:left w:val="single" w:color="000000" w:sz="4" w:space="0"/>
              <w:bottom w:val="single" w:color="000000" w:sz="4" w:space="0"/>
              <w:right w:val="single" w:color="000000" w:sz="4" w:space="0"/>
            </w:tcBorders>
            <w:vAlign w:val="center"/>
          </w:tcPr>
          <w:p w14:paraId="55B425FD">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项目立项规范性（3）</w:t>
            </w:r>
          </w:p>
        </w:tc>
        <w:tc>
          <w:tcPr>
            <w:tcW w:w="639" w:type="dxa"/>
            <w:tcBorders>
              <w:top w:val="single" w:color="000000" w:sz="4" w:space="0"/>
              <w:left w:val="single" w:color="000000" w:sz="4" w:space="0"/>
              <w:bottom w:val="single" w:color="000000" w:sz="4" w:space="0"/>
              <w:right w:val="single" w:color="000000" w:sz="4" w:space="0"/>
            </w:tcBorders>
            <w:vAlign w:val="center"/>
          </w:tcPr>
          <w:p w14:paraId="411E64F3">
            <w:pPr>
              <w:spacing w:line="240" w:lineRule="auto"/>
              <w:ind w:firstLine="480"/>
              <w:rPr>
                <w:rFonts w:ascii="Arial Narrow" w:hAnsi="Arial Narrow" w:cs="Arial Narrow"/>
                <w:color w:val="00000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079FAD9F">
            <w:pPr>
              <w:spacing w:line="240" w:lineRule="auto"/>
              <w:ind w:firstLine="400"/>
              <w:rPr>
                <w:rFonts w:ascii="Arial Narrow" w:hAnsi="Arial Narrow" w:cs="Arial Narrow"/>
                <w:color w:val="000000"/>
                <w:sz w:val="20"/>
                <w:szCs w:val="2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43EE867C">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项目按照规定的程序申请设立，提交的文件、材料符合相关要求计1分；</w:t>
            </w:r>
          </w:p>
          <w:p w14:paraId="1991D0C5">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事前已经过必要的可行性研究、专家论证、风险评估、集体决策的，计1分；</w:t>
            </w:r>
          </w:p>
          <w:p w14:paraId="4ED2F5B6">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项目执行时发生重大调整，有相应调整手续的，计1分。</w:t>
            </w:r>
          </w:p>
        </w:tc>
      </w:tr>
      <w:tr w14:paraId="14969836">
        <w:tblPrEx>
          <w:tblCellMar>
            <w:top w:w="15" w:type="dxa"/>
            <w:left w:w="15" w:type="dxa"/>
            <w:bottom w:w="15" w:type="dxa"/>
            <w:right w:w="15" w:type="dxa"/>
          </w:tblCellMar>
        </w:tblPrEx>
        <w:trPr>
          <w:trHeight w:val="795"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0480DD47">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7D891A6">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绩效目标合理性（3）</w:t>
            </w:r>
          </w:p>
        </w:tc>
        <w:tc>
          <w:tcPr>
            <w:tcW w:w="639" w:type="dxa"/>
            <w:tcBorders>
              <w:top w:val="single" w:color="000000" w:sz="4" w:space="0"/>
              <w:left w:val="single" w:color="000000" w:sz="4" w:space="0"/>
              <w:bottom w:val="single" w:color="000000" w:sz="4" w:space="0"/>
              <w:right w:val="single" w:color="000000" w:sz="4" w:space="0"/>
            </w:tcBorders>
            <w:vAlign w:val="center"/>
          </w:tcPr>
          <w:p w14:paraId="395C661C">
            <w:pPr>
              <w:spacing w:line="240" w:lineRule="auto"/>
              <w:ind w:firstLine="480"/>
              <w:rPr>
                <w:rFonts w:ascii="Arial Narrow" w:hAnsi="Arial Narrow" w:cs="Arial Narrow"/>
                <w:color w:val="00000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2FD3E620">
            <w:pPr>
              <w:spacing w:line="240" w:lineRule="auto"/>
              <w:ind w:firstLine="400"/>
              <w:rPr>
                <w:rFonts w:ascii="Arial Narrow" w:hAnsi="Arial Narrow" w:cs="Arial Narrow"/>
                <w:color w:val="000000"/>
                <w:sz w:val="20"/>
                <w:szCs w:val="2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36563161">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项目设定长期目标、年度目标和绩效指标，目标和指标的设计符合目标管理规范，计1.5分；</w:t>
            </w:r>
          </w:p>
          <w:p w14:paraId="6257E7A6">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根据绩效目标和完成情况的对比考核目标设立的合理性，绩效指标具有可测性，计1.5分，否则计0分。</w:t>
            </w:r>
          </w:p>
        </w:tc>
      </w:tr>
      <w:tr w14:paraId="5FD29F87">
        <w:tblPrEx>
          <w:tblCellMar>
            <w:top w:w="15" w:type="dxa"/>
            <w:left w:w="15" w:type="dxa"/>
            <w:bottom w:w="15" w:type="dxa"/>
            <w:right w:w="15" w:type="dxa"/>
          </w:tblCellMar>
        </w:tblPrEx>
        <w:trPr>
          <w:trHeight w:val="611" w:hRule="atLeast"/>
        </w:trPr>
        <w:tc>
          <w:tcPr>
            <w:tcW w:w="558" w:type="dxa"/>
            <w:vMerge w:val="restart"/>
            <w:tcBorders>
              <w:top w:val="single" w:color="000000" w:sz="4" w:space="0"/>
              <w:left w:val="single" w:color="000000" w:sz="4" w:space="0"/>
              <w:bottom w:val="single" w:color="000000" w:sz="4" w:space="0"/>
              <w:right w:val="single" w:color="000000" w:sz="4" w:space="0"/>
            </w:tcBorders>
            <w:vAlign w:val="center"/>
          </w:tcPr>
          <w:p w14:paraId="4E48E556">
            <w:pPr>
              <w:widowControl/>
              <w:spacing w:line="240" w:lineRule="auto"/>
              <w:ind w:firstLine="0" w:firstLineChars="0"/>
              <w:jc w:val="center"/>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资金</w:t>
            </w:r>
            <w:r>
              <w:rPr>
                <w:rFonts w:ascii="Arial Narrow" w:hAnsi="Arial Narrow" w:cs="Arial Narrow"/>
                <w:color w:val="000000"/>
                <w:kern w:val="0"/>
                <w:sz w:val="20"/>
                <w:szCs w:val="20"/>
                <w:lang w:bidi="ar"/>
              </w:rPr>
              <w:br w:type="textWrapping"/>
            </w:r>
            <w:r>
              <w:rPr>
                <w:rFonts w:ascii="Arial Narrow" w:hAnsi="Arial Narrow" w:cs="Arial Narrow"/>
                <w:color w:val="000000"/>
                <w:kern w:val="0"/>
                <w:sz w:val="20"/>
                <w:szCs w:val="20"/>
                <w:lang w:bidi="ar"/>
              </w:rPr>
              <w:t>落实（6）</w:t>
            </w:r>
          </w:p>
        </w:tc>
        <w:tc>
          <w:tcPr>
            <w:tcW w:w="1369" w:type="dxa"/>
            <w:tcBorders>
              <w:top w:val="single" w:color="000000" w:sz="4" w:space="0"/>
              <w:left w:val="single" w:color="000000" w:sz="4" w:space="0"/>
              <w:bottom w:val="single" w:color="000000" w:sz="4" w:space="0"/>
              <w:right w:val="single" w:color="000000" w:sz="4" w:space="0"/>
            </w:tcBorders>
            <w:vAlign w:val="center"/>
          </w:tcPr>
          <w:p w14:paraId="568CEC8A">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资金到位率（3）</w:t>
            </w:r>
          </w:p>
        </w:tc>
        <w:tc>
          <w:tcPr>
            <w:tcW w:w="639" w:type="dxa"/>
            <w:tcBorders>
              <w:top w:val="single" w:color="000000" w:sz="4" w:space="0"/>
              <w:left w:val="single" w:color="000000" w:sz="4" w:space="0"/>
              <w:bottom w:val="single" w:color="000000" w:sz="4" w:space="0"/>
              <w:right w:val="single" w:color="000000" w:sz="4" w:space="0"/>
            </w:tcBorders>
            <w:vAlign w:val="center"/>
          </w:tcPr>
          <w:p w14:paraId="10494BEB">
            <w:pPr>
              <w:widowControl/>
              <w:spacing w:line="240" w:lineRule="auto"/>
              <w:ind w:firstLine="0" w:firstLineChars="0"/>
              <w:jc w:val="center"/>
              <w:textAlignment w:val="center"/>
              <w:rPr>
                <w:rFonts w:ascii="Arial Narrow" w:hAnsi="Arial Narrow" w:cs="Arial Narrow"/>
                <w:color w:val="000000"/>
              </w:rPr>
            </w:pPr>
            <w:r>
              <w:rPr>
                <w:rFonts w:ascii="Arial Narrow" w:hAnsi="Arial Narrow" w:cs="Arial Narrow"/>
                <w:color w:val="000000"/>
                <w:kern w:val="0"/>
                <w:lang w:bidi="ar"/>
              </w:rPr>
              <w:t>100%</w:t>
            </w:r>
          </w:p>
        </w:tc>
        <w:tc>
          <w:tcPr>
            <w:tcW w:w="502" w:type="dxa"/>
            <w:tcBorders>
              <w:top w:val="single" w:color="000000" w:sz="4" w:space="0"/>
              <w:left w:val="single" w:color="000000" w:sz="4" w:space="0"/>
              <w:bottom w:val="single" w:color="000000" w:sz="4" w:space="0"/>
              <w:right w:val="single" w:color="000000" w:sz="4" w:space="0"/>
            </w:tcBorders>
            <w:vAlign w:val="center"/>
          </w:tcPr>
          <w:p w14:paraId="526C2E97">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计划标准</w:t>
            </w:r>
          </w:p>
        </w:tc>
        <w:tc>
          <w:tcPr>
            <w:tcW w:w="5311" w:type="dxa"/>
            <w:tcBorders>
              <w:top w:val="single" w:color="000000" w:sz="4" w:space="0"/>
              <w:left w:val="single" w:color="000000" w:sz="4" w:space="0"/>
              <w:bottom w:val="single" w:color="000000" w:sz="4" w:space="0"/>
              <w:right w:val="single" w:color="000000" w:sz="4" w:space="0"/>
            </w:tcBorders>
            <w:vAlign w:val="center"/>
          </w:tcPr>
          <w:p w14:paraId="34C5D6FA">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资金全部到位计3分，资金到位率每降低5%，扣0.5分。</w:t>
            </w:r>
          </w:p>
        </w:tc>
      </w:tr>
      <w:tr w14:paraId="37A33A0A">
        <w:tblPrEx>
          <w:tblCellMar>
            <w:top w:w="15" w:type="dxa"/>
            <w:left w:w="15" w:type="dxa"/>
            <w:bottom w:w="15" w:type="dxa"/>
            <w:right w:w="15" w:type="dxa"/>
          </w:tblCellMar>
        </w:tblPrEx>
        <w:trPr>
          <w:trHeight w:val="533"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406B25C6">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4505059">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到位及时率（3）</w:t>
            </w:r>
          </w:p>
        </w:tc>
        <w:tc>
          <w:tcPr>
            <w:tcW w:w="639" w:type="dxa"/>
            <w:tcBorders>
              <w:top w:val="single" w:color="000000" w:sz="4" w:space="0"/>
              <w:left w:val="single" w:color="000000" w:sz="4" w:space="0"/>
              <w:bottom w:val="single" w:color="000000" w:sz="4" w:space="0"/>
              <w:right w:val="single" w:color="000000" w:sz="4" w:space="0"/>
            </w:tcBorders>
            <w:vAlign w:val="center"/>
          </w:tcPr>
          <w:p w14:paraId="2464B481">
            <w:pPr>
              <w:widowControl/>
              <w:spacing w:line="240" w:lineRule="auto"/>
              <w:ind w:firstLine="0" w:firstLineChars="0"/>
              <w:jc w:val="center"/>
              <w:textAlignment w:val="center"/>
              <w:rPr>
                <w:rFonts w:ascii="Arial Narrow" w:hAnsi="Arial Narrow" w:cs="Arial Narrow"/>
                <w:color w:val="000000"/>
              </w:rPr>
            </w:pPr>
            <w:r>
              <w:rPr>
                <w:rFonts w:ascii="Arial Narrow" w:hAnsi="Arial Narrow" w:cs="Arial Narrow"/>
                <w:color w:val="000000"/>
                <w:kern w:val="0"/>
                <w:lang w:bidi="ar"/>
              </w:rPr>
              <w:t>100%</w:t>
            </w:r>
          </w:p>
        </w:tc>
        <w:tc>
          <w:tcPr>
            <w:tcW w:w="502" w:type="dxa"/>
            <w:tcBorders>
              <w:top w:val="single" w:color="000000" w:sz="4" w:space="0"/>
              <w:left w:val="single" w:color="000000" w:sz="4" w:space="0"/>
              <w:bottom w:val="single" w:color="000000" w:sz="4" w:space="0"/>
              <w:right w:val="single" w:color="000000" w:sz="4" w:space="0"/>
            </w:tcBorders>
            <w:vAlign w:val="center"/>
          </w:tcPr>
          <w:p w14:paraId="50DAE8D2">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计划标准</w:t>
            </w:r>
          </w:p>
        </w:tc>
        <w:tc>
          <w:tcPr>
            <w:tcW w:w="5311" w:type="dxa"/>
            <w:tcBorders>
              <w:top w:val="single" w:color="000000" w:sz="4" w:space="0"/>
              <w:left w:val="single" w:color="000000" w:sz="4" w:space="0"/>
              <w:bottom w:val="single" w:color="000000" w:sz="4" w:space="0"/>
              <w:right w:val="single" w:color="000000" w:sz="4" w:space="0"/>
            </w:tcBorders>
            <w:vAlign w:val="center"/>
          </w:tcPr>
          <w:p w14:paraId="6DE548E7">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资金的到位及时率达到100%计3分，每降低10%，扣0.5分。</w:t>
            </w:r>
          </w:p>
        </w:tc>
      </w:tr>
      <w:tr w14:paraId="4AC4C604">
        <w:tblPrEx>
          <w:tblCellMar>
            <w:top w:w="15" w:type="dxa"/>
            <w:left w:w="15" w:type="dxa"/>
            <w:bottom w:w="15" w:type="dxa"/>
            <w:right w:w="15" w:type="dxa"/>
          </w:tblCellMar>
        </w:tblPrEx>
        <w:trPr>
          <w:trHeight w:val="658" w:hRule="atLeast"/>
        </w:trPr>
        <w:tc>
          <w:tcPr>
            <w:tcW w:w="558" w:type="dxa"/>
            <w:vMerge w:val="restart"/>
            <w:tcBorders>
              <w:top w:val="single" w:color="000000" w:sz="4" w:space="0"/>
              <w:left w:val="single" w:color="000000" w:sz="4" w:space="0"/>
              <w:bottom w:val="single" w:color="000000" w:sz="4" w:space="0"/>
              <w:right w:val="single" w:color="000000" w:sz="4" w:space="0"/>
            </w:tcBorders>
            <w:vAlign w:val="center"/>
          </w:tcPr>
          <w:p w14:paraId="3D6644BD">
            <w:pPr>
              <w:widowControl/>
              <w:spacing w:line="240" w:lineRule="auto"/>
              <w:ind w:firstLine="0" w:firstLineChars="0"/>
              <w:jc w:val="center"/>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w:t>
            </w:r>
            <w:r>
              <w:rPr>
                <w:rFonts w:ascii="Arial Narrow" w:hAnsi="Arial Narrow" w:cs="Arial Narrow"/>
                <w:color w:val="000000"/>
                <w:kern w:val="0"/>
                <w:sz w:val="20"/>
                <w:szCs w:val="20"/>
                <w:lang w:bidi="ar"/>
              </w:rPr>
              <w:br w:type="textWrapping"/>
            </w:r>
            <w:r>
              <w:rPr>
                <w:rFonts w:ascii="Arial Narrow" w:hAnsi="Arial Narrow" w:cs="Arial Narrow"/>
                <w:color w:val="000000"/>
                <w:kern w:val="0"/>
                <w:sz w:val="20"/>
                <w:szCs w:val="20"/>
                <w:lang w:bidi="ar"/>
              </w:rPr>
              <w:t>管理（9）</w:t>
            </w:r>
          </w:p>
        </w:tc>
        <w:tc>
          <w:tcPr>
            <w:tcW w:w="1369" w:type="dxa"/>
            <w:tcBorders>
              <w:top w:val="single" w:color="000000" w:sz="4" w:space="0"/>
              <w:left w:val="single" w:color="000000" w:sz="4" w:space="0"/>
              <w:bottom w:val="single" w:color="000000" w:sz="4" w:space="0"/>
              <w:right w:val="single" w:color="000000" w:sz="4" w:space="0"/>
            </w:tcBorders>
            <w:vAlign w:val="center"/>
          </w:tcPr>
          <w:p w14:paraId="5ADFD8F3">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管理制度健全性（3）</w:t>
            </w:r>
          </w:p>
        </w:tc>
        <w:tc>
          <w:tcPr>
            <w:tcW w:w="639" w:type="dxa"/>
            <w:tcBorders>
              <w:top w:val="single" w:color="000000" w:sz="4" w:space="0"/>
              <w:left w:val="single" w:color="000000" w:sz="4" w:space="0"/>
              <w:bottom w:val="single" w:color="000000" w:sz="4" w:space="0"/>
              <w:right w:val="single" w:color="000000" w:sz="4" w:space="0"/>
            </w:tcBorders>
            <w:vAlign w:val="center"/>
          </w:tcPr>
          <w:p w14:paraId="4510A4BB">
            <w:pPr>
              <w:spacing w:line="240" w:lineRule="auto"/>
              <w:ind w:firstLine="480"/>
              <w:rPr>
                <w:rFonts w:ascii="Arial Narrow" w:hAnsi="Arial Narrow" w:cs="Arial Narrow"/>
                <w:color w:val="00000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0093004D">
            <w:pPr>
              <w:widowControl/>
              <w:spacing w:after="200" w:line="240" w:lineRule="auto"/>
              <w:ind w:firstLine="400"/>
              <w:jc w:val="left"/>
              <w:textAlignment w:val="center"/>
              <w:rPr>
                <w:rFonts w:ascii="Arial Narrow" w:hAnsi="Arial Narrow" w:cs="Arial Narrow"/>
                <w:color w:val="000000"/>
                <w:sz w:val="20"/>
                <w:szCs w:val="2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371D2AE4">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制定相应的采购制、档案管理制度、合同制、代表活动管理制度等计3分，缺少一项扣1分。</w:t>
            </w:r>
          </w:p>
        </w:tc>
      </w:tr>
      <w:tr w14:paraId="6DE1AECF">
        <w:tblPrEx>
          <w:tblCellMar>
            <w:top w:w="15" w:type="dxa"/>
            <w:left w:w="15" w:type="dxa"/>
            <w:bottom w:w="15" w:type="dxa"/>
            <w:right w:w="15" w:type="dxa"/>
          </w:tblCellMar>
        </w:tblPrEx>
        <w:trPr>
          <w:trHeight w:val="908"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5F570513">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3982F01">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制度执行有效性（3）</w:t>
            </w:r>
          </w:p>
        </w:tc>
        <w:tc>
          <w:tcPr>
            <w:tcW w:w="639" w:type="dxa"/>
            <w:tcBorders>
              <w:top w:val="single" w:color="000000" w:sz="4" w:space="0"/>
              <w:left w:val="single" w:color="000000" w:sz="4" w:space="0"/>
              <w:bottom w:val="single" w:color="000000" w:sz="4" w:space="0"/>
              <w:right w:val="single" w:color="000000" w:sz="4" w:space="0"/>
            </w:tcBorders>
            <w:vAlign w:val="center"/>
          </w:tcPr>
          <w:p w14:paraId="2751C3EF">
            <w:pPr>
              <w:spacing w:line="240" w:lineRule="auto"/>
              <w:ind w:firstLine="480"/>
              <w:rPr>
                <w:rFonts w:ascii="Arial Narrow" w:hAnsi="Arial Narrow" w:cs="Arial Narrow"/>
                <w:color w:val="00000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44C27069">
            <w:pPr>
              <w:spacing w:line="240" w:lineRule="auto"/>
              <w:ind w:firstLine="400"/>
              <w:rPr>
                <w:rFonts w:ascii="Arial Narrow" w:hAnsi="Arial Narrow" w:cs="Arial Narrow"/>
                <w:color w:val="000000"/>
                <w:sz w:val="20"/>
                <w:szCs w:val="2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6B12E655">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项目执行遵守采购制、档案管理制度、合同制、代表活动管理制度。计3分，未遵守一项扣1分。</w:t>
            </w:r>
          </w:p>
        </w:tc>
      </w:tr>
      <w:tr w14:paraId="7727BFA6">
        <w:tblPrEx>
          <w:tblCellMar>
            <w:top w:w="15" w:type="dxa"/>
            <w:left w:w="15" w:type="dxa"/>
            <w:bottom w:w="15" w:type="dxa"/>
            <w:right w:w="15" w:type="dxa"/>
          </w:tblCellMar>
        </w:tblPrEx>
        <w:trPr>
          <w:trHeight w:val="1239"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3E7A3D5B">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2C72EE3">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项目质量可控性（3）</w:t>
            </w:r>
          </w:p>
        </w:tc>
        <w:tc>
          <w:tcPr>
            <w:tcW w:w="639" w:type="dxa"/>
            <w:tcBorders>
              <w:top w:val="single" w:color="000000" w:sz="4" w:space="0"/>
              <w:left w:val="single" w:color="000000" w:sz="4" w:space="0"/>
              <w:bottom w:val="single" w:color="000000" w:sz="4" w:space="0"/>
              <w:right w:val="single" w:color="000000" w:sz="4" w:space="0"/>
            </w:tcBorders>
            <w:vAlign w:val="center"/>
          </w:tcPr>
          <w:p w14:paraId="0DF0E413">
            <w:pPr>
              <w:spacing w:line="240" w:lineRule="auto"/>
              <w:ind w:firstLine="480"/>
              <w:rPr>
                <w:rFonts w:ascii="Arial Narrow" w:hAnsi="Arial Narrow" w:cs="Arial Narrow"/>
                <w:color w:val="00000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4FCB7D04">
            <w:pPr>
              <w:spacing w:line="240" w:lineRule="auto"/>
              <w:ind w:firstLine="400"/>
              <w:rPr>
                <w:rFonts w:ascii="Arial Narrow" w:hAnsi="Arial Narrow" w:cs="Arial Narrow"/>
                <w:color w:val="000000"/>
                <w:sz w:val="20"/>
                <w:szCs w:val="2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2A01C2BE">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制定代表活动方案计1分；严格按照活动方案开展代表活动计1分；留存相关活动记录计1分。</w:t>
            </w:r>
          </w:p>
        </w:tc>
      </w:tr>
      <w:tr w14:paraId="39F2CE0A">
        <w:tblPrEx>
          <w:tblCellMar>
            <w:top w:w="15" w:type="dxa"/>
            <w:left w:w="15" w:type="dxa"/>
            <w:bottom w:w="15" w:type="dxa"/>
            <w:right w:w="15" w:type="dxa"/>
          </w:tblCellMar>
        </w:tblPrEx>
        <w:trPr>
          <w:trHeight w:val="695" w:hRule="atLeast"/>
        </w:trPr>
        <w:tc>
          <w:tcPr>
            <w:tcW w:w="558" w:type="dxa"/>
            <w:vMerge w:val="restart"/>
            <w:tcBorders>
              <w:top w:val="single" w:color="000000" w:sz="4" w:space="0"/>
              <w:left w:val="single" w:color="000000" w:sz="4" w:space="0"/>
              <w:bottom w:val="single" w:color="000000" w:sz="4" w:space="0"/>
              <w:right w:val="single" w:color="000000" w:sz="4" w:space="0"/>
            </w:tcBorders>
            <w:vAlign w:val="center"/>
          </w:tcPr>
          <w:p w14:paraId="45266B9C">
            <w:pPr>
              <w:widowControl/>
              <w:spacing w:line="240" w:lineRule="auto"/>
              <w:ind w:firstLine="0" w:firstLineChars="0"/>
              <w:jc w:val="center"/>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财务</w:t>
            </w:r>
            <w:r>
              <w:rPr>
                <w:rFonts w:ascii="Arial Narrow" w:hAnsi="Arial Narrow" w:cs="Arial Narrow"/>
                <w:color w:val="000000"/>
                <w:kern w:val="0"/>
                <w:sz w:val="20"/>
                <w:szCs w:val="20"/>
                <w:lang w:bidi="ar"/>
              </w:rPr>
              <w:br w:type="textWrapping"/>
            </w:r>
            <w:r>
              <w:rPr>
                <w:rFonts w:ascii="Arial Narrow" w:hAnsi="Arial Narrow" w:cs="Arial Narrow"/>
                <w:color w:val="000000"/>
                <w:kern w:val="0"/>
                <w:sz w:val="20"/>
                <w:szCs w:val="20"/>
                <w:lang w:bidi="ar"/>
              </w:rPr>
              <w:t>管理（9）</w:t>
            </w:r>
          </w:p>
        </w:tc>
        <w:tc>
          <w:tcPr>
            <w:tcW w:w="1369" w:type="dxa"/>
            <w:tcBorders>
              <w:top w:val="single" w:color="000000" w:sz="4" w:space="0"/>
              <w:left w:val="single" w:color="000000" w:sz="4" w:space="0"/>
              <w:bottom w:val="single" w:color="000000" w:sz="4" w:space="0"/>
              <w:right w:val="single" w:color="000000" w:sz="4" w:space="0"/>
            </w:tcBorders>
            <w:vAlign w:val="center"/>
          </w:tcPr>
          <w:p w14:paraId="0C57A874">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财务制度健全性（3）</w:t>
            </w:r>
          </w:p>
        </w:tc>
        <w:tc>
          <w:tcPr>
            <w:tcW w:w="639" w:type="dxa"/>
            <w:tcBorders>
              <w:top w:val="single" w:color="000000" w:sz="4" w:space="0"/>
              <w:left w:val="single" w:color="000000" w:sz="4" w:space="0"/>
              <w:bottom w:val="single" w:color="000000" w:sz="4" w:space="0"/>
              <w:right w:val="single" w:color="000000" w:sz="4" w:space="0"/>
            </w:tcBorders>
            <w:vAlign w:val="center"/>
          </w:tcPr>
          <w:p w14:paraId="4791F200">
            <w:pPr>
              <w:spacing w:line="240" w:lineRule="auto"/>
              <w:ind w:firstLine="480"/>
              <w:rPr>
                <w:rFonts w:ascii="Arial Narrow" w:hAnsi="Arial Narrow" w:cs="Arial Narrow"/>
                <w:color w:val="00000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6FD5B1C1">
            <w:pPr>
              <w:spacing w:line="240" w:lineRule="auto"/>
              <w:ind w:firstLine="400"/>
              <w:rPr>
                <w:rFonts w:ascii="Arial Narrow" w:hAnsi="Arial Narrow" w:cs="Arial Narrow"/>
                <w:color w:val="000000"/>
                <w:sz w:val="20"/>
                <w:szCs w:val="2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4376A05A">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项目实施单位已制定或具有相应的项目资金管理办法计2分；项目资金管理办法符合相关财务会计制度的规定计1分。</w:t>
            </w:r>
          </w:p>
        </w:tc>
      </w:tr>
      <w:tr w14:paraId="581CB33D">
        <w:tblPrEx>
          <w:tblCellMar>
            <w:top w:w="15" w:type="dxa"/>
            <w:left w:w="15" w:type="dxa"/>
            <w:bottom w:w="15" w:type="dxa"/>
            <w:right w:w="15" w:type="dxa"/>
          </w:tblCellMar>
        </w:tblPrEx>
        <w:trPr>
          <w:trHeight w:val="695"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4103F6FB">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0A76391">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资金使用合规性（3）</w:t>
            </w:r>
          </w:p>
        </w:tc>
        <w:tc>
          <w:tcPr>
            <w:tcW w:w="639" w:type="dxa"/>
            <w:tcBorders>
              <w:top w:val="single" w:color="000000" w:sz="4" w:space="0"/>
              <w:left w:val="single" w:color="000000" w:sz="4" w:space="0"/>
              <w:bottom w:val="single" w:color="000000" w:sz="4" w:space="0"/>
              <w:right w:val="single" w:color="000000" w:sz="4" w:space="0"/>
            </w:tcBorders>
            <w:vAlign w:val="center"/>
          </w:tcPr>
          <w:p w14:paraId="189046E1">
            <w:pPr>
              <w:spacing w:line="240" w:lineRule="auto"/>
              <w:ind w:firstLine="360"/>
              <w:rPr>
                <w:rFonts w:ascii="Arial Narrow" w:hAnsi="Arial Narrow" w:cs="Arial Narrow"/>
                <w:color w:val="000000"/>
                <w:sz w:val="18"/>
                <w:szCs w:val="18"/>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02A27EE1">
            <w:pPr>
              <w:spacing w:line="240" w:lineRule="auto"/>
              <w:ind w:firstLine="400"/>
              <w:rPr>
                <w:rFonts w:ascii="Arial Narrow" w:hAnsi="Arial Narrow" w:cs="Arial Narrow"/>
                <w:color w:val="000000"/>
                <w:sz w:val="20"/>
                <w:szCs w:val="2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08BB3013">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项目支出符合国家财经法规和财务管理制度以及有关专项资金管理办法的规定计1分；</w:t>
            </w:r>
          </w:p>
          <w:p w14:paraId="5E4830C1">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符合项目预算批复或合同规定的用途，如医疗补助、维修（护）费、劳务费、印刷费、物业管理费等支出用途，计1分；</w:t>
            </w:r>
          </w:p>
          <w:p w14:paraId="2134E860">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不存在截留、挤占、挪用、虚列支出等情况计1分。</w:t>
            </w:r>
            <w:r>
              <w:rPr>
                <w:rFonts w:ascii="Arial Narrow" w:hAnsi="Arial Narrow" w:cs="Arial Narrow"/>
                <w:color w:val="000000"/>
                <w:kern w:val="0"/>
                <w:sz w:val="20"/>
                <w:szCs w:val="20"/>
                <w:lang w:bidi="ar"/>
              </w:rPr>
              <w:t>符合项目预算批复或合同规定的用途，如办公费、培训费、劳务费等支出用途，计1分；</w:t>
            </w:r>
          </w:p>
          <w:p w14:paraId="34D6381D">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不存在截留、挤占、挪用、虚列支出等情况计1分。</w:t>
            </w:r>
          </w:p>
        </w:tc>
      </w:tr>
      <w:tr w14:paraId="0E227F9A">
        <w:tblPrEx>
          <w:tblCellMar>
            <w:top w:w="15" w:type="dxa"/>
            <w:left w:w="15" w:type="dxa"/>
            <w:bottom w:w="15" w:type="dxa"/>
            <w:right w:w="15" w:type="dxa"/>
          </w:tblCellMar>
        </w:tblPrEx>
        <w:trPr>
          <w:trHeight w:val="637"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58911892">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DC19753">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财务监控有效性（3）</w:t>
            </w:r>
          </w:p>
        </w:tc>
        <w:tc>
          <w:tcPr>
            <w:tcW w:w="639" w:type="dxa"/>
            <w:tcBorders>
              <w:top w:val="single" w:color="000000" w:sz="4" w:space="0"/>
              <w:left w:val="single" w:color="000000" w:sz="4" w:space="0"/>
              <w:bottom w:val="single" w:color="000000" w:sz="4" w:space="0"/>
              <w:right w:val="single" w:color="000000" w:sz="4" w:space="0"/>
            </w:tcBorders>
            <w:vAlign w:val="center"/>
          </w:tcPr>
          <w:p w14:paraId="126814D3">
            <w:pPr>
              <w:spacing w:line="240" w:lineRule="auto"/>
              <w:ind w:firstLine="480"/>
              <w:rPr>
                <w:rFonts w:ascii="Arial Narrow" w:hAnsi="Arial Narrow" w:cs="Arial Narrow"/>
                <w:color w:val="00000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7FD21FB5">
            <w:pPr>
              <w:spacing w:line="240" w:lineRule="auto"/>
              <w:ind w:firstLine="400"/>
              <w:rPr>
                <w:rFonts w:ascii="Arial Narrow" w:hAnsi="Arial Narrow" w:cs="Arial Narrow"/>
                <w:color w:val="000000"/>
                <w:sz w:val="20"/>
                <w:szCs w:val="2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412E076D">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对于项目的重大开支，项目实施单位有进行集体决策和评估认证计2分；</w:t>
            </w:r>
          </w:p>
          <w:p w14:paraId="1CDFD8B0">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资金的拨付有完整的审批程序和手续，计1分。</w:t>
            </w:r>
          </w:p>
        </w:tc>
      </w:tr>
      <w:tr w14:paraId="79B06C64">
        <w:tblPrEx>
          <w:tblCellMar>
            <w:top w:w="15" w:type="dxa"/>
            <w:left w:w="15" w:type="dxa"/>
            <w:bottom w:w="15" w:type="dxa"/>
            <w:right w:w="15" w:type="dxa"/>
          </w:tblCellMar>
        </w:tblPrEx>
        <w:trPr>
          <w:trHeight w:val="632" w:hRule="atLeast"/>
        </w:trPr>
        <w:tc>
          <w:tcPr>
            <w:tcW w:w="558" w:type="dxa"/>
            <w:vMerge w:val="restart"/>
            <w:tcBorders>
              <w:left w:val="single" w:color="000000" w:sz="4" w:space="0"/>
              <w:bottom w:val="single" w:color="000000" w:sz="4" w:space="0"/>
              <w:right w:val="single" w:color="000000" w:sz="4" w:space="0"/>
            </w:tcBorders>
            <w:vAlign w:val="center"/>
          </w:tcPr>
          <w:p w14:paraId="4BC0F9D9">
            <w:pPr>
              <w:widowControl/>
              <w:spacing w:line="240" w:lineRule="auto"/>
              <w:ind w:firstLine="0" w:firstLineChars="0"/>
              <w:jc w:val="center"/>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项目实施（10）</w:t>
            </w:r>
          </w:p>
        </w:tc>
        <w:tc>
          <w:tcPr>
            <w:tcW w:w="1369" w:type="dxa"/>
            <w:tcBorders>
              <w:top w:val="single" w:color="000000" w:sz="4" w:space="0"/>
              <w:left w:val="single" w:color="000000" w:sz="4" w:space="0"/>
              <w:bottom w:val="single" w:color="000000" w:sz="4" w:space="0"/>
              <w:right w:val="single" w:color="000000" w:sz="4" w:space="0"/>
            </w:tcBorders>
            <w:vAlign w:val="center"/>
          </w:tcPr>
          <w:p w14:paraId="7D28874B">
            <w:pPr>
              <w:widowControl/>
              <w:spacing w:line="240" w:lineRule="auto"/>
              <w:ind w:firstLine="0" w:firstLineChars="0"/>
              <w:jc w:val="left"/>
              <w:rPr>
                <w:rFonts w:ascii="仿宋_GB2312" w:hAnsi="宋体"/>
                <w:kern w:val="0"/>
                <w:sz w:val="20"/>
                <w:szCs w:val="20"/>
              </w:rPr>
            </w:pPr>
            <w:r>
              <w:rPr>
                <w:rFonts w:hint="eastAsia" w:ascii="Arial Narrow" w:hAnsi="Arial Narrow" w:cs="Arial Narrow"/>
                <w:color w:val="000000"/>
                <w:kern w:val="0"/>
                <w:sz w:val="20"/>
                <w:szCs w:val="20"/>
                <w:lang w:bidi="ar"/>
              </w:rPr>
              <w:t>组织机构健全性</w:t>
            </w:r>
            <w:r>
              <w:rPr>
                <w:rFonts w:ascii="Arial Narrow" w:hAnsi="Arial Narrow" w:cs="Arial Narrow"/>
                <w:color w:val="000000"/>
                <w:kern w:val="0"/>
                <w:sz w:val="20"/>
                <w:szCs w:val="20"/>
                <w:lang w:bidi="ar"/>
              </w:rPr>
              <w:t>（</w:t>
            </w:r>
            <w:r>
              <w:rPr>
                <w:rFonts w:hint="eastAsia" w:ascii="Arial Narrow" w:hAnsi="Arial Narrow" w:cs="Arial Narrow"/>
                <w:color w:val="000000"/>
                <w:kern w:val="0"/>
                <w:sz w:val="20"/>
                <w:szCs w:val="20"/>
                <w:lang w:bidi="ar"/>
              </w:rPr>
              <w:t>5</w:t>
            </w:r>
            <w:r>
              <w:rPr>
                <w:rFonts w:ascii="Arial Narrow" w:hAnsi="Arial Narrow" w:cs="Arial Narrow"/>
                <w:color w:val="000000"/>
                <w:kern w:val="0"/>
                <w:sz w:val="20"/>
                <w:szCs w:val="20"/>
                <w:lang w:bidi="ar"/>
              </w:rPr>
              <w:t>）</w:t>
            </w:r>
          </w:p>
        </w:tc>
        <w:tc>
          <w:tcPr>
            <w:tcW w:w="639" w:type="dxa"/>
            <w:tcBorders>
              <w:top w:val="single" w:color="000000" w:sz="4" w:space="0"/>
              <w:left w:val="single" w:color="000000" w:sz="4" w:space="0"/>
              <w:bottom w:val="single" w:color="000000" w:sz="4" w:space="0"/>
              <w:right w:val="single" w:color="000000" w:sz="4" w:space="0"/>
            </w:tcBorders>
            <w:vAlign w:val="center"/>
          </w:tcPr>
          <w:p w14:paraId="648A5006">
            <w:pPr>
              <w:spacing w:line="240" w:lineRule="auto"/>
              <w:ind w:firstLine="480"/>
              <w:rPr>
                <w:rFonts w:ascii="Arial Narrow" w:hAnsi="Arial Narrow" w:cs="Arial Narrow"/>
                <w:color w:val="00000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4A4A3242">
            <w:pPr>
              <w:spacing w:line="240" w:lineRule="auto"/>
              <w:ind w:firstLine="400"/>
              <w:rPr>
                <w:rFonts w:ascii="Arial Narrow" w:hAnsi="Arial Narrow" w:cs="Arial Narrow"/>
                <w:color w:val="000000"/>
                <w:sz w:val="20"/>
                <w:szCs w:val="2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6F90A42A">
            <w:pPr>
              <w:widowControl/>
              <w:spacing w:line="240" w:lineRule="auto"/>
              <w:ind w:firstLine="0" w:firstLineChars="0"/>
              <w:jc w:val="left"/>
              <w:rPr>
                <w:rFonts w:ascii="仿宋_GB2312" w:hAnsi="宋体"/>
                <w:kern w:val="0"/>
                <w:sz w:val="20"/>
                <w:szCs w:val="20"/>
              </w:rPr>
            </w:pPr>
            <w:r>
              <w:rPr>
                <w:rFonts w:hint="eastAsia" w:ascii="Arial Narrow" w:hAnsi="Arial Narrow" w:cs="Arial Narrow"/>
                <w:color w:val="000000"/>
                <w:kern w:val="0"/>
                <w:sz w:val="20"/>
                <w:szCs w:val="20"/>
                <w:lang w:bidi="ar"/>
              </w:rPr>
              <w:t>项目实施单位组织结构健全、分工明确计5分，项目实施单位组织结构不够健全或分工不够明确计4分，项目实施单位组织结构不健全且分工不明确计0分。</w:t>
            </w:r>
          </w:p>
        </w:tc>
      </w:tr>
      <w:tr w14:paraId="6F3B6758">
        <w:tblPrEx>
          <w:tblCellMar>
            <w:top w:w="15" w:type="dxa"/>
            <w:left w:w="15" w:type="dxa"/>
            <w:bottom w:w="15" w:type="dxa"/>
            <w:right w:w="15" w:type="dxa"/>
          </w:tblCellMar>
        </w:tblPrEx>
        <w:trPr>
          <w:trHeight w:val="500" w:hRule="atLeast"/>
        </w:trPr>
        <w:tc>
          <w:tcPr>
            <w:tcW w:w="558" w:type="dxa"/>
            <w:vMerge w:val="continue"/>
            <w:tcBorders>
              <w:left w:val="single" w:color="000000" w:sz="4" w:space="0"/>
              <w:bottom w:val="single" w:color="000000" w:sz="4" w:space="0"/>
              <w:right w:val="single" w:color="000000" w:sz="4" w:space="0"/>
            </w:tcBorders>
            <w:vAlign w:val="center"/>
          </w:tcPr>
          <w:p w14:paraId="6717AF52">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62483FE">
            <w:pPr>
              <w:widowControl/>
              <w:spacing w:line="240" w:lineRule="auto"/>
              <w:ind w:firstLine="0" w:firstLineChars="0"/>
              <w:jc w:val="left"/>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项目档案资料完整性（</w:t>
            </w:r>
            <w:r>
              <w:rPr>
                <w:rFonts w:hint="eastAsia" w:ascii="Arial Narrow" w:hAnsi="Arial Narrow" w:cs="Arial Narrow"/>
                <w:color w:val="000000"/>
                <w:kern w:val="0"/>
                <w:sz w:val="20"/>
                <w:szCs w:val="20"/>
                <w:lang w:bidi="ar"/>
              </w:rPr>
              <w:t>5</w:t>
            </w:r>
            <w:r>
              <w:rPr>
                <w:rFonts w:ascii="Arial Narrow" w:hAnsi="Arial Narrow" w:cs="Arial Narrow"/>
                <w:color w:val="000000"/>
                <w:kern w:val="0"/>
                <w:sz w:val="20"/>
                <w:szCs w:val="20"/>
                <w:lang w:bidi="ar"/>
              </w:rPr>
              <w:t>）</w:t>
            </w:r>
          </w:p>
        </w:tc>
        <w:tc>
          <w:tcPr>
            <w:tcW w:w="639" w:type="dxa"/>
            <w:tcBorders>
              <w:top w:val="single" w:color="000000" w:sz="4" w:space="0"/>
              <w:left w:val="single" w:color="000000" w:sz="4" w:space="0"/>
              <w:bottom w:val="single" w:color="000000" w:sz="4" w:space="0"/>
              <w:right w:val="single" w:color="000000" w:sz="4" w:space="0"/>
            </w:tcBorders>
            <w:vAlign w:val="center"/>
          </w:tcPr>
          <w:p w14:paraId="095FF077">
            <w:pPr>
              <w:spacing w:line="240" w:lineRule="auto"/>
              <w:ind w:firstLine="480"/>
              <w:rPr>
                <w:rFonts w:ascii="Arial Narrow" w:hAnsi="Arial Narrow" w:cs="Arial Narrow"/>
                <w:color w:val="00000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34AB74CC">
            <w:pPr>
              <w:spacing w:line="240" w:lineRule="auto"/>
              <w:ind w:firstLine="400"/>
              <w:rPr>
                <w:rFonts w:ascii="Arial Narrow" w:hAnsi="Arial Narrow" w:cs="Arial Narrow"/>
                <w:color w:val="000000"/>
                <w:sz w:val="20"/>
                <w:szCs w:val="2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18D88750">
            <w:pPr>
              <w:widowControl/>
              <w:spacing w:line="240" w:lineRule="auto"/>
              <w:ind w:firstLine="0" w:firstLineChars="0"/>
              <w:jc w:val="left"/>
              <w:textAlignment w:val="center"/>
              <w:rPr>
                <w:rFonts w:ascii="Arial Narrow" w:hAnsi="Arial Narrow" w:cs="Arial Narrow"/>
                <w:color w:val="000000"/>
                <w:kern w:val="0"/>
                <w:sz w:val="20"/>
                <w:szCs w:val="20"/>
                <w:lang w:bidi="ar"/>
              </w:rPr>
            </w:pPr>
            <w:r>
              <w:rPr>
                <w:rFonts w:hint="eastAsia" w:ascii="Arial Narrow" w:hAnsi="Arial Narrow" w:cs="Arial Narrow"/>
                <w:color w:val="000000"/>
                <w:kern w:val="0"/>
                <w:sz w:val="20"/>
                <w:szCs w:val="20"/>
                <w:lang w:bidi="ar"/>
              </w:rPr>
              <w:t>项目档案资料齐全计5分；</w:t>
            </w:r>
          </w:p>
          <w:p w14:paraId="173C95C4">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Arial Narrow" w:hAnsi="Arial Narrow" w:cs="Arial Narrow"/>
                <w:color w:val="000000"/>
                <w:kern w:val="0"/>
                <w:sz w:val="20"/>
                <w:szCs w:val="20"/>
                <w:lang w:bidi="ar"/>
              </w:rPr>
              <w:t>比较齐全计4分，不太齐全计2分，没有档案资料计0分。</w:t>
            </w:r>
          </w:p>
        </w:tc>
      </w:tr>
      <w:tr w14:paraId="79B23172">
        <w:tblPrEx>
          <w:tblCellMar>
            <w:top w:w="15" w:type="dxa"/>
            <w:left w:w="15" w:type="dxa"/>
            <w:bottom w:w="15" w:type="dxa"/>
            <w:right w:w="15" w:type="dxa"/>
          </w:tblCellMar>
        </w:tblPrEx>
        <w:trPr>
          <w:trHeight w:val="1190" w:hRule="atLeast"/>
        </w:trPr>
        <w:tc>
          <w:tcPr>
            <w:tcW w:w="558" w:type="dxa"/>
            <w:vMerge w:val="restart"/>
            <w:tcBorders>
              <w:top w:val="single" w:color="000000" w:sz="4" w:space="0"/>
              <w:left w:val="single" w:color="000000" w:sz="4" w:space="0"/>
              <w:bottom w:val="single" w:color="000000" w:sz="4" w:space="0"/>
              <w:right w:val="single" w:color="000000" w:sz="4" w:space="0"/>
            </w:tcBorders>
            <w:vAlign w:val="center"/>
          </w:tcPr>
          <w:p w14:paraId="706616A0">
            <w:pPr>
              <w:widowControl/>
              <w:spacing w:line="240" w:lineRule="auto"/>
              <w:ind w:firstLine="0" w:firstLineChars="0"/>
              <w:jc w:val="center"/>
              <w:textAlignment w:val="center"/>
              <w:rPr>
                <w:rFonts w:ascii="Arial Narrow" w:hAnsi="Arial Narrow" w:cs="Arial Narrow"/>
                <w:color w:val="000000"/>
                <w:kern w:val="0"/>
                <w:sz w:val="20"/>
                <w:szCs w:val="20"/>
                <w:lang w:bidi="ar"/>
              </w:rPr>
            </w:pPr>
          </w:p>
          <w:p w14:paraId="6E28D09C">
            <w:pPr>
              <w:widowControl/>
              <w:spacing w:line="240" w:lineRule="auto"/>
              <w:ind w:firstLine="0" w:firstLineChars="0"/>
              <w:jc w:val="center"/>
              <w:textAlignment w:val="center"/>
              <w:rPr>
                <w:rFonts w:ascii="Arial Narrow" w:hAnsi="Arial Narrow" w:cs="Arial Narrow"/>
                <w:color w:val="000000"/>
                <w:kern w:val="0"/>
                <w:sz w:val="20"/>
                <w:szCs w:val="20"/>
                <w:lang w:bidi="ar"/>
              </w:rPr>
            </w:pPr>
          </w:p>
          <w:p w14:paraId="24D8B91A">
            <w:pPr>
              <w:widowControl/>
              <w:spacing w:line="240" w:lineRule="auto"/>
              <w:ind w:firstLine="0" w:firstLineChars="0"/>
              <w:jc w:val="center"/>
              <w:textAlignment w:val="center"/>
              <w:rPr>
                <w:rFonts w:ascii="Arial Narrow" w:hAnsi="Arial Narrow" w:cs="Arial Narrow"/>
                <w:color w:val="000000"/>
                <w:sz w:val="20"/>
                <w:szCs w:val="20"/>
              </w:rPr>
            </w:pPr>
            <w:r>
              <w:rPr>
                <w:rFonts w:ascii="Arial Narrow" w:hAnsi="Arial Narrow" w:cs="Arial Narrow"/>
                <w:color w:val="000000"/>
                <w:kern w:val="0"/>
                <w:sz w:val="20"/>
                <w:szCs w:val="20"/>
                <w:lang w:bidi="ar"/>
              </w:rPr>
              <w:t>项目</w:t>
            </w:r>
            <w:r>
              <w:rPr>
                <w:rFonts w:ascii="Arial Narrow" w:hAnsi="Arial Narrow" w:cs="Arial Narrow"/>
                <w:color w:val="000000"/>
                <w:kern w:val="0"/>
                <w:sz w:val="20"/>
                <w:szCs w:val="20"/>
                <w:lang w:bidi="ar"/>
              </w:rPr>
              <w:br w:type="textWrapping"/>
            </w:r>
            <w:r>
              <w:rPr>
                <w:rFonts w:ascii="Arial Narrow" w:hAnsi="Arial Narrow" w:cs="Arial Narrow"/>
                <w:color w:val="000000"/>
                <w:kern w:val="0"/>
                <w:sz w:val="20"/>
                <w:szCs w:val="20"/>
                <w:lang w:bidi="ar"/>
              </w:rPr>
              <w:t>产出（26）</w:t>
            </w:r>
          </w:p>
        </w:tc>
        <w:tc>
          <w:tcPr>
            <w:tcW w:w="1369" w:type="dxa"/>
            <w:tcBorders>
              <w:top w:val="single" w:color="000000" w:sz="4" w:space="0"/>
              <w:left w:val="single" w:color="000000" w:sz="4" w:space="0"/>
              <w:bottom w:val="single" w:color="000000" w:sz="4" w:space="0"/>
              <w:right w:val="single" w:color="000000" w:sz="4" w:space="0"/>
            </w:tcBorders>
            <w:vAlign w:val="center"/>
          </w:tcPr>
          <w:p w14:paraId="3BE25ABD">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代表活动开展情况</w:t>
            </w:r>
            <w:r>
              <w:rPr>
                <w:rFonts w:hint="eastAsia" w:ascii="Arial Narrow" w:hAnsi="Arial Narrow" w:cs="Arial Narrow"/>
                <w:color w:val="000000"/>
                <w:kern w:val="0"/>
                <w:sz w:val="20"/>
                <w:szCs w:val="20"/>
                <w:lang w:bidi="ar"/>
              </w:rPr>
              <w:t>（4）</w:t>
            </w:r>
          </w:p>
        </w:tc>
        <w:tc>
          <w:tcPr>
            <w:tcW w:w="639" w:type="dxa"/>
            <w:tcBorders>
              <w:top w:val="single" w:color="000000" w:sz="4" w:space="0"/>
              <w:left w:val="single" w:color="000000" w:sz="4" w:space="0"/>
              <w:bottom w:val="single" w:color="000000" w:sz="4" w:space="0"/>
              <w:right w:val="single" w:color="000000" w:sz="4" w:space="0"/>
            </w:tcBorders>
            <w:vAlign w:val="center"/>
          </w:tcPr>
          <w:p w14:paraId="333A1088">
            <w:pPr>
              <w:widowControl/>
              <w:spacing w:line="240" w:lineRule="auto"/>
              <w:ind w:firstLine="0" w:firstLineChars="0"/>
              <w:textAlignment w:val="center"/>
              <w:rPr>
                <w:rFonts w:ascii="Arial Narrow" w:hAnsi="Arial Narrow" w:cs="Arial Narrow"/>
                <w:color w:val="000000"/>
              </w:rPr>
            </w:pPr>
            <w:r>
              <w:rPr>
                <w:rFonts w:ascii="Arial Narrow" w:hAnsi="Arial Narrow" w:cs="Arial Narrow"/>
                <w:color w:val="000000"/>
                <w:sz w:val="20"/>
                <w:szCs w:val="20"/>
              </w:rPr>
              <w:t>100</w:t>
            </w:r>
            <w:r>
              <w:rPr>
                <w:rFonts w:hint="eastAsia" w:ascii="Arial Narrow" w:hAnsi="Arial Narrow" w:cs="Arial Narrow"/>
                <w:color w:val="000000"/>
                <w:sz w:val="20"/>
                <w:szCs w:val="20"/>
              </w:rPr>
              <w:t>%</w:t>
            </w:r>
          </w:p>
        </w:tc>
        <w:tc>
          <w:tcPr>
            <w:tcW w:w="502" w:type="dxa"/>
            <w:tcBorders>
              <w:top w:val="single" w:color="000000" w:sz="4" w:space="0"/>
              <w:left w:val="single" w:color="000000" w:sz="4" w:space="0"/>
              <w:bottom w:val="single" w:color="000000" w:sz="4" w:space="0"/>
              <w:right w:val="single" w:color="000000" w:sz="4" w:space="0"/>
            </w:tcBorders>
            <w:vAlign w:val="center"/>
          </w:tcPr>
          <w:p w14:paraId="64137824">
            <w:pPr>
              <w:widowControl/>
              <w:spacing w:line="240" w:lineRule="auto"/>
              <w:ind w:firstLine="0" w:firstLineChars="0"/>
              <w:jc w:val="left"/>
              <w:textAlignment w:val="center"/>
              <w:rPr>
                <w:rFonts w:ascii="Arial Narrow" w:hAnsi="Arial Narrow" w:cs="Arial Narrow"/>
                <w:color w:val="00000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1A463196">
            <w:pPr>
              <w:widowControl/>
              <w:spacing w:line="240" w:lineRule="auto"/>
              <w:ind w:firstLine="0" w:firstLineChars="0"/>
              <w:jc w:val="left"/>
              <w:rPr>
                <w:rFonts w:ascii="仿宋_GB2312" w:hAnsi="宋体"/>
                <w:sz w:val="20"/>
                <w:szCs w:val="20"/>
              </w:rPr>
            </w:pPr>
            <w:r>
              <w:rPr>
                <w:rFonts w:hint="eastAsia" w:ascii="仿宋_GB2312" w:hAnsi="宋体"/>
                <w:sz w:val="20"/>
                <w:szCs w:val="20"/>
              </w:rPr>
              <w:t>①项目实施单位积极开展代表活动，计2分；</w:t>
            </w:r>
          </w:p>
          <w:p w14:paraId="6E038130">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②人大代表与群众密切联系并积极提出问题和建议，计2分；</w:t>
            </w:r>
          </w:p>
        </w:tc>
      </w:tr>
      <w:tr w14:paraId="7CD8958D">
        <w:tblPrEx>
          <w:tblCellMar>
            <w:top w:w="15" w:type="dxa"/>
            <w:left w:w="15" w:type="dxa"/>
            <w:bottom w:w="15" w:type="dxa"/>
            <w:right w:w="15" w:type="dxa"/>
          </w:tblCellMar>
        </w:tblPrEx>
        <w:trPr>
          <w:trHeight w:val="1226"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2979E0D9">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1F2AFE0">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培训工作完成率</w:t>
            </w:r>
            <w:r>
              <w:rPr>
                <w:rFonts w:ascii="仿宋_GB2312" w:hAnsi="宋体"/>
                <w:sz w:val="20"/>
                <w:szCs w:val="20"/>
              </w:rPr>
              <w:t>（4）</w:t>
            </w:r>
          </w:p>
        </w:tc>
        <w:tc>
          <w:tcPr>
            <w:tcW w:w="639" w:type="dxa"/>
            <w:tcBorders>
              <w:top w:val="single" w:color="000000" w:sz="4" w:space="0"/>
              <w:left w:val="single" w:color="000000" w:sz="4" w:space="0"/>
              <w:bottom w:val="single" w:color="000000" w:sz="4" w:space="0"/>
              <w:right w:val="single" w:color="000000" w:sz="4" w:space="0"/>
            </w:tcBorders>
            <w:vAlign w:val="center"/>
          </w:tcPr>
          <w:p w14:paraId="15AE817D">
            <w:pPr>
              <w:widowControl/>
              <w:spacing w:line="240" w:lineRule="auto"/>
              <w:ind w:firstLine="0" w:firstLineChars="0"/>
              <w:textAlignment w:val="center"/>
              <w:rPr>
                <w:rFonts w:ascii="Arial Narrow" w:hAnsi="Arial Narrow" w:cs="Arial Narrow"/>
                <w:color w:val="000000"/>
                <w:sz w:val="20"/>
                <w:szCs w:val="20"/>
              </w:rPr>
            </w:pPr>
            <w:r>
              <w:rPr>
                <w:rFonts w:ascii="Arial Narrow" w:hAnsi="Arial Narrow" w:cs="Arial Narrow"/>
                <w:color w:val="000000"/>
                <w:sz w:val="20"/>
                <w:szCs w:val="20"/>
              </w:rPr>
              <w:t>100</w:t>
            </w:r>
            <w:r>
              <w:rPr>
                <w:rFonts w:hint="eastAsia" w:ascii="Arial Narrow" w:hAnsi="Arial Narrow" w:cs="Arial Narrow"/>
                <w:color w:val="000000"/>
                <w:sz w:val="20"/>
                <w:szCs w:val="20"/>
              </w:rPr>
              <w:t>%</w:t>
            </w:r>
          </w:p>
        </w:tc>
        <w:tc>
          <w:tcPr>
            <w:tcW w:w="502" w:type="dxa"/>
            <w:tcBorders>
              <w:top w:val="single" w:color="000000" w:sz="4" w:space="0"/>
              <w:left w:val="single" w:color="000000" w:sz="4" w:space="0"/>
              <w:bottom w:val="single" w:color="000000" w:sz="4" w:space="0"/>
              <w:right w:val="single" w:color="000000" w:sz="4" w:space="0"/>
            </w:tcBorders>
            <w:vAlign w:val="center"/>
          </w:tcPr>
          <w:p w14:paraId="21604493">
            <w:pPr>
              <w:spacing w:line="240" w:lineRule="auto"/>
              <w:ind w:firstLine="0" w:firstLineChars="0"/>
              <w:rPr>
                <w:rFonts w:ascii="Arial Narrow" w:hAnsi="Arial Narrow" w:cs="Arial Narrow"/>
                <w:color w:val="00000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1D91CB31">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培训工作完成率达到100%，计4分，每降低10%，扣2分。</w:t>
            </w:r>
          </w:p>
        </w:tc>
      </w:tr>
      <w:tr w14:paraId="3A60D5CE">
        <w:tblPrEx>
          <w:tblCellMar>
            <w:top w:w="15" w:type="dxa"/>
            <w:left w:w="15" w:type="dxa"/>
            <w:bottom w:w="15" w:type="dxa"/>
            <w:right w:w="15" w:type="dxa"/>
          </w:tblCellMar>
        </w:tblPrEx>
        <w:trPr>
          <w:trHeight w:val="386"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4F636D20">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A6CD26F">
            <w:pPr>
              <w:widowControl/>
              <w:spacing w:line="240" w:lineRule="auto"/>
              <w:ind w:firstLine="0" w:firstLineChars="0"/>
              <w:jc w:val="left"/>
              <w:rPr>
                <w:rFonts w:ascii="仿宋_GB2312" w:hAnsi="宋体"/>
                <w:sz w:val="20"/>
                <w:szCs w:val="20"/>
              </w:rPr>
            </w:pPr>
            <w:r>
              <w:rPr>
                <w:rFonts w:hint="eastAsia" w:ascii="仿宋_GB2312" w:hAnsi="宋体"/>
                <w:sz w:val="20"/>
                <w:szCs w:val="20"/>
              </w:rPr>
              <w:t>培训到训率</w:t>
            </w:r>
            <w:r>
              <w:rPr>
                <w:rFonts w:ascii="Arial Narrow" w:hAnsi="Arial Narrow" w:cs="Arial Narrow"/>
                <w:color w:val="000000"/>
                <w:kern w:val="0"/>
                <w:sz w:val="20"/>
                <w:szCs w:val="20"/>
                <w:lang w:bidi="ar"/>
              </w:rPr>
              <w:t>（5）</w:t>
            </w:r>
          </w:p>
        </w:tc>
        <w:tc>
          <w:tcPr>
            <w:tcW w:w="639" w:type="dxa"/>
            <w:tcBorders>
              <w:top w:val="single" w:color="000000" w:sz="4" w:space="0"/>
              <w:left w:val="single" w:color="000000" w:sz="4" w:space="0"/>
              <w:bottom w:val="single" w:color="000000" w:sz="4" w:space="0"/>
              <w:right w:val="single" w:color="000000" w:sz="4" w:space="0"/>
            </w:tcBorders>
            <w:vAlign w:val="center"/>
          </w:tcPr>
          <w:p w14:paraId="33DFA1F8">
            <w:pPr>
              <w:widowControl/>
              <w:spacing w:line="240" w:lineRule="auto"/>
              <w:ind w:firstLine="0" w:firstLineChars="0"/>
              <w:textAlignment w:val="center"/>
              <w:rPr>
                <w:rFonts w:ascii="仿宋_GB2312" w:hAnsi="宋体"/>
                <w:sz w:val="20"/>
                <w:szCs w:val="20"/>
              </w:rPr>
            </w:pPr>
            <w:r>
              <w:rPr>
                <w:rFonts w:hint="eastAsia" w:ascii="Arial Narrow" w:hAnsi="Arial Narrow" w:cs="Arial Narrow"/>
                <w:color w:val="000000"/>
                <w:sz w:val="20"/>
                <w:szCs w:val="20"/>
              </w:rPr>
              <w:t>≥95%</w:t>
            </w:r>
          </w:p>
        </w:tc>
        <w:tc>
          <w:tcPr>
            <w:tcW w:w="502" w:type="dxa"/>
            <w:tcBorders>
              <w:top w:val="single" w:color="000000" w:sz="4" w:space="0"/>
              <w:left w:val="single" w:color="000000" w:sz="4" w:space="0"/>
              <w:bottom w:val="single" w:color="000000" w:sz="4" w:space="0"/>
              <w:right w:val="single" w:color="000000" w:sz="4" w:space="0"/>
            </w:tcBorders>
            <w:vAlign w:val="center"/>
          </w:tcPr>
          <w:p w14:paraId="18ED8341">
            <w:pPr>
              <w:widowControl/>
              <w:spacing w:line="240" w:lineRule="auto"/>
              <w:ind w:firstLine="0" w:firstLineChars="0"/>
              <w:jc w:val="left"/>
              <w:textAlignment w:val="center"/>
              <w:rPr>
                <w:rFonts w:ascii="仿宋_GB2312" w:hAnsi="宋体"/>
                <w:sz w:val="20"/>
                <w:szCs w:val="2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7F919FB4">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培训到训率达到95%，计5分，每降低10%，扣1分。</w:t>
            </w:r>
          </w:p>
        </w:tc>
      </w:tr>
      <w:tr w14:paraId="02187BD8">
        <w:tblPrEx>
          <w:tblCellMar>
            <w:top w:w="15" w:type="dxa"/>
            <w:left w:w="15" w:type="dxa"/>
            <w:bottom w:w="15" w:type="dxa"/>
            <w:right w:w="15" w:type="dxa"/>
          </w:tblCellMar>
        </w:tblPrEx>
        <w:trPr>
          <w:trHeight w:val="695"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3C2ACE39">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F9F52C0">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议案建议督办率</w:t>
            </w:r>
            <w:r>
              <w:rPr>
                <w:rFonts w:hint="eastAsia" w:ascii="仿宋_GB2312" w:hAnsi="宋体"/>
                <w:kern w:val="0"/>
                <w:sz w:val="20"/>
                <w:szCs w:val="20"/>
              </w:rPr>
              <w:t>（5）</w:t>
            </w:r>
          </w:p>
        </w:tc>
        <w:tc>
          <w:tcPr>
            <w:tcW w:w="639" w:type="dxa"/>
            <w:tcBorders>
              <w:top w:val="single" w:color="000000" w:sz="4" w:space="0"/>
              <w:left w:val="single" w:color="000000" w:sz="4" w:space="0"/>
              <w:bottom w:val="single" w:color="000000" w:sz="4" w:space="0"/>
              <w:right w:val="single" w:color="000000" w:sz="4" w:space="0"/>
            </w:tcBorders>
            <w:vAlign w:val="center"/>
          </w:tcPr>
          <w:p w14:paraId="459CD7DE">
            <w:pPr>
              <w:widowControl/>
              <w:spacing w:line="240" w:lineRule="auto"/>
              <w:ind w:firstLine="0" w:firstLineChars="0"/>
              <w:textAlignment w:val="center"/>
              <w:rPr>
                <w:rFonts w:ascii="Arial Narrow" w:hAnsi="Arial Narrow" w:cs="Arial Narrow"/>
                <w:color w:val="000000"/>
                <w:sz w:val="20"/>
                <w:szCs w:val="20"/>
              </w:rPr>
            </w:pPr>
            <w:r>
              <w:rPr>
                <w:rFonts w:hint="eastAsia" w:ascii="Arial Narrow" w:hAnsi="Arial Narrow" w:cs="Arial Narrow"/>
                <w:color w:val="000000"/>
                <w:sz w:val="20"/>
                <w:szCs w:val="20"/>
              </w:rPr>
              <w:t>≥95%</w:t>
            </w:r>
          </w:p>
        </w:tc>
        <w:tc>
          <w:tcPr>
            <w:tcW w:w="502" w:type="dxa"/>
            <w:tcBorders>
              <w:top w:val="single" w:color="000000" w:sz="4" w:space="0"/>
              <w:left w:val="single" w:color="000000" w:sz="4" w:space="0"/>
              <w:bottom w:val="single" w:color="000000" w:sz="4" w:space="0"/>
              <w:right w:val="single" w:color="000000" w:sz="4" w:space="0"/>
            </w:tcBorders>
            <w:vAlign w:val="center"/>
          </w:tcPr>
          <w:p w14:paraId="6B5CCF72">
            <w:pPr>
              <w:widowControl/>
              <w:spacing w:line="240" w:lineRule="auto"/>
              <w:ind w:firstLine="0" w:firstLineChars="0"/>
              <w:jc w:val="left"/>
              <w:textAlignment w:val="center"/>
              <w:rPr>
                <w:rFonts w:ascii="Arial Narrow" w:hAnsi="Arial Narrow" w:cs="Arial Narrow"/>
                <w:color w:val="00000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4261457C">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议案建议督办率超过95%计5分，每降低10%，扣0.5分。</w:t>
            </w:r>
          </w:p>
        </w:tc>
      </w:tr>
      <w:tr w14:paraId="2FE38DAC">
        <w:tblPrEx>
          <w:tblCellMar>
            <w:top w:w="15" w:type="dxa"/>
            <w:left w:w="15" w:type="dxa"/>
            <w:bottom w:w="15" w:type="dxa"/>
            <w:right w:w="15" w:type="dxa"/>
          </w:tblCellMar>
        </w:tblPrEx>
        <w:trPr>
          <w:trHeight w:val="522"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2443C20B">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D7A9F77">
            <w:pPr>
              <w:widowControl/>
              <w:spacing w:line="240" w:lineRule="auto"/>
              <w:ind w:firstLine="0" w:firstLineChars="0"/>
              <w:jc w:val="left"/>
              <w:rPr>
                <w:rFonts w:ascii="仿宋_GB2312" w:hAnsi="宋体"/>
                <w:kern w:val="0"/>
                <w:sz w:val="20"/>
                <w:szCs w:val="20"/>
              </w:rPr>
            </w:pPr>
            <w:r>
              <w:rPr>
                <w:rFonts w:ascii="Arial Narrow" w:hAnsi="Arial Narrow" w:cs="Arial Narrow"/>
                <w:color w:val="000000"/>
                <w:kern w:val="0"/>
                <w:sz w:val="20"/>
                <w:szCs w:val="20"/>
                <w:lang w:bidi="ar"/>
              </w:rPr>
              <w:t>资金使用率（4）</w:t>
            </w:r>
          </w:p>
        </w:tc>
        <w:tc>
          <w:tcPr>
            <w:tcW w:w="639" w:type="dxa"/>
            <w:tcBorders>
              <w:top w:val="single" w:color="000000" w:sz="4" w:space="0"/>
              <w:left w:val="single" w:color="000000" w:sz="4" w:space="0"/>
              <w:bottom w:val="single" w:color="000000" w:sz="4" w:space="0"/>
              <w:right w:val="single" w:color="000000" w:sz="4" w:space="0"/>
            </w:tcBorders>
            <w:vAlign w:val="center"/>
          </w:tcPr>
          <w:p w14:paraId="1D7DF927">
            <w:pPr>
              <w:widowControl/>
              <w:spacing w:line="240" w:lineRule="auto"/>
              <w:ind w:firstLine="0" w:firstLineChars="0"/>
              <w:textAlignment w:val="center"/>
              <w:rPr>
                <w:rFonts w:ascii="Arial Narrow" w:hAnsi="Arial Narrow" w:cs="Arial Narrow"/>
                <w:color w:val="000000"/>
                <w:sz w:val="20"/>
                <w:szCs w:val="20"/>
              </w:rPr>
            </w:pPr>
            <w:r>
              <w:rPr>
                <w:rFonts w:hint="eastAsia" w:ascii="Arial Narrow" w:hAnsi="Arial Narrow" w:cs="Arial Narrow"/>
                <w:color w:val="000000"/>
                <w:sz w:val="20"/>
                <w:szCs w:val="20"/>
              </w:rPr>
              <w:t>≥</w:t>
            </w:r>
            <w:r>
              <w:rPr>
                <w:rFonts w:ascii="Arial Narrow" w:hAnsi="Arial Narrow" w:cs="Arial Narrow"/>
                <w:color w:val="000000"/>
                <w:sz w:val="20"/>
                <w:szCs w:val="20"/>
              </w:rPr>
              <w:t>95%</w:t>
            </w:r>
          </w:p>
        </w:tc>
        <w:tc>
          <w:tcPr>
            <w:tcW w:w="502" w:type="dxa"/>
            <w:tcBorders>
              <w:top w:val="single" w:color="000000" w:sz="4" w:space="0"/>
              <w:left w:val="single" w:color="000000" w:sz="4" w:space="0"/>
              <w:bottom w:val="single" w:color="000000" w:sz="4" w:space="0"/>
              <w:right w:val="single" w:color="000000" w:sz="4" w:space="0"/>
            </w:tcBorders>
            <w:vAlign w:val="center"/>
          </w:tcPr>
          <w:p w14:paraId="1D24272E">
            <w:pPr>
              <w:widowControl/>
              <w:spacing w:line="240" w:lineRule="auto"/>
              <w:ind w:firstLine="0" w:firstLineChars="0"/>
              <w:jc w:val="left"/>
              <w:textAlignment w:val="center"/>
              <w:rPr>
                <w:rFonts w:ascii="Arial Narrow" w:hAnsi="Arial Narrow" w:cs="Arial Narrow"/>
                <w:color w:val="00000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09F59DF7">
            <w:pPr>
              <w:widowControl/>
              <w:spacing w:line="240" w:lineRule="auto"/>
              <w:ind w:firstLine="0" w:firstLineChars="0"/>
              <w:jc w:val="left"/>
              <w:rPr>
                <w:rFonts w:ascii="仿宋_GB2312" w:hAnsi="宋体"/>
                <w:kern w:val="0"/>
                <w:sz w:val="20"/>
                <w:szCs w:val="20"/>
              </w:rPr>
            </w:pPr>
            <w:r>
              <w:rPr>
                <w:rFonts w:hint="eastAsia" w:ascii="Arial Narrow" w:hAnsi="Arial Narrow" w:cs="Arial Narrow"/>
                <w:color w:val="000000"/>
                <w:kern w:val="0"/>
                <w:sz w:val="20"/>
                <w:szCs w:val="20"/>
                <w:lang w:bidi="ar"/>
              </w:rPr>
              <w:t>资金使用率超过95%计4分，每降低10%，扣0.5分。</w:t>
            </w:r>
          </w:p>
        </w:tc>
      </w:tr>
      <w:tr w14:paraId="442EEE6A">
        <w:tblPrEx>
          <w:tblCellMar>
            <w:top w:w="15" w:type="dxa"/>
            <w:left w:w="15" w:type="dxa"/>
            <w:bottom w:w="15" w:type="dxa"/>
            <w:right w:w="15" w:type="dxa"/>
          </w:tblCellMar>
        </w:tblPrEx>
        <w:trPr>
          <w:trHeight w:val="533"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4261D8D7">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E6E7024">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仿宋_GB2312" w:hAnsi="宋体"/>
                <w:color w:val="000000"/>
                <w:sz w:val="20"/>
                <w:szCs w:val="20"/>
              </w:rPr>
              <w:t>人大代表技能提升度</w:t>
            </w:r>
            <w:r>
              <w:rPr>
                <w:rFonts w:hint="eastAsia" w:ascii="仿宋_GB2312" w:hAnsi="宋体"/>
                <w:color w:val="000000"/>
                <w:kern w:val="0"/>
                <w:sz w:val="20"/>
                <w:szCs w:val="20"/>
              </w:rPr>
              <w:t>（4）</w:t>
            </w:r>
          </w:p>
        </w:tc>
        <w:tc>
          <w:tcPr>
            <w:tcW w:w="639" w:type="dxa"/>
            <w:tcBorders>
              <w:top w:val="single" w:color="000000" w:sz="4" w:space="0"/>
              <w:left w:val="single" w:color="000000" w:sz="4" w:space="0"/>
              <w:bottom w:val="single" w:color="000000" w:sz="4" w:space="0"/>
              <w:right w:val="single" w:color="000000" w:sz="4" w:space="0"/>
            </w:tcBorders>
            <w:vAlign w:val="center"/>
          </w:tcPr>
          <w:p w14:paraId="26F3B317">
            <w:pPr>
              <w:widowControl/>
              <w:spacing w:line="240" w:lineRule="auto"/>
              <w:ind w:firstLine="0" w:firstLineChars="0"/>
              <w:textAlignment w:val="center"/>
              <w:rPr>
                <w:rFonts w:hint="eastAsia" w:ascii="Cambria Math" w:hAnsi="Cambria Math" w:cs="Cambria Math"/>
                <w:color w:val="000000"/>
                <w:sz w:val="20"/>
                <w:szCs w:val="2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014F8F70">
            <w:pPr>
              <w:widowControl/>
              <w:spacing w:line="240" w:lineRule="auto"/>
              <w:ind w:firstLine="0" w:firstLineChars="0"/>
              <w:textAlignment w:val="center"/>
              <w:rPr>
                <w:rFonts w:hint="eastAsia" w:ascii="Cambria Math" w:hAnsi="Cambria Math" w:cs="Cambria Math"/>
                <w:color w:val="000000"/>
                <w:sz w:val="20"/>
                <w:szCs w:val="2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0385D651">
            <w:pPr>
              <w:widowControl/>
              <w:spacing w:line="240" w:lineRule="auto"/>
              <w:ind w:firstLine="0" w:firstLineChars="0"/>
              <w:jc w:val="left"/>
              <w:rPr>
                <w:rFonts w:ascii="仿宋_GB2312" w:hAnsi="宋体"/>
                <w:sz w:val="20"/>
                <w:szCs w:val="20"/>
              </w:rPr>
            </w:pPr>
            <w:r>
              <w:rPr>
                <w:rFonts w:hint="eastAsia" w:ascii="仿宋_GB2312" w:hAnsi="宋体"/>
                <w:sz w:val="20"/>
                <w:szCs w:val="20"/>
              </w:rPr>
              <w:t>①人大代表参加培训后，及时撰写培训记录、培训报告，计2分；</w:t>
            </w:r>
          </w:p>
          <w:p w14:paraId="557B3AFD">
            <w:pPr>
              <w:widowControl/>
              <w:spacing w:line="240" w:lineRule="auto"/>
              <w:ind w:firstLine="0" w:firstLineChars="0"/>
              <w:jc w:val="left"/>
              <w:rPr>
                <w:rFonts w:ascii="仿宋_GB2312" w:hAnsi="宋体"/>
                <w:sz w:val="20"/>
                <w:szCs w:val="20"/>
              </w:rPr>
            </w:pPr>
            <w:r>
              <w:rPr>
                <w:rFonts w:hint="eastAsia" w:ascii="仿宋_GB2312" w:hAnsi="宋体"/>
                <w:sz w:val="20"/>
                <w:szCs w:val="20"/>
              </w:rPr>
              <w:t>②参训代表是否均参加过至少一次学习培训工作，计1分；</w:t>
            </w:r>
          </w:p>
          <w:p w14:paraId="4A06C490">
            <w:pPr>
              <w:widowControl/>
              <w:spacing w:line="240" w:lineRule="auto"/>
              <w:ind w:firstLine="0" w:firstLineChars="0"/>
              <w:jc w:val="left"/>
              <w:textAlignment w:val="center"/>
              <w:rPr>
                <w:rFonts w:ascii="Arial Narrow" w:hAnsi="Arial Narrow" w:cs="Arial Narrow"/>
                <w:color w:val="000000"/>
                <w:sz w:val="20"/>
                <w:szCs w:val="20"/>
              </w:rPr>
            </w:pPr>
            <w:r>
              <w:rPr>
                <w:rFonts w:hint="eastAsia" w:ascii="仿宋_GB2312" w:hAnsi="宋体"/>
                <w:sz w:val="20"/>
                <w:szCs w:val="20"/>
              </w:rPr>
              <w:t>③是否组织考核，对培训内容进行考校，计1分。</w:t>
            </w:r>
          </w:p>
        </w:tc>
      </w:tr>
      <w:tr w14:paraId="3364AE0B">
        <w:tblPrEx>
          <w:tblCellMar>
            <w:top w:w="15" w:type="dxa"/>
            <w:left w:w="15" w:type="dxa"/>
            <w:bottom w:w="15" w:type="dxa"/>
            <w:right w:w="15" w:type="dxa"/>
          </w:tblCellMar>
        </w:tblPrEx>
        <w:trPr>
          <w:trHeight w:val="527" w:hRule="atLeast"/>
        </w:trPr>
        <w:tc>
          <w:tcPr>
            <w:tcW w:w="558" w:type="dxa"/>
            <w:vMerge w:val="restart"/>
            <w:tcBorders>
              <w:top w:val="single" w:color="000000" w:sz="4" w:space="0"/>
              <w:left w:val="single" w:color="000000" w:sz="4" w:space="0"/>
              <w:bottom w:val="single" w:color="000000" w:sz="4" w:space="0"/>
              <w:right w:val="single" w:color="000000" w:sz="4" w:space="0"/>
            </w:tcBorders>
            <w:vAlign w:val="center"/>
          </w:tcPr>
          <w:p w14:paraId="5B488033">
            <w:pPr>
              <w:spacing w:line="240" w:lineRule="auto"/>
              <w:ind w:firstLine="0" w:firstLineChars="0"/>
              <w:jc w:val="center"/>
              <w:rPr>
                <w:rFonts w:ascii="Arial Narrow" w:hAnsi="Arial Narrow" w:cs="Arial Narrow"/>
                <w:color w:val="000000"/>
                <w:sz w:val="20"/>
                <w:szCs w:val="20"/>
              </w:rPr>
            </w:pPr>
            <w:r>
              <w:rPr>
                <w:rFonts w:ascii="Arial Narrow" w:hAnsi="Arial Narrow" w:cs="Arial Narrow"/>
                <w:color w:val="000000"/>
                <w:sz w:val="20"/>
                <w:szCs w:val="20"/>
              </w:rPr>
              <w:t>项目效</w:t>
            </w:r>
            <w:r>
              <w:rPr>
                <w:rFonts w:hint="eastAsia" w:ascii="Arial Narrow" w:hAnsi="Arial Narrow" w:cs="Arial Narrow"/>
                <w:color w:val="000000"/>
                <w:sz w:val="20"/>
                <w:szCs w:val="20"/>
              </w:rPr>
              <w:t>果</w:t>
            </w:r>
            <w:r>
              <w:rPr>
                <w:rFonts w:ascii="Arial Narrow" w:hAnsi="Arial Narrow" w:cs="Arial Narrow"/>
                <w:color w:val="000000"/>
                <w:sz w:val="20"/>
                <w:szCs w:val="20"/>
              </w:rPr>
              <w:t>（34）</w:t>
            </w:r>
          </w:p>
        </w:tc>
        <w:tc>
          <w:tcPr>
            <w:tcW w:w="1369" w:type="dxa"/>
            <w:tcBorders>
              <w:top w:val="single" w:color="000000" w:sz="4" w:space="0"/>
              <w:left w:val="single" w:color="000000" w:sz="4" w:space="0"/>
              <w:bottom w:val="single" w:color="000000" w:sz="4" w:space="0"/>
              <w:right w:val="single" w:color="000000" w:sz="4" w:space="0"/>
            </w:tcBorders>
            <w:vAlign w:val="center"/>
          </w:tcPr>
          <w:p w14:paraId="3EE1DD64">
            <w:pPr>
              <w:widowControl/>
              <w:spacing w:line="240" w:lineRule="auto"/>
              <w:ind w:firstLine="0" w:firstLineChars="0"/>
              <w:jc w:val="left"/>
              <w:rPr>
                <w:rFonts w:ascii="仿宋_GB2312" w:hAnsi="宋体"/>
                <w:color w:val="000000"/>
                <w:kern w:val="0"/>
                <w:sz w:val="20"/>
                <w:szCs w:val="20"/>
              </w:rPr>
            </w:pPr>
            <w:r>
              <w:rPr>
                <w:rFonts w:hint="eastAsia" w:ascii="仿宋_GB2312" w:hAnsi="宋体"/>
                <w:color w:val="000000"/>
                <w:sz w:val="20"/>
                <w:szCs w:val="20"/>
              </w:rPr>
              <w:t>接待、走访成果运用</w:t>
            </w:r>
            <w:r>
              <w:rPr>
                <w:rFonts w:ascii="Arial Narrow" w:hAnsi="Arial Narrow" w:cs="Arial Narrow"/>
                <w:color w:val="000000"/>
                <w:kern w:val="0"/>
                <w:sz w:val="20"/>
                <w:szCs w:val="20"/>
                <w:lang w:bidi="ar"/>
              </w:rPr>
              <w:t>（</w:t>
            </w:r>
            <w:r>
              <w:rPr>
                <w:rFonts w:hint="eastAsia" w:ascii="Arial Narrow" w:hAnsi="Arial Narrow" w:cs="Arial Narrow"/>
                <w:color w:val="000000"/>
                <w:kern w:val="0"/>
                <w:sz w:val="20"/>
                <w:szCs w:val="20"/>
                <w:lang w:bidi="ar"/>
              </w:rPr>
              <w:t>8</w:t>
            </w:r>
            <w:r>
              <w:rPr>
                <w:rFonts w:ascii="Arial Narrow" w:hAnsi="Arial Narrow" w:cs="Arial Narrow"/>
                <w:color w:val="000000"/>
                <w:kern w:val="0"/>
                <w:sz w:val="20"/>
                <w:szCs w:val="20"/>
                <w:lang w:bidi="ar"/>
              </w:rPr>
              <w:t>）</w:t>
            </w:r>
          </w:p>
        </w:tc>
        <w:tc>
          <w:tcPr>
            <w:tcW w:w="639" w:type="dxa"/>
            <w:tcBorders>
              <w:top w:val="single" w:color="000000" w:sz="4" w:space="0"/>
              <w:left w:val="single" w:color="000000" w:sz="4" w:space="0"/>
              <w:bottom w:val="single" w:color="000000" w:sz="4" w:space="0"/>
              <w:right w:val="single" w:color="000000" w:sz="4" w:space="0"/>
            </w:tcBorders>
            <w:vAlign w:val="center"/>
          </w:tcPr>
          <w:p w14:paraId="33734259">
            <w:pPr>
              <w:widowControl/>
              <w:spacing w:line="240" w:lineRule="auto"/>
              <w:ind w:firstLine="0" w:firstLineChars="0"/>
              <w:rPr>
                <w:rFonts w:ascii="仿宋_GB2312" w:hAnsi="宋体"/>
                <w:kern w:val="0"/>
                <w:sz w:val="20"/>
                <w:szCs w:val="2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76389F2C">
            <w:pPr>
              <w:widowControl/>
              <w:spacing w:line="240" w:lineRule="auto"/>
              <w:ind w:firstLine="0" w:firstLineChars="0"/>
              <w:jc w:val="left"/>
              <w:textAlignment w:val="center"/>
              <w:rPr>
                <w:rFonts w:ascii="Arial Narrow" w:hAnsi="Arial Narrow" w:cs="Arial Narrow"/>
                <w:color w:val="000000"/>
                <w:sz w:val="20"/>
                <w:szCs w:val="2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11B48430">
            <w:pPr>
              <w:widowControl/>
              <w:spacing w:line="240" w:lineRule="auto"/>
              <w:ind w:firstLine="0" w:firstLineChars="0"/>
              <w:jc w:val="left"/>
              <w:rPr>
                <w:rFonts w:ascii="仿宋_GB2312" w:hAnsi="宋体"/>
                <w:sz w:val="20"/>
                <w:szCs w:val="20"/>
              </w:rPr>
            </w:pPr>
            <w:r>
              <w:rPr>
                <w:rFonts w:hint="eastAsia" w:ascii="仿宋_GB2312" w:hAnsi="宋体"/>
                <w:sz w:val="20"/>
                <w:szCs w:val="20"/>
              </w:rPr>
              <w:t>①相应的接待、走访结果得出结论并形成相关报告，计2分；</w:t>
            </w:r>
          </w:p>
          <w:p w14:paraId="30020831">
            <w:pPr>
              <w:widowControl/>
              <w:spacing w:line="240" w:lineRule="auto"/>
              <w:ind w:firstLine="0" w:firstLineChars="0"/>
              <w:jc w:val="left"/>
              <w:rPr>
                <w:rFonts w:ascii="仿宋_GB2312" w:hAnsi="宋体"/>
                <w:sz w:val="20"/>
                <w:szCs w:val="20"/>
              </w:rPr>
            </w:pPr>
            <w:r>
              <w:rPr>
                <w:rFonts w:hint="eastAsia" w:ascii="仿宋_GB2312" w:hAnsi="宋体"/>
                <w:sz w:val="20"/>
                <w:szCs w:val="20"/>
              </w:rPr>
              <w:t>②接待、走访工作成果及相关报告是否形成建议，计2分；</w:t>
            </w:r>
          </w:p>
          <w:p w14:paraId="37266302">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③相关建议是否得到答复并得到落实，计2分。</w:t>
            </w:r>
          </w:p>
        </w:tc>
      </w:tr>
      <w:tr w14:paraId="680A6653">
        <w:tblPrEx>
          <w:tblCellMar>
            <w:top w:w="15" w:type="dxa"/>
            <w:left w:w="15" w:type="dxa"/>
            <w:bottom w:w="15" w:type="dxa"/>
            <w:right w:w="15" w:type="dxa"/>
          </w:tblCellMar>
        </w:tblPrEx>
        <w:trPr>
          <w:trHeight w:val="678"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370F8346">
            <w:pPr>
              <w:spacing w:line="240" w:lineRule="auto"/>
              <w:ind w:firstLine="400"/>
              <w:jc w:val="center"/>
              <w:rPr>
                <w:rFonts w:ascii="Arial Narrow" w:hAnsi="Arial Narrow" w:cs="Arial Narrow"/>
                <w:color w:val="000000"/>
                <w:sz w:val="20"/>
                <w:szCs w:val="20"/>
              </w:rPr>
            </w:pPr>
          </w:p>
        </w:tc>
        <w:tc>
          <w:tcPr>
            <w:tcW w:w="1369" w:type="dxa"/>
            <w:vAlign w:val="center"/>
          </w:tcPr>
          <w:p w14:paraId="10F3F708">
            <w:pPr>
              <w:widowControl/>
              <w:spacing w:line="240" w:lineRule="auto"/>
              <w:ind w:firstLine="0" w:firstLineChars="0"/>
              <w:jc w:val="left"/>
              <w:rPr>
                <w:rFonts w:ascii="仿宋_GB2312" w:hAnsi="宋体"/>
                <w:kern w:val="0"/>
                <w:sz w:val="20"/>
                <w:szCs w:val="20"/>
              </w:rPr>
            </w:pPr>
            <w:r>
              <w:rPr>
                <w:rFonts w:hint="eastAsia" w:ascii="仿宋_GB2312" w:hAnsi="宋体"/>
                <w:color w:val="000000"/>
                <w:sz w:val="20"/>
                <w:szCs w:val="20"/>
              </w:rPr>
              <w:t>代表工作室推进建设程度</w:t>
            </w:r>
            <w:r>
              <w:rPr>
                <w:rFonts w:hint="eastAsia" w:ascii="仿宋_GB2312" w:hAnsi="宋体"/>
                <w:color w:val="000000"/>
                <w:kern w:val="0"/>
                <w:sz w:val="20"/>
                <w:szCs w:val="20"/>
              </w:rPr>
              <w:t>（6）</w:t>
            </w:r>
          </w:p>
        </w:tc>
        <w:tc>
          <w:tcPr>
            <w:tcW w:w="639" w:type="dxa"/>
            <w:tcBorders>
              <w:top w:val="single" w:color="000000" w:sz="4" w:space="0"/>
              <w:left w:val="single" w:color="000000" w:sz="4" w:space="0"/>
              <w:bottom w:val="single" w:color="000000" w:sz="4" w:space="0"/>
              <w:right w:val="single" w:color="000000" w:sz="4" w:space="0"/>
            </w:tcBorders>
            <w:vAlign w:val="center"/>
          </w:tcPr>
          <w:p w14:paraId="06466536">
            <w:pPr>
              <w:widowControl/>
              <w:spacing w:line="240" w:lineRule="auto"/>
              <w:ind w:firstLine="0" w:firstLineChars="0"/>
              <w:jc w:val="center"/>
              <w:textAlignment w:val="center"/>
              <w:rPr>
                <w:rFonts w:ascii="Arial Narrow" w:hAnsi="Arial Narrow" w:cs="Arial Narrow"/>
                <w:color w:val="00000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5BB2833D">
            <w:pPr>
              <w:widowControl/>
              <w:spacing w:line="240" w:lineRule="auto"/>
              <w:ind w:firstLine="0" w:firstLineChars="0"/>
              <w:jc w:val="left"/>
              <w:textAlignment w:val="center"/>
              <w:rPr>
                <w:rFonts w:ascii="Arial Narrow" w:hAnsi="Arial Narrow" w:cs="Arial Narrow"/>
                <w:color w:val="000000"/>
                <w:sz w:val="20"/>
                <w:szCs w:val="2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4184EDC2">
            <w:pPr>
              <w:widowControl/>
              <w:spacing w:line="240" w:lineRule="auto"/>
              <w:ind w:firstLine="0" w:firstLineChars="0"/>
              <w:jc w:val="left"/>
              <w:rPr>
                <w:rFonts w:ascii="仿宋_GB2312" w:hAnsi="宋体"/>
                <w:sz w:val="20"/>
                <w:szCs w:val="20"/>
              </w:rPr>
            </w:pPr>
            <w:r>
              <w:rPr>
                <w:rFonts w:hint="eastAsia" w:ascii="仿宋_GB2312" w:hAnsi="宋体"/>
                <w:sz w:val="20"/>
                <w:szCs w:val="20"/>
              </w:rPr>
              <w:t>街道代表工作室和社区代表接待站实现了全覆盖，计4分；</w:t>
            </w:r>
          </w:p>
          <w:p w14:paraId="3A1B73A0">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工作室覆盖面较广，计3分。</w:t>
            </w:r>
          </w:p>
        </w:tc>
      </w:tr>
      <w:tr w14:paraId="686C3C51">
        <w:tblPrEx>
          <w:tblCellMar>
            <w:top w:w="15" w:type="dxa"/>
            <w:left w:w="15" w:type="dxa"/>
            <w:bottom w:w="15" w:type="dxa"/>
            <w:right w:w="15" w:type="dxa"/>
          </w:tblCellMar>
        </w:tblPrEx>
        <w:trPr>
          <w:trHeight w:val="660"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12AC313F">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4921157">
            <w:pPr>
              <w:widowControl/>
              <w:spacing w:line="240" w:lineRule="auto"/>
              <w:ind w:firstLine="0" w:firstLineChars="0"/>
              <w:jc w:val="left"/>
              <w:rPr>
                <w:rFonts w:ascii="仿宋_GB2312" w:hAnsi="宋体"/>
                <w:color w:val="000000"/>
                <w:kern w:val="0"/>
                <w:sz w:val="20"/>
                <w:szCs w:val="20"/>
              </w:rPr>
            </w:pPr>
            <w:r>
              <w:rPr>
                <w:rFonts w:hint="eastAsia" w:ascii="仿宋_GB2312" w:hAnsi="宋体"/>
                <w:color w:val="000000"/>
                <w:sz w:val="20"/>
                <w:szCs w:val="20"/>
              </w:rPr>
              <w:t>代表“联系”机制建立情况</w:t>
            </w:r>
            <w:r>
              <w:rPr>
                <w:rFonts w:ascii="Arial Narrow" w:hAnsi="Arial Narrow" w:cs="Arial Narrow"/>
                <w:color w:val="000000"/>
                <w:kern w:val="0"/>
                <w:sz w:val="20"/>
                <w:szCs w:val="20"/>
                <w:lang w:bidi="ar"/>
              </w:rPr>
              <w:t>（</w:t>
            </w:r>
            <w:r>
              <w:rPr>
                <w:rFonts w:hint="eastAsia" w:ascii="Arial Narrow" w:hAnsi="Arial Narrow" w:cs="Arial Narrow"/>
                <w:color w:val="000000"/>
                <w:kern w:val="0"/>
                <w:sz w:val="20"/>
                <w:szCs w:val="20"/>
                <w:lang w:bidi="ar"/>
              </w:rPr>
              <w:t>10</w:t>
            </w:r>
            <w:r>
              <w:rPr>
                <w:rFonts w:ascii="Arial Narrow" w:hAnsi="Arial Narrow" w:cs="Arial Narrow"/>
                <w:color w:val="000000"/>
                <w:kern w:val="0"/>
                <w:sz w:val="20"/>
                <w:szCs w:val="20"/>
                <w:lang w:bidi="ar"/>
              </w:rPr>
              <w:t>）</w:t>
            </w:r>
          </w:p>
        </w:tc>
        <w:tc>
          <w:tcPr>
            <w:tcW w:w="639" w:type="dxa"/>
            <w:tcBorders>
              <w:top w:val="single" w:color="000000" w:sz="4" w:space="0"/>
              <w:left w:val="single" w:color="000000" w:sz="4" w:space="0"/>
              <w:bottom w:val="single" w:color="000000" w:sz="4" w:space="0"/>
              <w:right w:val="single" w:color="000000" w:sz="4" w:space="0"/>
            </w:tcBorders>
            <w:vAlign w:val="center"/>
          </w:tcPr>
          <w:p w14:paraId="1D1BD959">
            <w:pPr>
              <w:widowControl/>
              <w:spacing w:line="240" w:lineRule="auto"/>
              <w:ind w:firstLine="480"/>
              <w:textAlignment w:val="center"/>
              <w:rPr>
                <w:rFonts w:ascii="Arial Narrow" w:hAnsi="Arial Narrow" w:cs="Arial Narrow"/>
                <w:color w:val="00000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6D8FE415">
            <w:pPr>
              <w:widowControl/>
              <w:spacing w:line="240" w:lineRule="auto"/>
              <w:ind w:firstLine="0" w:firstLineChars="0"/>
              <w:jc w:val="left"/>
              <w:textAlignment w:val="center"/>
              <w:rPr>
                <w:rFonts w:ascii="Arial Narrow" w:hAnsi="Arial Narrow" w:cs="Arial Narrow"/>
                <w:color w:val="00000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203F5D7F">
            <w:pPr>
              <w:widowControl/>
              <w:spacing w:line="240" w:lineRule="auto"/>
              <w:ind w:firstLine="0" w:firstLineChars="0"/>
              <w:jc w:val="left"/>
              <w:rPr>
                <w:rFonts w:ascii="仿宋_GB2312" w:hAnsi="宋体"/>
                <w:sz w:val="20"/>
                <w:szCs w:val="20"/>
              </w:rPr>
            </w:pPr>
            <w:r>
              <w:rPr>
                <w:rFonts w:hint="eastAsia" w:ascii="仿宋_GB2312" w:hAnsi="宋体"/>
                <w:sz w:val="20"/>
                <w:szCs w:val="20"/>
              </w:rPr>
              <w:t>①建立并完善联系制度，计2.5分；</w:t>
            </w:r>
          </w:p>
          <w:p w14:paraId="662669A7">
            <w:pPr>
              <w:widowControl/>
              <w:spacing w:line="240" w:lineRule="auto"/>
              <w:ind w:firstLine="0" w:firstLineChars="0"/>
              <w:jc w:val="left"/>
              <w:rPr>
                <w:rFonts w:ascii="仿宋_GB2312" w:hAnsi="宋体"/>
                <w:sz w:val="20"/>
                <w:szCs w:val="20"/>
              </w:rPr>
            </w:pPr>
            <w:r>
              <w:rPr>
                <w:rFonts w:hint="eastAsia" w:ascii="仿宋_GB2312" w:hAnsi="宋体"/>
                <w:sz w:val="20"/>
                <w:szCs w:val="20"/>
              </w:rPr>
              <w:t>②定期走访联系区人大代表，计2.5分；</w:t>
            </w:r>
          </w:p>
          <w:p w14:paraId="04D3B2A9">
            <w:pPr>
              <w:widowControl/>
              <w:spacing w:line="240" w:lineRule="auto"/>
              <w:ind w:firstLine="0" w:firstLineChars="0"/>
              <w:jc w:val="left"/>
              <w:rPr>
                <w:rFonts w:ascii="仿宋_GB2312" w:hAnsi="宋体"/>
                <w:kern w:val="0"/>
                <w:sz w:val="20"/>
                <w:szCs w:val="20"/>
              </w:rPr>
            </w:pPr>
            <w:r>
              <w:rPr>
                <w:rFonts w:hint="eastAsia" w:ascii="仿宋_GB2312" w:hAnsi="宋体"/>
                <w:sz w:val="20"/>
                <w:szCs w:val="20"/>
              </w:rPr>
              <w:t>③紧抓“两个联系”工作，即人大常委</w:t>
            </w:r>
            <w:r>
              <w:rPr>
                <w:rFonts w:hint="eastAsia" w:ascii="仿宋_GB2312" w:hAnsi="宋体"/>
                <w:sz w:val="20"/>
                <w:szCs w:val="20"/>
                <w:lang w:val="en-US" w:eastAsia="zh-CN"/>
              </w:rPr>
              <w:t>会</w:t>
            </w:r>
            <w:r>
              <w:rPr>
                <w:rFonts w:hint="eastAsia" w:ascii="仿宋_GB2312" w:hAnsi="宋体"/>
                <w:sz w:val="20"/>
                <w:szCs w:val="20"/>
              </w:rPr>
              <w:t>与人大代表的联系、人大代表与选民的联系，计2.5分。</w:t>
            </w:r>
          </w:p>
        </w:tc>
      </w:tr>
      <w:tr w14:paraId="72CBA00B">
        <w:tblPrEx>
          <w:tblCellMar>
            <w:top w:w="15" w:type="dxa"/>
            <w:left w:w="15" w:type="dxa"/>
            <w:bottom w:w="15" w:type="dxa"/>
            <w:right w:w="15" w:type="dxa"/>
          </w:tblCellMar>
        </w:tblPrEx>
        <w:trPr>
          <w:trHeight w:val="387"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4FFA0A33">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7C4ED8C">
            <w:pPr>
              <w:widowControl/>
              <w:spacing w:line="240" w:lineRule="auto"/>
              <w:ind w:firstLine="0" w:firstLineChars="0"/>
              <w:jc w:val="left"/>
              <w:rPr>
                <w:rFonts w:ascii="仿宋_GB2312" w:hAnsi="宋体"/>
                <w:color w:val="000000"/>
                <w:kern w:val="0"/>
                <w:sz w:val="20"/>
                <w:szCs w:val="20"/>
              </w:rPr>
            </w:pPr>
            <w:r>
              <w:rPr>
                <w:rFonts w:hint="eastAsia" w:ascii="仿宋_GB2312" w:hAnsi="宋体"/>
                <w:sz w:val="20"/>
                <w:szCs w:val="20"/>
              </w:rPr>
              <w:t>社会公众满意度</w:t>
            </w:r>
            <w:r>
              <w:rPr>
                <w:rFonts w:ascii="Arial Narrow" w:hAnsi="Arial Narrow" w:cs="Arial Narrow"/>
                <w:color w:val="000000"/>
                <w:kern w:val="0"/>
                <w:sz w:val="20"/>
                <w:szCs w:val="20"/>
                <w:lang w:bidi="ar"/>
              </w:rPr>
              <w:t>（</w:t>
            </w:r>
            <w:r>
              <w:rPr>
                <w:rFonts w:hint="eastAsia" w:ascii="Arial Narrow" w:hAnsi="Arial Narrow" w:cs="Arial Narrow"/>
                <w:color w:val="000000"/>
                <w:kern w:val="0"/>
                <w:sz w:val="20"/>
                <w:szCs w:val="20"/>
                <w:lang w:bidi="ar"/>
              </w:rPr>
              <w:t>10</w:t>
            </w:r>
            <w:r>
              <w:rPr>
                <w:rFonts w:ascii="Arial Narrow" w:hAnsi="Arial Narrow" w:cs="Arial Narrow"/>
                <w:color w:val="000000"/>
                <w:kern w:val="0"/>
                <w:sz w:val="20"/>
                <w:szCs w:val="20"/>
                <w:lang w:bidi="ar"/>
              </w:rPr>
              <w:t>）</w:t>
            </w:r>
          </w:p>
        </w:tc>
        <w:tc>
          <w:tcPr>
            <w:tcW w:w="639" w:type="dxa"/>
            <w:tcBorders>
              <w:top w:val="single" w:color="000000" w:sz="4" w:space="0"/>
              <w:left w:val="single" w:color="000000" w:sz="4" w:space="0"/>
              <w:bottom w:val="single" w:color="000000" w:sz="4" w:space="0"/>
              <w:right w:val="single" w:color="000000" w:sz="4" w:space="0"/>
            </w:tcBorders>
            <w:vAlign w:val="center"/>
          </w:tcPr>
          <w:p w14:paraId="11282BF6">
            <w:pPr>
              <w:widowControl/>
              <w:spacing w:line="240" w:lineRule="auto"/>
              <w:ind w:firstLine="0" w:firstLineChars="0"/>
              <w:jc w:val="center"/>
              <w:rPr>
                <w:rFonts w:ascii="仿宋_GB2312" w:hAnsi="宋体"/>
                <w:kern w:val="0"/>
                <w:sz w:val="20"/>
                <w:szCs w:val="20"/>
              </w:rPr>
            </w:pPr>
            <w:r>
              <w:rPr>
                <w:rFonts w:ascii="Arial Narrow" w:hAnsi="Arial Narrow" w:cs="Arial Narrow"/>
                <w:color w:val="000000"/>
                <w:sz w:val="20"/>
              </w:rPr>
              <w:t>≥85</w:t>
            </w:r>
            <w:r>
              <w:rPr>
                <w:rFonts w:hint="eastAsia" w:ascii="Arial Narrow" w:hAnsi="Arial Narrow" w:cs="Arial Narrow"/>
                <w:color w:val="000000"/>
                <w:sz w:val="20"/>
              </w:rPr>
              <w:t>%</w:t>
            </w:r>
          </w:p>
        </w:tc>
        <w:tc>
          <w:tcPr>
            <w:tcW w:w="502" w:type="dxa"/>
            <w:tcBorders>
              <w:top w:val="single" w:color="000000" w:sz="4" w:space="0"/>
              <w:left w:val="single" w:color="000000" w:sz="4" w:space="0"/>
              <w:bottom w:val="single" w:color="000000" w:sz="4" w:space="0"/>
              <w:right w:val="single" w:color="000000" w:sz="4" w:space="0"/>
            </w:tcBorders>
            <w:vAlign w:val="center"/>
          </w:tcPr>
          <w:p w14:paraId="67112012">
            <w:pPr>
              <w:widowControl/>
              <w:spacing w:line="240" w:lineRule="auto"/>
              <w:ind w:firstLine="0" w:firstLineChars="0"/>
              <w:jc w:val="left"/>
              <w:textAlignment w:val="center"/>
              <w:rPr>
                <w:rFonts w:ascii="Arial Narrow" w:hAnsi="Arial Narrow" w:cs="Arial Narrow"/>
                <w:color w:val="00000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74919E09">
            <w:pPr>
              <w:widowControl/>
              <w:spacing w:line="240" w:lineRule="auto"/>
              <w:ind w:firstLine="0" w:firstLineChars="0"/>
              <w:jc w:val="left"/>
              <w:rPr>
                <w:rFonts w:ascii="仿宋_GB2312" w:hAnsi="宋体"/>
                <w:kern w:val="0"/>
                <w:sz w:val="20"/>
                <w:szCs w:val="20"/>
              </w:rPr>
            </w:pPr>
            <w:r>
              <w:rPr>
                <w:rFonts w:hint="eastAsia" w:ascii="Arial Narrow" w:hAnsi="Arial Narrow" w:cs="Arial Narrow"/>
                <w:color w:val="000000"/>
                <w:kern w:val="0"/>
                <w:sz w:val="20"/>
                <w:szCs w:val="20"/>
                <w:lang w:bidi="ar"/>
              </w:rPr>
              <w:t>满意度满意度达到85%以上，计10分，每降低10%，扣2分。</w:t>
            </w:r>
          </w:p>
        </w:tc>
      </w:tr>
      <w:tr w14:paraId="2EE6E12A">
        <w:tblPrEx>
          <w:tblCellMar>
            <w:top w:w="15" w:type="dxa"/>
            <w:left w:w="15" w:type="dxa"/>
            <w:bottom w:w="15" w:type="dxa"/>
            <w:right w:w="15" w:type="dxa"/>
          </w:tblCellMar>
        </w:tblPrEx>
        <w:trPr>
          <w:trHeight w:val="837"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04E5A9A6">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3F5592B">
            <w:pPr>
              <w:widowControl/>
              <w:spacing w:line="240" w:lineRule="auto"/>
              <w:ind w:firstLine="0" w:firstLineChars="0"/>
              <w:jc w:val="left"/>
              <w:rPr>
                <w:rFonts w:ascii="仿宋_GB2312" w:hAnsi="宋体"/>
                <w:color w:val="000000"/>
                <w:kern w:val="0"/>
                <w:sz w:val="20"/>
                <w:szCs w:val="20"/>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79FF80C">
            <w:pPr>
              <w:spacing w:line="240" w:lineRule="auto"/>
              <w:ind w:firstLine="0" w:firstLineChars="0"/>
              <w:rPr>
                <w:rFonts w:ascii="Arial Narrow" w:hAnsi="Arial Narrow" w:cs="Arial Narrow"/>
                <w:color w:val="00000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2C677164">
            <w:pPr>
              <w:spacing w:line="240" w:lineRule="auto"/>
              <w:ind w:firstLine="0" w:firstLineChars="0"/>
              <w:rPr>
                <w:rFonts w:ascii="Arial Narrow" w:hAnsi="Arial Narrow" w:cs="Arial Narrow"/>
                <w:color w:val="00000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65147E76">
            <w:pPr>
              <w:widowControl/>
              <w:spacing w:line="240" w:lineRule="auto"/>
              <w:ind w:firstLine="0" w:firstLineChars="0"/>
              <w:jc w:val="left"/>
              <w:rPr>
                <w:rFonts w:ascii="仿宋_GB2312" w:hAnsi="宋体"/>
                <w:kern w:val="0"/>
                <w:sz w:val="20"/>
                <w:szCs w:val="20"/>
              </w:rPr>
            </w:pPr>
          </w:p>
        </w:tc>
      </w:tr>
      <w:tr w14:paraId="45E272A5">
        <w:tblPrEx>
          <w:tblCellMar>
            <w:top w:w="15" w:type="dxa"/>
            <w:left w:w="15" w:type="dxa"/>
            <w:bottom w:w="15" w:type="dxa"/>
            <w:right w:w="15" w:type="dxa"/>
          </w:tblCellMar>
        </w:tblPrEx>
        <w:trPr>
          <w:trHeight w:val="695"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0986F109">
            <w:pPr>
              <w:spacing w:line="240" w:lineRule="auto"/>
              <w:ind w:firstLine="400"/>
              <w:jc w:val="center"/>
              <w:rPr>
                <w:rFonts w:ascii="Arial Narrow" w:hAnsi="Arial Narrow" w:cs="Arial Narrow"/>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C7861A6">
            <w:pPr>
              <w:widowControl/>
              <w:spacing w:line="240" w:lineRule="auto"/>
              <w:ind w:firstLine="0" w:firstLineChars="0"/>
              <w:jc w:val="left"/>
              <w:rPr>
                <w:rFonts w:ascii="仿宋_GB2312" w:hAnsi="宋体"/>
                <w:kern w:val="0"/>
                <w:sz w:val="20"/>
                <w:szCs w:val="20"/>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695F806">
            <w:pPr>
              <w:spacing w:line="240" w:lineRule="auto"/>
              <w:ind w:firstLine="0" w:firstLineChars="0"/>
              <w:rPr>
                <w:rFonts w:ascii="Arial Narrow" w:hAnsi="Arial Narrow" w:cs="Arial Narrow"/>
                <w:color w:val="000000"/>
              </w:rPr>
            </w:pPr>
          </w:p>
        </w:tc>
        <w:tc>
          <w:tcPr>
            <w:tcW w:w="502" w:type="dxa"/>
            <w:tcBorders>
              <w:top w:val="single" w:color="000000" w:sz="4" w:space="0"/>
              <w:left w:val="single" w:color="000000" w:sz="4" w:space="0"/>
              <w:bottom w:val="single" w:color="000000" w:sz="4" w:space="0"/>
              <w:right w:val="single" w:color="000000" w:sz="4" w:space="0"/>
            </w:tcBorders>
            <w:vAlign w:val="center"/>
          </w:tcPr>
          <w:p w14:paraId="1F16AB7B">
            <w:pPr>
              <w:spacing w:line="240" w:lineRule="auto"/>
              <w:ind w:firstLine="0" w:firstLineChars="0"/>
              <w:rPr>
                <w:rFonts w:ascii="Arial Narrow" w:hAnsi="Arial Narrow" w:cs="Arial Narrow"/>
                <w:color w:val="000000"/>
              </w:rPr>
            </w:pPr>
          </w:p>
        </w:tc>
        <w:tc>
          <w:tcPr>
            <w:tcW w:w="5311" w:type="dxa"/>
            <w:tcBorders>
              <w:top w:val="single" w:color="000000" w:sz="4" w:space="0"/>
              <w:left w:val="single" w:color="000000" w:sz="4" w:space="0"/>
              <w:bottom w:val="single" w:color="000000" w:sz="4" w:space="0"/>
              <w:right w:val="single" w:color="000000" w:sz="4" w:space="0"/>
            </w:tcBorders>
            <w:vAlign w:val="center"/>
          </w:tcPr>
          <w:p w14:paraId="50CF8BCE">
            <w:pPr>
              <w:widowControl/>
              <w:spacing w:line="240" w:lineRule="auto"/>
              <w:ind w:firstLine="0" w:firstLineChars="0"/>
              <w:jc w:val="left"/>
              <w:textAlignment w:val="center"/>
              <w:rPr>
                <w:rFonts w:ascii="Arial Narrow" w:hAnsi="Arial Narrow" w:cs="Arial Narrow"/>
                <w:color w:val="000000"/>
                <w:sz w:val="20"/>
                <w:szCs w:val="20"/>
              </w:rPr>
            </w:pPr>
          </w:p>
        </w:tc>
      </w:tr>
    </w:tbl>
    <w:p w14:paraId="2F4600DB">
      <w:pPr>
        <w:ind w:firstLine="480"/>
        <w:rPr>
          <w:rFonts w:ascii="Arial Narrow" w:hAnsi="Arial Narrow" w:cs="Arial Narrow"/>
        </w:rPr>
      </w:pPr>
    </w:p>
    <w:p w14:paraId="4B60E632">
      <w:pPr>
        <w:ind w:firstLine="480"/>
        <w:rPr>
          <w:rFonts w:ascii="Arial Narrow" w:hAnsi="Arial Narrow" w:cs="Arial Narrow"/>
        </w:rPr>
      </w:pPr>
      <w:r>
        <w:rPr>
          <w:rFonts w:hint="eastAsia" w:ascii="Arial Narrow" w:hAnsi="Arial Narrow" w:cs="Arial Narrow"/>
        </w:rPr>
        <w:t>4、</w:t>
      </w:r>
      <w:r>
        <w:rPr>
          <w:rFonts w:ascii="Arial Narrow" w:hAnsi="Arial Narrow" w:cs="Arial Narrow"/>
        </w:rPr>
        <w:t xml:space="preserve">绩效评价指标体系补充说明 </w:t>
      </w:r>
    </w:p>
    <w:p w14:paraId="10F6B3C3">
      <w:pPr>
        <w:ind w:firstLine="480"/>
        <w:rPr>
          <w:rFonts w:ascii="Arial Narrow" w:hAnsi="Arial Narrow" w:cs="Arial Narrow"/>
        </w:rPr>
      </w:pPr>
      <w:r>
        <w:rPr>
          <w:rFonts w:hint="eastAsia" w:ascii="Arial Narrow" w:hAnsi="Arial Narrow" w:cs="Arial Narrow"/>
        </w:rPr>
        <w:t>项目</w:t>
      </w:r>
      <w:r>
        <w:rPr>
          <w:rFonts w:ascii="Arial Narrow" w:hAnsi="Arial Narrow" w:cs="Arial Narrow"/>
        </w:rPr>
        <w:t>单位未设置项目绩效指标</w:t>
      </w:r>
      <w:r>
        <w:rPr>
          <w:rFonts w:hint="eastAsia" w:ascii="Arial Narrow" w:hAnsi="Arial Narrow" w:cs="Arial Narrow"/>
        </w:rPr>
        <w:t>，</w:t>
      </w:r>
      <w:r>
        <w:rPr>
          <w:rFonts w:ascii="Arial Narrow" w:hAnsi="Arial Narrow" w:cs="Arial Narrow"/>
        </w:rPr>
        <w:t>项目评价小组根据项目实际实施情况</w:t>
      </w:r>
      <w:r>
        <w:rPr>
          <w:rFonts w:hint="eastAsia" w:ascii="Arial Narrow" w:hAnsi="Arial Narrow" w:cs="Arial Narrow"/>
        </w:rPr>
        <w:t>新增</w:t>
      </w:r>
      <w:r>
        <w:rPr>
          <w:rFonts w:ascii="Arial Narrow" w:hAnsi="Arial Narrow" w:cs="Arial Narrow"/>
        </w:rPr>
        <w:t>了以下指标</w:t>
      </w:r>
      <w:r>
        <w:rPr>
          <w:rFonts w:hint="eastAsia" w:ascii="Arial Narrow" w:hAnsi="Arial Narrow" w:cs="Arial Narrow"/>
        </w:rPr>
        <w:t>。</w:t>
      </w:r>
    </w:p>
    <w:p w14:paraId="453EADAC">
      <w:pPr>
        <w:ind w:firstLine="480" w:firstLineChars="0"/>
        <w:rPr>
          <w:rFonts w:ascii="Arial Narrow" w:hAnsi="Arial Narrow" w:cs="Arial Narrow"/>
        </w:rPr>
      </w:pPr>
      <w:r>
        <w:rPr>
          <w:rFonts w:hint="eastAsia"/>
        </w:rPr>
        <w:t>新增“人大代表补选工作完成率”、“代表活动开展情况”、“培训工作完成率”、“培训到训率”、“议案建议督办率”、“人大代表技能提升度”、“选举公开公示情况”、“选举公开公示情况”、“接待、走访成果运用”以及“代表工作室推进建设程度”等指标。</w:t>
      </w:r>
      <w:r>
        <w:rPr>
          <w:rFonts w:ascii="Arial Narrow" w:hAnsi="Arial Narrow" w:cs="Arial Narrow"/>
        </w:rPr>
        <w:t>新增原因：根据项目实际产出与产出质量、社会效益，新增上述指标以反映项目的数量</w:t>
      </w:r>
      <w:r>
        <w:rPr>
          <w:rFonts w:hint="eastAsia" w:ascii="Arial Narrow" w:hAnsi="Arial Narrow" w:cs="Arial Narrow"/>
        </w:rPr>
        <w:t>、</w:t>
      </w:r>
      <w:r>
        <w:rPr>
          <w:rFonts w:ascii="Arial Narrow" w:hAnsi="Arial Narrow" w:cs="Arial Narrow"/>
        </w:rPr>
        <w:t>质量产出和社会效益。</w:t>
      </w:r>
    </w:p>
    <w:p w14:paraId="20EF5DD5">
      <w:pPr>
        <w:ind w:firstLine="240" w:firstLineChars="100"/>
        <w:rPr>
          <w:rFonts w:ascii="Arial Narrow" w:hAnsi="Arial Narrow" w:cs="Arial Narrow"/>
          <w:bCs/>
        </w:rPr>
      </w:pPr>
      <w:bookmarkStart w:id="55" w:name="_Toc479259774"/>
      <w:bookmarkStart w:id="56" w:name="_Toc30791"/>
      <w:bookmarkStart w:id="57" w:name="_Toc430076898"/>
      <w:bookmarkStart w:id="58" w:name="_Toc430020513"/>
      <w:bookmarkStart w:id="59" w:name="_Toc430020665"/>
      <w:bookmarkStart w:id="60" w:name="_Toc372574202"/>
      <w:bookmarkStart w:id="61" w:name="_Toc394869154"/>
      <w:bookmarkStart w:id="62" w:name="_Toc430020789"/>
      <w:bookmarkStart w:id="63" w:name="_Toc430018231"/>
      <w:r>
        <w:rPr>
          <w:rFonts w:hint="eastAsia" w:ascii="Arial Narrow" w:hAnsi="Arial Narrow" w:cs="Arial Narrow"/>
          <w:bCs/>
        </w:rPr>
        <w:t>5、</w:t>
      </w:r>
      <w:r>
        <w:rPr>
          <w:rFonts w:ascii="Arial Narrow" w:hAnsi="Arial Narrow" w:cs="Arial Narrow"/>
          <w:bCs/>
        </w:rPr>
        <w:t>评价方法</w:t>
      </w:r>
    </w:p>
    <w:p w14:paraId="0E2DB210">
      <w:pPr>
        <w:ind w:firstLine="241" w:firstLineChars="100"/>
        <w:jc w:val="center"/>
        <w:rPr>
          <w:rFonts w:ascii="Arial Narrow" w:hAnsi="Arial Narrow" w:cs="Arial Narrow"/>
          <w:bCs/>
        </w:rPr>
      </w:pPr>
      <w:r>
        <w:rPr>
          <w:rFonts w:ascii="Arial Narrow" w:hAnsi="Arial Narrow" w:cs="Arial Narrow"/>
          <w:b/>
          <w:bCs/>
          <w:lang w:bidi="mn-Mong-CN"/>
        </w:rPr>
        <mc:AlternateContent>
          <mc:Choice Requires="wpg">
            <w:drawing>
              <wp:inline distT="0" distB="0" distL="114300" distR="114300">
                <wp:extent cx="3754755" cy="1793875"/>
                <wp:effectExtent l="5080" t="4445" r="12065" b="5080"/>
                <wp:docPr id="22" name="组合 2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3754755" cy="1793875"/>
                          <a:chOff x="1642" y="4438"/>
                          <a:chExt cx="9874" cy="1828"/>
                        </a:xfrm>
                        <a:effectLst/>
                      </wpg:grpSpPr>
                      <wps:wsp>
                        <wps:cNvPr id="28" name="图片 3"/>
                        <wps:cNvSpPr>
                          <a:spLocks noChangeAspect="1" noTextEdit="1"/>
                        </wps:cNvSpPr>
                        <wps:spPr>
                          <a:xfrm>
                            <a:off x="1642" y="4438"/>
                            <a:ext cx="9874" cy="1828"/>
                          </a:xfrm>
                          <a:prstGeom prst="rect">
                            <a:avLst/>
                          </a:prstGeom>
                          <a:noFill/>
                          <a:ln w="9525">
                            <a:noFill/>
                          </a:ln>
                          <a:effectLst/>
                        </wps:spPr>
                        <wps:bodyPr upright="1"/>
                      </wps:wsp>
                      <wps:wsp>
                        <wps:cNvPr id="29" name="_s1045"/>
                        <wps:cNvCnPr>
                          <a:stCxn id="35" idx="0"/>
                          <a:endCxn id="32" idx="2"/>
                        </wps:cNvCnPr>
                        <wps:spPr>
                          <a:xfrm rot="5400000" flipH="1">
                            <a:off x="7026" y="4702"/>
                            <a:ext cx="366" cy="1279"/>
                          </a:xfrm>
                          <a:prstGeom prst="bentConnector3">
                            <a:avLst>
                              <a:gd name="adj1" fmla="val 21005"/>
                            </a:avLst>
                          </a:prstGeom>
                          <a:ln w="28575" cap="flat" cmpd="sng">
                            <a:solidFill>
                              <a:srgbClr val="000000"/>
                            </a:solidFill>
                            <a:prstDash val="solid"/>
                            <a:miter/>
                            <a:headEnd type="none" w="med" len="med"/>
                            <a:tailEnd type="none" w="med" len="med"/>
                          </a:ln>
                          <a:effectLst/>
                        </wps:spPr>
                        <wps:bodyPr/>
                      </wps:wsp>
                      <wps:wsp>
                        <wps:cNvPr id="30" name="_s1043"/>
                        <wps:cNvCnPr>
                          <a:stCxn id="34" idx="0"/>
                          <a:endCxn id="32" idx="2"/>
                        </wps:cNvCnPr>
                        <wps:spPr>
                          <a:xfrm rot="5400000" flipH="1">
                            <a:off x="8306" y="3422"/>
                            <a:ext cx="366" cy="3839"/>
                          </a:xfrm>
                          <a:prstGeom prst="bentConnector3">
                            <a:avLst>
                              <a:gd name="adj1" fmla="val 21005"/>
                            </a:avLst>
                          </a:prstGeom>
                          <a:ln w="28575" cap="flat" cmpd="sng">
                            <a:solidFill>
                              <a:srgbClr val="000000"/>
                            </a:solidFill>
                            <a:prstDash val="solid"/>
                            <a:miter/>
                            <a:headEnd type="none" w="med" len="med"/>
                            <a:tailEnd type="none" w="med" len="med"/>
                          </a:ln>
                          <a:effectLst/>
                        </wps:spPr>
                        <wps:bodyPr/>
                      </wps:wsp>
                      <wps:wsp>
                        <wps:cNvPr id="31" name="_s1042"/>
                        <wps:cNvCnPr>
                          <a:stCxn id="33" idx="0"/>
                          <a:endCxn id="32" idx="2"/>
                        </wps:cNvCnPr>
                        <wps:spPr>
                          <a:xfrm rot="-5400000">
                            <a:off x="5746" y="4701"/>
                            <a:ext cx="366" cy="1281"/>
                          </a:xfrm>
                          <a:prstGeom prst="bentConnector3">
                            <a:avLst>
                              <a:gd name="adj1" fmla="val 21005"/>
                            </a:avLst>
                          </a:prstGeom>
                          <a:ln w="28575" cap="flat" cmpd="sng">
                            <a:solidFill>
                              <a:srgbClr val="000000"/>
                            </a:solidFill>
                            <a:prstDash val="solid"/>
                            <a:miter/>
                            <a:headEnd type="none" w="med" len="med"/>
                            <a:tailEnd type="none" w="med" len="med"/>
                          </a:ln>
                          <a:effectLst/>
                        </wps:spPr>
                        <wps:bodyPr/>
                      </wps:wsp>
                      <wps:wsp>
                        <wps:cNvPr id="23" name="_s1041"/>
                        <wps:cNvCnPr>
                          <a:stCxn id="12" idx="0"/>
                          <a:endCxn id="32" idx="2"/>
                        </wps:cNvCnPr>
                        <wps:spPr>
                          <a:xfrm rot="-5400000">
                            <a:off x="4466" y="3421"/>
                            <a:ext cx="366" cy="3841"/>
                          </a:xfrm>
                          <a:prstGeom prst="bentConnector3">
                            <a:avLst>
                              <a:gd name="adj1" fmla="val 21005"/>
                            </a:avLst>
                          </a:prstGeom>
                          <a:ln w="28575" cap="flat" cmpd="sng">
                            <a:solidFill>
                              <a:srgbClr val="000000"/>
                            </a:solidFill>
                            <a:prstDash val="solid"/>
                            <a:miter/>
                            <a:headEnd type="none" w="med" len="med"/>
                            <a:tailEnd type="none" w="med" len="med"/>
                          </a:ln>
                          <a:effectLst/>
                        </wps:spPr>
                        <wps:bodyPr/>
                      </wps:wsp>
                      <wps:wsp>
                        <wps:cNvPr id="32" name="_s1037"/>
                        <wps:cNvSpPr/>
                        <wps:spPr>
                          <a:xfrm>
                            <a:off x="5482" y="4438"/>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a:effectLst/>
                        </wps:spPr>
                        <wps:txbx>
                          <w:txbxContent>
                            <w:p w14:paraId="038EB662">
                              <w:pPr>
                                <w:ind w:firstLine="0" w:firstLineChars="0"/>
                                <w:jc w:val="center"/>
                                <w:rPr>
                                  <w:sz w:val="22"/>
                                  <w:szCs w:val="22"/>
                                </w:rPr>
                              </w:pPr>
                              <w:r>
                                <w:rPr>
                                  <w:sz w:val="22"/>
                                  <w:szCs w:val="22"/>
                                </w:rPr>
                                <w:t>评价</w:t>
                              </w:r>
                            </w:p>
                            <w:p w14:paraId="56ECB40D">
                              <w:pPr>
                                <w:ind w:firstLine="0" w:firstLineChars="0"/>
                                <w:jc w:val="center"/>
                                <w:rPr>
                                  <w:sz w:val="22"/>
                                  <w:szCs w:val="22"/>
                                </w:rPr>
                              </w:pPr>
                              <w:r>
                                <w:rPr>
                                  <w:sz w:val="22"/>
                                  <w:szCs w:val="22"/>
                                </w:rPr>
                                <w:t>方法</w:t>
                              </w:r>
                            </w:p>
                          </w:txbxContent>
                        </wps:txbx>
                        <wps:bodyPr lIns="0" tIns="0" rIns="0" bIns="0" anchor="ctr" upright="1"/>
                      </wps:wsp>
                      <wps:wsp>
                        <wps:cNvPr id="12" name="_s1038"/>
                        <wps:cNvSpPr/>
                        <wps:spPr>
                          <a:xfrm>
                            <a:off x="164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a:effectLst/>
                        </wps:spPr>
                        <wps:txbx>
                          <w:txbxContent>
                            <w:p w14:paraId="043528AD">
                              <w:pPr>
                                <w:ind w:firstLine="0" w:firstLineChars="0"/>
                                <w:jc w:val="center"/>
                                <w:rPr>
                                  <w:sz w:val="21"/>
                                  <w:szCs w:val="21"/>
                                </w:rPr>
                              </w:pPr>
                              <w:r>
                                <w:rPr>
                                  <w:sz w:val="21"/>
                                  <w:szCs w:val="21"/>
                                </w:rPr>
                                <w:t>综合</w:t>
                              </w:r>
                            </w:p>
                            <w:p w14:paraId="70351BAC">
                              <w:pPr>
                                <w:ind w:firstLine="0" w:firstLineChars="0"/>
                                <w:jc w:val="center"/>
                                <w:rPr>
                                  <w:sz w:val="21"/>
                                  <w:szCs w:val="21"/>
                                </w:rPr>
                              </w:pPr>
                              <w:r>
                                <w:rPr>
                                  <w:sz w:val="21"/>
                                  <w:szCs w:val="21"/>
                                </w:rPr>
                                <w:t>评分方法</w:t>
                              </w:r>
                            </w:p>
                          </w:txbxContent>
                        </wps:txbx>
                        <wps:bodyPr lIns="0" tIns="0" rIns="0" bIns="0" anchor="ctr" upright="1"/>
                      </wps:wsp>
                      <wps:wsp>
                        <wps:cNvPr id="33" name="_s1039"/>
                        <wps:cNvSpPr/>
                        <wps:spPr>
                          <a:xfrm>
                            <a:off x="420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a:effectLst/>
                        </wps:spPr>
                        <wps:txbx>
                          <w:txbxContent>
                            <w:p w14:paraId="4589B6D2">
                              <w:pPr>
                                <w:ind w:firstLine="0" w:firstLineChars="0"/>
                                <w:jc w:val="center"/>
                                <w:rPr>
                                  <w:sz w:val="20"/>
                                  <w:szCs w:val="20"/>
                                </w:rPr>
                              </w:pPr>
                              <w:r>
                                <w:rPr>
                                  <w:sz w:val="20"/>
                                  <w:szCs w:val="20"/>
                                </w:rPr>
                                <w:t>指标</w:t>
                              </w:r>
                            </w:p>
                            <w:p w14:paraId="782671D3">
                              <w:pPr>
                                <w:ind w:firstLine="0" w:firstLineChars="0"/>
                                <w:jc w:val="center"/>
                                <w:rPr>
                                  <w:sz w:val="20"/>
                                  <w:szCs w:val="20"/>
                                </w:rPr>
                              </w:pPr>
                              <w:r>
                                <w:rPr>
                                  <w:sz w:val="20"/>
                                  <w:szCs w:val="20"/>
                                </w:rPr>
                                <w:t>计算方法</w:t>
                              </w:r>
                            </w:p>
                          </w:txbxContent>
                        </wps:txbx>
                        <wps:bodyPr lIns="0" tIns="0" rIns="0" bIns="0" anchor="ctr" upright="1"/>
                      </wps:wsp>
                      <wps:wsp>
                        <wps:cNvPr id="34" name="_s1040"/>
                        <wps:cNvSpPr/>
                        <wps:spPr>
                          <a:xfrm>
                            <a:off x="932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a:effectLst/>
                        </wps:spPr>
                        <wps:txbx>
                          <w:txbxContent>
                            <w:p w14:paraId="040F88A3">
                              <w:pPr>
                                <w:ind w:firstLine="0" w:firstLineChars="0"/>
                                <w:jc w:val="center"/>
                                <w:rPr>
                                  <w:sz w:val="20"/>
                                  <w:szCs w:val="20"/>
                                </w:rPr>
                              </w:pPr>
                              <w:r>
                                <w:rPr>
                                  <w:sz w:val="20"/>
                                  <w:szCs w:val="20"/>
                                </w:rPr>
                                <w:t>标准值</w:t>
                              </w:r>
                            </w:p>
                            <w:p w14:paraId="0A543B01">
                              <w:pPr>
                                <w:ind w:firstLine="0" w:firstLineChars="0"/>
                                <w:jc w:val="center"/>
                                <w:rPr>
                                  <w:sz w:val="20"/>
                                  <w:szCs w:val="20"/>
                                </w:rPr>
                              </w:pPr>
                              <w:r>
                                <w:rPr>
                                  <w:sz w:val="20"/>
                                  <w:szCs w:val="20"/>
                                </w:rPr>
                                <w:t>确定方法</w:t>
                              </w:r>
                            </w:p>
                          </w:txbxContent>
                        </wps:txbx>
                        <wps:bodyPr lIns="0" tIns="0" rIns="0" bIns="0" anchor="ctr" upright="1"/>
                      </wps:wsp>
                      <wps:wsp>
                        <wps:cNvPr id="35" name="_s1044"/>
                        <wps:cNvSpPr/>
                        <wps:spPr>
                          <a:xfrm>
                            <a:off x="676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a:effectLst/>
                        </wps:spPr>
                        <wps:txbx>
                          <w:txbxContent>
                            <w:p w14:paraId="5DB4F008">
                              <w:pPr>
                                <w:ind w:firstLine="0" w:firstLineChars="0"/>
                                <w:jc w:val="center"/>
                                <w:rPr>
                                  <w:sz w:val="20"/>
                                  <w:szCs w:val="20"/>
                                </w:rPr>
                              </w:pPr>
                              <w:r>
                                <w:rPr>
                                  <w:sz w:val="20"/>
                                  <w:szCs w:val="20"/>
                                </w:rPr>
                                <w:t>权重</w:t>
                              </w:r>
                            </w:p>
                            <w:p w14:paraId="1711804C">
                              <w:pPr>
                                <w:ind w:firstLine="0" w:firstLineChars="0"/>
                                <w:jc w:val="center"/>
                                <w:rPr>
                                  <w:sz w:val="20"/>
                                  <w:szCs w:val="20"/>
                                </w:rPr>
                              </w:pPr>
                              <w:r>
                                <w:rPr>
                                  <w:sz w:val="20"/>
                                  <w:szCs w:val="20"/>
                                </w:rPr>
                                <w:t>确定方法</w:t>
                              </w:r>
                            </w:p>
                          </w:txbxContent>
                        </wps:txbx>
                        <wps:bodyPr lIns="0" tIns="0" rIns="0" bIns="0" anchor="ctr" upright="1"/>
                      </wps:wsp>
                    </wpg:wgp>
                  </a:graphicData>
                </a:graphic>
              </wp:inline>
            </w:drawing>
          </mc:Choice>
          <mc:Fallback>
            <w:pict>
              <v:group id="_x0000_s1026" o:spid="_x0000_s1026" o:spt="203" style="height:141.25pt;width:295.65pt;" coordorigin="1642,4438" coordsize="9874,1828" o:gfxdata="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FWSw83WAAAABQEAAA8AAAAAAAAAAQAgAAAA&#10;IgAAAGRycy9kb3ducmV2LnhtbFBLAQIUABQAAAAIAIdO4kCYLTiiuQQAAOEcAAAOAAAAAAAAAAEA&#10;IAAAACUBAABkcnMvZTJvRG9jLnhtbFBLBQYAAAAABgAGAFkBAABQCAAAAAA=&#10;">
                <o:lock v:ext="edit" rotation="t" aspectratio="t"/>
                <v:rect id="图片 3" o:spid="_x0000_s1026" o:spt="1" style="position:absolute;left:1642;top:4438;height:1828;width:9874;" filled="f" stroked="f" coordsize="21600,21600" o:gfxdata="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Viq7sAAADb&#10;AAAADwAAAAAAAAABACAAAAAiAAAAZHJzL2Rvd25yZXYueG1sUEsBAhQAFAAAAAgAh07iQDMvBZ47&#10;AAAAOQAAABAAAAAAAAAAAQAgAAAACgEAAGRycy9zaGFwZXhtbC54bWxQSwUGAAAAAAYABgBbAQAA&#10;tAMAAAAA&#10;">
                  <v:fill on="f" focussize="0,0"/>
                  <v:stroke on="f"/>
                  <v:imagedata o:title=""/>
                  <o:lock v:ext="edit" text="t" aspectratio="t"/>
                </v:rect>
                <v:shape id="_s1045" o:spid="_x0000_s1026" o:spt="34" type="#_x0000_t34" style="position:absolute;left:7026;top:4702;flip:x;height:1279;width:366;rotation:-5898240f;" filled="f" stroked="t" coordsize="21600,21600" o:gfxdata="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sQbJvQAA&#10;ANsAAAAPAAAAAAAAAAEAIAAAACIAAABkcnMvZG93bnJldi54bWxQSwECFAAUAAAACACHTuJAMy8F&#10;njsAAAA5AAAAEAAAAAAAAAABACAAAAAMAQAAZHJzL3NoYXBleG1sLnhtbFBLBQYAAAAABgAGAFsB&#10;AAC2AwAAAAA=&#10;" adj="4537">
                  <v:fill on="f" focussize="0,0"/>
                  <v:stroke weight="2.25pt" color="#000000" joinstyle="miter"/>
                  <v:imagedata o:title=""/>
                  <o:lock v:ext="edit" aspectratio="f"/>
                </v:shape>
                <v:shape id="_s1043" o:spid="_x0000_s1026" o:spt="34" type="#_x0000_t34" style="position:absolute;left:8306;top:3422;flip:x;height:3839;width:366;rotation:-5898240f;" filled="f" stroked="t" coordsize="21600,21600" o:gfxdata="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hSOYm5AAAA2wAA&#10;AA8AAAAAAAAAAQAgAAAAIgAAAGRycy9kb3ducmV2LnhtbFBLAQIUABQAAAAIAIdO4kAzLwWeOwAA&#10;ADkAAAAQAAAAAAAAAAEAIAAAAAgBAABkcnMvc2hhcGV4bWwueG1sUEsFBgAAAAAGAAYAWwEAALID&#10;AAAAAA==&#10;" adj="4537">
                  <v:fill on="f" focussize="0,0"/>
                  <v:stroke weight="2.25pt" color="#000000" joinstyle="miter"/>
                  <v:imagedata o:title=""/>
                  <o:lock v:ext="edit" aspectratio="f"/>
                </v:shape>
                <v:shape id="_s1042" o:spid="_x0000_s1026" o:spt="34" type="#_x0000_t34" style="position:absolute;left:5746;top:4701;height:1281;width:366;rotation:-5898240f;" filled="f" stroked="t" coordsize="21600,21600" o:gfxdata="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1ZEy8AAAA&#10;2wAAAA8AAAAAAAAAAQAgAAAAIgAAAGRycy9kb3ducmV2LnhtbFBLAQIUABQAAAAIAIdO4kAzLwWe&#10;OwAAADkAAAAQAAAAAAAAAAEAIAAAAAsBAABkcnMvc2hhcGV4bWwueG1sUEsFBgAAAAAGAAYAWwEA&#10;ALUDAAAAAA==&#10;" adj="4537">
                  <v:fill on="f" focussize="0,0"/>
                  <v:stroke weight="2.25pt" color="#000000" joinstyle="miter"/>
                  <v:imagedata o:title=""/>
                  <o:lock v:ext="edit" aspectratio="f"/>
                </v:shape>
                <v:shape id="_s1041" o:spid="_x0000_s1026" o:spt="34" type="#_x0000_t34" style="position:absolute;left:4466;top:3421;height:3841;width:366;rotation:-5898240f;" filled="f" stroked="t" coordsize="21600,21600" o:gfxdata="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zLJfbgAAADbAAAA&#10;DwAAAAAAAAABACAAAAAiAAAAZHJzL2Rvd25yZXYueG1sUEsBAhQAFAAAAAgAh07iQDMvBZ47AAAA&#10;OQAAABAAAAAAAAAAAQAgAAAABwEAAGRycy9zaGFwZXhtbC54bWxQSwUGAAAAAAYABgBbAQAAsQMA&#10;AAAA&#10;" adj="4537">
                  <v:fill on="f" focussize="0,0"/>
                  <v:stroke weight="2.25pt" color="#000000" joinstyle="miter"/>
                  <v:imagedata o:title=""/>
                  <o:lock v:ext="edit" aspectratio="f"/>
                </v:shape>
                <v:roundrect id="_s1037" o:spid="_x0000_s1026" o:spt="2" style="position:absolute;left:5482;top:4438;height:731;width:2194;v-text-anchor:middle;" fillcolor="#BBE0E3" filled="t" stroked="t" coordsize="21600,21600" arcsize="0.166666666666667" o:gfxdata="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pgt74A&#10;AADbAAAADwAAAAAAAAABACAAAAAiAAAAZHJzL2Rvd25yZXYueG1sUEsBAhQAFAAAAAgAh07iQDMv&#10;BZ47AAAAOQAAABAAAAAAAAAAAQAgAAAADQEAAGRycy9zaGFwZXhtbC54bWxQSwUGAAAAAAYABgBb&#10;AQAAtwMAAAAA&#10;">
                  <v:fill on="t" focussize="0,0"/>
                  <v:stroke color="#000000" joinstyle="round"/>
                  <v:imagedata o:title=""/>
                  <o:lock v:ext="edit" aspectratio="f"/>
                  <v:textbox inset="0mm,0mm,0mm,0mm">
                    <w:txbxContent>
                      <w:p w14:paraId="038EB662">
                        <w:pPr>
                          <w:ind w:firstLine="0" w:firstLineChars="0"/>
                          <w:jc w:val="center"/>
                          <w:rPr>
                            <w:sz w:val="22"/>
                            <w:szCs w:val="22"/>
                          </w:rPr>
                        </w:pPr>
                        <w:r>
                          <w:rPr>
                            <w:sz w:val="22"/>
                            <w:szCs w:val="22"/>
                          </w:rPr>
                          <w:t>评价</w:t>
                        </w:r>
                      </w:p>
                      <w:p w14:paraId="56ECB40D">
                        <w:pPr>
                          <w:ind w:firstLine="0" w:firstLineChars="0"/>
                          <w:jc w:val="center"/>
                          <w:rPr>
                            <w:sz w:val="22"/>
                            <w:szCs w:val="22"/>
                          </w:rPr>
                        </w:pPr>
                        <w:r>
                          <w:rPr>
                            <w:sz w:val="22"/>
                            <w:szCs w:val="22"/>
                          </w:rPr>
                          <w:t>方法</w:t>
                        </w:r>
                      </w:p>
                    </w:txbxContent>
                  </v:textbox>
                </v:roundrect>
                <v:roundrect id="_s1038" o:spid="_x0000_s1026" o:spt="2" style="position:absolute;left:1642;top:5535;height:731;width:2194;v-text-anchor:middle;" fillcolor="#BBE0E3" filled="t" stroked="t" coordsize="21600,21600" arcsize="0.166666666666667" o:gfxdata="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PNe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0mm,0mm,0mm,0mm">
                    <w:txbxContent>
                      <w:p w14:paraId="043528AD">
                        <w:pPr>
                          <w:ind w:firstLine="0" w:firstLineChars="0"/>
                          <w:jc w:val="center"/>
                          <w:rPr>
                            <w:sz w:val="21"/>
                            <w:szCs w:val="21"/>
                          </w:rPr>
                        </w:pPr>
                        <w:r>
                          <w:rPr>
                            <w:sz w:val="21"/>
                            <w:szCs w:val="21"/>
                          </w:rPr>
                          <w:t>综合</w:t>
                        </w:r>
                      </w:p>
                      <w:p w14:paraId="70351BAC">
                        <w:pPr>
                          <w:ind w:firstLine="0" w:firstLineChars="0"/>
                          <w:jc w:val="center"/>
                          <w:rPr>
                            <w:sz w:val="21"/>
                            <w:szCs w:val="21"/>
                          </w:rPr>
                        </w:pPr>
                        <w:r>
                          <w:rPr>
                            <w:sz w:val="21"/>
                            <w:szCs w:val="21"/>
                          </w:rPr>
                          <w:t>评分方法</w:t>
                        </w:r>
                      </w:p>
                    </w:txbxContent>
                  </v:textbox>
                </v:roundrect>
                <v:roundrect id="_s1039" o:spid="_x0000_s1026" o:spt="2" style="position:absolute;left:4202;top:5535;height:731;width:2194;v-text-anchor:middle;" fillcolor="#BBE0E3" filled="t" stroked="t" coordsize="21600,21600" arcsize="0.166666666666667" o:gfxdata="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WbFLL4A&#10;AADbAAAADwAAAAAAAAABACAAAAAiAAAAZHJzL2Rvd25yZXYueG1sUEsBAhQAFAAAAAgAh07iQDMv&#10;BZ47AAAAOQAAABAAAAAAAAAAAQAgAAAADQEAAGRycy9zaGFwZXhtbC54bWxQSwUGAAAAAAYABgBb&#10;AQAAtwMAAAAA&#10;">
                  <v:fill on="t" focussize="0,0"/>
                  <v:stroke color="#000000" joinstyle="round"/>
                  <v:imagedata o:title=""/>
                  <o:lock v:ext="edit" aspectratio="f"/>
                  <v:textbox inset="0mm,0mm,0mm,0mm">
                    <w:txbxContent>
                      <w:p w14:paraId="4589B6D2">
                        <w:pPr>
                          <w:ind w:firstLine="0" w:firstLineChars="0"/>
                          <w:jc w:val="center"/>
                          <w:rPr>
                            <w:sz w:val="20"/>
                            <w:szCs w:val="20"/>
                          </w:rPr>
                        </w:pPr>
                        <w:r>
                          <w:rPr>
                            <w:sz w:val="20"/>
                            <w:szCs w:val="20"/>
                          </w:rPr>
                          <w:t>指标</w:t>
                        </w:r>
                      </w:p>
                      <w:p w14:paraId="782671D3">
                        <w:pPr>
                          <w:ind w:firstLine="0" w:firstLineChars="0"/>
                          <w:jc w:val="center"/>
                          <w:rPr>
                            <w:sz w:val="20"/>
                            <w:szCs w:val="20"/>
                          </w:rPr>
                        </w:pPr>
                        <w:r>
                          <w:rPr>
                            <w:sz w:val="20"/>
                            <w:szCs w:val="20"/>
                          </w:rPr>
                          <w:t>计算方法</w:t>
                        </w:r>
                      </w:p>
                    </w:txbxContent>
                  </v:textbox>
                </v:roundrect>
                <v:roundrect id="_s1040" o:spid="_x0000_s1026" o:spt="2" style="position:absolute;left:9322;top:5535;height:731;width:2194;v-text-anchor:middle;" fillcolor="#BBE0E3" filled="t" stroked="t" coordsize="21600,21600" arcsize="0.166666666666667" o:gfxdata="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PXVi/&#10;AAAA2w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14:paraId="040F88A3">
                        <w:pPr>
                          <w:ind w:firstLine="0" w:firstLineChars="0"/>
                          <w:jc w:val="center"/>
                          <w:rPr>
                            <w:sz w:val="20"/>
                            <w:szCs w:val="20"/>
                          </w:rPr>
                        </w:pPr>
                        <w:r>
                          <w:rPr>
                            <w:sz w:val="20"/>
                            <w:szCs w:val="20"/>
                          </w:rPr>
                          <w:t>标准值</w:t>
                        </w:r>
                      </w:p>
                      <w:p w14:paraId="0A543B01">
                        <w:pPr>
                          <w:ind w:firstLine="0" w:firstLineChars="0"/>
                          <w:jc w:val="center"/>
                          <w:rPr>
                            <w:sz w:val="20"/>
                            <w:szCs w:val="20"/>
                          </w:rPr>
                        </w:pPr>
                        <w:r>
                          <w:rPr>
                            <w:sz w:val="20"/>
                            <w:szCs w:val="20"/>
                          </w:rPr>
                          <w:t>确定方法</w:t>
                        </w:r>
                      </w:p>
                    </w:txbxContent>
                  </v:textbox>
                </v:roundrect>
                <v:roundrect id="_s1044" o:spid="_x0000_s1026" o:spt="2" style="position:absolute;left:6762;top:5535;height:731;width:2194;v-text-anchor:middle;" fillcolor="#BBE0E3" filled="t" stroked="t" coordsize="21600,21600" arcsize="0.166666666666667" o:gfxdata="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D+MO/&#10;AAAA2w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14:paraId="5DB4F008">
                        <w:pPr>
                          <w:ind w:firstLine="0" w:firstLineChars="0"/>
                          <w:jc w:val="center"/>
                          <w:rPr>
                            <w:sz w:val="20"/>
                            <w:szCs w:val="20"/>
                          </w:rPr>
                        </w:pPr>
                        <w:r>
                          <w:rPr>
                            <w:sz w:val="20"/>
                            <w:szCs w:val="20"/>
                          </w:rPr>
                          <w:t>权重</w:t>
                        </w:r>
                      </w:p>
                      <w:p w14:paraId="1711804C">
                        <w:pPr>
                          <w:ind w:firstLine="0" w:firstLineChars="0"/>
                          <w:jc w:val="center"/>
                          <w:rPr>
                            <w:sz w:val="20"/>
                            <w:szCs w:val="20"/>
                          </w:rPr>
                        </w:pPr>
                        <w:r>
                          <w:rPr>
                            <w:sz w:val="20"/>
                            <w:szCs w:val="20"/>
                          </w:rPr>
                          <w:t>确定方法</w:t>
                        </w:r>
                      </w:p>
                    </w:txbxContent>
                  </v:textbox>
                </v:roundrect>
                <w10:wrap type="none"/>
                <w10:anchorlock/>
              </v:group>
            </w:pict>
          </mc:Fallback>
        </mc:AlternateContent>
      </w:r>
    </w:p>
    <w:p w14:paraId="14B5F06B">
      <w:pPr>
        <w:snapToGrid w:val="0"/>
        <w:ind w:firstLine="480"/>
        <w:jc w:val="left"/>
        <w:rPr>
          <w:rFonts w:ascii="Arial Narrow" w:hAnsi="Arial Narrow" w:cs="Arial Narrow"/>
        </w:rPr>
      </w:pPr>
      <w:r>
        <w:rPr>
          <w:rFonts w:hint="eastAsia" w:ascii="Arial Narrow" w:hAnsi="Arial Narrow" w:cs="Arial Narrow"/>
        </w:rPr>
        <w:t>（1）综合评分方法</w:t>
      </w:r>
    </w:p>
    <w:p w14:paraId="419F328D">
      <w:pPr>
        <w:snapToGrid w:val="0"/>
        <w:ind w:firstLine="480"/>
        <w:rPr>
          <w:rFonts w:ascii="Arial Narrow" w:hAnsi="Arial Narrow" w:cs="Arial Narrow"/>
        </w:rPr>
      </w:pPr>
      <w:r>
        <w:rPr>
          <w:rFonts w:ascii="Arial Narrow" w:hAnsi="Arial Narrow" w:cs="Arial Narrow"/>
        </w:rPr>
        <w:t>评价采用加权平均法进行综合评分，通过对</w:t>
      </w:r>
      <w:r>
        <w:rPr>
          <w:rFonts w:hint="eastAsia" w:ascii="Arial Narrow" w:hAnsi="Arial Narrow" w:cs="Arial Narrow"/>
        </w:rPr>
        <w:t>“代表活动经费”项目</w:t>
      </w:r>
      <w:r>
        <w:rPr>
          <w:rFonts w:ascii="Arial Narrow" w:hAnsi="Arial Narrow" w:cs="Arial Narrow"/>
        </w:rPr>
        <w:t>绩效目标与实际实施效果的对比，综合分析其绩效目标实现程度，对各项指标要素评分，结合各项评分值与指标要素权重得出评价综合分值。</w:t>
      </w:r>
    </w:p>
    <w:p w14:paraId="2BA0BFCD">
      <w:pPr>
        <w:numPr>
          <w:ilvl w:val="0"/>
          <w:numId w:val="5"/>
        </w:numPr>
        <w:snapToGrid w:val="0"/>
        <w:ind w:firstLine="480"/>
        <w:jc w:val="left"/>
        <w:rPr>
          <w:rFonts w:ascii="Arial Narrow" w:hAnsi="Arial Narrow" w:cs="Arial Narrow"/>
        </w:rPr>
      </w:pPr>
      <w:r>
        <w:rPr>
          <w:rFonts w:hint="eastAsia" w:ascii="Arial Narrow" w:hAnsi="Arial Narrow" w:cs="Arial Narrow"/>
        </w:rPr>
        <w:t>指标计算方法</w:t>
      </w:r>
    </w:p>
    <w:p w14:paraId="016D9DDA">
      <w:pPr>
        <w:snapToGrid w:val="0"/>
        <w:ind w:firstLine="480"/>
        <w:rPr>
          <w:rFonts w:ascii="Arial Narrow" w:hAnsi="Arial Narrow" w:cs="Arial Narrow"/>
        </w:rPr>
      </w:pPr>
      <w:r>
        <w:rPr>
          <w:rFonts w:ascii="Arial Narrow" w:hAnsi="Arial Narrow" w:cs="Arial Narrow"/>
        </w:rPr>
        <w:t>评价采用比率法对指标进行计算，先计算出指标实现值与指标标准值的比率，再将该项比率和对应指标满分值相乘，取整后得出指标评分值。</w:t>
      </w:r>
    </w:p>
    <w:p w14:paraId="3EF1D52C">
      <w:pPr>
        <w:numPr>
          <w:ilvl w:val="0"/>
          <w:numId w:val="5"/>
        </w:numPr>
        <w:snapToGrid w:val="0"/>
        <w:ind w:firstLine="480"/>
        <w:jc w:val="left"/>
        <w:rPr>
          <w:rFonts w:ascii="Arial Narrow" w:hAnsi="Arial Narrow" w:cs="Arial Narrow"/>
        </w:rPr>
      </w:pPr>
      <w:r>
        <w:rPr>
          <w:rFonts w:hint="eastAsia" w:ascii="Arial Narrow" w:hAnsi="Arial Narrow" w:cs="Arial Narrow"/>
        </w:rPr>
        <w:t>权重确定方法</w:t>
      </w:r>
    </w:p>
    <w:p w14:paraId="1FA330F7">
      <w:pPr>
        <w:snapToGrid w:val="0"/>
        <w:ind w:firstLine="480"/>
        <w:rPr>
          <w:rFonts w:ascii="Arial Narrow" w:hAnsi="Arial Narrow" w:cs="Arial Narrow"/>
        </w:rPr>
      </w:pPr>
      <w:r>
        <w:rPr>
          <w:rFonts w:ascii="Arial Narrow" w:hAnsi="Arial Narrow" w:cs="Arial Narrow"/>
        </w:rPr>
        <w:t>评价指标的权重量化参考《武昌区财政支出绩效评价管理暂行办法》，同时采用了逐项对比法和层次分析法，对每个层次的指标根据重要性依次进行比较并确定权重值。</w:t>
      </w:r>
    </w:p>
    <w:p w14:paraId="1D2977F1">
      <w:pPr>
        <w:numPr>
          <w:ilvl w:val="0"/>
          <w:numId w:val="5"/>
        </w:numPr>
        <w:snapToGrid w:val="0"/>
        <w:ind w:firstLine="480"/>
        <w:jc w:val="left"/>
        <w:rPr>
          <w:rFonts w:ascii="Arial Narrow" w:hAnsi="Arial Narrow" w:cs="Arial Narrow"/>
        </w:rPr>
      </w:pPr>
      <w:r>
        <w:rPr>
          <w:rFonts w:hint="eastAsia" w:ascii="Arial Narrow" w:hAnsi="Arial Narrow" w:cs="Arial Narrow"/>
        </w:rPr>
        <w:t>标准值的确定方法</w:t>
      </w:r>
    </w:p>
    <w:p w14:paraId="4892938B">
      <w:pPr>
        <w:snapToGrid w:val="0"/>
        <w:ind w:firstLine="480"/>
        <w:rPr>
          <w:rFonts w:ascii="Arial Narrow" w:hAnsi="Arial Narrow" w:cs="Arial Narrow"/>
        </w:rPr>
      </w:pPr>
      <w:r>
        <w:rPr>
          <w:rFonts w:ascii="Arial Narrow" w:hAnsi="Arial Narrow" w:cs="Arial Narrow"/>
        </w:rPr>
        <w:t>本次评价采用了计划标准、历史标准或经验标准来确定标准值。以预先制定的目标、计划、预算、定额等数据作为评价标准，或者参照同类指标的历史数据或经验数据确定标准值。</w:t>
      </w:r>
    </w:p>
    <w:bookmarkEnd w:id="55"/>
    <w:bookmarkEnd w:id="56"/>
    <w:p w14:paraId="381B5391">
      <w:pPr>
        <w:snapToGrid w:val="0"/>
        <w:ind w:firstLine="482"/>
        <w:outlineLvl w:val="1"/>
        <w:rPr>
          <w:rFonts w:ascii="Arial Narrow" w:hAnsi="Arial Narrow" w:cs="Arial Narrow"/>
          <w:b/>
          <w:bCs/>
        </w:rPr>
      </w:pPr>
      <w:bookmarkStart w:id="64" w:name="_Toc10443"/>
      <w:bookmarkStart w:id="65" w:name="_Toc13735"/>
      <w:bookmarkStart w:id="66" w:name="_Toc25872"/>
      <w:bookmarkStart w:id="67" w:name="_Toc27074"/>
      <w:r>
        <w:rPr>
          <w:rFonts w:hint="eastAsia" w:ascii="Arial Narrow" w:hAnsi="Arial Narrow" w:cs="Arial Narrow"/>
          <w:b/>
          <w:bCs/>
        </w:rPr>
        <w:t>（四）证据收集方式</w:t>
      </w:r>
      <w:bookmarkEnd w:id="64"/>
      <w:bookmarkEnd w:id="65"/>
      <w:bookmarkEnd w:id="66"/>
      <w:bookmarkEnd w:id="67"/>
    </w:p>
    <w:p w14:paraId="283ACED2">
      <w:pPr>
        <w:snapToGrid w:val="0"/>
        <w:ind w:firstLine="480"/>
        <w:rPr>
          <w:rFonts w:ascii="Arial Narrow" w:hAnsi="Arial Narrow" w:cs="Arial Narrow"/>
        </w:rPr>
      </w:pPr>
      <w:r>
        <w:rPr>
          <w:rFonts w:hint="eastAsia" w:ascii="Arial Narrow" w:hAnsi="Arial Narrow" w:cs="Arial Narrow"/>
        </w:rPr>
        <w:t>代表活动</w:t>
      </w:r>
      <w:r>
        <w:rPr>
          <w:rFonts w:ascii="Arial Narrow" w:hAnsi="Arial Narrow" w:cs="Arial Narrow"/>
        </w:rPr>
        <w:t>经费项目”绩效评价计划采取深入项目单位实地察看、面访、座谈、查阅相关资料、核查财务凭证等证据收集方法，获取大量高质量和准确可靠的数据信息，同时对项目实施相关机构进行访谈，发放调查问卷，收集绩效评价所需的基础性资料。</w:t>
      </w:r>
    </w:p>
    <w:p w14:paraId="47528FF1">
      <w:pPr>
        <w:snapToGrid w:val="0"/>
        <w:ind w:firstLine="480"/>
        <w:rPr>
          <w:rFonts w:ascii="Arial Narrow" w:hAnsi="Arial Narrow" w:cs="Arial Narrow"/>
        </w:rPr>
      </w:pPr>
      <w:r>
        <w:rPr>
          <w:rFonts w:hint="eastAsia" w:ascii="Arial Narrow" w:hAnsi="Arial Narrow" w:cs="Arial Narrow"/>
        </w:rPr>
        <w:t>1、</w:t>
      </w:r>
      <w:r>
        <w:rPr>
          <w:rFonts w:ascii="Arial Narrow" w:hAnsi="Arial Narrow" w:cs="Arial Narrow"/>
        </w:rPr>
        <w:t>评价信息资料的收集途径。评价小组前往项目实施单位，负责人和财务人员收集相关资料文件，对其进行访谈，了解项目的开展过程和效果</w:t>
      </w:r>
      <w:r>
        <w:rPr>
          <w:rFonts w:hint="eastAsia" w:ascii="Arial Narrow" w:hAnsi="Arial Narrow" w:cs="Arial Narrow"/>
        </w:rPr>
        <w:t>。</w:t>
      </w:r>
    </w:p>
    <w:p w14:paraId="0982EB2E">
      <w:pPr>
        <w:snapToGrid w:val="0"/>
        <w:ind w:firstLine="480"/>
        <w:rPr>
          <w:rFonts w:ascii="Arial Narrow" w:hAnsi="Arial Narrow" w:cs="Arial Narrow"/>
        </w:rPr>
      </w:pPr>
      <w:r>
        <w:rPr>
          <w:rFonts w:hint="eastAsia" w:ascii="Arial Narrow" w:hAnsi="Arial Narrow" w:cs="Arial Narrow"/>
        </w:rPr>
        <w:t>2、</w:t>
      </w:r>
      <w:r>
        <w:rPr>
          <w:rFonts w:ascii="Arial Narrow" w:hAnsi="Arial Narrow" w:cs="Arial Narrow"/>
        </w:rPr>
        <w:t>信息资料的验证方式。财务数据方面，评价小组在项目现场查阅项目经费使用凭证、经费支出明细表及原始附件，将统计表与凭证明细进行核对，与项目相关人员进行经费使用情况的核实；项目实施方面，评价小组通过现场访谈、调查问卷的方式，从项目实施单位和服务对象多方面了解，将了解的信息与收集的资料进行对比验证。</w:t>
      </w:r>
    </w:p>
    <w:p w14:paraId="7E2410DE">
      <w:pPr>
        <w:snapToGrid w:val="0"/>
        <w:ind w:firstLine="480"/>
        <w:rPr>
          <w:rFonts w:ascii="Arial Narrow" w:hAnsi="Arial Narrow" w:cs="Arial Narrow"/>
        </w:rPr>
      </w:pPr>
      <w:r>
        <w:rPr>
          <w:rFonts w:hint="eastAsia" w:ascii="Arial Narrow" w:hAnsi="Arial Narrow" w:cs="Arial Narrow"/>
        </w:rPr>
        <w:t>3、</w:t>
      </w:r>
      <w:r>
        <w:rPr>
          <w:rFonts w:ascii="Arial Narrow" w:hAnsi="Arial Narrow" w:cs="Arial Narrow"/>
        </w:rPr>
        <w:t>调查访谈、现场查勘方式与安排。现场收集资料并了解情况，并对项目负责人进行访谈；对武昌区民众进行问卷调查。</w:t>
      </w:r>
    </w:p>
    <w:p w14:paraId="20B98425">
      <w:pPr>
        <w:ind w:firstLine="480"/>
        <w:rPr>
          <w:rFonts w:ascii="Arial Narrow" w:hAnsi="Arial Narrow" w:cs="Arial Narrow"/>
        </w:rPr>
      </w:pPr>
      <w:r>
        <w:rPr>
          <w:rFonts w:hint="eastAsia" w:ascii="Arial Narrow" w:hAnsi="Arial Narrow" w:cs="Arial Narrow"/>
        </w:rPr>
        <w:t>4、</w:t>
      </w:r>
      <w:r>
        <w:rPr>
          <w:rFonts w:ascii="Arial Narrow" w:hAnsi="Arial Narrow" w:cs="Arial Narrow"/>
        </w:rPr>
        <w:t>调查问卷的制作与安排。调查问卷由绩效评价小组根据项目资料，结合绩效指标框架，针对项目实际情况，设计合理的调查问题，收集相关、有效的问卷信息，综合分析调查结果，便于对项目进行评价。</w:t>
      </w:r>
    </w:p>
    <w:bookmarkEnd w:id="57"/>
    <w:bookmarkEnd w:id="58"/>
    <w:bookmarkEnd w:id="59"/>
    <w:bookmarkEnd w:id="60"/>
    <w:bookmarkEnd w:id="61"/>
    <w:bookmarkEnd w:id="62"/>
    <w:bookmarkEnd w:id="63"/>
    <w:p w14:paraId="626F4F5C">
      <w:pPr>
        <w:snapToGrid w:val="0"/>
        <w:ind w:firstLine="0" w:firstLineChars="0"/>
        <w:outlineLvl w:val="1"/>
        <w:rPr>
          <w:rFonts w:ascii="Arial Narrow" w:hAnsi="Arial Narrow" w:cs="Arial Narrow"/>
          <w:b/>
          <w:sz w:val="28"/>
          <w:szCs w:val="28"/>
        </w:rPr>
      </w:pPr>
      <w:bookmarkStart w:id="68" w:name="_Toc22315"/>
      <w:bookmarkStart w:id="69" w:name="_Toc15412"/>
      <w:bookmarkStart w:id="70" w:name="_Toc24692"/>
      <w:bookmarkStart w:id="71" w:name="_Toc16787"/>
      <w:bookmarkStart w:id="72" w:name="_Toc372574206"/>
      <w:bookmarkStart w:id="73" w:name="_Toc28181"/>
      <w:bookmarkStart w:id="74" w:name="_Toc20561"/>
      <w:bookmarkStart w:id="75" w:name="_Toc430020793"/>
      <w:bookmarkStart w:id="76" w:name="_Toc222"/>
      <w:bookmarkStart w:id="77" w:name="_Toc17860"/>
      <w:bookmarkStart w:id="78" w:name="_Toc394869158"/>
      <w:bookmarkStart w:id="79" w:name="_Toc32507"/>
      <w:bookmarkStart w:id="80" w:name="_Toc430020669"/>
      <w:bookmarkStart w:id="81" w:name="_Toc1017"/>
      <w:bookmarkStart w:id="82" w:name="_Toc430076902"/>
      <w:bookmarkStart w:id="83" w:name="_Toc26156"/>
      <w:bookmarkStart w:id="84" w:name="_Toc430020517"/>
      <w:bookmarkStart w:id="85" w:name="_Toc430018234"/>
      <w:r>
        <w:rPr>
          <w:rFonts w:hint="eastAsia" w:ascii="Arial Narrow" w:hAnsi="Arial Narrow" w:cs="Arial Narrow"/>
          <w:b/>
          <w:sz w:val="28"/>
          <w:szCs w:val="28"/>
        </w:rPr>
        <w:t>三、绩效分析</w:t>
      </w:r>
      <w:bookmarkEnd w:id="68"/>
      <w:bookmarkEnd w:id="69"/>
      <w:bookmarkEnd w:id="70"/>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0E696838">
      <w:pPr>
        <w:snapToGrid w:val="0"/>
        <w:ind w:firstLine="482"/>
        <w:outlineLvl w:val="1"/>
        <w:rPr>
          <w:rFonts w:ascii="Arial Narrow" w:hAnsi="Arial Narrow" w:cs="Arial Narrow"/>
          <w:b/>
          <w:bCs/>
        </w:rPr>
      </w:pPr>
      <w:bookmarkStart w:id="86" w:name="_Toc430020670"/>
      <w:bookmarkStart w:id="87" w:name="_Toc394869159"/>
      <w:bookmarkStart w:id="88" w:name="_Toc430018235"/>
      <w:bookmarkStart w:id="89" w:name="_Toc19471"/>
      <w:bookmarkStart w:id="90" w:name="_Toc430098942"/>
      <w:bookmarkStart w:id="91" w:name="_Toc30915"/>
      <w:bookmarkStart w:id="92" w:name="_Toc13808"/>
      <w:bookmarkStart w:id="93" w:name="_Toc28898"/>
      <w:bookmarkStart w:id="94" w:name="_Toc1919"/>
      <w:bookmarkStart w:id="95" w:name="_Toc430076903"/>
      <w:bookmarkStart w:id="96" w:name="_Toc27735"/>
      <w:bookmarkStart w:id="97" w:name="_Toc430020518"/>
      <w:bookmarkStart w:id="98" w:name="_Toc9651"/>
      <w:bookmarkStart w:id="99" w:name="_Toc430020794"/>
      <w:bookmarkStart w:id="100" w:name="_Toc22306"/>
      <w:bookmarkStart w:id="101" w:name="_Toc372574209"/>
      <w:bookmarkStart w:id="102" w:name="_Toc8881"/>
      <w:bookmarkStart w:id="103" w:name="_Toc385369263"/>
      <w:bookmarkStart w:id="104" w:name="_Toc22295"/>
      <w:bookmarkStart w:id="105" w:name="_Toc394869161"/>
      <w:bookmarkStart w:id="106" w:name="_Toc430076905"/>
      <w:bookmarkStart w:id="107" w:name="_Toc3055"/>
      <w:bookmarkStart w:id="108" w:name="_Toc30739"/>
      <w:bookmarkStart w:id="109" w:name="_Toc430020520"/>
      <w:bookmarkStart w:id="110" w:name="_Toc430020672"/>
      <w:bookmarkStart w:id="111" w:name="_Toc430020796"/>
      <w:bookmarkStart w:id="112" w:name="_Toc430018237"/>
      <w:bookmarkStart w:id="113" w:name="_Toc4256"/>
      <w:bookmarkStart w:id="114" w:name="_Toc2887"/>
      <w:bookmarkStart w:id="115" w:name="_Toc26074"/>
      <w:bookmarkStart w:id="116" w:name="_Toc430076911"/>
      <w:bookmarkStart w:id="117" w:name="_Toc15977"/>
      <w:bookmarkStart w:id="118" w:name="_Toc430020678"/>
      <w:bookmarkStart w:id="119" w:name="_Toc3177"/>
      <w:bookmarkStart w:id="120" w:name="_Toc16754"/>
      <w:bookmarkStart w:id="121" w:name="_Toc430020802"/>
      <w:bookmarkStart w:id="122" w:name="_Toc11182"/>
      <w:bookmarkStart w:id="123" w:name="_Toc430020526"/>
      <w:bookmarkStart w:id="124" w:name="_Toc24980"/>
      <w:bookmarkStart w:id="125" w:name="_Toc10248"/>
      <w:bookmarkStart w:id="126" w:name="_Toc430018240"/>
      <w:bookmarkStart w:id="127" w:name="_Toc20578"/>
      <w:r>
        <w:rPr>
          <w:rFonts w:hint="eastAsia" w:ascii="Arial Narrow" w:hAnsi="Arial Narrow" w:cs="Arial Narrow"/>
          <w:b/>
          <w:bCs/>
        </w:rPr>
        <w:t>（一）项目投入</w:t>
      </w:r>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hint="eastAsia" w:ascii="Arial Narrow" w:hAnsi="Arial Narrow" w:cs="Arial Narrow"/>
          <w:b/>
          <w:bCs/>
        </w:rPr>
        <w:t>（12分）</w:t>
      </w:r>
      <w:bookmarkEnd w:id="100"/>
    </w:p>
    <w:p w14:paraId="27AE9E51">
      <w:pPr>
        <w:ind w:firstLine="480"/>
        <w:rPr>
          <w:rFonts w:ascii="Arial Narrow" w:hAnsi="Arial Narrow" w:cs="Arial Narrow"/>
        </w:rPr>
      </w:pPr>
      <w:r>
        <w:rPr>
          <w:rFonts w:hint="eastAsia" w:ascii="Arial Narrow" w:hAnsi="Arial Narrow" w:cs="Arial Narrow"/>
        </w:rPr>
        <w:t>根据评分原则</w:t>
      </w:r>
      <w:r>
        <w:rPr>
          <w:rFonts w:ascii="Arial Narrow" w:hAnsi="Arial Narrow" w:cs="Arial Narrow"/>
        </w:rPr>
        <w:t>，该指标得分为</w:t>
      </w:r>
      <w:r>
        <w:rPr>
          <w:rFonts w:hint="eastAsia" w:ascii="Arial Narrow" w:hAnsi="Arial Narrow" w:cs="Arial Narrow"/>
        </w:rPr>
        <w:t>10</w:t>
      </w:r>
      <w:r>
        <w:rPr>
          <w:rFonts w:ascii="Arial Narrow" w:hAnsi="Arial Narrow" w:cs="Arial Narrow"/>
        </w:rPr>
        <w:t>分，评价等级为</w:t>
      </w:r>
      <w:r>
        <w:rPr>
          <w:rFonts w:hint="eastAsia" w:ascii="Arial Narrow" w:hAnsi="Arial Narrow" w:cs="Arial Narrow"/>
        </w:rPr>
        <w:t>良</w:t>
      </w:r>
      <w:r>
        <w:rPr>
          <w:rFonts w:ascii="Arial Narrow" w:hAnsi="Arial Narrow" w:cs="Arial Narrow"/>
        </w:rPr>
        <w:t>（</w:t>
      </w:r>
      <w:r>
        <w:rPr>
          <w:rFonts w:hint="eastAsia" w:ascii="Arial Narrow" w:hAnsi="Arial Narrow" w:cs="Arial Narrow"/>
        </w:rPr>
        <w:t>B</w:t>
      </w:r>
      <w:r>
        <w:rPr>
          <w:rFonts w:ascii="Arial Narrow" w:hAnsi="Arial Narrow" w:cs="Arial Narrow"/>
        </w:rPr>
        <w:t>）。</w:t>
      </w:r>
    </w:p>
    <w:p w14:paraId="1A38B27F">
      <w:pPr>
        <w:ind w:firstLine="480"/>
        <w:jc w:val="center"/>
        <w:rPr>
          <w:rFonts w:ascii="Arial Narrow" w:hAnsi="Arial Narrow" w:cs="Arial Narrow"/>
        </w:rPr>
      </w:pPr>
      <w:r>
        <w:rPr>
          <w:lang w:bidi="mn-Mong-CN"/>
        </w:rPr>
        <w:drawing>
          <wp:inline distT="0" distB="0" distL="114300" distR="114300">
            <wp:extent cx="3580765" cy="2386965"/>
            <wp:effectExtent l="0" t="0" r="635" b="635"/>
            <wp:docPr id="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
                    <pic:cNvPicPr>
                      <a:picLocks noChangeAspect="1"/>
                    </pic:cNvPicPr>
                  </pic:nvPicPr>
                  <pic:blipFill>
                    <a:blip r:embed="rId27"/>
                    <a:stretch>
                      <a:fillRect/>
                    </a:stretch>
                  </pic:blipFill>
                  <pic:spPr>
                    <a:xfrm>
                      <a:off x="0" y="0"/>
                      <a:ext cx="3580765" cy="2386965"/>
                    </a:xfrm>
                    <a:prstGeom prst="rect">
                      <a:avLst/>
                    </a:prstGeom>
                    <a:noFill/>
                    <a:ln w="9525">
                      <a:noFill/>
                    </a:ln>
                  </pic:spPr>
                </pic:pic>
              </a:graphicData>
            </a:graphic>
          </wp:inline>
        </w:drawing>
      </w:r>
    </w:p>
    <w:p w14:paraId="0F84E8FC">
      <w:pPr>
        <w:ind w:firstLine="482"/>
        <w:rPr>
          <w:rFonts w:ascii="Arial Narrow" w:hAnsi="Arial Narrow" w:cs="Arial Narrow"/>
          <w:b/>
          <w:bCs/>
        </w:rPr>
      </w:pPr>
      <w:r>
        <w:rPr>
          <w:rFonts w:hint="eastAsia" w:ascii="Arial Narrow" w:hAnsi="Arial Narrow" w:cs="Arial Narrow"/>
          <w:b/>
          <w:bCs/>
        </w:rPr>
        <w:t>1、项目立项（6分）</w:t>
      </w:r>
    </w:p>
    <w:p w14:paraId="37376FD9">
      <w:pPr>
        <w:ind w:firstLine="480"/>
        <w:rPr>
          <w:rFonts w:ascii="Arial Narrow" w:hAnsi="Arial Narrow" w:cs="Arial Narrow"/>
        </w:rPr>
      </w:pPr>
      <w:r>
        <w:rPr>
          <w:rFonts w:hint="eastAsia" w:ascii="Arial Narrow" w:hAnsi="Arial Narrow" w:cs="Arial Narrow"/>
        </w:rPr>
        <w:t>（1）</w:t>
      </w:r>
      <w:r>
        <w:rPr>
          <w:rFonts w:ascii="Arial Narrow" w:hAnsi="Arial Narrow" w:cs="Arial Narrow"/>
        </w:rPr>
        <w:t>项目立项规范性，是指项目的申请、设立过程是否符合相关要求，用以反映和考核项目立项的规范情况。评价小组通过查阅项目申报文本，了解到项目单位</w:t>
      </w:r>
      <w:r>
        <w:rPr>
          <w:rFonts w:hint="eastAsia" w:ascii="Arial Narrow" w:hAnsi="Arial Narrow" w:cs="Arial Narrow"/>
        </w:rPr>
        <w:t>2018</w:t>
      </w:r>
      <w:r>
        <w:rPr>
          <w:rFonts w:ascii="Arial Narrow" w:hAnsi="Arial Narrow" w:cs="Arial Narrow"/>
        </w:rPr>
        <w:t>年</w:t>
      </w:r>
      <w:r>
        <w:rPr>
          <w:rFonts w:hint="eastAsia" w:ascii="Arial Narrow" w:hAnsi="Arial Narrow" w:cs="Arial Narrow"/>
        </w:rPr>
        <w:t>11月</w:t>
      </w:r>
      <w:r>
        <w:rPr>
          <w:rFonts w:ascii="Arial Narrow" w:hAnsi="Arial Narrow" w:cs="Arial Narrow"/>
        </w:rPr>
        <w:t>向</w:t>
      </w:r>
      <w:r>
        <w:rPr>
          <w:rFonts w:hint="eastAsia" w:ascii="Arial Narrow" w:hAnsi="Arial Narrow" w:cs="Arial Narrow"/>
        </w:rPr>
        <w:t>武昌区</w:t>
      </w:r>
      <w:r>
        <w:rPr>
          <w:rFonts w:ascii="Arial Narrow" w:hAnsi="Arial Narrow" w:cs="Arial Narrow"/>
        </w:rPr>
        <w:t>财政局提交了项目预算文件，并于201</w:t>
      </w:r>
      <w:r>
        <w:rPr>
          <w:rFonts w:hint="eastAsia" w:ascii="Arial Narrow" w:hAnsi="Arial Narrow" w:cs="Arial Narrow"/>
        </w:rPr>
        <w:t>8</w:t>
      </w:r>
      <w:r>
        <w:rPr>
          <w:rFonts w:ascii="Arial Narrow" w:hAnsi="Arial Narrow" w:cs="Arial Narrow"/>
        </w:rPr>
        <w:t>年</w:t>
      </w:r>
      <w:r>
        <w:rPr>
          <w:rFonts w:hint="eastAsia" w:ascii="Arial Narrow" w:hAnsi="Arial Narrow" w:cs="Arial Narrow"/>
        </w:rPr>
        <w:t>1</w:t>
      </w:r>
      <w:r>
        <w:rPr>
          <w:rFonts w:ascii="Arial Narrow" w:hAnsi="Arial Narrow" w:cs="Arial Narrow"/>
        </w:rPr>
        <w:t>2月收到批复，同时提交了项目申报</w:t>
      </w:r>
      <w:r>
        <w:rPr>
          <w:rFonts w:hint="eastAsia" w:ascii="Arial Narrow" w:hAnsi="Arial Narrow" w:cs="Arial Narrow"/>
        </w:rPr>
        <w:t>文本</w:t>
      </w:r>
      <w:r>
        <w:rPr>
          <w:rFonts w:ascii="Arial Narrow" w:hAnsi="Arial Narrow" w:cs="Arial Narrow"/>
        </w:rPr>
        <w:t>，</w:t>
      </w:r>
      <w:r>
        <w:rPr>
          <w:rFonts w:hint="eastAsia" w:ascii="Arial Narrow" w:hAnsi="Arial Narrow" w:cs="Arial Narrow"/>
        </w:rPr>
        <w:t>项目申请设立程序合规，但提交的项目申报文本内容不够全面，根据评分细则，扣0.</w:t>
      </w:r>
      <w:r>
        <w:rPr>
          <w:rFonts w:ascii="Arial Narrow" w:hAnsi="Arial Narrow" w:cs="Arial Narrow"/>
        </w:rPr>
        <w:t>5分。此外</w:t>
      </w:r>
      <w:r>
        <w:rPr>
          <w:rFonts w:hint="eastAsia" w:ascii="Arial Narrow" w:hAnsi="Arial Narrow" w:cs="Arial Narrow"/>
        </w:rPr>
        <w:t>，</w:t>
      </w:r>
      <w:r>
        <w:rPr>
          <w:rFonts w:ascii="Arial Narrow" w:hAnsi="Arial Narrow" w:cs="Arial Narrow"/>
        </w:rPr>
        <w:t>评价小组了解到</w:t>
      </w:r>
      <w:r>
        <w:rPr>
          <w:rFonts w:hint="eastAsia" w:ascii="Arial Narrow" w:hAnsi="Arial Narrow" w:cs="Arial Narrow"/>
        </w:rPr>
        <w:t>，该项目是依据《中华人民共和国地方各级人民代表大会和地方各级人民政府</w:t>
      </w:r>
      <w:r>
        <w:rPr>
          <w:rFonts w:hint="eastAsia" w:ascii="Arial Narrow" w:hAnsi="Arial Narrow" w:cs="Arial Narrow"/>
          <w:lang w:val="en-US" w:eastAsia="zh-CN"/>
        </w:rPr>
        <w:t>组织</w:t>
      </w:r>
      <w:r>
        <w:rPr>
          <w:rFonts w:hint="eastAsia" w:ascii="Arial Narrow" w:hAnsi="Arial Narrow" w:cs="Arial Narrow"/>
        </w:rPr>
        <w:t>法》设立的，不需要进行可行性研究、专家论证、风险评估及集体决策，且项目执行时未发生重大调整。</w:t>
      </w:r>
    </w:p>
    <w:p w14:paraId="3B7267D7">
      <w:pPr>
        <w:ind w:firstLine="480"/>
        <w:rPr>
          <w:rFonts w:ascii="Arial Narrow" w:hAnsi="Arial Narrow" w:cs="Arial Narrow"/>
        </w:rPr>
      </w:pPr>
      <w:r>
        <w:rPr>
          <w:rFonts w:hint="eastAsia" w:ascii="Arial Narrow" w:hAnsi="Arial Narrow" w:cs="Arial Narrow"/>
        </w:rPr>
        <w:t>（2）绩效目标合理性，是指项目是否设定绩效目标和绩效指标，所设定的绩效目标和指标是否符合实际，用以反映和考核项目绩效目标与项目实施的相符情况。评价小组通过现场访谈项目负责人了解到项目在年初计划设立了项目年度目标，但未设立具体指标，根据评分标准，扣1.5分</w:t>
      </w:r>
      <w:r>
        <w:rPr>
          <w:rFonts w:ascii="Arial Narrow" w:hAnsi="Arial Narrow" w:cs="Arial Narrow"/>
        </w:rPr>
        <w:t>。</w:t>
      </w:r>
    </w:p>
    <w:p w14:paraId="3529C77B">
      <w:pPr>
        <w:ind w:firstLine="482"/>
        <w:rPr>
          <w:rFonts w:ascii="Arial Narrow" w:hAnsi="Arial Narrow" w:cs="Arial Narrow"/>
          <w:b/>
          <w:bCs/>
        </w:rPr>
      </w:pPr>
      <w:r>
        <w:rPr>
          <w:rFonts w:hint="eastAsia" w:ascii="Arial Narrow" w:hAnsi="Arial Narrow" w:cs="Arial Narrow"/>
          <w:b/>
          <w:bCs/>
        </w:rPr>
        <w:t>2、资金落实（6分）</w:t>
      </w:r>
    </w:p>
    <w:p w14:paraId="4C7D782D">
      <w:pPr>
        <w:ind w:firstLine="480"/>
        <w:rPr>
          <w:rFonts w:ascii="Arial Narrow" w:hAnsi="Arial Narrow" w:cs="Arial Narrow"/>
        </w:rPr>
      </w:pPr>
      <w:r>
        <w:rPr>
          <w:rFonts w:hint="eastAsia" w:ascii="Arial Narrow" w:hAnsi="Arial Narrow" w:cs="Arial Narrow"/>
        </w:rPr>
        <w:t>（1）</w:t>
      </w:r>
      <w:r>
        <w:rPr>
          <w:rFonts w:ascii="Arial Narrow" w:hAnsi="Arial Narrow" w:cs="Arial Narrow"/>
        </w:rPr>
        <w:t>资金到位率，是指实际到位资金与计划投入资金的比率，用以反映和考核资金落实情况对项目实施的总体保障程度。评价小组采用卷宗研究的方式，查阅项目支出明细表后，确定项目预算资金</w:t>
      </w:r>
      <w:r>
        <w:rPr>
          <w:rFonts w:hint="eastAsia" w:ascii="Arial Narrow" w:hAnsi="Arial Narrow" w:cs="Arial Narrow"/>
        </w:rPr>
        <w:t>76.38</w:t>
      </w:r>
      <w:r>
        <w:rPr>
          <w:rFonts w:ascii="Arial Narrow" w:hAnsi="Arial Narrow" w:cs="Arial Narrow"/>
        </w:rPr>
        <w:t>万元，实际到位</w:t>
      </w:r>
      <w:r>
        <w:rPr>
          <w:rFonts w:hint="eastAsia" w:ascii="Arial Narrow" w:hAnsi="Arial Narrow" w:cs="Arial Narrow"/>
        </w:rPr>
        <w:t>76.38</w:t>
      </w:r>
      <w:r>
        <w:rPr>
          <w:rFonts w:ascii="Arial Narrow" w:hAnsi="Arial Narrow" w:cs="Arial Narrow"/>
        </w:rPr>
        <w:t>万元，资金到位率为100%。</w:t>
      </w:r>
    </w:p>
    <w:p w14:paraId="76ACA5EE">
      <w:pPr>
        <w:ind w:firstLine="480"/>
        <w:rPr>
          <w:rFonts w:ascii="Arial Narrow" w:hAnsi="Arial Narrow" w:cs="Arial Narrow"/>
        </w:rPr>
      </w:pPr>
      <w:r>
        <w:rPr>
          <w:rFonts w:hint="eastAsia" w:ascii="Arial Narrow" w:hAnsi="Arial Narrow" w:cs="Arial Narrow"/>
        </w:rPr>
        <w:t>（2）</w:t>
      </w:r>
      <w:r>
        <w:rPr>
          <w:rFonts w:ascii="Arial Narrow" w:hAnsi="Arial Narrow" w:cs="Arial Narrow"/>
        </w:rPr>
        <w:t>到位及时率，是指及时到位资金与应到位资金的比率，用以反映和考核项目资金落实的及时性程度。评价小组通过查阅预算批复后，资金于2016年</w:t>
      </w:r>
      <w:r>
        <w:rPr>
          <w:rFonts w:hint="eastAsia" w:ascii="Arial Narrow" w:hAnsi="Arial Narrow" w:cs="Arial Narrow"/>
        </w:rPr>
        <w:t>1</w:t>
      </w:r>
      <w:r>
        <w:rPr>
          <w:rFonts w:ascii="Arial Narrow" w:hAnsi="Arial Narrow" w:cs="Arial Narrow"/>
        </w:rPr>
        <w:t>2月下达，资金能够及时到位，到位及时率为100%。</w:t>
      </w:r>
    </w:p>
    <w:p w14:paraId="30F8A174">
      <w:pPr>
        <w:snapToGrid w:val="0"/>
        <w:ind w:firstLine="482"/>
        <w:outlineLvl w:val="1"/>
        <w:rPr>
          <w:rFonts w:ascii="Arial Narrow" w:hAnsi="Arial Narrow" w:cs="Arial Narrow"/>
          <w:b/>
          <w:bCs/>
        </w:rPr>
      </w:pPr>
      <w:bookmarkStart w:id="128" w:name="_Toc22313"/>
      <w:r>
        <w:rPr>
          <w:rFonts w:hint="eastAsia" w:ascii="Arial Narrow" w:hAnsi="Arial Narrow" w:cs="Arial Narrow"/>
          <w:b/>
          <w:bCs/>
        </w:rPr>
        <w:t>（二）项目过程（28分）</w:t>
      </w:r>
      <w:bookmarkEnd w:id="128"/>
    </w:p>
    <w:p w14:paraId="03A5A419">
      <w:pPr>
        <w:ind w:firstLine="480"/>
        <w:rPr>
          <w:rFonts w:ascii="Arial Narrow" w:hAnsi="Arial Narrow" w:cs="Arial Narrow"/>
        </w:rPr>
      </w:pPr>
      <w:r>
        <w:rPr>
          <w:rFonts w:ascii="Arial Narrow" w:hAnsi="Arial Narrow" w:cs="Arial Narrow"/>
        </w:rPr>
        <w:t>根据评价原则，该指标得分为27分，评价等级为</w:t>
      </w:r>
      <w:r>
        <w:rPr>
          <w:rFonts w:hint="eastAsia" w:ascii="Arial Narrow" w:hAnsi="Arial Narrow" w:cs="Arial Narrow"/>
        </w:rPr>
        <w:t>优</w:t>
      </w:r>
      <w:r>
        <w:rPr>
          <w:rFonts w:ascii="Arial Narrow" w:hAnsi="Arial Narrow" w:cs="Arial Narrow"/>
        </w:rPr>
        <w:t>（A）。</w:t>
      </w:r>
    </w:p>
    <w:p w14:paraId="7BFC6292">
      <w:pPr>
        <w:ind w:firstLine="480"/>
        <w:rPr>
          <w:rFonts w:ascii="Arial Narrow" w:hAnsi="Arial Narrow" w:cs="Arial Narrow"/>
        </w:rPr>
      </w:pPr>
      <w:r>
        <w:rPr>
          <w:rFonts w:ascii="Arial Narrow" w:hAnsi="Arial Narrow" w:cs="Arial Narrow"/>
          <w:lang w:bidi="mn-Mong-CN"/>
        </w:rPr>
        <w:drawing>
          <wp:inline distT="0" distB="0" distL="0" distR="0">
            <wp:extent cx="5400675" cy="315023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B872CBF">
      <w:pPr>
        <w:ind w:firstLine="480"/>
        <w:jc w:val="center"/>
        <w:rPr>
          <w:rFonts w:ascii="Arial Narrow" w:hAnsi="Arial Narrow" w:cs="Arial Narrow"/>
        </w:rPr>
      </w:pPr>
    </w:p>
    <w:p w14:paraId="6821C1C7">
      <w:pPr>
        <w:ind w:firstLine="482"/>
        <w:rPr>
          <w:rFonts w:ascii="Arial Narrow" w:hAnsi="Arial Narrow" w:cs="Arial Narrow"/>
          <w:b/>
        </w:rPr>
      </w:pPr>
      <w:r>
        <w:rPr>
          <w:rFonts w:hint="eastAsia" w:ascii="Arial Narrow" w:hAnsi="Arial Narrow" w:cs="Arial Narrow"/>
          <w:b/>
        </w:rPr>
        <w:t>1、项目管理（9分）</w:t>
      </w:r>
    </w:p>
    <w:p w14:paraId="731EE82E">
      <w:pPr>
        <w:ind w:firstLine="480"/>
        <w:rPr>
          <w:rFonts w:ascii="Arial Narrow" w:hAnsi="Arial Narrow" w:cs="Arial Narrow"/>
        </w:rPr>
      </w:pPr>
      <w:r>
        <w:rPr>
          <w:rFonts w:hint="eastAsia" w:ascii="Arial Narrow" w:hAnsi="Arial Narrow" w:cs="Arial Narrow"/>
        </w:rPr>
        <w:t>（1）</w:t>
      </w:r>
      <w:r>
        <w:rPr>
          <w:rFonts w:ascii="Arial Narrow" w:hAnsi="Arial Narrow" w:cs="Arial Narrow"/>
        </w:rPr>
        <w:t>管理制度健全性，是指项目管理制度是否健全，用以反映和考核项目业务管理制度对项目顺利实施的保障情况。评价小组通过收集</w:t>
      </w:r>
      <w:r>
        <w:rPr>
          <w:rFonts w:hint="eastAsia" w:ascii="Arial Narrow" w:hAnsi="Arial Narrow" w:cs="Arial Narrow"/>
        </w:rPr>
        <w:t>项目实施单位所制定的《政府采购管理暂行办法》、《资产管理规章制度》、《合同管理制度》、《档案管理制度》，并通过访谈了解到代表活动的开展主要依据《代表法》，管理制度健全、合法合规。</w:t>
      </w:r>
    </w:p>
    <w:p w14:paraId="0109178F">
      <w:pPr>
        <w:ind w:firstLine="480"/>
        <w:rPr>
          <w:rFonts w:ascii="Arial Narrow" w:hAnsi="Arial Narrow" w:cs="Arial Narrow"/>
        </w:rPr>
      </w:pPr>
      <w:r>
        <w:rPr>
          <w:rFonts w:hint="eastAsia" w:ascii="Arial Narrow" w:hAnsi="Arial Narrow" w:cs="Arial Narrow"/>
        </w:rPr>
        <w:t>（2）</w:t>
      </w:r>
      <w:r>
        <w:rPr>
          <w:rFonts w:ascii="Arial Narrow" w:hAnsi="Arial Narrow" w:cs="Arial Narrow"/>
        </w:rPr>
        <w:t>制度执行有效性，是指项目实施是否符合相关项目管理规定，用以反映和考核项目管理制度的有效执行情况。评价小组通过访谈了解项目</w:t>
      </w:r>
      <w:r>
        <w:rPr>
          <w:rFonts w:hint="eastAsia" w:ascii="Arial Narrow" w:hAnsi="Arial Narrow" w:cs="Arial Narrow"/>
        </w:rPr>
        <w:t>执行遵循了政府采购管理暂行办法、档案管理制度、合同制度、并依据《代表法》以及武昌区人大街道代表工作系列制度开展工作。</w:t>
      </w:r>
    </w:p>
    <w:p w14:paraId="41931A10">
      <w:pPr>
        <w:ind w:firstLine="480"/>
        <w:rPr>
          <w:rFonts w:ascii="Arial Narrow" w:hAnsi="Arial Narrow" w:cs="Arial Narrow"/>
        </w:rPr>
      </w:pPr>
      <w:r>
        <w:rPr>
          <w:rFonts w:hint="eastAsia" w:ascii="Arial Narrow" w:hAnsi="Arial Narrow" w:cs="Arial Narrow"/>
        </w:rPr>
        <w:t>（3）</w:t>
      </w:r>
      <w:r>
        <w:rPr>
          <w:rFonts w:ascii="Arial Narrow" w:hAnsi="Arial Narrow" w:cs="Arial Narrow"/>
        </w:rPr>
        <w:t>项目质量可控性，是指项目实施单位是否为达到项目质量要求而采取了必需的措施，用以反映和考核项目实施单位对项目质量的控制情况。评价小组通过与相关负责人进行现场访谈</w:t>
      </w:r>
      <w:r>
        <w:rPr>
          <w:rFonts w:hint="eastAsia" w:ascii="Arial Narrow" w:hAnsi="Arial Narrow" w:cs="Arial Narrow"/>
        </w:rPr>
        <w:t>，</w:t>
      </w:r>
      <w:r>
        <w:rPr>
          <w:rFonts w:ascii="Arial Narrow" w:hAnsi="Arial Narrow" w:cs="Arial Narrow"/>
        </w:rPr>
        <w:t>并根据卷宗研究的方式，了解到</w:t>
      </w:r>
      <w:r>
        <w:rPr>
          <w:rFonts w:hint="eastAsia" w:ascii="Arial Narrow" w:hAnsi="Arial Narrow" w:cs="Arial Narrow"/>
        </w:rPr>
        <w:t>项目单位2019年依据方案开展了两期代表培训学习活动，组织代表参加全国人大北京、延安培训基地学习培训；培训严格按照活动方案开展活动。</w:t>
      </w:r>
    </w:p>
    <w:p w14:paraId="2374D982">
      <w:pPr>
        <w:ind w:firstLine="482"/>
        <w:rPr>
          <w:rFonts w:ascii="Arial Narrow" w:hAnsi="Arial Narrow" w:cs="Arial Narrow"/>
          <w:b/>
        </w:rPr>
      </w:pPr>
      <w:r>
        <w:rPr>
          <w:rFonts w:hint="eastAsia" w:ascii="Arial Narrow" w:hAnsi="Arial Narrow" w:cs="Arial Narrow"/>
          <w:b/>
        </w:rPr>
        <w:t>2、财务管理（9分）</w:t>
      </w:r>
    </w:p>
    <w:p w14:paraId="7D52B067">
      <w:pPr>
        <w:pStyle w:val="29"/>
        <w:ind w:firstLine="480" w:firstLineChars="0"/>
        <w:jc w:val="left"/>
        <w:rPr>
          <w:rFonts w:ascii="Arial Narrow" w:hAnsi="Arial Narrow" w:cs="Arial Narrow"/>
        </w:rPr>
      </w:pPr>
      <w:r>
        <w:rPr>
          <w:rFonts w:hint="eastAsia" w:ascii="Arial Narrow" w:hAnsi="Arial Narrow" w:cs="Arial Narrow"/>
        </w:rPr>
        <w:t>（1）</w:t>
      </w:r>
      <w:r>
        <w:rPr>
          <w:rFonts w:ascii="Arial Narrow" w:hAnsi="Arial Narrow" w:cs="Arial Narrow"/>
        </w:rPr>
        <w:t>财务制度健全性，是指项目实施单位的财务制度是否健全，用以反映和考核财务管理制度对资金规范、安全运行的保障情况。评价小组通过查阅</w:t>
      </w:r>
      <w:r>
        <w:rPr>
          <w:rFonts w:hint="eastAsia" w:ascii="Arial Narrow" w:hAnsi="Arial Narrow" w:cs="Arial Narrow"/>
        </w:rPr>
        <w:t>《支出管理制度》、《收入管理制度》以及《预算管理制度》等</w:t>
      </w:r>
      <w:r>
        <w:rPr>
          <w:rFonts w:ascii="Arial Narrow" w:hAnsi="Arial Narrow" w:cs="Arial Narrow"/>
        </w:rPr>
        <w:t>文件，了解到</w:t>
      </w:r>
      <w:r>
        <w:rPr>
          <w:rFonts w:hint="eastAsia" w:ascii="Arial Narrow" w:hAnsi="Arial Narrow" w:cs="Arial Narrow"/>
        </w:rPr>
        <w:t>“代表活动经费项目”主要参照以上制度进行资金管理，符合相关财务会计制度的规定，</w:t>
      </w:r>
      <w:r>
        <w:rPr>
          <w:rFonts w:ascii="Arial Narrow" w:hAnsi="Arial Narrow" w:cs="Arial Narrow"/>
        </w:rPr>
        <w:t>财务制度健全</w:t>
      </w:r>
      <w:r>
        <w:rPr>
          <w:rFonts w:hint="eastAsia" w:ascii="Arial Narrow" w:hAnsi="Arial Narrow" w:cs="Arial Narrow"/>
        </w:rPr>
        <w:t>。</w:t>
      </w:r>
    </w:p>
    <w:p w14:paraId="000F1899">
      <w:pPr>
        <w:pStyle w:val="29"/>
        <w:ind w:firstLine="480" w:firstLineChars="0"/>
        <w:jc w:val="left"/>
        <w:rPr>
          <w:rFonts w:ascii="Arial Narrow" w:hAnsi="Arial Narrow" w:cs="Arial Narrow"/>
        </w:rPr>
      </w:pPr>
      <w:r>
        <w:rPr>
          <w:rFonts w:hint="eastAsia" w:ascii="Arial Narrow" w:hAnsi="Arial Narrow" w:cs="Arial Narrow"/>
        </w:rPr>
        <w:t>（2）</w:t>
      </w:r>
      <w:r>
        <w:rPr>
          <w:rFonts w:ascii="Arial Narrow" w:hAnsi="Arial Narrow" w:cs="Arial Narrow"/>
        </w:rPr>
        <w:t>资金使用合规性，是指项目资金使用是否符合相关的财务管理制度规定，用以反映和考核项目资金的规范运行情况。评价小组通过查阅项目支出明细表、抽查相关支出凭证，了解到</w:t>
      </w:r>
      <w:r>
        <w:rPr>
          <w:rFonts w:hint="eastAsia" w:ascii="Arial Narrow" w:hAnsi="Arial Narrow" w:cs="Arial Narrow"/>
        </w:rPr>
        <w:t>项目支出符合国家财经法规和财务管理制度，资金的拨付有完整的审批程序和手续，符合项目预算批复或合同规定的用途，不存在截留、挤占、挪用、虚列支出等情况，资金使用合规。</w:t>
      </w:r>
    </w:p>
    <w:p w14:paraId="31F5FCCB">
      <w:pPr>
        <w:ind w:firstLine="480"/>
        <w:rPr>
          <w:rFonts w:ascii="Arial Narrow" w:hAnsi="Arial Narrow" w:cs="Arial Narrow"/>
        </w:rPr>
      </w:pPr>
      <w:r>
        <w:rPr>
          <w:rFonts w:hint="eastAsia" w:ascii="Arial Narrow" w:hAnsi="Arial Narrow" w:cs="Arial Narrow"/>
        </w:rPr>
        <w:t>（3）财务监控有效性方面，是指项目实施单位是否为保障资金的安全、规范运行而采取了必要的监控措施，用以反映和考核项目实施单位对资金运行的控制情况。评价小组通过抽查相关支出凭证，了解到支出费用需经手人、证明人、复核人、审核、财务签批，科室主要负责人批准；会议、接待、餐饮资金拨付由负责科室向领导上交申请，经批复后报销，资金的拨付有完整的审批程序和手续，财务监控有效。</w:t>
      </w:r>
    </w:p>
    <w:p w14:paraId="3EC90306">
      <w:pPr>
        <w:ind w:firstLine="482"/>
        <w:rPr>
          <w:rFonts w:ascii="Arial Narrow" w:hAnsi="Arial Narrow" w:cs="Arial Narrow"/>
          <w:b/>
        </w:rPr>
      </w:pPr>
      <w:r>
        <w:rPr>
          <w:rFonts w:hint="eastAsia" w:ascii="Arial Narrow" w:hAnsi="Arial Narrow" w:cs="Arial Narrow"/>
          <w:b/>
        </w:rPr>
        <w:t>3、项目实施（10分）</w:t>
      </w:r>
    </w:p>
    <w:p w14:paraId="54B5EF5C">
      <w:pPr>
        <w:pStyle w:val="29"/>
        <w:ind w:firstLine="480"/>
        <w:rPr>
          <w:rFonts w:ascii="Arial Narrow" w:hAnsi="Arial Narrow" w:cs="Arial Narrow"/>
        </w:rPr>
      </w:pPr>
      <w:r>
        <w:rPr>
          <w:rFonts w:hint="eastAsia" w:ascii="Arial Narrow" w:hAnsi="Arial Narrow" w:cs="Arial Narrow"/>
        </w:rPr>
        <w:t>（1）人大</w:t>
      </w:r>
      <w:r>
        <w:rPr>
          <w:rFonts w:ascii="Arial Narrow" w:hAnsi="Arial Narrow" w:cs="Arial Narrow"/>
        </w:rPr>
        <w:t>代表选举规范性，是指</w:t>
      </w:r>
      <w:r>
        <w:rPr>
          <w:rFonts w:hint="eastAsia" w:ascii="Arial Narrow" w:hAnsi="Arial Narrow" w:cs="Arial Narrow"/>
        </w:rPr>
        <w:t>项目实施单位人大代表的选举及不选工作否按照规定的流程进行，用以反映和考核项目实施过程的合规性。</w:t>
      </w:r>
      <w:r>
        <w:rPr>
          <w:rFonts w:ascii="Arial Narrow" w:hAnsi="Arial Narrow" w:cs="Arial Narrow"/>
        </w:rPr>
        <w:t>评价小组通过查阅</w:t>
      </w:r>
      <w:r>
        <w:rPr>
          <w:rFonts w:hint="eastAsia" w:ascii="Arial Narrow" w:hAnsi="Arial Narrow" w:cs="Arial Narrow"/>
        </w:rPr>
        <w:t>《2019年区代表补选工作方案》项目相关档案文件，了解到项目实施单位制定了《2019年区代表补选工作方案》；区人武部、人大街道工委成立代表选举工作组，相关选区成立选举工作小组，制定了补选工作实施方案及日程安排。</w:t>
      </w:r>
    </w:p>
    <w:p w14:paraId="28998673">
      <w:pPr>
        <w:pStyle w:val="29"/>
        <w:ind w:firstLine="480"/>
        <w:rPr>
          <w:rFonts w:ascii="Arial Narrow" w:hAnsi="Arial Narrow" w:cs="Arial Narrow"/>
        </w:rPr>
      </w:pPr>
      <w:r>
        <w:rPr>
          <w:rFonts w:hint="eastAsia" w:ascii="Arial Narrow" w:hAnsi="Arial Narrow" w:cs="Arial Narrow"/>
        </w:rPr>
        <w:t>（2）组织机构健全性</w:t>
      </w:r>
      <w:r>
        <w:rPr>
          <w:rFonts w:ascii="Arial Narrow" w:hAnsi="Arial Narrow" w:cs="Arial Narrow"/>
        </w:rPr>
        <w:t>，是指</w:t>
      </w:r>
      <w:r>
        <w:rPr>
          <w:rFonts w:hint="eastAsia" w:ascii="Arial Narrow" w:hAnsi="Arial Narrow" w:cs="Arial Narrow"/>
        </w:rPr>
        <w:t>项目实施单位的组织机构是否健全，分工是否明确，用以反映和考核组织机构的情况</w:t>
      </w:r>
      <w:r>
        <w:rPr>
          <w:rFonts w:ascii="Arial Narrow" w:hAnsi="Arial Narrow" w:cs="Arial Narrow"/>
        </w:rPr>
        <w:t>。评价小组通过对相关负责人访问并查阅</w:t>
      </w:r>
      <w:r>
        <w:rPr>
          <w:rFonts w:hint="eastAsia" w:ascii="Arial Narrow" w:hAnsi="Arial Narrow" w:cs="Arial Narrow"/>
        </w:rPr>
        <w:t>《三定方案》</w:t>
      </w:r>
      <w:r>
        <w:rPr>
          <w:rFonts w:ascii="Arial Narrow" w:hAnsi="Arial Narrow" w:cs="Arial Narrow"/>
        </w:rPr>
        <w:t>文件后，了解到</w:t>
      </w:r>
      <w:r>
        <w:rPr>
          <w:rFonts w:hint="eastAsia" w:ascii="Arial Narrow" w:hAnsi="Arial Narrow" w:cs="Arial Narrow"/>
        </w:rPr>
        <w:t>“代表活动经费项目”涉及各部门、办公室，组织机构健全，分工较为明确。</w:t>
      </w:r>
    </w:p>
    <w:p w14:paraId="772A9DB2">
      <w:pPr>
        <w:ind w:firstLine="480"/>
        <w:rPr>
          <w:rFonts w:ascii="Arial Narrow" w:hAnsi="Arial Narrow" w:cs="Arial Narrow"/>
        </w:rPr>
      </w:pPr>
      <w:r>
        <w:rPr>
          <w:rFonts w:hint="eastAsia" w:ascii="Arial Narrow" w:hAnsi="Arial Narrow" w:cs="Arial Narrow"/>
        </w:rPr>
        <w:t>（3）</w:t>
      </w:r>
      <w:r>
        <w:rPr>
          <w:rFonts w:ascii="Arial Narrow" w:hAnsi="Arial Narrow" w:cs="Arial Narrow"/>
        </w:rPr>
        <w:t>项目档案资料完整性，是指项目相关档案的保存是否完整，用以反映和考核项目的档案管理合规性。评价小组通过对相关负责人进行访谈</w:t>
      </w:r>
      <w:r>
        <w:rPr>
          <w:rFonts w:hint="eastAsia" w:ascii="Arial Narrow" w:hAnsi="Arial Narrow" w:cs="Arial Narrow"/>
        </w:rPr>
        <w:t>，</w:t>
      </w:r>
      <w:r>
        <w:rPr>
          <w:rFonts w:ascii="Arial Narrow" w:hAnsi="Arial Narrow" w:cs="Arial Narrow"/>
        </w:rPr>
        <w:t>并查看</w:t>
      </w:r>
      <w:r>
        <w:rPr>
          <w:rFonts w:hint="eastAsia" w:ascii="Arial Narrow" w:hAnsi="Arial Narrow" w:cs="Arial Narrow"/>
        </w:rPr>
        <w:t>《代表建议汇编》、《2019年人大代表和人大干部能力提升培训班培训资料》等</w:t>
      </w:r>
      <w:r>
        <w:rPr>
          <w:rFonts w:ascii="Arial Narrow" w:hAnsi="Arial Narrow" w:cs="Arial Narrow"/>
        </w:rPr>
        <w:t>相关文件</w:t>
      </w:r>
      <w:r>
        <w:rPr>
          <w:rFonts w:hint="eastAsia" w:ascii="Arial Narrow" w:hAnsi="Arial Narrow" w:cs="Arial Narrow"/>
        </w:rPr>
        <w:t>，了解到项目实施单位对以及督查、走访、接待工作比较完整，但未留存代表培训、学习活动记录及工作总结等资料，根据评分细则，扣1分。</w:t>
      </w:r>
      <w:bookmarkEnd w:id="101"/>
    </w:p>
    <w:p w14:paraId="4A43EAA5">
      <w:pPr>
        <w:snapToGrid w:val="0"/>
        <w:ind w:firstLine="482"/>
        <w:outlineLvl w:val="1"/>
        <w:rPr>
          <w:rFonts w:ascii="Arial Narrow" w:hAnsi="Arial Narrow" w:cs="Arial Narrow"/>
          <w:b/>
          <w:bCs/>
        </w:rPr>
      </w:pPr>
      <w:bookmarkStart w:id="129" w:name="_Toc13246"/>
      <w:r>
        <w:rPr>
          <w:rFonts w:hint="eastAsia" w:ascii="Arial Narrow" w:hAnsi="Arial Narrow" w:cs="Arial Narrow"/>
          <w:b/>
          <w:bCs/>
        </w:rPr>
        <w:t>（三）项目产出</w:t>
      </w:r>
      <w:bookmarkEnd w:id="102"/>
      <w:bookmarkEnd w:id="103"/>
      <w:bookmarkEnd w:id="104"/>
      <w:bookmarkEnd w:id="105"/>
      <w:bookmarkEnd w:id="106"/>
      <w:bookmarkEnd w:id="107"/>
      <w:bookmarkEnd w:id="108"/>
      <w:bookmarkEnd w:id="109"/>
      <w:bookmarkEnd w:id="110"/>
      <w:bookmarkEnd w:id="111"/>
      <w:bookmarkEnd w:id="112"/>
      <w:r>
        <w:rPr>
          <w:rFonts w:hint="eastAsia" w:ascii="Arial Narrow" w:hAnsi="Arial Narrow" w:cs="Arial Narrow"/>
          <w:b/>
          <w:bCs/>
        </w:rPr>
        <w:t>（26分）</w:t>
      </w:r>
      <w:bookmarkEnd w:id="129"/>
    </w:p>
    <w:p w14:paraId="68E4F6B8">
      <w:pPr>
        <w:ind w:firstLine="480"/>
        <w:rPr>
          <w:rFonts w:ascii="Arial Narrow" w:hAnsi="Arial Narrow" w:cs="Arial Narrow"/>
        </w:rPr>
      </w:pPr>
      <w:r>
        <w:rPr>
          <w:rFonts w:hint="eastAsia" w:ascii="Arial Narrow" w:hAnsi="Arial Narrow" w:cs="Arial Narrow"/>
        </w:rPr>
        <w:t>根据评价原则</w:t>
      </w:r>
      <w:r>
        <w:rPr>
          <w:rFonts w:ascii="Arial Narrow" w:hAnsi="Arial Narrow" w:cs="Arial Narrow"/>
        </w:rPr>
        <w:t>，该指标得分为2</w:t>
      </w:r>
      <w:r>
        <w:rPr>
          <w:rFonts w:hint="eastAsia" w:ascii="Arial Narrow" w:hAnsi="Arial Narrow" w:cs="Arial Narrow"/>
        </w:rPr>
        <w:t>3.5</w:t>
      </w:r>
      <w:r>
        <w:rPr>
          <w:rFonts w:ascii="Arial Narrow" w:hAnsi="Arial Narrow" w:cs="Arial Narrow"/>
        </w:rPr>
        <w:t>分，评价等级为</w:t>
      </w:r>
      <w:r>
        <w:rPr>
          <w:rFonts w:hint="eastAsia" w:ascii="Arial Narrow" w:hAnsi="Arial Narrow" w:cs="Arial Narrow"/>
        </w:rPr>
        <w:t>良</w:t>
      </w:r>
      <w:r>
        <w:rPr>
          <w:rFonts w:ascii="Arial Narrow" w:hAnsi="Arial Narrow" w:cs="Arial Narrow"/>
        </w:rPr>
        <w:t>（B）。</w:t>
      </w:r>
    </w:p>
    <w:p w14:paraId="33363A04">
      <w:pPr>
        <w:spacing w:before="100" w:beforeAutospacing="1"/>
        <w:ind w:firstLine="480"/>
        <w:jc w:val="center"/>
        <w:rPr>
          <w:rFonts w:ascii="Arial Narrow" w:hAnsi="Arial Narrow" w:cs="Arial Narrow"/>
        </w:rPr>
      </w:pPr>
      <w:r>
        <w:rPr>
          <w:rFonts w:ascii="Arial Narrow" w:hAnsi="Arial Narrow" w:cs="Arial Narrow"/>
          <w:lang w:bidi="mn-Mong-CN"/>
        </w:rPr>
        <w:drawing>
          <wp:inline distT="0" distB="0" distL="0" distR="0">
            <wp:extent cx="4424680" cy="2494280"/>
            <wp:effectExtent l="0" t="0" r="762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E4B2062">
      <w:pPr>
        <w:numPr>
          <w:ilvl w:val="0"/>
          <w:numId w:val="6"/>
        </w:numPr>
        <w:ind w:firstLine="480"/>
        <w:rPr>
          <w:rFonts w:ascii="Arial Narrow" w:hAnsi="Arial Narrow" w:cs="Arial Narrow"/>
        </w:rPr>
      </w:pPr>
      <w:r>
        <w:rPr>
          <w:rFonts w:hint="eastAsia" w:ascii="Arial Narrow" w:hAnsi="Arial Narrow" w:cs="Arial Narrow"/>
        </w:rPr>
        <w:t>代表活动开展情况</w:t>
      </w:r>
      <w:r>
        <w:rPr>
          <w:rFonts w:ascii="Arial Narrow" w:hAnsi="Arial Narrow" w:cs="Arial Narrow"/>
        </w:rPr>
        <w:t>，是指</w:t>
      </w:r>
      <w:r>
        <w:rPr>
          <w:rFonts w:hint="eastAsia" w:ascii="Arial Narrow" w:hAnsi="Arial Narrow" w:cs="Arial Narrow"/>
        </w:rPr>
        <w:t>项目实施单位是否按计划开展代表活动，用以反映和考核项目实施后的数量指标</w:t>
      </w:r>
      <w:r>
        <w:rPr>
          <w:rFonts w:ascii="Arial Narrow" w:hAnsi="Arial Narrow" w:cs="Arial Narrow"/>
        </w:rPr>
        <w:t>。评价小组</w:t>
      </w:r>
      <w:r>
        <w:rPr>
          <w:rFonts w:hint="eastAsia" w:ascii="Arial Narrow" w:hAnsi="Arial Narrow" w:cs="Arial Narrow"/>
        </w:rPr>
        <w:t>通过</w:t>
      </w:r>
      <w:r>
        <w:rPr>
          <w:rFonts w:ascii="Arial Narrow" w:hAnsi="Arial Narrow" w:cs="Arial Narrow"/>
        </w:rPr>
        <w:t>查阅</w:t>
      </w:r>
      <w:r>
        <w:rPr>
          <w:rFonts w:hint="eastAsia" w:ascii="Arial Narrow" w:hAnsi="Arial Narrow" w:cs="Arial Narrow"/>
        </w:rPr>
        <w:t>《2019年区人大代表工委工作总结》、《区人大党组书记、副主任曾崎接待代表日活动工作资料》等文件</w:t>
      </w:r>
      <w:r>
        <w:rPr>
          <w:rFonts w:ascii="Arial Narrow" w:hAnsi="Arial Narrow" w:cs="Arial Narrow"/>
        </w:rPr>
        <w:t>，了解到</w:t>
      </w:r>
      <w:r>
        <w:rPr>
          <w:rFonts w:hint="eastAsia" w:ascii="Arial Narrow" w:hAnsi="Arial Narrow" w:cs="Arial Narrow"/>
        </w:rPr>
        <w:t>2019年，实行代表统一活动日为代表履职提供了制度保障，出勤率明显提高，活动效果明显增强，受到代表好评。组织开展“聚力脱贫攻坚、人大代表在行动”意见建议办理“回头看”工作，省、市、区三级代表参加率均达到100%。进一步密切常委会同人大代表、代表与人民群众的联系，2018年常委会组成人员走访联系近百名区人大代表，邀请代表列席常委会会议165人次，组织代表参加常委会工作检查、视察调研786人次。</w:t>
      </w:r>
    </w:p>
    <w:p w14:paraId="5F637C6B">
      <w:pPr>
        <w:ind w:firstLine="480"/>
        <w:rPr>
          <w:rFonts w:ascii="Arial Narrow" w:hAnsi="Arial Narrow" w:cs="Arial Narrow"/>
        </w:rPr>
      </w:pPr>
      <w:r>
        <w:rPr>
          <w:rFonts w:hint="eastAsia" w:ascii="Arial Narrow" w:hAnsi="Arial Narrow" w:cs="Arial Narrow"/>
        </w:rPr>
        <w:t>2、培训工作完成率，是指项目实施单位是否按计划开展培训工作，用以反映和考核项目实施后的数量指标。评价小组通过查阅关于组织代表参加全国人大北京培训基地学习培训的通知、关于组织代表参加延安学习培训的通知等相关资料，了解到项目实施单位于2019年进行了两期培训学习活动，分别于5月到延安、7月到北京培训基地、参加学习培训。培训工作完成率达到100%。</w:t>
      </w:r>
    </w:p>
    <w:p w14:paraId="6B2DD16B">
      <w:pPr>
        <w:ind w:firstLine="480"/>
        <w:rPr>
          <w:rFonts w:ascii="Arial Narrow" w:hAnsi="Arial Narrow" w:cs="Arial Narrow"/>
        </w:rPr>
      </w:pPr>
      <w:r>
        <w:rPr>
          <w:rFonts w:hint="eastAsia" w:ascii="Arial Narrow" w:hAnsi="Arial Narrow" w:cs="Arial Narrow"/>
        </w:rPr>
        <w:t>3、培训到训率</w:t>
      </w:r>
      <w:r>
        <w:rPr>
          <w:rFonts w:ascii="Arial Narrow" w:hAnsi="Arial Narrow" w:cs="Arial Narrow"/>
        </w:rPr>
        <w:t>，是指</w:t>
      </w:r>
      <w:r>
        <w:rPr>
          <w:rFonts w:hint="eastAsia" w:ascii="Arial Narrow" w:hAnsi="Arial Narrow" w:cs="Arial Narrow"/>
        </w:rPr>
        <w:t>项目实施后，实际参加培训的代表数与计划参加培训的代表数的比，用以反映和考核项目实施后的质量指标。</w:t>
      </w:r>
      <w:r>
        <w:rPr>
          <w:rFonts w:ascii="Arial Narrow" w:hAnsi="Arial Narrow" w:cs="Arial Narrow"/>
        </w:rPr>
        <w:t>评价小组</w:t>
      </w:r>
      <w:r>
        <w:rPr>
          <w:rFonts w:hint="eastAsia" w:ascii="Arial Narrow" w:hAnsi="Arial Narrow" w:cs="Arial Narrow"/>
        </w:rPr>
        <w:t>通过</w:t>
      </w:r>
      <w:r>
        <w:rPr>
          <w:rFonts w:ascii="Arial Narrow" w:hAnsi="Arial Narrow" w:cs="Arial Narrow"/>
        </w:rPr>
        <w:t>查阅</w:t>
      </w:r>
      <w:r>
        <w:rPr>
          <w:rFonts w:hint="eastAsia" w:ascii="Arial Narrow" w:hAnsi="Arial Narrow" w:cs="Arial Narrow"/>
        </w:rPr>
        <w:t>关于组织代表参加全国人大北京培训基地学习培训的通知、关于组织代表参加延安学习培训的通知等相关资料</w:t>
      </w:r>
      <w:r>
        <w:rPr>
          <w:rFonts w:ascii="Arial Narrow" w:hAnsi="Arial Narrow" w:cs="Arial Narrow"/>
        </w:rPr>
        <w:t>，了解到</w:t>
      </w:r>
      <w:r>
        <w:rPr>
          <w:rFonts w:hint="eastAsia" w:ascii="Arial Narrow" w:hAnsi="Arial Narrow" w:cs="Arial Narrow"/>
        </w:rPr>
        <w:t>项目实施单位2019年于延安培训基地实到人数为35人，应到人数为40人；2019年于北京培训基地实到人数为37人，应到人数为40人；经评价小组计算，培训到训率为90%，根据评分细则，扣0.5分。</w:t>
      </w:r>
    </w:p>
    <w:p w14:paraId="542CA15A">
      <w:pPr>
        <w:ind w:firstLine="480"/>
        <w:rPr>
          <w:rFonts w:ascii="Arial Narrow" w:hAnsi="Arial Narrow" w:cs="Arial Narrow"/>
        </w:rPr>
      </w:pPr>
      <w:r>
        <w:rPr>
          <w:rFonts w:hint="eastAsia" w:ascii="Arial Narrow" w:hAnsi="Arial Narrow" w:cs="Arial Narrow"/>
        </w:rPr>
        <w:t>4、议案建议督办率</w:t>
      </w:r>
      <w:r>
        <w:rPr>
          <w:rFonts w:ascii="Arial Narrow" w:hAnsi="Arial Narrow" w:cs="Arial Narrow"/>
        </w:rPr>
        <w:t>，是指</w:t>
      </w:r>
      <w:r>
        <w:rPr>
          <w:rFonts w:hint="eastAsia" w:ascii="Arial Narrow" w:hAnsi="Arial Narrow" w:cs="Arial Narrow"/>
        </w:rPr>
        <w:t>项目实施单位实际督办议案数量与于十五届人大四次会议上提出议案数量的比率，用以反映和考核议案督办情况</w:t>
      </w:r>
      <w:r>
        <w:rPr>
          <w:rFonts w:ascii="Arial Narrow" w:hAnsi="Arial Narrow" w:cs="Arial Narrow"/>
        </w:rPr>
        <w:t>。评价小组通过卷宗研究、查阅</w:t>
      </w:r>
      <w:r>
        <w:rPr>
          <w:rFonts w:hint="eastAsia" w:ascii="Arial Narrow" w:hAnsi="Arial Narrow" w:cs="Arial Narrow"/>
        </w:rPr>
        <w:t>《武汉市武昌区第十五届人民代表大会第四次会议议案和代表建议汇编》、《2019年区人大代表工委工作总结》</w:t>
      </w:r>
      <w:r>
        <w:rPr>
          <w:rFonts w:ascii="Arial Narrow" w:hAnsi="Arial Narrow" w:cs="Arial Narrow"/>
        </w:rPr>
        <w:t>等相关资料，了解到</w:t>
      </w:r>
      <w:r>
        <w:rPr>
          <w:rFonts w:hint="eastAsia" w:ascii="Arial Narrow" w:hAnsi="Arial Narrow" w:cs="Arial Narrow"/>
        </w:rPr>
        <w:t>武昌区第十五届人大四次会议审查了大会议案审查委员会关于议案的审查报告,大会决定</w:t>
      </w:r>
      <w:bookmarkStart w:id="171" w:name="_GoBack"/>
      <w:bookmarkEnd w:id="171"/>
      <w:r>
        <w:rPr>
          <w:rFonts w:hint="eastAsia" w:ascii="Arial Narrow" w:hAnsi="Arial Narrow" w:cs="Arial Narrow"/>
        </w:rPr>
        <w:t>《关于加快武昌楼宇经济高质量发展》一号议案和《关于推进城市管理工作精致化》二号议案为本次会议议案；项目实施单位即时整理交办区人大四次会议议案2件、代表建议283件，议案建议督办率为100%</w:t>
      </w:r>
      <w:r>
        <w:rPr>
          <w:rFonts w:ascii="Arial Narrow" w:hAnsi="Arial Narrow" w:cs="Arial Narrow"/>
        </w:rPr>
        <w:t>。</w:t>
      </w:r>
    </w:p>
    <w:p w14:paraId="2CE5DCAE">
      <w:pPr>
        <w:ind w:firstLine="480"/>
        <w:rPr>
          <w:rFonts w:ascii="Arial Narrow" w:hAnsi="Arial Narrow" w:cs="Arial Narrow"/>
        </w:rPr>
      </w:pPr>
      <w:r>
        <w:rPr>
          <w:rFonts w:hint="eastAsia" w:ascii="Arial Narrow" w:hAnsi="Arial Narrow" w:cs="Arial Narrow"/>
        </w:rPr>
        <w:t>6、资金使用率，是指项目实际支出与项目到位资金的比率，用以反映和考核项目资金使用情况。评价小组查阅项目支出明细表，了解到预算资金为76.38万元，实际支出76.38万元，资金使用率为100%。</w:t>
      </w:r>
    </w:p>
    <w:p w14:paraId="55B6972F">
      <w:pPr>
        <w:snapToGrid w:val="0"/>
        <w:ind w:firstLine="482"/>
        <w:outlineLvl w:val="1"/>
        <w:rPr>
          <w:rFonts w:ascii="Arial Narrow" w:hAnsi="Arial Narrow" w:cs="Arial Narrow"/>
          <w:b/>
          <w:bCs/>
        </w:rPr>
      </w:pPr>
      <w:bookmarkStart w:id="130" w:name="_Toc30220"/>
      <w:bookmarkStart w:id="131" w:name="_Toc430076906"/>
      <w:bookmarkStart w:id="132" w:name="_Toc430020521"/>
      <w:bookmarkStart w:id="133" w:name="_Toc430020797"/>
      <w:bookmarkStart w:id="134" w:name="_Toc20882"/>
      <w:bookmarkStart w:id="135" w:name="_Toc430020673"/>
      <w:bookmarkStart w:id="136" w:name="_Toc10757"/>
      <w:bookmarkStart w:id="137" w:name="_Toc430018238"/>
      <w:bookmarkStart w:id="138" w:name="_Toc18194"/>
      <w:bookmarkStart w:id="139" w:name="_Toc12976"/>
      <w:bookmarkStart w:id="140" w:name="_Toc394181022"/>
      <w:r>
        <w:rPr>
          <w:rFonts w:hint="eastAsia" w:ascii="Arial Narrow" w:hAnsi="Arial Narrow" w:cs="Arial Narrow"/>
          <w:b/>
          <w:bCs/>
        </w:rPr>
        <w:t>（四）项目效果</w:t>
      </w:r>
      <w:bookmarkEnd w:id="130"/>
      <w:bookmarkEnd w:id="131"/>
      <w:bookmarkEnd w:id="132"/>
      <w:bookmarkEnd w:id="133"/>
      <w:bookmarkEnd w:id="134"/>
      <w:bookmarkEnd w:id="135"/>
      <w:bookmarkEnd w:id="136"/>
      <w:bookmarkEnd w:id="137"/>
      <w:bookmarkEnd w:id="138"/>
      <w:r>
        <w:rPr>
          <w:rFonts w:hint="eastAsia" w:ascii="Arial Narrow" w:hAnsi="Arial Narrow" w:cs="Arial Narrow"/>
          <w:b/>
          <w:bCs/>
        </w:rPr>
        <w:t>（34分）</w:t>
      </w:r>
      <w:bookmarkEnd w:id="139"/>
    </w:p>
    <w:bookmarkEnd w:id="140"/>
    <w:p w14:paraId="4E9543B1">
      <w:pPr>
        <w:ind w:firstLine="480"/>
        <w:rPr>
          <w:rFonts w:ascii="Arial Narrow" w:hAnsi="Arial Narrow" w:cs="Arial Narrow"/>
        </w:rPr>
      </w:pPr>
      <w:r>
        <w:rPr>
          <w:rFonts w:hint="eastAsia" w:ascii="Arial Narrow" w:hAnsi="Arial Narrow" w:cs="Arial Narrow"/>
        </w:rPr>
        <w:t>根据评价原则</w:t>
      </w:r>
      <w:r>
        <w:rPr>
          <w:rFonts w:ascii="Arial Narrow" w:hAnsi="Arial Narrow" w:cs="Arial Narrow"/>
        </w:rPr>
        <w:t>，该指标得分为31分，评价等级为</w:t>
      </w:r>
      <w:r>
        <w:rPr>
          <w:rFonts w:hint="eastAsia" w:ascii="Arial Narrow" w:hAnsi="Arial Narrow" w:cs="Arial Narrow"/>
        </w:rPr>
        <w:t>优</w:t>
      </w:r>
      <w:r>
        <w:rPr>
          <w:rFonts w:ascii="Arial Narrow" w:hAnsi="Arial Narrow" w:cs="Arial Narrow"/>
        </w:rPr>
        <w:t>（A）。</w:t>
      </w:r>
    </w:p>
    <w:p w14:paraId="33A8CC69">
      <w:pPr>
        <w:ind w:firstLine="480"/>
        <w:jc w:val="center"/>
        <w:rPr>
          <w:rFonts w:ascii="Arial Narrow" w:hAnsi="Arial Narrow" w:cs="Arial Narrow"/>
        </w:rPr>
      </w:pPr>
      <w:r>
        <w:rPr>
          <w:rFonts w:ascii="Arial Narrow" w:hAnsi="Arial Narrow" w:cs="Arial Narrow"/>
          <w:lang w:bidi="mn-Mong-CN"/>
        </w:rPr>
        <w:drawing>
          <wp:inline distT="0" distB="0" distL="0" distR="0">
            <wp:extent cx="4961255" cy="3115310"/>
            <wp:effectExtent l="0" t="0" r="0" b="88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7C824D2">
      <w:pPr>
        <w:ind w:firstLine="480"/>
        <w:rPr>
          <w:rFonts w:ascii="Arial Narrow" w:hAnsi="Arial Narrow" w:cs="Arial Narrow"/>
        </w:rPr>
      </w:pPr>
      <w:r>
        <w:rPr>
          <w:rFonts w:hint="eastAsia" w:ascii="Arial Narrow" w:hAnsi="Arial Narrow" w:cs="Arial Narrow"/>
        </w:rPr>
        <w:t>1、人大代表技能提升度</w:t>
      </w:r>
      <w:r>
        <w:rPr>
          <w:rFonts w:ascii="Arial Narrow" w:hAnsi="Arial Narrow" w:cs="Arial Narrow"/>
        </w:rPr>
        <w:t>，是指</w:t>
      </w:r>
      <w:r>
        <w:rPr>
          <w:rFonts w:hint="eastAsia" w:ascii="Arial Narrow" w:hAnsi="Arial Narrow" w:cs="Arial Narrow"/>
        </w:rPr>
        <w:t>项目实施后，人大代表技能提升的程度，用以反映和考核项目实施后的社会效益</w:t>
      </w:r>
      <w:r>
        <w:rPr>
          <w:rFonts w:ascii="Arial Narrow" w:hAnsi="Arial Narrow" w:cs="Arial Narrow"/>
        </w:rPr>
        <w:t>。评价小组通过对相关负责人进行现场访谈</w:t>
      </w:r>
      <w:r>
        <w:rPr>
          <w:rFonts w:hint="eastAsia" w:ascii="Arial Narrow" w:hAnsi="Arial Narrow" w:cs="Arial Narrow"/>
        </w:rPr>
        <w:t>，</w:t>
      </w:r>
      <w:r>
        <w:rPr>
          <w:rFonts w:ascii="Arial Narrow" w:hAnsi="Arial Narrow" w:cs="Arial Narrow"/>
        </w:rPr>
        <w:t>并查阅</w:t>
      </w:r>
      <w:r>
        <w:rPr>
          <w:rFonts w:hint="eastAsia" w:ascii="Arial Narrow" w:hAnsi="Arial Narrow" w:cs="Arial Narrow"/>
        </w:rPr>
        <w:t>《武汉市武昌区人大常委会第7期代表履职培训班讲义资料》、《2019年人大代表和人大干部能力提升培训班培训资料》、《2019年区人大代表工委工作总结》、《2019年第8期人大常委会组成人员学习手册》等文件，了解到项目实施单位于2019年度在全国人大延安、北京培训基地举办了2期代表履职培训班。评价小组通过现场访谈相关负责人发现，项目实施单位要求代表一年需参加至少一次培训活动。培训相关培训记录留存不全，根据评分细则，扣1分。代表通过学习和培训，进一步加深了代表对人民代表大会制度的认识，提高了参与管理地方国家事务的能力，增强了依法履职的责任感，为开展代表工作奠定了良好的基础。</w:t>
      </w:r>
    </w:p>
    <w:p w14:paraId="47E490D7">
      <w:pPr>
        <w:ind w:firstLine="480"/>
        <w:rPr>
          <w:rFonts w:ascii="Arial Narrow" w:hAnsi="Arial Narrow" w:cs="Arial Narrow"/>
        </w:rPr>
      </w:pPr>
      <w:r>
        <w:rPr>
          <w:rFonts w:hint="eastAsia" w:ascii="Arial Narrow" w:hAnsi="Arial Narrow" w:cs="Arial Narrow"/>
        </w:rPr>
        <w:t>2、接待、走访成果运用</w:t>
      </w:r>
      <w:r>
        <w:rPr>
          <w:rFonts w:ascii="Arial Narrow" w:hAnsi="Arial Narrow" w:cs="Arial Narrow"/>
        </w:rPr>
        <w:t>，是指</w:t>
      </w:r>
      <w:r>
        <w:rPr>
          <w:rFonts w:hint="eastAsia" w:ascii="Arial Narrow" w:hAnsi="Arial Narrow" w:cs="Arial Narrow"/>
        </w:rPr>
        <w:t>项目实施后，各项接待、走访工作是否形成相关报告；接待、走访工作成果是否得到运用，用以反映和考核项目的社会效益。评价小组通过查阅《2019年主任接待代表日安排》、《对区十五届人大四次会议闭会期间代表建议的答复》、《代表建议汇编》等相关资料，了解到项目实施单位于2019年开展接待代表活动并形成报告；接待代表活动中，共接待了65个代表并就50个不同的问题提出了建议，并形成报告；针对代表提出的8建议，均得到了相关政府部门的答复并进一步落实。</w:t>
      </w:r>
    </w:p>
    <w:p w14:paraId="69337B20">
      <w:pPr>
        <w:ind w:firstLine="480" w:firstLineChars="0"/>
        <w:rPr>
          <w:rFonts w:ascii="Arial Narrow" w:hAnsi="Arial Narrow" w:cs="Arial Narrow"/>
        </w:rPr>
      </w:pPr>
      <w:r>
        <w:rPr>
          <w:rFonts w:hint="eastAsia" w:ascii="Arial Narrow" w:hAnsi="Arial Narrow" w:cs="Arial Narrow"/>
        </w:rPr>
        <w:t>3、代表工作室推进建设程度</w:t>
      </w:r>
      <w:r>
        <w:rPr>
          <w:rFonts w:ascii="Arial Narrow" w:hAnsi="Arial Narrow" w:cs="Arial Narrow"/>
        </w:rPr>
        <w:t>，是指</w:t>
      </w:r>
      <w:r>
        <w:rPr>
          <w:rFonts w:hint="eastAsia" w:ascii="Arial Narrow" w:hAnsi="Arial Narrow" w:cs="Arial Narrow"/>
        </w:rPr>
        <w:t>项目实施单位是否规范统筹、推进代表工作室（站）建设工作</w:t>
      </w:r>
      <w:r>
        <w:rPr>
          <w:rFonts w:ascii="Arial Narrow" w:hAnsi="Arial Narrow" w:cs="Arial Narrow"/>
        </w:rPr>
        <w:t>。评价小组通过查阅</w:t>
      </w:r>
      <w:r>
        <w:rPr>
          <w:rFonts w:hint="eastAsia" w:ascii="Arial Narrow" w:hAnsi="Arial Narrow" w:cs="Arial Narrow"/>
        </w:rPr>
        <w:t>《武昌区人大街道代表工作室系列制度》、《2019年区人大代表工委工作总结》</w:t>
      </w:r>
      <w:r>
        <w:rPr>
          <w:rFonts w:ascii="Arial Narrow" w:hAnsi="Arial Narrow" w:cs="Arial Narrow"/>
        </w:rPr>
        <w:t>等相关资料</w:t>
      </w:r>
      <w:r>
        <w:rPr>
          <w:rFonts w:hint="eastAsia" w:ascii="Arial Narrow" w:hAnsi="Arial Narrow" w:cs="Arial Narrow"/>
        </w:rPr>
        <w:t>，了解到目前全区共有街道代表工作室13个、社区代表接待站136个，实现了街道代表工作室和社区代表接待站的全覆盖。</w:t>
      </w:r>
    </w:p>
    <w:p w14:paraId="5CE7DA2B">
      <w:pPr>
        <w:ind w:firstLine="480"/>
        <w:rPr>
          <w:rFonts w:ascii="Arial Narrow" w:hAnsi="Arial Narrow" w:cs="Arial Narrow"/>
        </w:rPr>
      </w:pPr>
      <w:r>
        <w:rPr>
          <w:rFonts w:hint="eastAsia" w:ascii="Arial Narrow" w:hAnsi="Arial Narrow" w:cs="Arial Narrow"/>
        </w:rPr>
        <w:t>4、代表“联系”机制建立情况</w:t>
      </w:r>
      <w:r>
        <w:rPr>
          <w:rFonts w:ascii="Arial Narrow" w:hAnsi="Arial Narrow" w:cs="Arial Narrow"/>
        </w:rPr>
        <w:t>，是指</w:t>
      </w:r>
      <w:r>
        <w:rPr>
          <w:rFonts w:hint="eastAsia" w:ascii="Arial Narrow" w:hAnsi="Arial Narrow" w:cs="Arial Narrow"/>
        </w:rPr>
        <w:t>项目单位是否建立并维护代表“联系”机制，支持项目长期运行，用以反映和考核项目的可持续性</w:t>
      </w:r>
      <w:r>
        <w:rPr>
          <w:rFonts w:ascii="Arial Narrow" w:hAnsi="Arial Narrow" w:cs="Arial Narrow"/>
        </w:rPr>
        <w:t>。</w:t>
      </w:r>
      <w:r>
        <w:rPr>
          <w:rFonts w:hint="eastAsia" w:ascii="Arial Narrow" w:hAnsi="Arial Narrow" w:cs="Arial Narrow"/>
        </w:rPr>
        <w:t>评价小通过查阅《武昌区人大街道代表工作室系列制度》、《2019年区人大代表工委工作总结》等相关资料，发现项目实施单位制定了《武昌区人大街道代表工作室系列制度》，其中包括人大代表接待日工作制度、人大代表接待群众公告制度、人大代表接待群众登记态度以及人大代表接待群众反馈制度，制度较为完善、健全；且项目实施单位2019年度通过组织区人大代表接待选民、定期不定期地走访选区单位、开展视察调研、座谈等多种形式的活动，广泛地加强代表与选民的联系，从而畅达民意、汇集民智、凝聚民心，</w:t>
      </w:r>
      <w:r>
        <w:rPr>
          <w:rFonts w:ascii="Arial Narrow" w:hAnsi="Arial Narrow" w:cs="Arial Narrow"/>
        </w:rPr>
        <w:t>并</w:t>
      </w:r>
      <w:r>
        <w:rPr>
          <w:rFonts w:hint="eastAsia" w:ascii="Arial Narrow" w:hAnsi="Arial Narrow" w:cs="Arial Narrow"/>
        </w:rPr>
        <w:t>明确常委会主任、副主任每人联系12名区人大代表，常委会委办主任每人联系8名区人大代表，不驻会的常委会委员每人联系4名区人大代表，做到了联系代表全覆盖，构建了常委会联系代表的桥梁和纽带。</w:t>
      </w:r>
    </w:p>
    <w:p w14:paraId="364E2ADE">
      <w:pPr>
        <w:ind w:firstLine="480"/>
        <w:rPr>
          <w:rFonts w:ascii="Arial Narrow" w:hAnsi="Arial Narrow" w:cs="Arial Narrow"/>
        </w:rPr>
      </w:pPr>
      <w:r>
        <w:rPr>
          <w:rFonts w:hint="eastAsia" w:ascii="Arial Narrow" w:hAnsi="Arial Narrow" w:cs="Arial Narrow"/>
        </w:rPr>
        <w:t>6、社会公众满意度</w:t>
      </w:r>
      <w:r>
        <w:rPr>
          <w:rFonts w:ascii="Arial Narrow" w:hAnsi="Arial Narrow" w:cs="Arial Narrow"/>
        </w:rPr>
        <w:t>，是指</w:t>
      </w:r>
      <w:r>
        <w:rPr>
          <w:rFonts w:hint="eastAsia" w:ascii="Arial Narrow" w:hAnsi="Arial Narrow" w:cs="Arial Narrow"/>
        </w:rPr>
        <w:t>社会公众或服务对象对项目实施效果的满意程度。项目小组对普通民众发放的21份有效问卷中，有17人表示满意，4人表示比较满意，加权平均后，满意度为93.65%。</w:t>
      </w:r>
    </w:p>
    <w:p w14:paraId="67E680B2">
      <w:pPr>
        <w:snapToGrid w:val="0"/>
        <w:ind w:firstLine="0" w:firstLineChars="0"/>
        <w:outlineLvl w:val="1"/>
        <w:rPr>
          <w:rFonts w:ascii="Arial Narrow" w:hAnsi="Arial Narrow" w:cs="Arial Narrow"/>
          <w:b/>
        </w:rPr>
      </w:pPr>
      <w:bookmarkStart w:id="141" w:name="_Toc8990"/>
      <w:r>
        <w:rPr>
          <w:rFonts w:hint="eastAsia" w:ascii="Arial Narrow" w:hAnsi="Arial Narrow" w:cs="Arial Narrow"/>
          <w:b/>
        </w:rPr>
        <w:t>四、评价结论</w:t>
      </w:r>
      <w:bookmarkEnd w:id="141"/>
      <w:bookmarkStart w:id="142" w:name="_Toc430020523"/>
      <w:bookmarkStart w:id="143" w:name="_Toc430020799"/>
      <w:bookmarkStart w:id="144" w:name="_Toc430020675"/>
      <w:bookmarkStart w:id="145" w:name="_Toc430076908"/>
    </w:p>
    <w:p w14:paraId="2C9ECE47">
      <w:pPr>
        <w:snapToGrid w:val="0"/>
        <w:ind w:firstLine="482"/>
        <w:outlineLvl w:val="1"/>
        <w:rPr>
          <w:rFonts w:ascii="Arial Narrow" w:hAnsi="Arial Narrow" w:cs="Arial Narrow"/>
          <w:b/>
          <w:bCs/>
        </w:rPr>
      </w:pPr>
      <w:bookmarkStart w:id="146" w:name="_Toc12496"/>
      <w:r>
        <w:rPr>
          <w:rFonts w:hint="eastAsia" w:ascii="Arial Narrow" w:hAnsi="Arial Narrow" w:cs="Arial Narrow"/>
          <w:b/>
          <w:bCs/>
        </w:rPr>
        <w:t>（一）评分结果</w:t>
      </w:r>
      <w:bookmarkEnd w:id="142"/>
      <w:bookmarkEnd w:id="143"/>
      <w:bookmarkEnd w:id="144"/>
      <w:bookmarkEnd w:id="145"/>
      <w:bookmarkEnd w:id="146"/>
    </w:p>
    <w:p w14:paraId="796184CD">
      <w:pPr>
        <w:ind w:firstLine="480"/>
        <w:rPr>
          <w:rFonts w:ascii="Arial Narrow" w:hAnsi="Arial Narrow" w:cs="Arial Narrow"/>
        </w:rPr>
      </w:pPr>
      <w:r>
        <w:rPr>
          <w:rFonts w:ascii="Arial Narrow" w:hAnsi="Arial Narrow" w:cs="Arial Narrow"/>
        </w:rPr>
        <w:t>项目绩效评价综合得分为</w:t>
      </w:r>
      <w:r>
        <w:rPr>
          <w:rFonts w:hint="eastAsia" w:ascii="Arial Narrow" w:hAnsi="Arial Narrow" w:cs="Arial Narrow"/>
        </w:rPr>
        <w:t>91.5</w:t>
      </w:r>
      <w:r>
        <w:rPr>
          <w:rFonts w:ascii="Arial Narrow" w:hAnsi="Arial Narrow" w:cs="Arial Narrow"/>
        </w:rPr>
        <w:t>分。其中投入得分</w:t>
      </w:r>
      <w:r>
        <w:rPr>
          <w:rFonts w:hint="eastAsia" w:ascii="Arial Narrow" w:hAnsi="Arial Narrow" w:cs="Arial Narrow"/>
        </w:rPr>
        <w:t>10</w:t>
      </w:r>
      <w:r>
        <w:rPr>
          <w:rFonts w:ascii="Arial Narrow" w:hAnsi="Arial Narrow" w:cs="Arial Narrow"/>
        </w:rPr>
        <w:t>分，过程得分27分，产出得分2</w:t>
      </w:r>
      <w:r>
        <w:rPr>
          <w:rFonts w:hint="eastAsia" w:ascii="Arial Narrow" w:hAnsi="Arial Narrow" w:cs="Arial Narrow"/>
        </w:rPr>
        <w:t>3.5</w:t>
      </w:r>
      <w:r>
        <w:rPr>
          <w:rFonts w:ascii="Arial Narrow" w:hAnsi="Arial Narrow" w:cs="Arial Narrow"/>
        </w:rPr>
        <w:t>分，效果得分31分。</w:t>
      </w:r>
    </w:p>
    <w:p w14:paraId="037A71BA">
      <w:pPr>
        <w:ind w:firstLine="480"/>
        <w:rPr>
          <w:rFonts w:ascii="Arial Narrow" w:hAnsi="Arial Narrow" w:cs="Arial Narrow"/>
        </w:rPr>
      </w:pPr>
      <w:r>
        <w:rPr>
          <w:rFonts w:ascii="Arial Narrow" w:hAnsi="Arial Narrow" w:cs="Arial Narrow"/>
        </w:rPr>
        <w:t>下图为各指标得分情况：</w:t>
      </w:r>
    </w:p>
    <w:p w14:paraId="72BA60D0">
      <w:pPr>
        <w:ind w:firstLine="480"/>
        <w:jc w:val="center"/>
        <w:rPr>
          <w:rFonts w:ascii="Arial Narrow" w:hAnsi="Arial Narrow" w:cs="Arial Narrow"/>
        </w:rPr>
      </w:pPr>
      <w:r>
        <w:rPr>
          <w:lang w:bidi="mn-Mong-CN"/>
        </w:rPr>
        <w:drawing>
          <wp:inline distT="0" distB="0" distL="114300" distR="114300">
            <wp:extent cx="4432300" cy="262890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31"/>
                    <a:stretch>
                      <a:fillRect/>
                    </a:stretch>
                  </pic:blipFill>
                  <pic:spPr>
                    <a:xfrm>
                      <a:off x="0" y="0"/>
                      <a:ext cx="4432300" cy="2628900"/>
                    </a:xfrm>
                    <a:prstGeom prst="rect">
                      <a:avLst/>
                    </a:prstGeom>
                    <a:noFill/>
                    <a:ln w="9525">
                      <a:noFill/>
                    </a:ln>
                  </pic:spPr>
                </pic:pic>
              </a:graphicData>
            </a:graphic>
          </wp:inline>
        </w:drawing>
      </w:r>
    </w:p>
    <w:p w14:paraId="72BD912F">
      <w:pPr>
        <w:snapToGrid w:val="0"/>
        <w:ind w:firstLine="482"/>
        <w:outlineLvl w:val="1"/>
        <w:rPr>
          <w:rFonts w:ascii="Arial Narrow" w:hAnsi="Arial Narrow" w:cs="Arial Narrow"/>
          <w:b/>
          <w:bCs/>
        </w:rPr>
      </w:pPr>
      <w:bookmarkStart w:id="147" w:name="_Toc6635"/>
      <w:r>
        <w:rPr>
          <w:rFonts w:hint="eastAsia" w:ascii="Arial Narrow" w:hAnsi="Arial Narrow" w:cs="Arial Narrow"/>
          <w:b/>
          <w:bCs/>
        </w:rPr>
        <w:t>（二）主要结论</w:t>
      </w:r>
      <w:bookmarkEnd w:id="147"/>
    </w:p>
    <w:p w14:paraId="429D67F4">
      <w:pPr>
        <w:ind w:firstLine="480"/>
        <w:rPr>
          <w:rFonts w:ascii="Arial Narrow" w:hAnsi="Arial Narrow" w:cs="Arial Narrow"/>
        </w:rPr>
      </w:pPr>
      <w:r>
        <w:rPr>
          <w:rFonts w:hint="eastAsia" w:ascii="Arial Narrow" w:hAnsi="Arial Narrow" w:cs="Arial Narrow"/>
        </w:rPr>
        <w:t>1、</w:t>
      </w:r>
      <w:r>
        <w:rPr>
          <w:rFonts w:ascii="Arial Narrow" w:hAnsi="Arial Narrow" w:cs="Arial Narrow"/>
        </w:rPr>
        <w:t>投入。评价得分为</w:t>
      </w:r>
      <w:r>
        <w:rPr>
          <w:rFonts w:hint="eastAsia" w:ascii="Arial Narrow" w:hAnsi="Arial Narrow" w:cs="Arial Narrow"/>
        </w:rPr>
        <w:t>10</w:t>
      </w:r>
      <w:r>
        <w:rPr>
          <w:rFonts w:ascii="Arial Narrow" w:hAnsi="Arial Narrow" w:cs="Arial Narrow"/>
        </w:rPr>
        <w:t>分，评价等级为</w:t>
      </w:r>
      <w:r>
        <w:rPr>
          <w:rFonts w:hint="eastAsia" w:ascii="Arial Narrow" w:hAnsi="Arial Narrow" w:cs="Arial Narrow"/>
        </w:rPr>
        <w:t>良</w:t>
      </w:r>
      <w:r>
        <w:rPr>
          <w:rFonts w:ascii="Arial Narrow" w:hAnsi="Arial Narrow" w:cs="Arial Narrow"/>
        </w:rPr>
        <w:t>（C）。项目的申请、设立过程基本合规，项目资金全部及时到位；但提供</w:t>
      </w:r>
      <w:r>
        <w:rPr>
          <w:rFonts w:hint="eastAsia" w:ascii="Arial Narrow" w:hAnsi="Arial Narrow" w:cs="Arial Narrow"/>
        </w:rPr>
        <w:t>的项目申报表内容不够全面，且</w:t>
      </w:r>
      <w:r>
        <w:rPr>
          <w:rFonts w:ascii="Arial Narrow" w:hAnsi="Arial Narrow" w:cs="Arial Narrow"/>
        </w:rPr>
        <w:t>未设立绩效目标和绩效指标</w:t>
      </w:r>
      <w:r>
        <w:rPr>
          <w:rFonts w:hint="eastAsia" w:ascii="Arial Narrow" w:hAnsi="Arial Narrow" w:cs="Arial Narrow"/>
        </w:rPr>
        <w:t>。</w:t>
      </w:r>
    </w:p>
    <w:p w14:paraId="72C93858">
      <w:pPr>
        <w:ind w:firstLine="480"/>
        <w:rPr>
          <w:rFonts w:ascii="Arial Narrow" w:hAnsi="Arial Narrow" w:cs="Arial Narrow"/>
        </w:rPr>
      </w:pPr>
      <w:r>
        <w:rPr>
          <w:rFonts w:hint="eastAsia" w:ascii="Arial Narrow" w:hAnsi="Arial Narrow" w:cs="Arial Narrow"/>
        </w:rPr>
        <w:t>2、</w:t>
      </w:r>
      <w:r>
        <w:rPr>
          <w:rFonts w:ascii="Arial Narrow" w:hAnsi="Arial Narrow" w:cs="Arial Narrow"/>
        </w:rPr>
        <w:t>过程。评价得分为27分，评价等级为</w:t>
      </w:r>
      <w:r>
        <w:rPr>
          <w:rFonts w:hint="eastAsia" w:ascii="Arial Narrow" w:hAnsi="Arial Narrow" w:cs="Arial Narrow"/>
        </w:rPr>
        <w:t>优</w:t>
      </w:r>
      <w:r>
        <w:rPr>
          <w:rFonts w:ascii="Arial Narrow" w:hAnsi="Arial Narrow" w:cs="Arial Narrow"/>
        </w:rPr>
        <w:t>（A）。项目实施单位的管理制度健全；财务制度较为完善，资金使用合规，并通过集体决策、审批程序进行财务监控；但项目实施过程中</w:t>
      </w:r>
      <w:r>
        <w:rPr>
          <w:rFonts w:hint="eastAsia" w:ascii="Arial Narrow" w:hAnsi="Arial Narrow" w:cs="Arial Narrow"/>
        </w:rPr>
        <w:t>培训</w:t>
      </w:r>
      <w:r>
        <w:rPr>
          <w:rFonts w:ascii="Arial Narrow" w:hAnsi="Arial Narrow" w:cs="Arial Narrow"/>
        </w:rPr>
        <w:t>工作总结并未留存相关资料。</w:t>
      </w:r>
    </w:p>
    <w:p w14:paraId="3732143D">
      <w:pPr>
        <w:ind w:firstLine="480"/>
        <w:rPr>
          <w:rFonts w:ascii="Arial Narrow" w:hAnsi="Arial Narrow" w:cs="Arial Narrow"/>
        </w:rPr>
      </w:pPr>
      <w:r>
        <w:rPr>
          <w:rFonts w:hint="eastAsia" w:ascii="Arial Narrow" w:hAnsi="Arial Narrow" w:cs="Arial Narrow"/>
        </w:rPr>
        <w:t>3、</w:t>
      </w:r>
      <w:r>
        <w:rPr>
          <w:rFonts w:ascii="Arial Narrow" w:hAnsi="Arial Narrow" w:cs="Arial Narrow"/>
        </w:rPr>
        <w:t>产出。评价得分为2</w:t>
      </w:r>
      <w:r>
        <w:rPr>
          <w:rFonts w:hint="eastAsia" w:ascii="Arial Narrow" w:hAnsi="Arial Narrow" w:cs="Arial Narrow"/>
        </w:rPr>
        <w:t>3.5</w:t>
      </w:r>
      <w:r>
        <w:rPr>
          <w:rFonts w:ascii="Arial Narrow" w:hAnsi="Arial Narrow" w:cs="Arial Narrow"/>
        </w:rPr>
        <w:t>分，评价等级为</w:t>
      </w:r>
      <w:r>
        <w:rPr>
          <w:rFonts w:hint="eastAsia" w:ascii="Arial Narrow" w:hAnsi="Arial Narrow" w:cs="Arial Narrow"/>
        </w:rPr>
        <w:t>良</w:t>
      </w:r>
      <w:r>
        <w:rPr>
          <w:rFonts w:ascii="Arial Narrow" w:hAnsi="Arial Narrow" w:cs="Arial Narrow"/>
        </w:rPr>
        <w:t>（B）。项目按</w:t>
      </w:r>
      <w:r>
        <w:rPr>
          <w:rFonts w:hint="eastAsia" w:ascii="Arial Narrow" w:hAnsi="Arial Narrow" w:cs="Arial Narrow"/>
        </w:rPr>
        <w:t>培训</w:t>
      </w:r>
      <w:r>
        <w:rPr>
          <w:rFonts w:ascii="Arial Narrow" w:hAnsi="Arial Narrow" w:cs="Arial Narrow"/>
        </w:rPr>
        <w:t>计划顺利开展了</w:t>
      </w:r>
      <w:r>
        <w:rPr>
          <w:rFonts w:hint="eastAsia" w:ascii="Arial Narrow" w:hAnsi="Arial Narrow" w:cs="Arial Narrow"/>
        </w:rPr>
        <w:t>2</w:t>
      </w:r>
      <w:r>
        <w:rPr>
          <w:rFonts w:ascii="Arial Narrow" w:hAnsi="Arial Narrow" w:cs="Arial Narrow"/>
        </w:rPr>
        <w:t>次培训活动</w:t>
      </w:r>
      <w:r>
        <w:rPr>
          <w:rFonts w:hint="eastAsia" w:ascii="Arial Narrow" w:hAnsi="Arial Narrow" w:cs="Arial Narrow"/>
        </w:rPr>
        <w:t>，参训人员到训率为90%。</w:t>
      </w:r>
    </w:p>
    <w:p w14:paraId="14365510">
      <w:pPr>
        <w:ind w:firstLine="480"/>
        <w:rPr>
          <w:rFonts w:ascii="Arial Narrow" w:hAnsi="Arial Narrow" w:cs="Arial Narrow"/>
        </w:rPr>
      </w:pPr>
      <w:r>
        <w:rPr>
          <w:rFonts w:hint="eastAsia" w:ascii="Arial Narrow" w:hAnsi="Arial Narrow" w:cs="Arial Narrow"/>
        </w:rPr>
        <w:t>4、</w:t>
      </w:r>
      <w:r>
        <w:rPr>
          <w:rFonts w:ascii="Arial Narrow" w:hAnsi="Arial Narrow" w:cs="Arial Narrow"/>
        </w:rPr>
        <w:t>效果。评价得分为31分，评价等级为</w:t>
      </w:r>
      <w:r>
        <w:rPr>
          <w:rFonts w:hint="eastAsia" w:ascii="Arial Narrow" w:hAnsi="Arial Narrow" w:cs="Arial Narrow"/>
        </w:rPr>
        <w:t>优</w:t>
      </w:r>
      <w:r>
        <w:rPr>
          <w:rFonts w:ascii="Arial Narrow" w:hAnsi="Arial Narrow" w:cs="Arial Narrow"/>
        </w:rPr>
        <w:t>（A）。项目单位开展培训活动后</w:t>
      </w:r>
      <w:r>
        <w:rPr>
          <w:rFonts w:hint="eastAsia" w:ascii="Arial Narrow" w:hAnsi="Arial Narrow" w:cs="Arial Narrow"/>
        </w:rPr>
        <w:t>，</w:t>
      </w:r>
      <w:r>
        <w:rPr>
          <w:rFonts w:ascii="Arial Narrow" w:hAnsi="Arial Narrow" w:cs="Arial Narrow"/>
        </w:rPr>
        <w:t>参训代表技能均有提升</w:t>
      </w:r>
      <w:r>
        <w:rPr>
          <w:rFonts w:hint="eastAsia" w:ascii="Arial Narrow" w:hAnsi="Arial Narrow" w:cs="Arial Narrow"/>
        </w:rPr>
        <w:t>，但参训率还需提升；各项选举结果均公开公示，但由街道办理的宣传选举活动及选民登记工作，项目单位并未留存相关资料；代工委接待工作以及代表的走访工作均形成报告，并得到了相关政府部门的答复及落实，代表工作室（站）做到了街道全覆盖，且项目单位建立并维护代表与代工委、群众与代表的“联系”机制，社会公众满意度为93.65%。</w:t>
      </w:r>
    </w:p>
    <w:p w14:paraId="7E82BF92">
      <w:pPr>
        <w:snapToGrid w:val="0"/>
        <w:ind w:firstLine="0" w:firstLineChars="0"/>
        <w:outlineLvl w:val="1"/>
        <w:rPr>
          <w:rFonts w:ascii="Arial Narrow" w:hAnsi="Arial Narrow" w:cs="Arial Narrow"/>
          <w:b/>
        </w:rPr>
      </w:pPr>
      <w:bookmarkStart w:id="148" w:name="_Toc25334"/>
      <w:r>
        <w:rPr>
          <w:rFonts w:hint="eastAsia" w:ascii="Arial Narrow" w:hAnsi="Arial Narrow" w:cs="Arial Narrow"/>
          <w:b/>
        </w:rPr>
        <w:t>五、主要经验及做法、存在的问题和建议</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48"/>
    </w:p>
    <w:p w14:paraId="764F74D6">
      <w:pPr>
        <w:snapToGrid w:val="0"/>
        <w:ind w:firstLine="482"/>
        <w:outlineLvl w:val="1"/>
        <w:rPr>
          <w:rFonts w:ascii="Arial Narrow" w:hAnsi="Arial Narrow" w:cs="Arial Narrow"/>
          <w:b/>
          <w:bCs/>
        </w:rPr>
      </w:pPr>
      <w:bookmarkStart w:id="149" w:name="_Toc430020527"/>
      <w:bookmarkStart w:id="150" w:name="_Toc19671"/>
      <w:bookmarkStart w:id="151" w:name="_Toc430020679"/>
      <w:bookmarkStart w:id="152" w:name="_Toc430020803"/>
      <w:bookmarkStart w:id="153" w:name="_Toc394869167"/>
      <w:bookmarkStart w:id="154" w:name="_Toc3968"/>
      <w:bookmarkStart w:id="155" w:name="_Toc2550"/>
      <w:bookmarkStart w:id="156" w:name="_Toc430076912"/>
      <w:bookmarkStart w:id="157" w:name="_Toc27665"/>
      <w:bookmarkStart w:id="158" w:name="_Toc13893"/>
      <w:bookmarkStart w:id="159" w:name="_Toc21564"/>
      <w:bookmarkStart w:id="160" w:name="_Toc430018241"/>
      <w:bookmarkStart w:id="161" w:name="_Toc372574214"/>
      <w:bookmarkStart w:id="162" w:name="_Toc1739"/>
      <w:bookmarkStart w:id="163" w:name="_Toc10777"/>
      <w:bookmarkStart w:id="164" w:name="_Toc2982"/>
      <w:r>
        <w:rPr>
          <w:rFonts w:hint="eastAsia" w:ascii="Arial Narrow" w:hAnsi="Arial Narrow" w:cs="Arial Narrow"/>
          <w:b/>
          <w:bCs/>
        </w:rPr>
        <w:t>（一）主要经验及做法</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79B655B">
      <w:pPr>
        <w:ind w:firstLine="480"/>
        <w:rPr>
          <w:rFonts w:ascii="Arial Narrow" w:hAnsi="Arial Narrow" w:cs="Arial Narrow"/>
        </w:rPr>
      </w:pPr>
      <w:r>
        <w:rPr>
          <w:rFonts w:hint="eastAsia" w:ascii="Arial Narrow" w:hAnsi="Arial Narrow" w:cs="Arial Narrow"/>
        </w:rPr>
        <w:t>2019年我们将代表培训列入全年工作的重中之重，作为基础性工作来抓。通过学习和培训，进一步加深了代表对人民代表大会制度的认识，提高了参与管理地方国家事务的能力，增强了依法履职的责任感，为开展代表工作奠定了良好的基础。</w:t>
      </w:r>
    </w:p>
    <w:p w14:paraId="427800AF">
      <w:pPr>
        <w:ind w:firstLine="480"/>
        <w:rPr>
          <w:rFonts w:ascii="Arial Narrow" w:hAnsi="Arial Narrow" w:cs="Arial Narrow"/>
        </w:rPr>
      </w:pPr>
      <w:r>
        <w:rPr>
          <w:rFonts w:hint="eastAsia" w:ascii="Arial Narrow" w:hAnsi="Arial Narrow" w:cs="Arial Narrow"/>
        </w:rPr>
        <w:t>注重加大对重点建议和建议承办大户的督办，全年组织了全年组织召开3次“政情通报及建议督办会”和6场 “主任接待代表日”活动，对区教育局、区民政局、区城管委、区建委、区交通大队等部门开展面对面督办，有效地推进了建议办理的进度和质量。开展代表建议办理质量评审工作，由区人大各工委按对口联系的部门，针对区政府部门办理代表建议的所有答复进行办理质量评审，对评审的相关问题，交政府相关部门重新办理和整改，较好地提高了代表建议办理的质量和效果。</w:t>
      </w:r>
    </w:p>
    <w:p w14:paraId="1AE04931">
      <w:pPr>
        <w:snapToGrid w:val="0"/>
        <w:ind w:firstLine="482"/>
        <w:outlineLvl w:val="1"/>
        <w:rPr>
          <w:rFonts w:ascii="Arial Narrow" w:hAnsi="Arial Narrow" w:cs="Arial Narrow"/>
          <w:b/>
          <w:bCs/>
        </w:rPr>
      </w:pPr>
      <w:bookmarkStart w:id="165" w:name="_Toc8446"/>
      <w:r>
        <w:rPr>
          <w:rFonts w:hint="eastAsia" w:ascii="Arial Narrow" w:hAnsi="Arial Narrow" w:cs="Arial Narrow"/>
          <w:b/>
          <w:bCs/>
        </w:rPr>
        <w:t>（二）存在的问题</w:t>
      </w:r>
      <w:bookmarkEnd w:id="165"/>
    </w:p>
    <w:p w14:paraId="6D881162">
      <w:pPr>
        <w:ind w:firstLine="480"/>
        <w:rPr>
          <w:rFonts w:ascii="Arial Narrow" w:hAnsi="Arial Narrow" w:cs="Arial Narrow"/>
          <w:bCs/>
        </w:rPr>
      </w:pPr>
      <w:r>
        <w:rPr>
          <w:rFonts w:hint="eastAsia" w:ascii="Arial Narrow" w:hAnsi="Arial Narrow" w:cs="Arial Narrow"/>
          <w:bCs/>
        </w:rPr>
        <w:t>1、未设立绩效目标、绩效指标。项目单位未设立相应的绩效目标和绩效指标，无法对项目的执行进行监督及评价工作。</w:t>
      </w:r>
    </w:p>
    <w:p w14:paraId="4D9650EB">
      <w:pPr>
        <w:ind w:firstLine="480"/>
        <w:rPr>
          <w:rFonts w:ascii="Arial Narrow" w:hAnsi="Arial Narrow" w:cs="Arial Narrow"/>
          <w:bCs/>
        </w:rPr>
      </w:pPr>
      <w:r>
        <w:rPr>
          <w:rFonts w:hint="eastAsia" w:ascii="Arial Narrow" w:hAnsi="Arial Narrow" w:cs="Arial Narrow"/>
          <w:bCs/>
        </w:rPr>
        <w:t>2、项目在实施过程中留存档案资料不够全面。项目实施单位于2019年进行了2期代表培训学习活动，但工作总结及学习活动记录资料留存不全，不利于对项目实施成果进行经验总结和为今后项目实施提供借鉴。</w:t>
      </w:r>
    </w:p>
    <w:p w14:paraId="1207470B">
      <w:pPr>
        <w:ind w:firstLine="480"/>
        <w:rPr>
          <w:rFonts w:ascii="Arial Narrow" w:hAnsi="Arial Narrow" w:cs="Arial Narrow"/>
          <w:bCs/>
        </w:rPr>
      </w:pPr>
      <w:r>
        <w:rPr>
          <w:rFonts w:hint="eastAsia" w:ascii="Arial Narrow" w:hAnsi="Arial Narrow" w:cs="Arial Narrow"/>
          <w:bCs/>
        </w:rPr>
        <w:t>3、项目预算文本内容不具体，影响项目实施效果</w:t>
      </w:r>
      <w:r>
        <w:rPr>
          <w:rFonts w:hint="eastAsia" w:ascii="Arial Narrow" w:hAnsi="Arial Narrow"/>
        </w:rPr>
        <w:t>。</w:t>
      </w:r>
    </w:p>
    <w:p w14:paraId="65A9EE22">
      <w:pPr>
        <w:snapToGrid w:val="0"/>
        <w:ind w:firstLine="482"/>
        <w:outlineLvl w:val="1"/>
        <w:rPr>
          <w:rFonts w:ascii="Arial Narrow" w:hAnsi="Arial Narrow" w:cs="Arial Narrow"/>
          <w:b/>
          <w:bCs/>
        </w:rPr>
      </w:pPr>
      <w:bookmarkStart w:id="166" w:name="_Toc16503"/>
      <w:r>
        <w:rPr>
          <w:rFonts w:hint="eastAsia" w:ascii="Arial Narrow" w:hAnsi="Arial Narrow" w:cs="Arial Narrow"/>
          <w:b/>
          <w:bCs/>
        </w:rPr>
        <w:t>（三）建议</w:t>
      </w:r>
      <w:bookmarkEnd w:id="166"/>
    </w:p>
    <w:p w14:paraId="55614B2A">
      <w:pPr>
        <w:ind w:firstLine="480"/>
        <w:rPr>
          <w:rFonts w:ascii="Arial Narrow" w:hAnsi="Arial Narrow" w:cs="Arial Narrow"/>
          <w:bCs/>
        </w:rPr>
      </w:pPr>
      <w:r>
        <w:rPr>
          <w:rFonts w:hint="eastAsia" w:ascii="Arial Narrow" w:hAnsi="Arial Narrow" w:cs="Arial Narrow"/>
          <w:bCs/>
        </w:rPr>
        <w:t>1、</w:t>
      </w:r>
      <w:r>
        <w:rPr>
          <w:rFonts w:ascii="Arial Narrow" w:hAnsi="Arial Narrow" w:cs="Arial Narrow"/>
          <w:bCs/>
        </w:rPr>
        <w:t>加强与业务部门的联系，提高预算文本编制的合理性。项目具体实施部门根据财务部门下达的预算指标，对本年度的工作计划进行分解，并结合项目历史完成情况，编制客观可行的预算文本初稿，由财务部门进行汇总审核</w:t>
      </w:r>
      <w:r>
        <w:rPr>
          <w:rFonts w:hint="eastAsia" w:ascii="Arial Narrow" w:hAnsi="Arial Narrow" w:cs="Arial Narrow"/>
          <w:bCs/>
        </w:rPr>
        <w:t>，</w:t>
      </w:r>
      <w:r>
        <w:rPr>
          <w:rFonts w:ascii="Arial Narrow" w:hAnsi="Arial Narrow" w:cs="Arial Narrow"/>
          <w:bCs/>
        </w:rPr>
        <w:t>提高预算文本的科学性。</w:t>
      </w:r>
    </w:p>
    <w:p w14:paraId="4740D781">
      <w:pPr>
        <w:ind w:firstLine="480"/>
        <w:rPr>
          <w:rFonts w:ascii="Arial Narrow" w:hAnsi="Arial Narrow" w:cs="Arial Narrow"/>
          <w:bCs/>
        </w:rPr>
      </w:pPr>
      <w:r>
        <w:rPr>
          <w:rFonts w:hint="eastAsia" w:ascii="Arial Narrow" w:hAnsi="Arial Narrow" w:cs="Arial Narrow"/>
          <w:bCs/>
        </w:rPr>
        <w:t>2、加强</w:t>
      </w:r>
      <w:r>
        <w:rPr>
          <w:rFonts w:ascii="Arial Narrow" w:hAnsi="Arial Narrow" w:cs="Arial Narrow"/>
          <w:bCs/>
        </w:rPr>
        <w:t>档案资料的留存意识</w:t>
      </w:r>
      <w:r>
        <w:rPr>
          <w:rFonts w:hint="eastAsia" w:ascii="Arial Narrow" w:hAnsi="Arial Narrow" w:cs="Arial Narrow"/>
          <w:bCs/>
        </w:rPr>
        <w:t>，</w:t>
      </w:r>
      <w:r>
        <w:rPr>
          <w:rFonts w:ascii="Arial Narrow" w:hAnsi="Arial Narrow" w:cs="Arial Narrow"/>
          <w:bCs/>
        </w:rPr>
        <w:t>提高项目质量的可控性</w:t>
      </w:r>
      <w:r>
        <w:rPr>
          <w:rFonts w:hint="eastAsia" w:ascii="Arial Narrow" w:hAnsi="Arial Narrow" w:cs="Arial Narrow"/>
          <w:bCs/>
        </w:rPr>
        <w:t>。单位在组织人大代表活动时，可要求各街道在开展活动时记录活动开展过程，并将各街道活动记录取关键部分整理成册，以便人大代表工委监督工作的开展，进一步完善项目档案资料，保证项目质量的可控性。</w:t>
      </w:r>
    </w:p>
    <w:p w14:paraId="66352FD1">
      <w:pPr>
        <w:tabs>
          <w:tab w:val="right" w:pos="8505"/>
        </w:tabs>
        <w:ind w:firstLine="480"/>
        <w:rPr>
          <w:rFonts w:ascii="Arial Narrow" w:hAnsi="Arial Narrow" w:cs="Arial Narrow"/>
          <w:bCs/>
        </w:rPr>
      </w:pPr>
      <w:r>
        <w:rPr>
          <w:rFonts w:hint="eastAsia" w:ascii="Arial Narrow" w:hAnsi="Arial Narrow" w:cs="Arial Narrow"/>
          <w:bCs/>
        </w:rPr>
        <w:t>3、项目实施单位应及时关注项目资金拨付情况，加强预算执行的日常控制与监督，定期进行预算执行分析，强化预算执行、监督的力度，实现对项目资金全方位、全过程的控制，合理安排项目资金支出，严格做到专款专用，提高资金使用率，保证项目实施效果。</w:t>
      </w:r>
    </w:p>
    <w:p w14:paraId="74887EB1">
      <w:pPr>
        <w:pStyle w:val="3"/>
        <w:spacing w:line="416" w:lineRule="auto"/>
        <w:ind w:firstLine="482"/>
        <w:rPr>
          <w:rFonts w:ascii="Arial Narrow" w:hAnsi="Arial Narrow" w:cs="Arial Narrow"/>
        </w:rPr>
      </w:pPr>
      <w:bookmarkStart w:id="167" w:name="_Toc23115"/>
      <w:r>
        <w:rPr>
          <w:rFonts w:hint="eastAsia" w:ascii="Arial Narrow" w:hAnsi="Arial Narrow" w:cs="Arial Narrow"/>
        </w:rPr>
        <w:t>六、</w:t>
      </w:r>
      <w:r>
        <w:rPr>
          <w:rFonts w:ascii="Arial Narrow" w:hAnsi="Arial Narrow" w:cs="Arial Narrow"/>
        </w:rPr>
        <w:t>其他需说明的问题</w:t>
      </w:r>
      <w:bookmarkEnd w:id="167"/>
    </w:p>
    <w:p w14:paraId="65145657">
      <w:pPr>
        <w:snapToGrid w:val="0"/>
        <w:ind w:firstLine="482"/>
        <w:outlineLvl w:val="1"/>
        <w:rPr>
          <w:rFonts w:ascii="Arial Narrow" w:hAnsi="Arial Narrow" w:cs="Arial Narrow"/>
          <w:b/>
          <w:bCs/>
        </w:rPr>
      </w:pPr>
      <w:bookmarkStart w:id="168" w:name="_Toc29253"/>
      <w:r>
        <w:rPr>
          <w:rFonts w:hint="eastAsia" w:ascii="Arial Narrow" w:hAnsi="Arial Narrow" w:cs="Arial Narrow"/>
          <w:b/>
          <w:bCs/>
        </w:rPr>
        <w:t>（一）关于评价责任的说明</w:t>
      </w:r>
      <w:bookmarkEnd w:id="168"/>
    </w:p>
    <w:p w14:paraId="56BAAB8A">
      <w:pPr>
        <w:ind w:firstLine="480" w:firstLineChars="0"/>
        <w:rPr>
          <w:rFonts w:ascii="Arial Narrow" w:hAnsi="Arial Narrow" w:cs="Arial Narrow"/>
        </w:rPr>
      </w:pPr>
      <w:r>
        <w:rPr>
          <w:rFonts w:ascii="Arial Narrow" w:hAnsi="Arial Narrow" w:cs="Arial Narrow"/>
        </w:rPr>
        <w:t>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p>
    <w:p w14:paraId="738B041E">
      <w:pPr>
        <w:snapToGrid w:val="0"/>
        <w:ind w:firstLine="482"/>
        <w:outlineLvl w:val="1"/>
        <w:rPr>
          <w:rFonts w:ascii="Arial Narrow" w:hAnsi="Arial Narrow" w:cs="Arial Narrow"/>
          <w:b/>
          <w:bCs/>
        </w:rPr>
      </w:pPr>
      <w:bookmarkStart w:id="169" w:name="_Toc20324"/>
      <w:r>
        <w:rPr>
          <w:rFonts w:hint="eastAsia" w:ascii="Arial Narrow" w:hAnsi="Arial Narrow" w:cs="Arial Narrow"/>
          <w:b/>
          <w:bCs/>
        </w:rPr>
        <w:t>（二）关于评价局限性的说明</w:t>
      </w:r>
      <w:bookmarkEnd w:id="169"/>
    </w:p>
    <w:p w14:paraId="3FED629E">
      <w:pPr>
        <w:ind w:firstLine="480"/>
        <w:rPr>
          <w:rFonts w:ascii="Arial Narrow" w:hAnsi="Arial Narrow" w:cs="仿宋"/>
        </w:rPr>
      </w:pPr>
      <w:bookmarkStart w:id="170" w:name="_Toc454310940"/>
      <w:r>
        <w:rPr>
          <w:rFonts w:hint="eastAsia" w:ascii="Arial Narrow" w:hAnsi="Arial Narrow" w:cs="Arial Narrow"/>
        </w:rPr>
        <w:t>1、</w:t>
      </w:r>
      <w:r>
        <w:rPr>
          <w:rFonts w:hint="eastAsia" w:ascii="Arial Narrow" w:hAnsi="Arial Narrow" w:cs="仿宋"/>
        </w:rPr>
        <w:t>本次绩效评价的数据统计和实施效果分析资料的收集，主要采取了抽样调查方式，评价结论是基于对抽样样本的分析评价得出。</w:t>
      </w:r>
    </w:p>
    <w:p w14:paraId="4539DE89">
      <w:pPr>
        <w:ind w:firstLine="480"/>
        <w:rPr>
          <w:rFonts w:ascii="Arial Narrow" w:hAnsi="Arial Narrow" w:cs="Arial Narrow"/>
        </w:rPr>
      </w:pPr>
      <w:r>
        <w:rPr>
          <w:rFonts w:hint="eastAsia" w:ascii="Arial Narrow" w:hAnsi="Arial Narrow" w:cs="Arial Narrow"/>
        </w:rPr>
        <w:t>2、</w:t>
      </w:r>
      <w:r>
        <w:rPr>
          <w:rFonts w:ascii="Arial Narrow" w:hAnsi="Arial Narrow" w:cs="Arial Narrow"/>
        </w:rPr>
        <w:t>对于绩效评价框架中的部分定性指标，无法根据量化的数据评价并得出分数，评议结果主要依据评价人员的职业判断。</w:t>
      </w:r>
    </w:p>
    <w:p w14:paraId="55766F5A">
      <w:pPr>
        <w:ind w:firstLine="480"/>
        <w:rPr>
          <w:rFonts w:ascii="Arial Narrow" w:hAnsi="Arial Narrow" w:cs="Arial Narrow"/>
        </w:rPr>
      </w:pPr>
      <w:r>
        <w:rPr>
          <w:rFonts w:hint="eastAsia" w:ascii="Arial Narrow" w:hAnsi="Arial Narrow" w:cs="Arial Narrow"/>
        </w:rPr>
        <w:t>3、社会</w:t>
      </w:r>
      <w:r>
        <w:rPr>
          <w:rFonts w:ascii="Arial Narrow" w:hAnsi="Arial Narrow" w:cs="Arial Narrow"/>
        </w:rPr>
        <w:t>公众满意度我们主要采取对</w:t>
      </w:r>
      <w:r>
        <w:rPr>
          <w:rFonts w:hint="eastAsia" w:ascii="Arial Narrow" w:hAnsi="Arial Narrow" w:cs="Arial Narrow"/>
        </w:rPr>
        <w:t>武昌区</w:t>
      </w:r>
      <w:r>
        <w:rPr>
          <w:rFonts w:ascii="Arial Narrow" w:hAnsi="Arial Narrow" w:cs="Arial Narrow"/>
        </w:rPr>
        <w:t>民众发放问卷调查的方式进行的，因本次绩效评价调查问卷对象</w:t>
      </w:r>
      <w:r>
        <w:rPr>
          <w:rFonts w:hint="eastAsia" w:ascii="Arial Narrow" w:hAnsi="Arial Narrow" w:cs="Arial Narrow"/>
        </w:rPr>
        <w:t>有限</w:t>
      </w:r>
      <w:r>
        <w:rPr>
          <w:rFonts w:ascii="Arial Narrow" w:hAnsi="Arial Narrow" w:cs="Arial Narrow"/>
        </w:rPr>
        <w:t>，且评价小组时间及人力、精力有限</w:t>
      </w:r>
      <w:r>
        <w:rPr>
          <w:rFonts w:hint="eastAsia" w:ascii="Arial Narrow" w:hAnsi="Arial Narrow" w:cs="Arial Narrow"/>
        </w:rPr>
        <w:t>，</w:t>
      </w:r>
      <w:r>
        <w:rPr>
          <w:rFonts w:ascii="Arial Narrow" w:hAnsi="Arial Narrow" w:cs="Arial Narrow"/>
        </w:rPr>
        <w:t>对问卷发放收集的信息存在一定的局限性和片面性，可能会导致统计性偏差，对评价结果产生一定的影响。</w:t>
      </w:r>
    </w:p>
    <w:p w14:paraId="04B21FC8">
      <w:pPr>
        <w:snapToGrid w:val="0"/>
        <w:ind w:firstLine="480"/>
        <w:rPr>
          <w:rFonts w:ascii="Arial Narrow" w:hAnsi="Arial Narrow" w:cs="Arial Narrow"/>
        </w:rPr>
      </w:pPr>
      <w:r>
        <w:rPr>
          <w:rFonts w:hint="eastAsia" w:ascii="Arial Narrow" w:hAnsi="Arial Narrow" w:cs="Arial Narrow"/>
        </w:rPr>
        <w:t>4、本项目是经常性的资金使用项目，而且专业性较强。受具体参加本次项目的评价人员的专业能力的影响，对专业指标设定的全面性以及问题、建议提出的专业性可能存在一定的局限性。</w:t>
      </w:r>
    </w:p>
    <w:bookmarkEnd w:id="170"/>
    <w:p w14:paraId="7298064E">
      <w:pPr>
        <w:ind w:firstLine="480"/>
        <w:rPr>
          <w:rFonts w:ascii="Arial Narrow" w:hAnsi="Arial Narrow" w:cs="Arial Narrow"/>
        </w:rPr>
      </w:pPr>
    </w:p>
    <w:sectPr>
      <w:headerReference r:id="rId13" w:type="default"/>
      <w:footerReference r:id="rId14" w:type="default"/>
      <w:pgSz w:w="11906" w:h="16838"/>
      <w:pgMar w:top="2835" w:right="1417" w:bottom="1417" w:left="1984" w:header="851" w:footer="992" w:gutter="0"/>
      <w:cols w:space="720" w:num="1"/>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华文宋体">
    <w:altName w:val="宋体"/>
    <w:panose1 w:val="02010600040101010101"/>
    <w:charset w:val="86"/>
    <w:family w:val="auto"/>
    <w:pitch w:val="default"/>
    <w:sig w:usb0="00000000" w:usb1="00000000" w:usb2="00000010" w:usb3="00000000" w:csb0="0004009F" w:csb1="00000000"/>
  </w:font>
  <w:font w:name="华文细黑">
    <w:altName w:val="微软雅黑"/>
    <w:panose1 w:val="02010600040101010101"/>
    <w:charset w:val="86"/>
    <w:family w:val="swiss"/>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KSOF722E2DD2">
    <w:panose1 w:val="020B0704020202020204"/>
    <w:charset w:val="00"/>
    <w:family w:val="auto"/>
    <w:pitch w:val="default"/>
    <w:sig w:usb0="00000001" w:usb1="00000000" w:usb2="00000000" w:usb3="00000000" w:csb0="00000001" w:csb1="00000000"/>
  </w:font>
  <w:font w:name="KSOF3D47F291">
    <w:panose1 w:val="020B0604020202020204"/>
    <w:charset w:val="00"/>
    <w:family w:val="auto"/>
    <w:pitch w:val="default"/>
    <w:sig w:usb0="00000001" w:usb1="00000000" w:usb2="00000000" w:usb3="00000000" w:csb0="0000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9EBCA">
    <w:pPr>
      <w:pStyle w:val="9"/>
      <w:ind w:firstLine="360"/>
      <w:jc w:val="center"/>
    </w:pPr>
  </w:p>
  <w:p w14:paraId="144D378B">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C57C7">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2E5CE">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A8B44">
    <w:pPr>
      <w:pStyle w:val="9"/>
      <w:ind w:firstLine="360"/>
      <w:jc w:val="center"/>
    </w:pPr>
    <w:r>
      <w:rPr>
        <w:lang w:bidi="mn-Mong-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196850"/>
              <wp:effectExtent l="0" t="0" r="0" b="0"/>
              <wp:wrapNone/>
              <wp:docPr id="18"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wps:spPr>
                    <wps:txbx>
                      <w:txbxContent>
                        <w:p w14:paraId="21777B07">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5.5pt;width:27.05pt;mso-position-horizontal:center;mso-position-horizontal-relative:margin;mso-wrap-style:none;z-index:251661312;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2o66XRAAAAAwEAAA8AAAAAAAAAAQAgAAAAIgAAAGRy&#10;cy9kb3ducmV2LnhtbFBLAQIUABQAAAAIAIdO4kAWcW3PDAIAAAQEAAAOAAAAAAAAAAEAIAAAACAB&#10;AABkcnMvZTJvRG9jLnhtbFBLBQYAAAAABgAGAFkBAACeBQAAAAA=&#10;">
              <v:fill on="f" focussize="0,0"/>
              <v:stroke on="f"/>
              <v:imagedata o:title=""/>
              <o:lock v:ext="edit" aspectratio="f"/>
              <v:textbox inset="0mm,0mm,0mm,0mm" style="mso-fit-shape-to-text:t;">
                <w:txbxContent>
                  <w:p w14:paraId="21777B07">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p w14:paraId="673A6869">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4AFDA">
    <w:pPr>
      <w:pStyle w:val="9"/>
      <w:ind w:firstLine="360"/>
      <w:jc w:val="center"/>
    </w:pPr>
    <w:r>
      <w:rPr>
        <w:lang w:bidi="mn-Mong-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196850"/>
              <wp:effectExtent l="0" t="0" r="0" b="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wps:spPr>
                    <wps:txbx>
                      <w:txbxContent>
                        <w:p w14:paraId="1AEC754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5.5pt;width:27.05pt;mso-position-horizontal:center;mso-position-horizontal-relative:margin;mso-wrap-style:none;z-index:251662336;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ajrpdEAAAADAQAADwAAAAAAAAABACAAAAAiAAAAZHJz&#10;L2Rvd25yZXYueG1sUEsBAhQAFAAAAAgAh07iQBBS6w0LAgAAAwQAAA4AAAAAAAAAAQAgAAAAIAEA&#10;AGRycy9lMm9Eb2MueG1sUEsFBgAAAAAGAAYAWQEAAJ0FAAAAAA==&#10;">
              <v:fill on="f" focussize="0,0"/>
              <v:stroke on="f"/>
              <v:imagedata o:title=""/>
              <o:lock v:ext="edit" aspectratio="f"/>
              <v:textbox inset="0mm,0mm,0mm,0mm" style="mso-fit-shape-to-text:t;">
                <w:txbxContent>
                  <w:p w14:paraId="1AEC754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p w14:paraId="5EE2289D">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5C9D">
    <w:pPr>
      <w:ind w:firstLine="281"/>
      <w:jc w:val="center"/>
      <w:rPr>
        <w:rFonts w:eastAsia="黑体"/>
        <w:sz w:val="14"/>
        <w:szCs w:val="14"/>
      </w:rPr>
    </w:pPr>
    <w:r>
      <w:rPr>
        <w:rFonts w:eastAsia="黑体"/>
        <w:b/>
        <w:sz w:val="14"/>
        <w:szCs w:val="14"/>
        <w:lang w:bidi="mn-Mong-CN"/>
      </w:rPr>
      <mc:AlternateContent>
        <mc:Choice Requires="wps">
          <w:drawing>
            <wp:anchor distT="0" distB="0" distL="114300" distR="114300" simplePos="0" relativeHeight="251660288" behindDoc="0" locked="0" layoutInCell="1" allowOverlap="1">
              <wp:simplePos x="0" y="0"/>
              <wp:positionH relativeFrom="page">
                <wp:posOffset>4809490</wp:posOffset>
              </wp:positionH>
              <wp:positionV relativeFrom="page">
                <wp:posOffset>834390</wp:posOffset>
              </wp:positionV>
              <wp:extent cx="1619885" cy="890270"/>
              <wp:effectExtent l="0" t="0" r="0" b="0"/>
              <wp:wrapNone/>
              <wp:docPr id="4" name="文本框 14"/>
              <wp:cNvGraphicFramePr/>
              <a:graphic xmlns:a="http://schemas.openxmlformats.org/drawingml/2006/main">
                <a:graphicData uri="http://schemas.microsoft.com/office/word/2010/wordprocessingShape">
                  <wps:wsp>
                    <wps:cNvSpPr/>
                    <wps:spPr>
                      <a:xfrm>
                        <a:off x="0" y="0"/>
                        <a:ext cx="1619885" cy="890270"/>
                      </a:xfrm>
                      <a:prstGeom prst="rect">
                        <a:avLst/>
                      </a:prstGeom>
                      <a:noFill/>
                      <a:ln w="9525">
                        <a:noFill/>
                      </a:ln>
                      <a:effectLst/>
                    </wps:spPr>
                    <wps:txbx>
                      <w:txbxContent>
                        <w:p w14:paraId="16DBEBDD">
                          <w:pPr>
                            <w:ind w:firstLine="480"/>
                          </w:pPr>
                        </w:p>
                      </w:txbxContent>
                    </wps:txbx>
                    <wps:bodyPr upright="1"/>
                  </wps:wsp>
                </a:graphicData>
              </a:graphic>
            </wp:anchor>
          </w:drawing>
        </mc:Choice>
        <mc:Fallback>
          <w:pict>
            <v:rect id="文本框 14" o:spid="_x0000_s1026" o:spt="1" style="position:absolute;left:0pt;margin-left:378.7pt;margin-top:65.7pt;height:70.1pt;width:127.55pt;mso-position-horizontal-relative:page;mso-position-vertical-relative:page;z-index:251660288;mso-width-relative:page;mso-height-relative:page;" filled="f" stroked="f" coordsize="21600,21600" o:gfxdata="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0FsJTcAAAADAEAAA8AAAAAAAAAAQAgAAAAIgAAAGRycy9kb3ducmV2LnhtbFBLAQIU&#10;ABQAAAAIAIdO4kBDr8J9tgEAAFwDAAAOAAAAAAAAAAEAIAAAACsBAABkcnMvZTJvRG9jLnhtbFBL&#10;BQYAAAAABgAGAFkBAABTBQAAAAA=&#10;">
              <v:fill on="f" focussize="0,0"/>
              <v:stroke on="f"/>
              <v:imagedata o:title=""/>
              <o:lock v:ext="edit" aspectratio="f"/>
              <v:textbox>
                <w:txbxContent>
                  <w:p w14:paraId="16DBEBDD">
                    <w:pPr>
                      <w:ind w:firstLine="48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2706">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C01E7">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8C546">
    <w:pPr>
      <w:pStyle w:val="1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E98E">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2A7FA"/>
    <w:multiLevelType w:val="singleLevel"/>
    <w:tmpl w:val="F7C2A7FA"/>
    <w:lvl w:ilvl="0" w:tentative="0">
      <w:start w:val="1"/>
      <w:numFmt w:val="decimal"/>
      <w:suff w:val="nothing"/>
      <w:lvlText w:val="%1、"/>
      <w:lvlJc w:val="left"/>
    </w:lvl>
  </w:abstractNum>
  <w:abstractNum w:abstractNumId="1">
    <w:nsid w:val="5933C619"/>
    <w:multiLevelType w:val="singleLevel"/>
    <w:tmpl w:val="5933C619"/>
    <w:lvl w:ilvl="0" w:tentative="0">
      <w:start w:val="2"/>
      <w:numFmt w:val="decimal"/>
      <w:suff w:val="nothing"/>
      <w:lvlText w:val="（%1）"/>
      <w:lvlJc w:val="left"/>
    </w:lvl>
  </w:abstractNum>
  <w:abstractNum w:abstractNumId="2">
    <w:nsid w:val="5933CF8F"/>
    <w:multiLevelType w:val="singleLevel"/>
    <w:tmpl w:val="5933CF8F"/>
    <w:lvl w:ilvl="0" w:tentative="0">
      <w:start w:val="2"/>
      <w:numFmt w:val="decimal"/>
      <w:suff w:val="nothing"/>
      <w:lvlText w:val="（%1）"/>
      <w:lvlJc w:val="left"/>
    </w:lvl>
  </w:abstractNum>
  <w:abstractNum w:abstractNumId="3">
    <w:nsid w:val="593414C3"/>
    <w:multiLevelType w:val="singleLevel"/>
    <w:tmpl w:val="593414C3"/>
    <w:lvl w:ilvl="0" w:tentative="0">
      <w:start w:val="2"/>
      <w:numFmt w:val="decimal"/>
      <w:suff w:val="nothing"/>
      <w:lvlText w:val="（%1）"/>
      <w:lvlJc w:val="left"/>
    </w:lvl>
  </w:abstractNum>
  <w:abstractNum w:abstractNumId="4">
    <w:nsid w:val="59361A8A"/>
    <w:multiLevelType w:val="singleLevel"/>
    <w:tmpl w:val="59361A8A"/>
    <w:lvl w:ilvl="0" w:tentative="0">
      <w:start w:val="1"/>
      <w:numFmt w:val="chineseCounting"/>
      <w:suff w:val="nothing"/>
      <w:lvlText w:val="（%1）"/>
      <w:lvlJc w:val="left"/>
    </w:lvl>
  </w:abstractNum>
  <w:abstractNum w:abstractNumId="5">
    <w:nsid w:val="593A060B"/>
    <w:multiLevelType w:val="singleLevel"/>
    <w:tmpl w:val="593A060B"/>
    <w:lvl w:ilvl="0" w:tentative="0">
      <w:start w:val="6"/>
      <w:numFmt w:val="chineseCounting"/>
      <w:suff w:val="nothing"/>
      <w:lvlText w:val="%1、"/>
      <w:lvlJc w:val="left"/>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33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C531B"/>
    <w:rsid w:val="000010FC"/>
    <w:rsid w:val="00004DAF"/>
    <w:rsid w:val="00025D7F"/>
    <w:rsid w:val="000320E0"/>
    <w:rsid w:val="00041DB6"/>
    <w:rsid w:val="00054747"/>
    <w:rsid w:val="000614F7"/>
    <w:rsid w:val="00064158"/>
    <w:rsid w:val="00065FDA"/>
    <w:rsid w:val="0008474B"/>
    <w:rsid w:val="00086016"/>
    <w:rsid w:val="000A0A2D"/>
    <w:rsid w:val="000A46E4"/>
    <w:rsid w:val="000A511B"/>
    <w:rsid w:val="000C04E7"/>
    <w:rsid w:val="000D538B"/>
    <w:rsid w:val="000D67E8"/>
    <w:rsid w:val="000D7479"/>
    <w:rsid w:val="000E2502"/>
    <w:rsid w:val="000E4DAD"/>
    <w:rsid w:val="00103911"/>
    <w:rsid w:val="00104037"/>
    <w:rsid w:val="001069CE"/>
    <w:rsid w:val="0011212D"/>
    <w:rsid w:val="00126804"/>
    <w:rsid w:val="001324B7"/>
    <w:rsid w:val="00134855"/>
    <w:rsid w:val="00137B8C"/>
    <w:rsid w:val="0015103B"/>
    <w:rsid w:val="0015133C"/>
    <w:rsid w:val="00155AF0"/>
    <w:rsid w:val="001573B0"/>
    <w:rsid w:val="0016777C"/>
    <w:rsid w:val="00171BA4"/>
    <w:rsid w:val="0017342C"/>
    <w:rsid w:val="0019362F"/>
    <w:rsid w:val="001C7C93"/>
    <w:rsid w:val="001D5697"/>
    <w:rsid w:val="001E47A8"/>
    <w:rsid w:val="00200CF3"/>
    <w:rsid w:val="00215A80"/>
    <w:rsid w:val="00223444"/>
    <w:rsid w:val="0022415D"/>
    <w:rsid w:val="002258E9"/>
    <w:rsid w:val="002345D1"/>
    <w:rsid w:val="002352B0"/>
    <w:rsid w:val="002358FB"/>
    <w:rsid w:val="00240EB9"/>
    <w:rsid w:val="00251F01"/>
    <w:rsid w:val="00265963"/>
    <w:rsid w:val="0026788A"/>
    <w:rsid w:val="00267B8A"/>
    <w:rsid w:val="00272CFD"/>
    <w:rsid w:val="00276F86"/>
    <w:rsid w:val="002967FC"/>
    <w:rsid w:val="002A39E7"/>
    <w:rsid w:val="002B2C73"/>
    <w:rsid w:val="002B354F"/>
    <w:rsid w:val="002B692A"/>
    <w:rsid w:val="002C1475"/>
    <w:rsid w:val="002D2DAB"/>
    <w:rsid w:val="002E362B"/>
    <w:rsid w:val="002E75B3"/>
    <w:rsid w:val="002E778C"/>
    <w:rsid w:val="002F4E91"/>
    <w:rsid w:val="002F7409"/>
    <w:rsid w:val="00303354"/>
    <w:rsid w:val="00307A8E"/>
    <w:rsid w:val="00320586"/>
    <w:rsid w:val="00321660"/>
    <w:rsid w:val="00322797"/>
    <w:rsid w:val="00331706"/>
    <w:rsid w:val="003402CC"/>
    <w:rsid w:val="0034500E"/>
    <w:rsid w:val="003715C8"/>
    <w:rsid w:val="003811A9"/>
    <w:rsid w:val="003826DC"/>
    <w:rsid w:val="00387902"/>
    <w:rsid w:val="00391B0B"/>
    <w:rsid w:val="003925DB"/>
    <w:rsid w:val="003A680C"/>
    <w:rsid w:val="003C5964"/>
    <w:rsid w:val="003E147B"/>
    <w:rsid w:val="003F130A"/>
    <w:rsid w:val="00400237"/>
    <w:rsid w:val="00401F48"/>
    <w:rsid w:val="0040489C"/>
    <w:rsid w:val="0041530B"/>
    <w:rsid w:val="00425D7B"/>
    <w:rsid w:val="00435229"/>
    <w:rsid w:val="004567B5"/>
    <w:rsid w:val="00490493"/>
    <w:rsid w:val="004A717E"/>
    <w:rsid w:val="004C5EDA"/>
    <w:rsid w:val="004D2624"/>
    <w:rsid w:val="004D6F04"/>
    <w:rsid w:val="004F1F13"/>
    <w:rsid w:val="004F5496"/>
    <w:rsid w:val="00500532"/>
    <w:rsid w:val="0055530D"/>
    <w:rsid w:val="00560A69"/>
    <w:rsid w:val="005616CA"/>
    <w:rsid w:val="00561E2A"/>
    <w:rsid w:val="00565B66"/>
    <w:rsid w:val="00567217"/>
    <w:rsid w:val="00591482"/>
    <w:rsid w:val="0059505D"/>
    <w:rsid w:val="00596C74"/>
    <w:rsid w:val="005A1374"/>
    <w:rsid w:val="005A197C"/>
    <w:rsid w:val="005C285B"/>
    <w:rsid w:val="005C5A9F"/>
    <w:rsid w:val="00611CC2"/>
    <w:rsid w:val="0062664C"/>
    <w:rsid w:val="006410DC"/>
    <w:rsid w:val="00646FF9"/>
    <w:rsid w:val="00656428"/>
    <w:rsid w:val="00676ACE"/>
    <w:rsid w:val="00690E5F"/>
    <w:rsid w:val="00693A64"/>
    <w:rsid w:val="006969A7"/>
    <w:rsid w:val="006A5F7A"/>
    <w:rsid w:val="006B3BBB"/>
    <w:rsid w:val="006C15FD"/>
    <w:rsid w:val="006D186E"/>
    <w:rsid w:val="006D7A1D"/>
    <w:rsid w:val="006E168E"/>
    <w:rsid w:val="007639F3"/>
    <w:rsid w:val="00776AE6"/>
    <w:rsid w:val="0078128F"/>
    <w:rsid w:val="00785582"/>
    <w:rsid w:val="00786CD1"/>
    <w:rsid w:val="007907D3"/>
    <w:rsid w:val="00791773"/>
    <w:rsid w:val="00793F95"/>
    <w:rsid w:val="007A0B37"/>
    <w:rsid w:val="007C368D"/>
    <w:rsid w:val="007C4843"/>
    <w:rsid w:val="007E34D7"/>
    <w:rsid w:val="007F17A2"/>
    <w:rsid w:val="00801054"/>
    <w:rsid w:val="00803A89"/>
    <w:rsid w:val="00804795"/>
    <w:rsid w:val="00806C27"/>
    <w:rsid w:val="0081280D"/>
    <w:rsid w:val="0083722A"/>
    <w:rsid w:val="00837764"/>
    <w:rsid w:val="00850898"/>
    <w:rsid w:val="00851496"/>
    <w:rsid w:val="008835F4"/>
    <w:rsid w:val="00893ECB"/>
    <w:rsid w:val="00894B28"/>
    <w:rsid w:val="008A35B1"/>
    <w:rsid w:val="008B3B2F"/>
    <w:rsid w:val="008B7B2F"/>
    <w:rsid w:val="008C0DEA"/>
    <w:rsid w:val="008C4B06"/>
    <w:rsid w:val="008C4C14"/>
    <w:rsid w:val="008D02B3"/>
    <w:rsid w:val="008D1458"/>
    <w:rsid w:val="008E1159"/>
    <w:rsid w:val="008E3D62"/>
    <w:rsid w:val="00911781"/>
    <w:rsid w:val="00945AF0"/>
    <w:rsid w:val="00960F73"/>
    <w:rsid w:val="009675DD"/>
    <w:rsid w:val="00971E76"/>
    <w:rsid w:val="0097714C"/>
    <w:rsid w:val="009804EA"/>
    <w:rsid w:val="009A4CD0"/>
    <w:rsid w:val="009B38F9"/>
    <w:rsid w:val="00A07963"/>
    <w:rsid w:val="00A175C9"/>
    <w:rsid w:val="00A17BE4"/>
    <w:rsid w:val="00A17EA1"/>
    <w:rsid w:val="00A34DE3"/>
    <w:rsid w:val="00A4269F"/>
    <w:rsid w:val="00A4490F"/>
    <w:rsid w:val="00A52857"/>
    <w:rsid w:val="00A53870"/>
    <w:rsid w:val="00A6604B"/>
    <w:rsid w:val="00A67DF7"/>
    <w:rsid w:val="00A71983"/>
    <w:rsid w:val="00A8003B"/>
    <w:rsid w:val="00A82753"/>
    <w:rsid w:val="00A85F5E"/>
    <w:rsid w:val="00A952C0"/>
    <w:rsid w:val="00AA00E5"/>
    <w:rsid w:val="00AA7208"/>
    <w:rsid w:val="00AB4E6A"/>
    <w:rsid w:val="00AC09F6"/>
    <w:rsid w:val="00AF256F"/>
    <w:rsid w:val="00B158E3"/>
    <w:rsid w:val="00B3229D"/>
    <w:rsid w:val="00B43093"/>
    <w:rsid w:val="00B4577D"/>
    <w:rsid w:val="00B5265B"/>
    <w:rsid w:val="00B839A6"/>
    <w:rsid w:val="00BA0EF4"/>
    <w:rsid w:val="00BA4B6A"/>
    <w:rsid w:val="00BB7AF9"/>
    <w:rsid w:val="00BC2723"/>
    <w:rsid w:val="00BC54D1"/>
    <w:rsid w:val="00BC6754"/>
    <w:rsid w:val="00BD49B1"/>
    <w:rsid w:val="00BD66DA"/>
    <w:rsid w:val="00BE00CC"/>
    <w:rsid w:val="00BE6152"/>
    <w:rsid w:val="00BF48E1"/>
    <w:rsid w:val="00C03D19"/>
    <w:rsid w:val="00C12C75"/>
    <w:rsid w:val="00C159E7"/>
    <w:rsid w:val="00C71D35"/>
    <w:rsid w:val="00C72763"/>
    <w:rsid w:val="00C862B4"/>
    <w:rsid w:val="00C9299B"/>
    <w:rsid w:val="00C94A85"/>
    <w:rsid w:val="00C97A3E"/>
    <w:rsid w:val="00CB1ECC"/>
    <w:rsid w:val="00CB63FD"/>
    <w:rsid w:val="00CB7E54"/>
    <w:rsid w:val="00CC1D62"/>
    <w:rsid w:val="00CD747C"/>
    <w:rsid w:val="00CE00A2"/>
    <w:rsid w:val="00CF437E"/>
    <w:rsid w:val="00D229D9"/>
    <w:rsid w:val="00D23903"/>
    <w:rsid w:val="00D30EDA"/>
    <w:rsid w:val="00D6209C"/>
    <w:rsid w:val="00D64E72"/>
    <w:rsid w:val="00D800B2"/>
    <w:rsid w:val="00D87301"/>
    <w:rsid w:val="00D87743"/>
    <w:rsid w:val="00DA0C93"/>
    <w:rsid w:val="00DA1697"/>
    <w:rsid w:val="00DB208C"/>
    <w:rsid w:val="00DC3333"/>
    <w:rsid w:val="00DC4184"/>
    <w:rsid w:val="00DD183A"/>
    <w:rsid w:val="00DE28E6"/>
    <w:rsid w:val="00E00025"/>
    <w:rsid w:val="00E00238"/>
    <w:rsid w:val="00E02E2A"/>
    <w:rsid w:val="00E14771"/>
    <w:rsid w:val="00E156EC"/>
    <w:rsid w:val="00E25919"/>
    <w:rsid w:val="00E3176A"/>
    <w:rsid w:val="00E36872"/>
    <w:rsid w:val="00E44BD3"/>
    <w:rsid w:val="00E4523D"/>
    <w:rsid w:val="00E622DD"/>
    <w:rsid w:val="00E82B2A"/>
    <w:rsid w:val="00E846E7"/>
    <w:rsid w:val="00E86305"/>
    <w:rsid w:val="00E90673"/>
    <w:rsid w:val="00E954A3"/>
    <w:rsid w:val="00E96B5B"/>
    <w:rsid w:val="00EA0CB6"/>
    <w:rsid w:val="00EB604B"/>
    <w:rsid w:val="00EC2350"/>
    <w:rsid w:val="00EC42BF"/>
    <w:rsid w:val="00EC7254"/>
    <w:rsid w:val="00ED31D1"/>
    <w:rsid w:val="00EE0825"/>
    <w:rsid w:val="00EE46CC"/>
    <w:rsid w:val="00F03A06"/>
    <w:rsid w:val="00F116C2"/>
    <w:rsid w:val="00F12303"/>
    <w:rsid w:val="00F26CFC"/>
    <w:rsid w:val="00F31F87"/>
    <w:rsid w:val="00F436C7"/>
    <w:rsid w:val="00F45C22"/>
    <w:rsid w:val="00F4721C"/>
    <w:rsid w:val="00F4787F"/>
    <w:rsid w:val="00F50460"/>
    <w:rsid w:val="00F65B83"/>
    <w:rsid w:val="00F739C0"/>
    <w:rsid w:val="00F86FDC"/>
    <w:rsid w:val="00F96066"/>
    <w:rsid w:val="00FA60BD"/>
    <w:rsid w:val="00FB2BC6"/>
    <w:rsid w:val="00FB6871"/>
    <w:rsid w:val="00FC4959"/>
    <w:rsid w:val="011428A2"/>
    <w:rsid w:val="01CE2748"/>
    <w:rsid w:val="026D3267"/>
    <w:rsid w:val="02893A74"/>
    <w:rsid w:val="030651A7"/>
    <w:rsid w:val="036D378E"/>
    <w:rsid w:val="03EC41C9"/>
    <w:rsid w:val="04F27781"/>
    <w:rsid w:val="058855D9"/>
    <w:rsid w:val="05915E1C"/>
    <w:rsid w:val="05D217AC"/>
    <w:rsid w:val="06430028"/>
    <w:rsid w:val="06C752A1"/>
    <w:rsid w:val="078657BE"/>
    <w:rsid w:val="08555171"/>
    <w:rsid w:val="091B19B5"/>
    <w:rsid w:val="09F671F8"/>
    <w:rsid w:val="0A026636"/>
    <w:rsid w:val="0A54673A"/>
    <w:rsid w:val="0A6313EF"/>
    <w:rsid w:val="0B026036"/>
    <w:rsid w:val="0B6F2C1C"/>
    <w:rsid w:val="0B7B3B3F"/>
    <w:rsid w:val="0B860BC3"/>
    <w:rsid w:val="0BAB0A48"/>
    <w:rsid w:val="0BD547F6"/>
    <w:rsid w:val="0C0236FA"/>
    <w:rsid w:val="0CCC64C6"/>
    <w:rsid w:val="0D9F1CC0"/>
    <w:rsid w:val="0DF65C96"/>
    <w:rsid w:val="0E42436F"/>
    <w:rsid w:val="0E7B4B4C"/>
    <w:rsid w:val="1025655B"/>
    <w:rsid w:val="10863D1C"/>
    <w:rsid w:val="115D7434"/>
    <w:rsid w:val="125F0FE0"/>
    <w:rsid w:val="12621F5E"/>
    <w:rsid w:val="12DC38CC"/>
    <w:rsid w:val="13EB3DA7"/>
    <w:rsid w:val="14D72754"/>
    <w:rsid w:val="151A3B8B"/>
    <w:rsid w:val="15515848"/>
    <w:rsid w:val="159957F0"/>
    <w:rsid w:val="16C72788"/>
    <w:rsid w:val="16DB586F"/>
    <w:rsid w:val="16E56AD4"/>
    <w:rsid w:val="173D39E0"/>
    <w:rsid w:val="177F3504"/>
    <w:rsid w:val="17C85B15"/>
    <w:rsid w:val="180157DF"/>
    <w:rsid w:val="181E49FF"/>
    <w:rsid w:val="18781D83"/>
    <w:rsid w:val="191E1160"/>
    <w:rsid w:val="19B41E61"/>
    <w:rsid w:val="1A0C1112"/>
    <w:rsid w:val="1A21287B"/>
    <w:rsid w:val="1AA11E98"/>
    <w:rsid w:val="1ACB3A17"/>
    <w:rsid w:val="1B5E338D"/>
    <w:rsid w:val="1D464FEE"/>
    <w:rsid w:val="1D7A4F9C"/>
    <w:rsid w:val="1DBB3C07"/>
    <w:rsid w:val="1DDB3F4A"/>
    <w:rsid w:val="1E503061"/>
    <w:rsid w:val="1EAA3A06"/>
    <w:rsid w:val="1EC717EC"/>
    <w:rsid w:val="1F3170E1"/>
    <w:rsid w:val="20225EEB"/>
    <w:rsid w:val="207C51D9"/>
    <w:rsid w:val="21463FDB"/>
    <w:rsid w:val="21D04294"/>
    <w:rsid w:val="220D72C6"/>
    <w:rsid w:val="226A5A75"/>
    <w:rsid w:val="229674AA"/>
    <w:rsid w:val="22D75917"/>
    <w:rsid w:val="22FF411A"/>
    <w:rsid w:val="234F7790"/>
    <w:rsid w:val="239168E4"/>
    <w:rsid w:val="23DD2FA1"/>
    <w:rsid w:val="23E7489F"/>
    <w:rsid w:val="24C82957"/>
    <w:rsid w:val="24FD7E15"/>
    <w:rsid w:val="2507468C"/>
    <w:rsid w:val="25DA5896"/>
    <w:rsid w:val="2656249B"/>
    <w:rsid w:val="27136ABE"/>
    <w:rsid w:val="27552F51"/>
    <w:rsid w:val="279D5E0D"/>
    <w:rsid w:val="28B110CF"/>
    <w:rsid w:val="28D1437E"/>
    <w:rsid w:val="29D3136C"/>
    <w:rsid w:val="2A4E28A0"/>
    <w:rsid w:val="2A6F674A"/>
    <w:rsid w:val="2B3D5CF0"/>
    <w:rsid w:val="2BD97A31"/>
    <w:rsid w:val="2C4F11D6"/>
    <w:rsid w:val="2D143C58"/>
    <w:rsid w:val="2D9C5B51"/>
    <w:rsid w:val="2DA44987"/>
    <w:rsid w:val="2F164C02"/>
    <w:rsid w:val="2F493592"/>
    <w:rsid w:val="2F810648"/>
    <w:rsid w:val="2FC73C1F"/>
    <w:rsid w:val="2FD5274D"/>
    <w:rsid w:val="2FE8577D"/>
    <w:rsid w:val="3000228E"/>
    <w:rsid w:val="30813672"/>
    <w:rsid w:val="30BA3807"/>
    <w:rsid w:val="30CA6AFF"/>
    <w:rsid w:val="30D20C73"/>
    <w:rsid w:val="318E2BD1"/>
    <w:rsid w:val="31C90B84"/>
    <w:rsid w:val="3261049A"/>
    <w:rsid w:val="32DF3E15"/>
    <w:rsid w:val="330714A7"/>
    <w:rsid w:val="341526B9"/>
    <w:rsid w:val="34323D20"/>
    <w:rsid w:val="34326F67"/>
    <w:rsid w:val="352C73E2"/>
    <w:rsid w:val="3566675C"/>
    <w:rsid w:val="35E73737"/>
    <w:rsid w:val="360441A9"/>
    <w:rsid w:val="36866AEA"/>
    <w:rsid w:val="372B57C4"/>
    <w:rsid w:val="382115F3"/>
    <w:rsid w:val="38EE5EB5"/>
    <w:rsid w:val="399E42CB"/>
    <w:rsid w:val="3A1A6D5D"/>
    <w:rsid w:val="3A45682E"/>
    <w:rsid w:val="3A592684"/>
    <w:rsid w:val="3ACB1D39"/>
    <w:rsid w:val="3BCD3219"/>
    <w:rsid w:val="3C0A4FD6"/>
    <w:rsid w:val="3C101805"/>
    <w:rsid w:val="3C1E0A44"/>
    <w:rsid w:val="3C967796"/>
    <w:rsid w:val="3C994BD1"/>
    <w:rsid w:val="3CB25410"/>
    <w:rsid w:val="3CE72AAE"/>
    <w:rsid w:val="3DEB0147"/>
    <w:rsid w:val="3E8C531B"/>
    <w:rsid w:val="3EB16F00"/>
    <w:rsid w:val="3EB21EA1"/>
    <w:rsid w:val="402A3612"/>
    <w:rsid w:val="40857789"/>
    <w:rsid w:val="41141EAE"/>
    <w:rsid w:val="419A46E2"/>
    <w:rsid w:val="423B500D"/>
    <w:rsid w:val="43E37D5C"/>
    <w:rsid w:val="44377B2A"/>
    <w:rsid w:val="44BB1361"/>
    <w:rsid w:val="44C11987"/>
    <w:rsid w:val="44D93C2C"/>
    <w:rsid w:val="45106CF6"/>
    <w:rsid w:val="452B48F4"/>
    <w:rsid w:val="45600F2C"/>
    <w:rsid w:val="464B4485"/>
    <w:rsid w:val="46B167AD"/>
    <w:rsid w:val="46E425A3"/>
    <w:rsid w:val="46FD4C5C"/>
    <w:rsid w:val="47497F1C"/>
    <w:rsid w:val="474C7BFA"/>
    <w:rsid w:val="478E6C7B"/>
    <w:rsid w:val="47FC321F"/>
    <w:rsid w:val="49A27A4C"/>
    <w:rsid w:val="4A6251C0"/>
    <w:rsid w:val="4ABC6723"/>
    <w:rsid w:val="4BC83BB9"/>
    <w:rsid w:val="4C855373"/>
    <w:rsid w:val="4CBB37E7"/>
    <w:rsid w:val="4CCD6044"/>
    <w:rsid w:val="4E0B25F9"/>
    <w:rsid w:val="4E653AB8"/>
    <w:rsid w:val="4E66443E"/>
    <w:rsid w:val="4EA6636B"/>
    <w:rsid w:val="4EF27BA3"/>
    <w:rsid w:val="4F0F23AC"/>
    <w:rsid w:val="4F66391A"/>
    <w:rsid w:val="4FAA49C4"/>
    <w:rsid w:val="4FC90E48"/>
    <w:rsid w:val="513C3435"/>
    <w:rsid w:val="54582280"/>
    <w:rsid w:val="55025983"/>
    <w:rsid w:val="554C1C7A"/>
    <w:rsid w:val="558707E9"/>
    <w:rsid w:val="5596713B"/>
    <w:rsid w:val="56076047"/>
    <w:rsid w:val="56212C63"/>
    <w:rsid w:val="56636999"/>
    <w:rsid w:val="56EE7965"/>
    <w:rsid w:val="57E12C90"/>
    <w:rsid w:val="58EB3D7F"/>
    <w:rsid w:val="59305EF4"/>
    <w:rsid w:val="5934181B"/>
    <w:rsid w:val="594030E3"/>
    <w:rsid w:val="59F13C7E"/>
    <w:rsid w:val="5AB16599"/>
    <w:rsid w:val="5B137C62"/>
    <w:rsid w:val="5B9F798F"/>
    <w:rsid w:val="5C0577C0"/>
    <w:rsid w:val="5CFF00B0"/>
    <w:rsid w:val="5D0101CA"/>
    <w:rsid w:val="5D6561E2"/>
    <w:rsid w:val="5E423D53"/>
    <w:rsid w:val="5EAC6837"/>
    <w:rsid w:val="5EAD45AB"/>
    <w:rsid w:val="5FBC4397"/>
    <w:rsid w:val="5FCB7F49"/>
    <w:rsid w:val="5FCC7BA3"/>
    <w:rsid w:val="6014492A"/>
    <w:rsid w:val="603F6722"/>
    <w:rsid w:val="605C7FF8"/>
    <w:rsid w:val="60AE2C90"/>
    <w:rsid w:val="60E434AE"/>
    <w:rsid w:val="6182340B"/>
    <w:rsid w:val="621F6929"/>
    <w:rsid w:val="622D4184"/>
    <w:rsid w:val="62664934"/>
    <w:rsid w:val="645A357B"/>
    <w:rsid w:val="64864306"/>
    <w:rsid w:val="64AF66DB"/>
    <w:rsid w:val="64D3023F"/>
    <w:rsid w:val="64E05241"/>
    <w:rsid w:val="650A7977"/>
    <w:rsid w:val="658D40C3"/>
    <w:rsid w:val="65A94367"/>
    <w:rsid w:val="65C77BB8"/>
    <w:rsid w:val="6623033F"/>
    <w:rsid w:val="665550EC"/>
    <w:rsid w:val="667F6E4B"/>
    <w:rsid w:val="66A60CAD"/>
    <w:rsid w:val="66C730EB"/>
    <w:rsid w:val="67007365"/>
    <w:rsid w:val="6714361A"/>
    <w:rsid w:val="67DE4437"/>
    <w:rsid w:val="67E43E64"/>
    <w:rsid w:val="68757C3C"/>
    <w:rsid w:val="688F3FE9"/>
    <w:rsid w:val="68E36237"/>
    <w:rsid w:val="694D5817"/>
    <w:rsid w:val="6966369D"/>
    <w:rsid w:val="6ADB63C6"/>
    <w:rsid w:val="6BA9647C"/>
    <w:rsid w:val="6BFA13FA"/>
    <w:rsid w:val="6D45741C"/>
    <w:rsid w:val="6DA85B44"/>
    <w:rsid w:val="703E5239"/>
    <w:rsid w:val="70654717"/>
    <w:rsid w:val="708E3BF1"/>
    <w:rsid w:val="70F06993"/>
    <w:rsid w:val="7128586E"/>
    <w:rsid w:val="719826CA"/>
    <w:rsid w:val="71AD6824"/>
    <w:rsid w:val="71CC2951"/>
    <w:rsid w:val="720A1EEF"/>
    <w:rsid w:val="725A6D90"/>
    <w:rsid w:val="72AC0E73"/>
    <w:rsid w:val="72C457DC"/>
    <w:rsid w:val="74633A40"/>
    <w:rsid w:val="74B72F2A"/>
    <w:rsid w:val="758520F0"/>
    <w:rsid w:val="760F6CBB"/>
    <w:rsid w:val="76291ADA"/>
    <w:rsid w:val="77597472"/>
    <w:rsid w:val="7760429C"/>
    <w:rsid w:val="77AD2B14"/>
    <w:rsid w:val="77DA4923"/>
    <w:rsid w:val="78C44F2A"/>
    <w:rsid w:val="78C470BC"/>
    <w:rsid w:val="79977550"/>
    <w:rsid w:val="7A340220"/>
    <w:rsid w:val="7A6A0C3E"/>
    <w:rsid w:val="7ACA3DA6"/>
    <w:rsid w:val="7B714BF2"/>
    <w:rsid w:val="7C2A2218"/>
    <w:rsid w:val="7CE141DB"/>
    <w:rsid w:val="7D4B1B68"/>
    <w:rsid w:val="7DFA033A"/>
    <w:rsid w:val="7F0D5B7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2"/>
    <w:basedOn w:val="1"/>
    <w:next w:val="1"/>
    <w:qFormat/>
    <w:uiPriority w:val="0"/>
    <w:pPr>
      <w:keepNext/>
      <w:keepLines/>
      <w:ind w:firstLine="560"/>
      <w:outlineLvl w:val="1"/>
    </w:pPr>
    <w:rPr>
      <w:rFonts w:ascii="Arial" w:hAnsi="Arial"/>
      <w:b/>
      <w:bCs/>
      <w:kern w:val="0"/>
      <w:szCs w:val="32"/>
    </w:rPr>
  </w:style>
  <w:style w:type="paragraph" w:styleId="4">
    <w:name w:val="heading 3"/>
    <w:basedOn w:val="1"/>
    <w:next w:val="1"/>
    <w:qFormat/>
    <w:uiPriority w:val="0"/>
    <w:pPr>
      <w:keepNext/>
      <w:keepLines/>
      <w:spacing w:before="260" w:after="260"/>
      <w:jc w:val="left"/>
      <w:outlineLvl w:val="2"/>
    </w:pPr>
    <w:rPr>
      <w:bCs/>
      <w:kern w:val="0"/>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qFormat/>
    <w:uiPriority w:val="0"/>
    <w:pPr>
      <w:jc w:val="left"/>
    </w:pPr>
  </w:style>
  <w:style w:type="paragraph" w:styleId="6">
    <w:name w:val="toc 3"/>
    <w:basedOn w:val="1"/>
    <w:next w:val="1"/>
    <w:qFormat/>
    <w:uiPriority w:val="39"/>
    <w:pPr>
      <w:spacing w:line="360" w:lineRule="exact"/>
    </w:pPr>
  </w:style>
  <w:style w:type="paragraph" w:styleId="7">
    <w:name w:val="Plain Text"/>
    <w:basedOn w:val="1"/>
    <w:qFormat/>
    <w:uiPriority w:val="0"/>
    <w:rPr>
      <w:rFonts w:ascii="宋体" w:hAnsi="Courier New" w:eastAsia="宋体"/>
      <w:szCs w:val="20"/>
    </w:rPr>
  </w:style>
  <w:style w:type="paragraph" w:styleId="8">
    <w:name w:val="Balloon Text"/>
    <w:basedOn w:val="1"/>
    <w:link w:val="22"/>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rFonts w:eastAsia="宋体"/>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11">
    <w:name w:val="toc 1"/>
    <w:basedOn w:val="1"/>
    <w:next w:val="1"/>
    <w:qFormat/>
    <w:uiPriority w:val="39"/>
    <w:pPr>
      <w:spacing w:line="360" w:lineRule="exact"/>
      <w:ind w:firstLine="0" w:firstLineChars="0"/>
      <w:jc w:val="left"/>
    </w:pPr>
  </w:style>
  <w:style w:type="paragraph" w:styleId="12">
    <w:name w:val="toc 2"/>
    <w:basedOn w:val="1"/>
    <w:next w:val="1"/>
    <w:qFormat/>
    <w:uiPriority w:val="39"/>
    <w:pPr>
      <w:spacing w:line="360" w:lineRule="exact"/>
      <w:ind w:firstLine="100" w:firstLineChars="100"/>
      <w:jc w:val="left"/>
    </w:pPr>
  </w:style>
  <w:style w:type="paragraph" w:styleId="13">
    <w:name w:val="Normal (Web)"/>
    <w:basedOn w:val="1"/>
    <w:qFormat/>
    <w:uiPriority w:val="0"/>
    <w:pPr>
      <w:spacing w:beforeAutospacing="1" w:afterAutospacing="1"/>
      <w:jc w:val="left"/>
    </w:pPr>
    <w:rPr>
      <w:kern w:val="0"/>
    </w:rPr>
  </w:style>
  <w:style w:type="paragraph" w:styleId="14">
    <w:name w:val="annotation subject"/>
    <w:basedOn w:val="5"/>
    <w:next w:val="5"/>
    <w:link w:val="23"/>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rPr>
  </w:style>
  <w:style w:type="character" w:styleId="19">
    <w:name w:val="FollowedHyperlink"/>
    <w:qFormat/>
    <w:uiPriority w:val="0"/>
    <w:rPr>
      <w:rFonts w:hint="eastAsia" w:ascii="宋体" w:hAnsi="宋体" w:eastAsia="宋体" w:cs="宋体"/>
      <w:color w:val="333333"/>
      <w:spacing w:val="10"/>
      <w:sz w:val="12"/>
      <w:szCs w:val="12"/>
      <w:u w:val="none"/>
    </w:rPr>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character" w:customStyle="1" w:styleId="22">
    <w:name w:val="批注框文本 Char"/>
    <w:link w:val="8"/>
    <w:qFormat/>
    <w:uiPriority w:val="0"/>
    <w:rPr>
      <w:rFonts w:eastAsia="仿宋_GB2312"/>
      <w:kern w:val="2"/>
      <w:sz w:val="18"/>
      <w:szCs w:val="18"/>
    </w:rPr>
  </w:style>
  <w:style w:type="character" w:customStyle="1" w:styleId="23">
    <w:name w:val="批注主题 Char"/>
    <w:link w:val="14"/>
    <w:qFormat/>
    <w:uiPriority w:val="0"/>
    <w:rPr>
      <w:rFonts w:eastAsia="仿宋_GB2312"/>
      <w:kern w:val="2"/>
      <w:sz w:val="24"/>
      <w:szCs w:val="24"/>
    </w:rPr>
  </w:style>
  <w:style w:type="character" w:customStyle="1" w:styleId="24">
    <w:name w:val="批注文字 Char"/>
    <w:link w:val="5"/>
    <w:qFormat/>
    <w:uiPriority w:val="0"/>
    <w:rPr>
      <w:rFonts w:eastAsia="仿宋_GB2312"/>
      <w:kern w:val="2"/>
      <w:sz w:val="24"/>
      <w:szCs w:val="24"/>
    </w:rPr>
  </w:style>
  <w:style w:type="character" w:customStyle="1" w:styleId="25">
    <w:name w:val="p15"/>
    <w:basedOn w:val="17"/>
    <w:qFormat/>
    <w:uiPriority w:val="0"/>
  </w:style>
  <w:style w:type="paragraph" w:customStyle="1" w:styleId="26">
    <w:name w:val="_Style 24"/>
    <w:basedOn w:val="1"/>
    <w:next w:val="1"/>
    <w:qFormat/>
    <w:uiPriority w:val="0"/>
    <w:pPr>
      <w:pBdr>
        <w:bottom w:val="single" w:color="auto" w:sz="6" w:space="1"/>
      </w:pBdr>
      <w:jc w:val="center"/>
    </w:pPr>
    <w:rPr>
      <w:rFonts w:ascii="Arial" w:eastAsia="宋体"/>
      <w:vanish/>
      <w:sz w:val="16"/>
    </w:rPr>
  </w:style>
  <w:style w:type="paragraph" w:customStyle="1" w:styleId="27">
    <w:name w:val="_Style 25"/>
    <w:basedOn w:val="1"/>
    <w:next w:val="1"/>
    <w:qFormat/>
    <w:uiPriority w:val="0"/>
    <w:pPr>
      <w:pBdr>
        <w:top w:val="single" w:color="auto" w:sz="6" w:space="1"/>
      </w:pBdr>
      <w:jc w:val="center"/>
    </w:pPr>
    <w:rPr>
      <w:rFonts w:ascii="Arial" w:eastAsia="宋体"/>
      <w:vanish/>
      <w:sz w:val="16"/>
    </w:rPr>
  </w:style>
  <w:style w:type="paragraph" w:customStyle="1" w:styleId="28">
    <w:name w:val="列出段落2"/>
    <w:basedOn w:val="1"/>
    <w:unhideWhenUsed/>
    <w:qFormat/>
    <w:uiPriority w:val="99"/>
    <w:pPr>
      <w:ind w:firstLine="420"/>
    </w:pPr>
  </w:style>
  <w:style w:type="paragraph" w:customStyle="1" w:styleId="29">
    <w:name w:val="列出段落1"/>
    <w:basedOn w:val="1"/>
    <w:qFormat/>
    <w:uiPriority w:val="34"/>
    <w:pPr>
      <w:ind w:firstLine="420"/>
    </w:pPr>
  </w:style>
  <w:style w:type="paragraph" w:styleId="3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png"/><Relationship Id="rId30" Type="http://schemas.openxmlformats.org/officeDocument/2006/relationships/chart" Target="charts/chart3.xml"/><Relationship Id="rId3" Type="http://schemas.openxmlformats.org/officeDocument/2006/relationships/footnotes" Target="footnotes.xml"/><Relationship Id="rId29" Type="http://schemas.openxmlformats.org/officeDocument/2006/relationships/chart" Target="charts/chart2.xml"/><Relationship Id="rId28" Type="http://schemas.openxmlformats.org/officeDocument/2006/relationships/chart" Target="charts/chart1.xml"/><Relationship Id="rId27" Type="http://schemas.openxmlformats.org/officeDocument/2006/relationships/image" Target="media/image2.png"/><Relationship Id="rId26" Type="http://schemas.microsoft.com/office/2007/relationships/diagramDrawing" Target="diagrams/drawing2.xml"/><Relationship Id="rId25" Type="http://schemas.openxmlformats.org/officeDocument/2006/relationships/diagramColors" Target="diagrams/colors2.xml"/><Relationship Id="rId24" Type="http://schemas.openxmlformats.org/officeDocument/2006/relationships/diagramQuickStyle" Target="diagrams/quickStyle2.xml"/><Relationship Id="rId23" Type="http://schemas.openxmlformats.org/officeDocument/2006/relationships/diagramLayout" Target="diagrams/layout2.xml"/><Relationship Id="rId22" Type="http://schemas.openxmlformats.org/officeDocument/2006/relationships/diagramData" Target="diagrams/data2.xml"/><Relationship Id="rId21" Type="http://schemas.microsoft.com/office/2007/relationships/diagramDrawing" Target="diagrams/drawing1.xml"/><Relationship Id="rId20" Type="http://schemas.openxmlformats.org/officeDocument/2006/relationships/diagramColors" Target="diagrams/colors1.xml"/><Relationship Id="rId2" Type="http://schemas.openxmlformats.org/officeDocument/2006/relationships/settings" Target="settings.xml"/><Relationship Id="rId19" Type="http://schemas.openxmlformats.org/officeDocument/2006/relationships/diagramQuickStyle" Target="diagrams/quickStyle1.xml"/><Relationship Id="rId18" Type="http://schemas.openxmlformats.org/officeDocument/2006/relationships/diagramLayout" Target="diagrams/layout1.xml"/><Relationship Id="rId17" Type="http://schemas.openxmlformats.org/officeDocument/2006/relationships/diagramData" Target="diagrams/data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t>过程</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指标分值</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Sheet1!$A$2:$A$10</c:f>
              <c:strCache>
                <c:ptCount val="9"/>
                <c:pt idx="0">
                  <c:v>管理制度健全性</c:v>
                </c:pt>
                <c:pt idx="1">
                  <c:v>制度执行有效性</c:v>
                </c:pt>
                <c:pt idx="2">
                  <c:v>项目质量可控性</c:v>
                </c:pt>
                <c:pt idx="3">
                  <c:v>财务制度健全性</c:v>
                </c:pt>
                <c:pt idx="4">
                  <c:v>资金使用合规性</c:v>
                </c:pt>
                <c:pt idx="5">
                  <c:v>财务监控有效性</c:v>
                </c:pt>
                <c:pt idx="6">
                  <c:v>人大代表选举规范性</c:v>
                </c:pt>
                <c:pt idx="7">
                  <c:v>组织结构健全性</c:v>
                </c:pt>
                <c:pt idx="8">
                  <c:v>项目档案资料完整性</c:v>
                </c:pt>
              </c:strCache>
            </c:strRef>
          </c:cat>
          <c:val>
            <c:numRef>
              <c:f>Sheet1!$B$2:$B$10</c:f>
              <c:numCache>
                <c:formatCode>General</c:formatCode>
                <c:ptCount val="9"/>
                <c:pt idx="0">
                  <c:v>3</c:v>
                </c:pt>
                <c:pt idx="1">
                  <c:v>3</c:v>
                </c:pt>
                <c:pt idx="2">
                  <c:v>3</c:v>
                </c:pt>
                <c:pt idx="3">
                  <c:v>3</c:v>
                </c:pt>
                <c:pt idx="4">
                  <c:v>3</c:v>
                </c:pt>
                <c:pt idx="5">
                  <c:v>3</c:v>
                </c:pt>
                <c:pt idx="6">
                  <c:v>4</c:v>
                </c:pt>
                <c:pt idx="7">
                  <c:v>3</c:v>
                </c:pt>
                <c:pt idx="8">
                  <c:v>3</c:v>
                </c:pt>
              </c:numCache>
            </c:numRef>
          </c:val>
        </c:ser>
        <c:dLbls>
          <c:showLegendKey val="0"/>
          <c:showVal val="0"/>
          <c:showCatName val="0"/>
          <c:showSerName val="0"/>
          <c:showPercent val="0"/>
          <c:showBubbleSize val="0"/>
        </c:dLbls>
        <c:gapWidth val="219"/>
        <c:overlap val="-27"/>
        <c:axId val="217671936"/>
        <c:axId val="241745920"/>
      </c:barChart>
      <c:lineChart>
        <c:grouping val="standard"/>
        <c:varyColors val="0"/>
        <c:ser>
          <c:idx val="2"/>
          <c:order val="1"/>
          <c:tx>
            <c:strRef>
              <c:f>Sheet1!$D$1</c:f>
              <c:strCache>
                <c:ptCount val="1"/>
                <c:pt idx="0">
                  <c:v>指标评分</c:v>
                </c:pt>
              </c:strCache>
            </c:strRef>
          </c:tx>
          <c:spPr>
            <a:ln w="34925" cap="rnd" cmpd="sng" algn="ctr">
              <a:solidFill>
                <a:schemeClr val="accent3"/>
              </a:solidFill>
              <a:prstDash val="solid"/>
              <a:round/>
            </a:ln>
            <a:effectLst>
              <a:outerShdw blurRad="57150" dist="19050" dir="5400000" algn="ctr" rotWithShape="0">
                <a:srgbClr val="000000">
                  <a:alpha val="63000"/>
                </a:srgbClr>
              </a:outerShdw>
            </a:effectLst>
          </c:spPr>
          <c:marker>
            <c:symbol val="none"/>
          </c:marker>
          <c:dLbls>
            <c:delete val="1"/>
          </c:dLbls>
          <c:cat>
            <c:strRef>
              <c:f>Sheet1!$A$2:$A$10</c:f>
              <c:strCache>
                <c:ptCount val="9"/>
                <c:pt idx="0">
                  <c:v>管理制度健全性</c:v>
                </c:pt>
                <c:pt idx="1">
                  <c:v>制度执行有效性</c:v>
                </c:pt>
                <c:pt idx="2">
                  <c:v>项目质量可控性</c:v>
                </c:pt>
                <c:pt idx="3">
                  <c:v>财务制度健全性</c:v>
                </c:pt>
                <c:pt idx="4">
                  <c:v>资金使用合规性</c:v>
                </c:pt>
                <c:pt idx="5">
                  <c:v>财务监控有效性</c:v>
                </c:pt>
                <c:pt idx="6">
                  <c:v>人大代表选举规范性</c:v>
                </c:pt>
                <c:pt idx="7">
                  <c:v>组织结构健全性</c:v>
                </c:pt>
                <c:pt idx="8">
                  <c:v>项目档案资料完整性</c:v>
                </c:pt>
              </c:strCache>
            </c:strRef>
          </c:cat>
          <c:val>
            <c:numRef>
              <c:f>Sheet1!$D$2:$D$10</c:f>
              <c:numCache>
                <c:formatCode>General</c:formatCode>
                <c:ptCount val="9"/>
                <c:pt idx="0">
                  <c:v>3</c:v>
                </c:pt>
                <c:pt idx="1">
                  <c:v>3</c:v>
                </c:pt>
                <c:pt idx="2">
                  <c:v>3</c:v>
                </c:pt>
                <c:pt idx="3">
                  <c:v>3</c:v>
                </c:pt>
                <c:pt idx="4">
                  <c:v>3</c:v>
                </c:pt>
                <c:pt idx="5">
                  <c:v>3</c:v>
                </c:pt>
                <c:pt idx="6">
                  <c:v>4</c:v>
                </c:pt>
                <c:pt idx="7">
                  <c:v>3</c:v>
                </c:pt>
                <c:pt idx="8">
                  <c:v>2</c:v>
                </c:pt>
              </c:numCache>
            </c:numRef>
          </c:val>
          <c:smooth val="0"/>
        </c:ser>
        <c:dLbls>
          <c:showLegendKey val="0"/>
          <c:showVal val="0"/>
          <c:showCatName val="0"/>
          <c:showSerName val="0"/>
          <c:showPercent val="0"/>
          <c:showBubbleSize val="0"/>
        </c:dLbls>
        <c:marker val="0"/>
        <c:smooth val="0"/>
        <c:axId val="217671936"/>
        <c:axId val="241745920"/>
      </c:lineChart>
      <c:catAx>
        <c:axId val="2176719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745920"/>
        <c:crosses val="autoZero"/>
        <c:auto val="1"/>
        <c:lblAlgn val="ctr"/>
        <c:lblOffset val="100"/>
        <c:noMultiLvlLbl val="0"/>
      </c:catAx>
      <c:valAx>
        <c:axId val="2417459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76719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5351c46-e561-4bcb-a5be-1514ac6ff34e}"/>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t>产出</a:t>
            </a:r>
            <a:endParaRPr lang="en-US"/>
          </a:p>
        </c:rich>
      </c:tx>
      <c:layout>
        <c:manualLayout>
          <c:xMode val="edge"/>
          <c:yMode val="edge"/>
          <c:x val="0.423380410781986"/>
          <c:y val="0.0241886716387825"/>
        </c:manualLayout>
      </c:layout>
      <c:overlay val="0"/>
      <c:spPr>
        <a:noFill/>
        <a:ln>
          <a:noFill/>
        </a:ln>
        <a:effectLst/>
      </c:spPr>
    </c:title>
    <c:autoTitleDeleted val="0"/>
    <c:plotArea>
      <c:layout/>
      <c:barChart>
        <c:barDir val="col"/>
        <c:grouping val="clustered"/>
        <c:varyColors val="0"/>
        <c:ser>
          <c:idx val="1"/>
          <c:order val="0"/>
          <c:tx>
            <c:strRef>
              <c:f>Sheet1!$C$1</c:f>
              <c:strCache>
                <c:ptCount val="1"/>
                <c:pt idx="0">
                  <c:v>指标分值</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Sheet1!$A$2:$A$7</c:f>
              <c:strCache>
                <c:ptCount val="6"/>
                <c:pt idx="0">
                  <c:v>人大代表补选工作完成率</c:v>
                </c:pt>
                <c:pt idx="1">
                  <c:v>代表活动开展情况</c:v>
                </c:pt>
                <c:pt idx="2">
                  <c:v>培训工作完成率</c:v>
                </c:pt>
                <c:pt idx="3">
                  <c:v>培训到训率</c:v>
                </c:pt>
                <c:pt idx="4">
                  <c:v>议案建议督办率</c:v>
                </c:pt>
                <c:pt idx="5">
                  <c:v>资金使用率</c:v>
                </c:pt>
              </c:strCache>
            </c:strRef>
          </c:cat>
          <c:val>
            <c:numRef>
              <c:f>Sheet1!$C$2:$C$7</c:f>
              <c:numCache>
                <c:formatCode>General</c:formatCode>
                <c:ptCount val="6"/>
                <c:pt idx="0">
                  <c:v>4</c:v>
                </c:pt>
                <c:pt idx="1">
                  <c:v>4</c:v>
                </c:pt>
                <c:pt idx="2">
                  <c:v>4</c:v>
                </c:pt>
                <c:pt idx="3">
                  <c:v>5</c:v>
                </c:pt>
                <c:pt idx="4">
                  <c:v>5</c:v>
                </c:pt>
                <c:pt idx="5">
                  <c:v>4</c:v>
                </c:pt>
              </c:numCache>
            </c:numRef>
          </c:val>
        </c:ser>
        <c:dLbls>
          <c:showLegendKey val="0"/>
          <c:showVal val="0"/>
          <c:showCatName val="0"/>
          <c:showSerName val="0"/>
          <c:showPercent val="0"/>
          <c:showBubbleSize val="0"/>
        </c:dLbls>
        <c:gapWidth val="269"/>
        <c:overlap val="-27"/>
        <c:axId val="241898240"/>
        <c:axId val="241899776"/>
      </c:barChart>
      <c:lineChart>
        <c:grouping val="standard"/>
        <c:varyColors val="0"/>
        <c:ser>
          <c:idx val="2"/>
          <c:order val="1"/>
          <c:tx>
            <c:strRef>
              <c:f>Sheet1!$D$1</c:f>
              <c:strCache>
                <c:ptCount val="1"/>
                <c:pt idx="0">
                  <c:v>指标评分</c:v>
                </c:pt>
              </c:strCache>
            </c:strRef>
          </c:tx>
          <c:spPr>
            <a:ln w="34925" cap="rnd" cmpd="sng" algn="ctr">
              <a:solidFill>
                <a:schemeClr val="accent3"/>
              </a:solidFill>
              <a:prstDash val="solid"/>
              <a:round/>
            </a:ln>
            <a:effectLst>
              <a:outerShdw blurRad="57150" dist="19050" dir="5400000" algn="ctr" rotWithShape="0">
                <a:srgbClr val="000000">
                  <a:alpha val="63000"/>
                </a:srgbClr>
              </a:outerShdw>
            </a:effectLst>
          </c:spPr>
          <c:marker>
            <c:symbol val="none"/>
          </c:marker>
          <c:dLbls>
            <c:delete val="1"/>
          </c:dLbls>
          <c:cat>
            <c:strRef>
              <c:f>Sheet1!$A$2:$A$7</c:f>
              <c:strCache>
                <c:ptCount val="6"/>
                <c:pt idx="0">
                  <c:v>人大代表补选工作完成率</c:v>
                </c:pt>
                <c:pt idx="1">
                  <c:v>代表活动开展情况</c:v>
                </c:pt>
                <c:pt idx="2">
                  <c:v>培训工作完成率</c:v>
                </c:pt>
                <c:pt idx="3">
                  <c:v>培训到训率</c:v>
                </c:pt>
                <c:pt idx="4">
                  <c:v>议案建议督办率</c:v>
                </c:pt>
                <c:pt idx="5">
                  <c:v>资金使用率</c:v>
                </c:pt>
              </c:strCache>
            </c:strRef>
          </c:cat>
          <c:val>
            <c:numRef>
              <c:f>Sheet1!$D$2:$D$7</c:f>
              <c:numCache>
                <c:formatCode>General</c:formatCode>
                <c:ptCount val="6"/>
                <c:pt idx="0">
                  <c:v>2</c:v>
                </c:pt>
                <c:pt idx="1">
                  <c:v>4</c:v>
                </c:pt>
                <c:pt idx="2">
                  <c:v>4</c:v>
                </c:pt>
                <c:pt idx="3">
                  <c:v>4.5</c:v>
                </c:pt>
                <c:pt idx="4">
                  <c:v>5</c:v>
                </c:pt>
                <c:pt idx="5">
                  <c:v>2.5</c:v>
                </c:pt>
              </c:numCache>
            </c:numRef>
          </c:val>
          <c:smooth val="0"/>
        </c:ser>
        <c:dLbls>
          <c:showLegendKey val="0"/>
          <c:showVal val="0"/>
          <c:showCatName val="0"/>
          <c:showSerName val="0"/>
          <c:showPercent val="0"/>
          <c:showBubbleSize val="0"/>
        </c:dLbls>
        <c:marker val="0"/>
        <c:smooth val="0"/>
        <c:axId val="241898240"/>
        <c:axId val="241899776"/>
      </c:lineChart>
      <c:catAx>
        <c:axId val="2418982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899776"/>
        <c:crosses val="autoZero"/>
        <c:auto val="1"/>
        <c:lblAlgn val="ctr"/>
        <c:lblOffset val="100"/>
        <c:noMultiLvlLbl val="0"/>
      </c:catAx>
      <c:valAx>
        <c:axId val="2418997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898240"/>
        <c:crosses val="autoZero"/>
        <c:crossBetween val="between"/>
      </c:valAx>
      <c:spPr>
        <a:noFill/>
        <a:ln>
          <a:solidFill>
            <a:schemeClr val="accent1"/>
          </a:solid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2164c26-7bbd-42cc-94e1-c1655cdc5463}"/>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a:t>效果</a:t>
            </a:r>
            <a:endParaRPr lang="en-US"/>
          </a:p>
        </c:rich>
      </c:tx>
      <c:layout/>
      <c:overlay val="0"/>
      <c:spPr>
        <a:noFill/>
        <a:ln>
          <a:noFill/>
        </a:ln>
        <a:effectLst/>
      </c:spPr>
    </c:title>
    <c:autoTitleDeleted val="0"/>
    <c:plotArea>
      <c:layout/>
      <c:barChart>
        <c:barDir val="col"/>
        <c:grouping val="clustered"/>
        <c:varyColors val="0"/>
        <c:ser>
          <c:idx val="1"/>
          <c:order val="0"/>
          <c:tx>
            <c:strRef>
              <c:f>Sheet1!$C$1</c:f>
              <c:strCache>
                <c:ptCount val="1"/>
                <c:pt idx="0">
                  <c:v>指标分值</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Sheet1!$A$2:$A$7</c:f>
              <c:strCache>
                <c:ptCount val="6"/>
                <c:pt idx="0">
                  <c:v>人大代表技能提升度</c:v>
                </c:pt>
                <c:pt idx="1">
                  <c:v>选举公开公示情况</c:v>
                </c:pt>
                <c:pt idx="2">
                  <c:v>接待、走访成果运用</c:v>
                </c:pt>
                <c:pt idx="3">
                  <c:v>代表工作室推进建设程度</c:v>
                </c:pt>
                <c:pt idx="4">
                  <c:v>代表“联系”机制建立情况</c:v>
                </c:pt>
                <c:pt idx="5">
                  <c:v>社会公众满意度</c:v>
                </c:pt>
              </c:strCache>
            </c:strRef>
          </c:cat>
          <c:val>
            <c:numRef>
              <c:f>Sheet1!$C$2:$C$7</c:f>
              <c:numCache>
                <c:formatCode>General</c:formatCode>
                <c:ptCount val="6"/>
                <c:pt idx="0">
                  <c:v>5</c:v>
                </c:pt>
                <c:pt idx="1">
                  <c:v>5</c:v>
                </c:pt>
                <c:pt idx="2">
                  <c:v>6</c:v>
                </c:pt>
                <c:pt idx="3">
                  <c:v>4</c:v>
                </c:pt>
                <c:pt idx="4">
                  <c:v>6</c:v>
                </c:pt>
                <c:pt idx="5">
                  <c:v>8</c:v>
                </c:pt>
              </c:numCache>
            </c:numRef>
          </c:val>
        </c:ser>
        <c:dLbls>
          <c:showLegendKey val="0"/>
          <c:showVal val="0"/>
          <c:showCatName val="0"/>
          <c:showSerName val="0"/>
          <c:showPercent val="0"/>
          <c:showBubbleSize val="0"/>
        </c:dLbls>
        <c:gapWidth val="219"/>
        <c:overlap val="-27"/>
        <c:axId val="241909120"/>
        <c:axId val="241923200"/>
      </c:barChart>
      <c:lineChart>
        <c:grouping val="standard"/>
        <c:varyColors val="0"/>
        <c:ser>
          <c:idx val="2"/>
          <c:order val="1"/>
          <c:tx>
            <c:strRef>
              <c:f>Sheet1!$D$1</c:f>
              <c:strCache>
                <c:ptCount val="1"/>
                <c:pt idx="0">
                  <c:v>评分分值</c:v>
                </c:pt>
              </c:strCache>
            </c:strRef>
          </c:tx>
          <c:spPr>
            <a:ln w="34925" cap="rnd" cmpd="sng" algn="ctr">
              <a:solidFill>
                <a:schemeClr val="accent4"/>
              </a:solidFill>
              <a:prstDash val="solid"/>
              <a:round/>
            </a:ln>
            <a:effectLst>
              <a:outerShdw blurRad="57150" dist="19050" dir="5400000" algn="ctr" rotWithShape="0">
                <a:srgbClr val="000000">
                  <a:alpha val="63000"/>
                </a:srgbClr>
              </a:outerShdw>
            </a:effectLst>
          </c:spPr>
          <c:marker>
            <c:symbol val="none"/>
          </c:marker>
          <c:dLbls>
            <c:delete val="1"/>
          </c:dLbls>
          <c:cat>
            <c:strRef>
              <c:f>Sheet1!$A$2:$A$7</c:f>
              <c:strCache>
                <c:ptCount val="6"/>
                <c:pt idx="0">
                  <c:v>人大代表技能提升度</c:v>
                </c:pt>
                <c:pt idx="1">
                  <c:v>选举公开公示情况</c:v>
                </c:pt>
                <c:pt idx="2">
                  <c:v>接待、走访成果运用</c:v>
                </c:pt>
                <c:pt idx="3">
                  <c:v>代表工作室推进建设程度</c:v>
                </c:pt>
                <c:pt idx="4">
                  <c:v>代表“联系”机制建立情况</c:v>
                </c:pt>
                <c:pt idx="5">
                  <c:v>社会公众满意度</c:v>
                </c:pt>
              </c:strCache>
            </c:strRef>
          </c:cat>
          <c:val>
            <c:numRef>
              <c:f>Sheet1!$D$2:$D$7</c:f>
              <c:numCache>
                <c:formatCode>General</c:formatCode>
                <c:ptCount val="6"/>
                <c:pt idx="0">
                  <c:v>4</c:v>
                </c:pt>
                <c:pt idx="1">
                  <c:v>3</c:v>
                </c:pt>
                <c:pt idx="2">
                  <c:v>6</c:v>
                </c:pt>
                <c:pt idx="3">
                  <c:v>4</c:v>
                </c:pt>
                <c:pt idx="4">
                  <c:v>6</c:v>
                </c:pt>
                <c:pt idx="5">
                  <c:v>8</c:v>
                </c:pt>
              </c:numCache>
            </c:numRef>
          </c:val>
          <c:smooth val="0"/>
        </c:ser>
        <c:dLbls>
          <c:showLegendKey val="0"/>
          <c:showVal val="0"/>
          <c:showCatName val="0"/>
          <c:showSerName val="0"/>
          <c:showPercent val="0"/>
          <c:showBubbleSize val="0"/>
        </c:dLbls>
        <c:marker val="0"/>
        <c:smooth val="0"/>
        <c:axId val="241909120"/>
        <c:axId val="241923200"/>
      </c:lineChart>
      <c:catAx>
        <c:axId val="2419091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923200"/>
        <c:crosses val="autoZero"/>
        <c:auto val="1"/>
        <c:lblAlgn val="ctr"/>
        <c:lblOffset val="100"/>
        <c:noMultiLvlLbl val="0"/>
      </c:catAx>
      <c:valAx>
        <c:axId val="2419232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909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ffaf69c-f20d-42f6-95aa-3d242e9ac301}"/>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2">
  <dgm:title val=""/>
  <dgm:desc val=""/>
  <dgm:catLst>
    <dgm:cat type="colorful" pri="10400"/>
  </dgm:catLst>
  <dgm:styleLbl name="align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align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alignImgPlace1">
    <dgm:fillClrLst>
      <a:srgbClr val="FFE2BC">
        <a:tint val="50000"/>
      </a:srgbClr>
      <a:srgbClr val="E9EBF5">
        <a:tint val="20000"/>
      </a:srgbClr>
    </dgm:fillClrLst>
    <dgm:linClrLst meth="repeat">
      <a:srgbClr val="FFFFFF"/>
    </dgm:linClrLst>
    <dgm:effectClrLst/>
    <dgm:txLinClrLst/>
    <dgm:txFillClrLst meth="repeat">
      <a:srgbClr val="FFFFFF"/>
    </dgm:txFillClrLst>
    <dgm:txEffectClrLst/>
  </dgm:styleLbl>
  <dgm:styleLbl name="alignNode1">
    <dgm:fillClrLst>
      <a:srgbClr val="FFC000"/>
      <a:srgbClr val="4472C4"/>
    </dgm:fillClrLst>
    <dgm:linClrLst>
      <a:srgbClr val="FFC000"/>
      <a:srgbClr val="4472C4"/>
    </dgm:linClrLst>
    <dgm:effectClrLst/>
    <dgm:txLinClrLst/>
    <dgm:txFillClrLst/>
    <dgm:txEffectClrLst/>
  </dgm:styleLbl>
  <dgm:styleLbl name="asst0">
    <dgm:fillClrLst meth="repeat">
      <a:srgbClr val="FFC000"/>
    </dgm:fillClrLst>
    <dgm:linClrLst meth="repeat">
      <a:srgbClr val="E7E7E7">
        <a:shade val="80000"/>
      </a:srgbClr>
    </dgm:linClrLst>
    <dgm:effectClrLst/>
    <dgm:txLinClrLst/>
    <dgm:txFillClrLst/>
    <dgm:txEffectClrLst/>
  </dgm:styleLbl>
  <dgm:styleLbl name="asst1">
    <dgm:fillClrLst meth="repeat">
      <a:srgbClr val="4472C4"/>
    </dgm:fillClrLst>
    <dgm:linClrLst meth="repeat">
      <a:srgbClr val="E7E7E7">
        <a:shade val="80000"/>
      </a:srgbClr>
    </dgm:linClrLst>
    <dgm:effectClrLst/>
    <dgm:txLinClrLst/>
    <dgm:txFillClrLst/>
    <dgm:txEffectClrLst/>
  </dgm:styleLbl>
  <dgm:styleLbl name="asst2">
    <dgm:fillClrLst>
      <a:srgbClr val="70AD47"/>
    </dgm:fillClrLst>
    <dgm:linClrLst meth="repeat">
      <a:srgbClr val="FFFFFF"/>
    </dgm:linClrLst>
    <dgm:effectClrLst/>
    <dgm:txLinClrLst/>
    <dgm:txFillClrLst/>
    <dgm:txEffectClrLst/>
  </dgm:styleLbl>
  <dgm:styleLbl name="asst3">
    <dgm:fillClrLst>
      <a:srgbClr val="5B9BD5"/>
    </dgm:fillClrLst>
    <dgm:linClrLst meth="repeat">
      <a:srgbClr val="FFFFFF"/>
    </dgm:linClrLst>
    <dgm:effectClrLst/>
    <dgm:txLinClrLst/>
    <dgm:txFillClrLst/>
    <dgm:txEffectClrLst/>
  </dgm:styleLbl>
  <dgm:styleLbl name="asst4">
    <dgm:fillClrLst>
      <a:srgbClr val="ED7D31"/>
    </dgm:fillClrLst>
    <dgm:linClrLst meth="repeat">
      <a:srgbClr val="FFFFFF"/>
    </dgm:linClrLst>
    <dgm:effectClrLst/>
    <dgm:txLinClrLst/>
    <dgm:txFillClrLst/>
    <dgm:txEffectClrLst/>
  </dgm:styleLbl>
  <dgm:styleLbl name="b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bg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bgImgPlace1">
    <dgm:fillClrLst>
      <a:srgbClr val="FFE2BC">
        <a:tint val="50000"/>
      </a:srgbClr>
      <a:srgbClr val="E9EBF5">
        <a:tint val="20000"/>
      </a:srgbClr>
    </dgm:fillClrLst>
    <dgm:linClrLst meth="repeat">
      <a:srgbClr val="FFFFFF"/>
    </dgm:linClrLst>
    <dgm:effectClrLst/>
    <dgm:txLinClrLst/>
    <dgm:txFillClrLst meth="repeat">
      <a:srgbClr val="FFFFFF"/>
    </dgm:txFillClrLst>
    <dgm:txEffectClrLst/>
  </dgm:styleLbl>
  <dgm:styleLbl name="bgShp">
    <dgm:fillClrLst meth="repeat">
      <a:srgbClr val="FFE8CB">
        <a:tint val="40000"/>
      </a:srgbClr>
    </dgm:fillClrLst>
    <dgm:linClrLst meth="repeat">
      <a:srgbClr val="000000"/>
    </dgm:linClrLst>
    <dgm:effectClrLst/>
    <dgm:txLinClrLst/>
    <dgm:txFillClrLst meth="repeat">
      <a:srgbClr val="000000"/>
    </dgm:txFillClrLst>
    <dgm:txEffectClrLst/>
  </dgm:styleLbl>
  <dgm:styleLbl name="bgSibTrans2D1">
    <dgm:fillClrLst>
      <a:srgbClr val="FFC000"/>
      <a:srgbClr val="4472C4"/>
    </dgm:fillClrLst>
    <dgm:linClrLst meth="repeat">
      <a:srgbClr val="FFFFFF"/>
    </dgm:linClrLst>
    <dgm:effectClrLst/>
    <dgm:txLinClrLst/>
    <dgm:txFillClrLst meth="repeat">
      <a:srgbClr val="FFFFFF"/>
    </dgm:txFillClrLst>
    <dgm:txEffectClrLst/>
  </dgm:styleLbl>
  <dgm:styleLbl name="callout">
    <dgm:fillClrLst meth="repeat">
      <a:srgbClr val="FFC000"/>
    </dgm:fillClrLst>
    <dgm:linClrLst meth="repeat">
      <a:srgbClr val="FFE2BC">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dkBgShp">
    <dgm:fillClrLst meth="repeat">
      <a:srgbClr val="F3B700">
        <a:shade val="90000"/>
      </a:srgbClr>
    </dgm:fillClrLst>
    <dgm:linClrLst meth="repeat">
      <a:srgbClr val="000000"/>
    </dgm:linClrLst>
    <dgm:effectClrLst/>
    <dgm:txLinClrLst/>
    <dgm:txFillClrLst meth="repeat">
      <a:srgbClr val="FFFFFF"/>
    </dgm:txFillClrLst>
    <dgm:txEffectClrLst/>
  </dgm:styleLbl>
  <dgm:styleLbl name="fgAcc0">
    <dgm:fillClrLst meth="repeat">
      <a:srgbClr val="FFFFFF">
        <a:alpha val="90000"/>
      </a:srgbClr>
    </dgm:fillClrLst>
    <dgm:linClrLst>
      <a:srgbClr val="A5A5A5"/>
    </dgm:linClrLst>
    <dgm:effectClrLst/>
    <dgm:txLinClrLst/>
    <dgm:txFillClrLst meth="repeat">
      <a:srgbClr val="000000"/>
    </dgm:txFillClrLst>
    <dgm:txEffectClrLst/>
  </dgm:styleLbl>
  <dgm:styleLbl name="f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fgAcc2">
    <dgm:fillClrLst meth="repeat">
      <a:srgbClr val="FFFFFF">
        <a:alpha val="90000"/>
      </a:srgbClr>
    </dgm:fillClrLst>
    <dgm:linClrLst>
      <a:srgbClr val="4472C4"/>
    </dgm:linClrLst>
    <dgm:effectClrLst/>
    <dgm:txLinClrLst/>
    <dgm:txFillClrLst meth="repeat">
      <a:srgbClr val="000000"/>
    </dgm:txFillClrLst>
    <dgm:txEffectClrLst/>
  </dgm:styleLbl>
  <dgm:styleLbl name="fgAcc3">
    <dgm:fillClrLst meth="repeat">
      <a:srgbClr val="FFFFFF">
        <a:alpha val="90000"/>
      </a:srgbClr>
    </dgm:fillClrLst>
    <dgm:linClrLst>
      <a:srgbClr val="70AD47"/>
    </dgm:linClrLst>
    <dgm:effectClrLst/>
    <dgm:txLinClrLst/>
    <dgm:txFillClrLst meth="repeat">
      <a:srgbClr val="000000"/>
    </dgm:txFillClrLst>
    <dgm:txEffectClrLst/>
  </dgm:styleLbl>
  <dgm:styleLbl name="fgAcc4">
    <dgm:fillClrLst meth="repeat">
      <a:srgbClr val="FFFFFF">
        <a:alpha val="90000"/>
      </a:srgbClr>
    </dgm:fillClrLst>
    <dgm:linClrLst>
      <a:srgbClr val="5B9BD5"/>
    </dgm:linClrLst>
    <dgm:effectClrLst/>
    <dgm:txLinClrLst/>
    <dgm:txFillClrLst meth="repeat">
      <a:srgbClr val="000000"/>
    </dgm:txFillClrLst>
    <dgm:txEffectClrLst/>
  </dgm:styleLbl>
  <dgm:styleLbl name="fg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fgImgPlace1">
    <dgm:fillClrLst>
      <a:srgbClr val="FFE2BC">
        <a:tint val="50000"/>
      </a:srgbClr>
      <a:srgbClr val="C0C9E4">
        <a:tint val="50000"/>
      </a:srgbClr>
    </dgm:fillClrLst>
    <dgm:linClrLst meth="repeat">
      <a:srgbClr val="FFFFFF"/>
    </dgm:linClrLst>
    <dgm:effectClrLst/>
    <dgm:txLinClrLst/>
    <dgm:txFillClrLst meth="repeat">
      <a:srgbClr val="FFFFFF"/>
    </dgm:txFillClrLst>
    <dgm:txEffectClrLst/>
  </dgm:styleLbl>
  <dgm:styleLbl name="fgShp">
    <dgm:fillClrLst meth="repeat">
      <a:srgbClr val="FFE8CB">
        <a:tint val="40000"/>
      </a:srgbClr>
    </dgm:fillClrLst>
    <dgm:linClrLst meth="repeat">
      <a:srgbClr val="FFFFFF"/>
    </dgm:linClrLst>
    <dgm:effectClrLst/>
    <dgm:txLinClrLst/>
    <dgm:txFillClrLst meth="repeat">
      <a:srgbClr val="000000"/>
    </dgm:txFillClrLst>
    <dgm:txEffectClrLst/>
  </dgm:styleLbl>
  <dgm:styleLbl name="fgSibTrans2D1">
    <dgm:fillClrLst>
      <a:srgbClr val="FFC000"/>
      <a:srgbClr val="4472C4"/>
    </dgm:fillClrLst>
    <dgm:linClrLst meth="repeat">
      <a:srgbClr val="FFFFFF"/>
    </dgm:linClrLst>
    <dgm:effectClrLst/>
    <dgm:txLinClrLst/>
    <dgm:txFillClrLst meth="repeat">
      <a:srgbClr val="FFFFFF"/>
    </dgm:txFillClrLst>
    <dgm:txEffectClrLst/>
  </dgm:styleLbl>
  <dgm:styleLbl name="lnNode1">
    <dgm:fillClrLst>
      <a:srgbClr val="FFC000"/>
      <a:srgbClr val="4472C4"/>
    </dgm:fillClrLst>
    <dgm:linClrLst meth="repeat">
      <a:srgbClr val="FFFFFF"/>
    </dgm:linClrLst>
    <dgm:effectClrLst/>
    <dgm:txLinClrLst/>
    <dgm:txFillClrLst/>
    <dgm:txEffectClrLst/>
  </dgm:styleLbl>
  <dgm:styleLbl name="node0">
    <dgm:fillClrLst meth="repeat">
      <a:srgbClr val="A5A5A5"/>
    </dgm:fillClrLst>
    <dgm:linClrLst meth="repeat">
      <a:srgbClr val="FFFFFF"/>
    </dgm:linClrLst>
    <dgm:effectClrLst/>
    <dgm:txLinClrLst/>
    <dgm:txFillClrLst/>
    <dgm:txEffectClrLst/>
  </dgm:styleLbl>
  <dgm:styleLbl name="node1">
    <dgm:fillClrLst>
      <a:srgbClr val="FFC000"/>
      <a:srgbClr val="4472C4"/>
    </dgm:fillClrLst>
    <dgm:linClrLst meth="repeat">
      <a:srgbClr val="FFFFFF"/>
    </dgm:linClrLst>
    <dgm:effectClrLst/>
    <dgm:txLinClrLst/>
    <dgm:txFillClrLst/>
    <dgm:txEffectClrLst/>
  </dgm:styleLbl>
  <dgm:styleLbl name="node2">
    <dgm:fillClrLst>
      <a:srgbClr val="4472C4"/>
    </dgm:fillClrLst>
    <dgm:linClrLst meth="repeat">
      <a:srgbClr val="FFFFFF"/>
    </dgm:linClrLst>
    <dgm:effectClrLst/>
    <dgm:txLinClrLst/>
    <dgm:txFillClrLst/>
    <dgm:txEffectClrLst/>
  </dgm:styleLbl>
  <dgm:styleLbl name="node3">
    <dgm:fillClrLst>
      <a:srgbClr val="70AD47"/>
    </dgm:fillClrLst>
    <dgm:linClrLst meth="repeat">
      <a:srgbClr val="FFFFFF"/>
    </dgm:linClrLst>
    <dgm:effectClrLst/>
    <dgm:txLinClrLst/>
    <dgm:txFillClrLst/>
    <dgm:txEffectClrLst/>
  </dgm:styleLbl>
  <dgm:styleLbl name="node4">
    <dgm:fillClrLst>
      <a:srgbClr val="5B9BD5"/>
    </dgm:fillClrLst>
    <dgm:linClrLst meth="repeat">
      <a:srgbClr val="FFFFFF"/>
    </dgm:linClrLst>
    <dgm:effectClrLst/>
    <dgm:txLinClrLst/>
    <dgm:txFillClrLst/>
    <dgm:txEffectClrLst/>
  </dgm:styleLbl>
  <dgm:styleLbl name="parChTrans1D1">
    <dgm:fillClrLst meth="repeat">
      <a:srgbClr val="FFC000"/>
    </dgm:fillClrLst>
    <dgm:linClrLst meth="repeat">
      <a:srgbClr val="FFC000"/>
    </dgm:linClrLst>
    <dgm:effectClrLst/>
    <dgm:txLinClrLst/>
    <dgm:txFillClrLst meth="repeat">
      <a:srgbClr val="000000"/>
    </dgm:txFillClrLst>
    <dgm:txEffectClrLst/>
  </dgm:styleLbl>
  <dgm:styleLbl name="parChTrans1D2">
    <dgm:fillClrLst meth="repeat">
      <a:srgbClr val="FFC859">
        <a:tint val="90000"/>
      </a:srgbClr>
    </dgm:fillClrLst>
    <dgm:linClrLst meth="repeat">
      <a:srgbClr val="4472C4"/>
    </dgm:linClrLst>
    <dgm:effectClrLst/>
    <dgm:txLinClrLst/>
    <dgm:txFillClrLst meth="repeat">
      <a:srgbClr val="000000"/>
    </dgm:txFillClrLst>
    <dgm:txEffectClrLst/>
  </dgm:styleLbl>
  <dgm:styleLbl name="parChTrans1D3">
    <dgm:fillClrLst meth="repeat">
      <a:srgbClr val="FFD695">
        <a:tint val="70000"/>
      </a:srgbClr>
    </dgm:fillClrLst>
    <dgm:linClrLst meth="repeat">
      <a:srgbClr val="70AD47"/>
    </dgm:linClrLst>
    <dgm:effectClrLst/>
    <dgm:txLinClrLst/>
    <dgm:txFillClrLst meth="repeat">
      <a:srgbClr val="000000"/>
    </dgm:txFillClrLst>
    <dgm:txEffectClrLst/>
  </dgm:styleLbl>
  <dgm:styleLbl name="parChTrans1D4">
    <dgm:fillClrLst meth="repeat">
      <a:srgbClr val="FFE2BC">
        <a:tint val="50000"/>
      </a:srgbClr>
    </dgm:fillClrLst>
    <dgm:linClrLst meth="repeat">
      <a:srgbClr val="5B9BD5"/>
    </dgm:linClrLst>
    <dgm:effectClrLst/>
    <dgm:txLinClrLst/>
    <dgm:txFillClrLst meth="repeat">
      <a:srgbClr val="000000"/>
    </dgm:txFillClrLst>
    <dgm:txEffectClrLst/>
  </dgm:styleLbl>
  <dgm:styleLbl name="parChTrans2D1">
    <dgm:fillClrLst meth="repeat">
      <a:srgbClr val="FFC000"/>
    </dgm:fillClrLst>
    <dgm:linClrLst meth="repeat">
      <a:srgbClr val="FFFFFF"/>
    </dgm:linClrLst>
    <dgm:effectClrLst/>
    <dgm:txLinClrLst/>
    <dgm:txFillClrLst meth="repeat">
      <a:srgbClr val="FFFFFF"/>
    </dgm:txFillClrLst>
    <dgm:txEffectClrLst/>
  </dgm:styleLbl>
  <dgm:styleLbl name="parChTrans2D2">
    <dgm:fillClrLst meth="repeat">
      <a:srgbClr val="4472C4"/>
    </dgm:fillClrLst>
    <dgm:linClrLst meth="repeat">
      <a:srgbClr val="FFFFFF"/>
    </dgm:linClrLst>
    <dgm:effectClrLst/>
    <dgm:txLinClrLst/>
    <dgm:txFillClrLst/>
    <dgm:txEffectClrLst/>
  </dgm:styleLbl>
  <dgm:styleLbl name="parChTrans2D3">
    <dgm:fillClrLst meth="repeat">
      <a:srgbClr val="4472C4"/>
    </dgm:fillClrLst>
    <dgm:linClrLst meth="repeat">
      <a:srgbClr val="FFFFFF"/>
    </dgm:linClrLst>
    <dgm:effectClrLst/>
    <dgm:txLinClrLst/>
    <dgm:txFillClrLst/>
    <dgm:txEffectClrLst/>
  </dgm:styleLbl>
  <dgm:styleLbl name="parChTrans2D4">
    <dgm:fillClrLst meth="repeat">
      <a:srgbClr val="70AD47"/>
    </dgm:fillClrLst>
    <dgm:linClrLst meth="repeat">
      <a:srgbClr val="FFFFFF"/>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dgm:linClrLst>
      <a:srgbClr val="FFC000"/>
      <a:srgbClr val="4472C4"/>
    </dgm:linClrLst>
    <dgm:effectClrLst/>
    <dgm:txLinClrLst/>
    <dgm:txFillClrLst meth="repeat">
      <a:srgbClr val="000000"/>
    </dgm:txFillClrLst>
    <dgm:txEffectClrLst/>
  </dgm:styleLbl>
  <dgm:styleLbl name="sibTrans2D1">
    <dgm:fillClrLst>
      <a:srgbClr val="FFC000"/>
      <a:srgbClr val="4472C4"/>
    </dgm:fillClrLst>
    <dgm:linClrLst meth="repeat">
      <a:srgbClr val="FFFFFF"/>
    </dgm:linClrLst>
    <dgm:effectClrLst/>
    <dgm:txLinClrLst/>
    <dgm:txFillClrLst/>
    <dgm:txEffectClrLst/>
  </dgm:styleLbl>
  <dgm:styleLbl name="solidAlignAcc1">
    <dgm:fillClrLst meth="repeat">
      <a:srgbClr val="FFFFFF"/>
    </dgm:fillClrLst>
    <dgm:linClrLst>
      <a:srgbClr val="FFC000"/>
      <a:srgbClr val="4472C4"/>
    </dgm:linClrLst>
    <dgm:effectClrLst/>
    <dgm:txLinClrLst/>
    <dgm:txFillClrLst meth="repeat">
      <a:srgbClr val="000000"/>
    </dgm:txFillClrLst>
    <dgm:txEffectClrLst/>
  </dgm:styleLbl>
  <dgm:styleLbl name="solidBgAcc1">
    <dgm:fillClrLst meth="repeat">
      <a:srgbClr val="FFFFFF"/>
    </dgm:fillClrLst>
    <dgm:linClrLst>
      <a:srgbClr val="FFC000"/>
      <a:srgbClr val="4472C4"/>
    </dgm:linClrLst>
    <dgm:effectClrLst/>
    <dgm:txLinClrLst/>
    <dgm:txFillClrLst meth="repeat">
      <a:srgbClr val="000000"/>
    </dgm:txFillClrLst>
    <dgm:txEffectClrLst/>
  </dgm:styleLbl>
  <dgm:styleLbl name="solidFgAcc1">
    <dgm:fillClrLst meth="repeat">
      <a:srgbClr val="FFFFFF"/>
    </dgm:fillClrLst>
    <dgm:linClrLst>
      <a:srgbClr val="FFC000"/>
      <a:srgbClr val="4472C4"/>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FFC000"/>
    </dgm:linClrLst>
    <dgm:effectClrLst/>
    <dgm:txLinClrLst/>
    <dgm:txFillClrLst meth="repeat">
      <a:srgbClr val="000000"/>
    </dgm:txFillClrLst>
    <dgm:txEffectClrLst/>
  </dgm:styleLbl>
  <dgm:styleLbl name="trBgShp">
    <dgm:fillClrLst meth="repeat">
      <a:srgbClr val="FFE2BC">
        <a:tint val="50000"/>
        <a:alpha val="40000"/>
      </a:srgbClr>
    </dgm:fillClrLst>
    <dgm:linClrLst meth="repeat">
      <a:srgbClr val="FFC000"/>
    </dgm:linClrLst>
    <dgm:effectClrLst/>
    <dgm:txLinClrLst/>
    <dgm:txFillClrLst meth="repeat">
      <a:srgbClr val="FFFFFF"/>
    </dgm:txFillClrLst>
    <dgm:txEffectClrLst/>
  </dgm:styleLbl>
  <dgm:styleLbl name="vennNode1">
    <dgm:fillClrLst>
      <a:srgbClr val="FFC000">
        <a:alpha val="50000"/>
      </a:srgbClr>
      <a:srgbClr val="4472C4">
        <a:alpha val="50000"/>
      </a:srgbClr>
    </dgm:fillClrLst>
    <dgm:linClrLst meth="repeat">
      <a:srgbClr val="FFFFFF"/>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lProcess3#1" loCatId="process" qsTypeId="urn:microsoft.com/office/officeart/2005/8/quickstyle/simple5#2" qsCatId="simple" csTypeId="urn:microsoft.com/office/officeart/2005/8/colors/colorful4#2" csCatId="colorful" phldr="1"/>
      <dgm:spPr/>
      <dgm:t>
        <a:bodyPr/>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p>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gm:t>
    </dgm:pt>
    <dgm:pt modelId="{5657338A-E5FA-4EF5-BD8A-D52F54EE1777}" cxnId="{9039BC57-CC96-4B32-B42B-BB651741E847}" type="parTrans">
      <dgm:prSet/>
      <dgm:spPr/>
      <dgm:t>
        <a:bodyPr/>
        <a:p>
          <a:endParaRPr lang="zh-CN" altLang="en-US">
            <a:latin typeface="华文细黑" panose="02010600040101010101" pitchFamily="2" charset="-122"/>
            <a:ea typeface="华文细黑" panose="02010600040101010101" pitchFamily="2" charset="-122"/>
          </a:endParaRPr>
        </a:p>
      </dgm:t>
    </dgm:pt>
    <dgm:pt modelId="{A07EC271-6073-4E00-B05E-681FAB7ADB1E}" cxnId="{9039BC57-CC96-4B32-B42B-BB651741E847}" type="sibTrans">
      <dgm:prSet/>
      <dgm:spPr/>
      <dgm:t>
        <a:bodyPr/>
        <a:p>
          <a:endParaRPr lang="zh-CN" altLang="en-US">
            <a:latin typeface="华文细黑" panose="02010600040101010101" pitchFamily="2" charset="-122"/>
            <a:ea typeface="华文细黑" panose="02010600040101010101" pitchFamily="2" charset="-122"/>
          </a:endParaRPr>
        </a:p>
      </dgm:t>
    </dgm:pt>
    <dgm:pt modelId="{15882016-B55C-44E9-8F1F-2EA976ABCA6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sz="1000" b="0">
              <a:latin typeface="+mj-lt"/>
            </a:rPr>
            <a:t>相关性原则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FB28D79-3636-4821-82E3-476D88957CAC}" cxnId="{646836D6-B5FF-45ED-96B0-A9055A7B4AD8}" type="parTrans">
      <dgm:prSet/>
      <dgm:spPr/>
      <dgm:t>
        <a:bodyPr/>
        <a:p>
          <a:endParaRPr lang="zh-CN" altLang="en-US">
            <a:latin typeface="华文细黑" panose="02010600040101010101" pitchFamily="2" charset="-122"/>
            <a:ea typeface="华文细黑" panose="02010600040101010101" pitchFamily="2" charset="-122"/>
          </a:endParaRPr>
        </a:p>
      </dgm:t>
    </dgm:pt>
    <dgm:pt modelId="{80A89C0F-3ACD-4F85-903F-9949EB715D51}" cxnId="{646836D6-B5FF-45ED-96B0-A9055A7B4AD8}" type="sibTrans">
      <dgm:prSet/>
      <dgm:spPr/>
      <dgm:t>
        <a:bodyPr/>
        <a:p>
          <a:endParaRPr lang="zh-CN" altLang="en-US">
            <a:latin typeface="华文细黑" panose="02010600040101010101" pitchFamily="2" charset="-122"/>
            <a:ea typeface="华文细黑" panose="02010600040101010101" pitchFamily="2" charset="-122"/>
          </a:endParaRPr>
        </a:p>
      </dgm:t>
    </dgm:pt>
    <dgm:pt modelId="{42B1CAFA-34EB-45A3-9248-7D2EFA1D06C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sz="1000" b="0">
              <a:latin typeface="+mj-lt"/>
            </a:rPr>
            <a:t>系统性原则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FEA0136C-8D14-4E35-8EC9-C5DD07D12C57}" cxnId="{7FEF86F8-D727-4C94-B442-E1DDF3E8D6F1}" type="parTrans">
      <dgm:prSet/>
      <dgm:spPr/>
      <dgm:t>
        <a:bodyPr/>
        <a:p>
          <a:endParaRPr lang="zh-CN" altLang="en-US">
            <a:latin typeface="华文细黑" panose="02010600040101010101" pitchFamily="2" charset="-122"/>
            <a:ea typeface="华文细黑" panose="02010600040101010101" pitchFamily="2" charset="-122"/>
          </a:endParaRPr>
        </a:p>
      </dgm:t>
    </dgm:pt>
    <dgm:pt modelId="{7DAB7E00-1A3D-4C54-A458-C96DDB96490E}" cxnId="{7FEF86F8-D727-4C94-B442-E1DDF3E8D6F1}" type="sibTrans">
      <dgm:prSet/>
      <dgm:spPr/>
      <dgm:t>
        <a:bodyPr/>
        <a:p>
          <a:endParaRPr lang="zh-CN" altLang="en-US">
            <a:latin typeface="华文细黑" panose="02010600040101010101" pitchFamily="2" charset="-122"/>
            <a:ea typeface="华文细黑" panose="02010600040101010101" pitchFamily="2" charset="-122"/>
          </a:endParaRPr>
        </a:p>
      </dgm:t>
    </dgm:pt>
    <dgm:pt modelId="{0CB1D884-927A-4CD8-ADA4-973A535D454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sz="1000" b="0">
              <a:latin typeface="+mj-lt"/>
            </a:rPr>
            <a:t>可比性原则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6A1C25AB-A71C-4D3F-82EB-94D27A4562CA}" cxnId="{C14EB5EA-53F3-46A1-B228-6D57BB79EA00}" type="sibTrans">
      <dgm:prSet/>
      <dgm:spPr/>
      <dgm:t>
        <a:bodyPr/>
        <a:p>
          <a:endParaRPr lang="zh-CN" altLang="en-US">
            <a:latin typeface="华文细黑" panose="02010600040101010101" pitchFamily="2" charset="-122"/>
            <a:ea typeface="华文细黑" panose="02010600040101010101" pitchFamily="2" charset="-122"/>
          </a:endParaRPr>
        </a:p>
      </dgm:t>
    </dgm:pt>
    <dgm:pt modelId="{C9A3DF1B-B75E-48F3-ADBD-D866FE005DD2}" cxnId="{C14EB5EA-53F3-46A1-B228-6D57BB79EA00}" type="parTrans">
      <dgm:prSet/>
      <dgm:spPr/>
      <dgm:t>
        <a:bodyPr/>
        <a:p>
          <a:endParaRPr lang="zh-CN" altLang="en-US">
            <a:latin typeface="华文细黑" panose="02010600040101010101" pitchFamily="2" charset="-122"/>
            <a:ea typeface="华文细黑" panose="02010600040101010101" pitchFamily="2" charset="-122"/>
          </a:endParaRPr>
        </a:p>
      </dgm:t>
    </dgm:pt>
    <dgm:pt modelId="{ED222693-D855-4D4D-BFDE-6812A6E41E9C}">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sz="1000" b="0">
              <a:latin typeface="+mj-lt"/>
            </a:rPr>
            <a:t>重要性原则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8EACE757-831E-4655-8450-6C7DC2935722}" cxnId="{C24ADC57-E4D4-4CFD-8AA4-8AF9378520A6}" type="sibTrans">
      <dgm:prSet/>
      <dgm:spPr/>
      <dgm:t>
        <a:bodyPr/>
        <a:p>
          <a:endParaRPr lang="zh-CN" altLang="en-US">
            <a:latin typeface="华文细黑" panose="02010600040101010101" pitchFamily="2" charset="-122"/>
            <a:ea typeface="华文细黑" panose="02010600040101010101" pitchFamily="2" charset="-122"/>
          </a:endParaRPr>
        </a:p>
      </dgm:t>
    </dgm:pt>
    <dgm:pt modelId="{ADEAD72F-D2CF-4287-9279-C31D0DCB7910}" cxnId="{C24ADC57-E4D4-4CFD-8AA4-8AF9378520A6}" type="parTrans">
      <dgm:prSet/>
      <dgm:spPr/>
      <dgm:t>
        <a:bodyPr/>
        <a:p>
          <a:endParaRPr lang="zh-CN" altLang="en-US">
            <a:latin typeface="华文细黑" panose="02010600040101010101" pitchFamily="2" charset="-122"/>
            <a:ea typeface="华文细黑" panose="02010600040101010101" pitchFamily="2" charset="-122"/>
          </a:endParaRPr>
        </a:p>
      </dgm:t>
    </dgm:pt>
    <dgm:pt modelId="{802CEB23-70DC-44EA-A221-D2B4F2AC607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sz="1000" b="0">
              <a:latin typeface="+mj-lt"/>
            </a:rPr>
            <a:t>经济性原则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25303CF-67E3-4C26-8D66-2B3238776171}" cxnId="{6666FC02-9C8D-4DA8-94F5-983077957394}" type="parTrans">
      <dgm:prSet/>
      <dgm:spPr/>
      <dgm:t>
        <a:bodyPr/>
        <a:p>
          <a:endParaRPr lang="zh-CN" altLang="en-US"/>
        </a:p>
      </dgm:t>
    </dgm:pt>
    <dgm:pt modelId="{7D2CB469-A4CC-40FA-99F6-C4C66367721B}" cxnId="{6666FC02-9C8D-4DA8-94F5-983077957394}" type="sibTrans">
      <dgm:prSet/>
      <dgm:spPr/>
      <dgm:t>
        <a:bodyPr/>
        <a:p>
          <a:endParaRPr lang="zh-CN" altLang="en-US"/>
        </a:p>
      </dgm:t>
    </dgm:pt>
    <dgm:pt modelId="{1B7179B6-C9DE-4BDA-8663-4B679997E5DA}" type="pres">
      <dgm:prSet presAssocID="{4B7C27DC-5868-4F38-A9F2-056BB1C2E427}" presName="Name0" presStyleCnt="0">
        <dgm:presLayoutVars>
          <dgm:chPref val="3"/>
          <dgm:dir/>
          <dgm:animLvl val="lvl"/>
          <dgm:resizeHandles/>
        </dgm:presLayoutVars>
      </dgm:prSet>
      <dgm:spPr/>
      <dgm:t>
        <a:bodyPr/>
        <a:p>
          <a:endParaRPr lang="zh-CN" altLang="en-US"/>
        </a:p>
      </dgm:t>
    </dgm:pt>
    <dgm:pt modelId="{3F78EC4B-0C67-44FB-979D-2F5321EED4DA}" type="pres">
      <dgm:prSet presAssocID="{AE44D3A4-6643-4157-86EA-2E0899415F11}" presName="horFlow" presStyleCnt="0"/>
      <dgm:spPr/>
    </dgm:pt>
    <dgm:pt modelId="{77482DA5-41E1-41D0-A9D6-79B1CCF7F452}" type="pres">
      <dgm:prSet presAssocID="{AE44D3A4-6643-4157-86EA-2E0899415F11}" presName="bigChev" presStyleLbl="node1" presStyleIdx="0" presStyleCnt="1"/>
      <dgm:spPr/>
      <dgm:t>
        <a:bodyPr/>
        <a:p>
          <a:endParaRPr lang="zh-CN" altLang="en-US"/>
        </a:p>
      </dgm:t>
    </dgm:pt>
    <dgm:pt modelId="{A94D0795-03CA-49E3-BD5E-7CA45A077131}" type="pres">
      <dgm:prSet presAssocID="{2FB28D79-3636-4821-82E3-476D88957CAC}" presName="parTrans" presStyleCnt="0"/>
      <dgm:spPr/>
    </dgm:pt>
    <dgm:pt modelId="{6E8D7C1F-A22A-42B0-A090-A57413634287}" type="pres">
      <dgm:prSet presAssocID="{15882016-B55C-44E9-8F1F-2EA976ABCA60}" presName="node" presStyleLbl="alignAccFollowNode1" presStyleIdx="0" presStyleCnt="5">
        <dgm:presLayoutVars>
          <dgm:bulletEnabled val="1"/>
        </dgm:presLayoutVars>
      </dgm:prSet>
      <dgm:spPr/>
      <dgm:t>
        <a:bodyPr/>
        <a:p>
          <a:endParaRPr lang="zh-CN" altLang="en-US"/>
        </a:p>
      </dgm:t>
    </dgm:pt>
    <dgm:pt modelId="{CFC898DE-59DC-4028-BA1D-378513CCEA10}" type="pres">
      <dgm:prSet presAssocID="{80A89C0F-3ACD-4F85-903F-9949EB715D51}" presName="sibTrans" presStyleCnt="0"/>
      <dgm:spPr/>
    </dgm:pt>
    <dgm:pt modelId="{B8691B77-4694-4BFA-9DAF-40A313A447BB}" type="pres">
      <dgm:prSet presAssocID="{ED222693-D855-4D4D-BFDE-6812A6E41E9C}" presName="node" presStyleLbl="alignAccFollowNode1" presStyleIdx="1" presStyleCnt="5">
        <dgm:presLayoutVars>
          <dgm:bulletEnabled val="1"/>
        </dgm:presLayoutVars>
      </dgm:prSet>
      <dgm:spPr/>
      <dgm:t>
        <a:bodyPr/>
        <a:p>
          <a:endParaRPr lang="zh-CN" altLang="en-US"/>
        </a:p>
      </dgm:t>
    </dgm:pt>
    <dgm:pt modelId="{1751DC88-55FC-4BBC-AEEB-04B17C466DA1}" type="pres">
      <dgm:prSet presAssocID="{8EACE757-831E-4655-8450-6C7DC2935722}" presName="sibTrans" presStyleCnt="0"/>
      <dgm:spPr/>
    </dgm:pt>
    <dgm:pt modelId="{C330E3A1-3D1D-4453-A315-50DA58578E8B}" type="pres">
      <dgm:prSet presAssocID="{0CB1D884-927A-4CD8-ADA4-973A535D4546}" presName="node" presStyleLbl="alignAccFollowNode1" presStyleIdx="2" presStyleCnt="5">
        <dgm:presLayoutVars>
          <dgm:bulletEnabled val="1"/>
        </dgm:presLayoutVars>
      </dgm:prSet>
      <dgm:spPr/>
      <dgm:t>
        <a:bodyPr/>
        <a:p>
          <a:endParaRPr lang="zh-CN" altLang="en-US"/>
        </a:p>
      </dgm:t>
    </dgm:pt>
    <dgm:pt modelId="{498544C9-6F56-4FBB-A67B-E4A4562CC411}" type="pres">
      <dgm:prSet presAssocID="{6A1C25AB-A71C-4D3F-82EB-94D27A4562CA}" presName="sibTrans" presStyleCnt="0"/>
      <dgm:spPr/>
    </dgm:pt>
    <dgm:pt modelId="{15B667A0-41D3-4D24-9402-E2D0A9F3193D}" type="pres">
      <dgm:prSet presAssocID="{42B1CAFA-34EB-45A3-9248-7D2EFA1D06C6}" presName="node" presStyleLbl="alignAccFollowNode1" presStyleIdx="3" presStyleCnt="5">
        <dgm:presLayoutVars>
          <dgm:bulletEnabled val="1"/>
        </dgm:presLayoutVars>
      </dgm:prSet>
      <dgm:spPr/>
      <dgm:t>
        <a:bodyPr/>
        <a:p>
          <a:endParaRPr lang="zh-CN" altLang="en-US"/>
        </a:p>
      </dgm:t>
    </dgm:pt>
    <dgm:pt modelId="{8A99CEBA-B231-4BAF-A04C-18FDE9C4FB8D}" type="pres">
      <dgm:prSet presAssocID="{7DAB7E00-1A3D-4C54-A458-C96DDB96490E}" presName="sibTrans" presStyleCnt="0"/>
      <dgm:spPr/>
    </dgm:pt>
    <dgm:pt modelId="{3133D0F3-2920-497C-9B75-49DB36BD1C0F}" type="pres">
      <dgm:prSet presAssocID="{802CEB23-70DC-44EA-A221-D2B4F2AC6070}" presName="node" presStyleLbl="alignAccFollowNode1" presStyleIdx="4" presStyleCnt="5">
        <dgm:presLayoutVars>
          <dgm:bulletEnabled val="1"/>
        </dgm:presLayoutVars>
      </dgm:prSet>
      <dgm:spPr/>
      <dgm:t>
        <a:bodyPr/>
        <a:p>
          <a:endParaRPr lang="zh-CN" altLang="en-US"/>
        </a:p>
      </dgm:t>
    </dgm:pt>
  </dgm:ptLst>
  <dgm:cxnLst>
    <dgm:cxn modelId="{B2FB1B04-FEC8-41C4-923A-C135F84204C9}" type="presOf" srcId="{AE44D3A4-6643-4157-86EA-2E0899415F11}" destId="{77482DA5-41E1-41D0-A9D6-79B1CCF7F452}" srcOrd="0" destOrd="0" presId="urn:microsoft.com/office/officeart/2005/8/layout/lProcess3#1"/>
    <dgm:cxn modelId="{7C827062-A57D-4358-A3CF-C7E795B8C774}" type="presOf" srcId="{42B1CAFA-34EB-45A3-9248-7D2EFA1D06C6}" destId="{15B667A0-41D3-4D24-9402-E2D0A9F3193D}" srcOrd="0" destOrd="0" presId="urn:microsoft.com/office/officeart/2005/8/layout/lProcess3#1"/>
    <dgm:cxn modelId="{7FEF86F8-D727-4C94-B442-E1DDF3E8D6F1}" srcId="{AE44D3A4-6643-4157-86EA-2E0899415F11}" destId="{42B1CAFA-34EB-45A3-9248-7D2EFA1D06C6}" srcOrd="3" destOrd="0" parTransId="{FEA0136C-8D14-4E35-8EC9-C5DD07D12C57}" sibTransId="{7DAB7E00-1A3D-4C54-A458-C96DDB96490E}"/>
    <dgm:cxn modelId="{1EE7413A-AC81-4EB4-A0A9-C7433DD70529}" type="presOf" srcId="{ED222693-D855-4D4D-BFDE-6812A6E41E9C}" destId="{B8691B77-4694-4BFA-9DAF-40A313A447BB}" srcOrd="0" destOrd="0" presId="urn:microsoft.com/office/officeart/2005/8/layout/lProcess3#1"/>
    <dgm:cxn modelId="{39B24B4F-5E95-4FCC-A580-E0A99B599ABB}" type="presOf" srcId="{4B7C27DC-5868-4F38-A9F2-056BB1C2E427}" destId="{1B7179B6-C9DE-4BDA-8663-4B679997E5DA}" srcOrd="0" destOrd="0" presId="urn:microsoft.com/office/officeart/2005/8/layout/lProcess3#1"/>
    <dgm:cxn modelId="{C14EB5EA-53F3-46A1-B228-6D57BB79EA00}" srcId="{AE44D3A4-6643-4157-86EA-2E0899415F11}" destId="{0CB1D884-927A-4CD8-ADA4-973A535D4546}" srcOrd="2" destOrd="0" parTransId="{C9A3DF1B-B75E-48F3-ADBD-D866FE005DD2}" sibTransId="{6A1C25AB-A71C-4D3F-82EB-94D27A4562CA}"/>
    <dgm:cxn modelId="{75521392-CE60-455C-A8B5-E17997F22600}" type="presOf" srcId="{802CEB23-70DC-44EA-A221-D2B4F2AC6070}" destId="{3133D0F3-2920-497C-9B75-49DB36BD1C0F}" srcOrd="0" destOrd="0" presId="urn:microsoft.com/office/officeart/2005/8/layout/lProcess3#1"/>
    <dgm:cxn modelId="{5E0C55CD-77E1-4882-9344-FB4E4E8C4A88}" type="presOf" srcId="{15882016-B55C-44E9-8F1F-2EA976ABCA60}" destId="{6E8D7C1F-A22A-42B0-A090-A57413634287}" srcOrd="0" destOrd="0" presId="urn:microsoft.com/office/officeart/2005/8/layout/lProcess3#1"/>
    <dgm:cxn modelId="{646836D6-B5FF-45ED-96B0-A9055A7B4AD8}" srcId="{AE44D3A4-6643-4157-86EA-2E0899415F11}" destId="{15882016-B55C-44E9-8F1F-2EA976ABCA60}" srcOrd="0" destOrd="0" parTransId="{2FB28D79-3636-4821-82E3-476D88957CAC}" sibTransId="{80A89C0F-3ACD-4F85-903F-9949EB715D51}"/>
    <dgm:cxn modelId="{C24ADC57-E4D4-4CFD-8AA4-8AF9378520A6}" srcId="{AE44D3A4-6643-4157-86EA-2E0899415F11}" destId="{ED222693-D855-4D4D-BFDE-6812A6E41E9C}" srcOrd="1" destOrd="0" parTransId="{ADEAD72F-D2CF-4287-9279-C31D0DCB7910}" sibTransId="{8EACE757-831E-4655-8450-6C7DC2935722}"/>
    <dgm:cxn modelId="{9039BC57-CC96-4B32-B42B-BB651741E847}" srcId="{4B7C27DC-5868-4F38-A9F2-056BB1C2E427}" destId="{AE44D3A4-6643-4157-86EA-2E0899415F11}" srcOrd="0" destOrd="0" parTransId="{5657338A-E5FA-4EF5-BD8A-D52F54EE1777}" sibTransId="{A07EC271-6073-4E00-B05E-681FAB7ADB1E}"/>
    <dgm:cxn modelId="{6666FC02-9C8D-4DA8-94F5-983077957394}" srcId="{AE44D3A4-6643-4157-86EA-2E0899415F11}" destId="{802CEB23-70DC-44EA-A221-D2B4F2AC6070}" srcOrd="4" destOrd="0" parTransId="{225303CF-67E3-4C26-8D66-2B3238776171}" sibTransId="{7D2CB469-A4CC-40FA-99F6-C4C66367721B}"/>
    <dgm:cxn modelId="{423688EF-37DA-44EA-91ED-C9EA47A3523B}" type="presOf" srcId="{0CB1D884-927A-4CD8-ADA4-973A535D4546}" destId="{C330E3A1-3D1D-4453-A315-50DA58578E8B}" srcOrd="0" destOrd="0" presId="urn:microsoft.com/office/officeart/2005/8/layout/lProcess3#1"/>
    <dgm:cxn modelId="{D7F2C7C5-0D6D-4CCD-AAC8-3ABE32AE10EB}" type="presParOf" srcId="{1B7179B6-C9DE-4BDA-8663-4B679997E5DA}" destId="{3F78EC4B-0C67-44FB-979D-2F5321EED4DA}" srcOrd="0" destOrd="0" presId="urn:microsoft.com/office/officeart/2005/8/layout/lProcess3#1"/>
    <dgm:cxn modelId="{4EE1984F-336D-42A6-8575-E17ACBB0496A}" type="presParOf" srcId="{3F78EC4B-0C67-44FB-979D-2F5321EED4DA}" destId="{77482DA5-41E1-41D0-A9D6-79B1CCF7F452}" srcOrd="0" destOrd="0" presId="urn:microsoft.com/office/officeart/2005/8/layout/lProcess3#1"/>
    <dgm:cxn modelId="{AEEB5D51-3E4F-4F27-BBA3-C3658529CE1B}" type="presParOf" srcId="{3F78EC4B-0C67-44FB-979D-2F5321EED4DA}" destId="{A94D0795-03CA-49E3-BD5E-7CA45A077131}" srcOrd="1" destOrd="0" presId="urn:microsoft.com/office/officeart/2005/8/layout/lProcess3#1"/>
    <dgm:cxn modelId="{748908BC-E394-4708-8B4D-208D675F3407}" type="presParOf" srcId="{3F78EC4B-0C67-44FB-979D-2F5321EED4DA}" destId="{6E8D7C1F-A22A-42B0-A090-A57413634287}" srcOrd="2" destOrd="0" presId="urn:microsoft.com/office/officeart/2005/8/layout/lProcess3#1"/>
    <dgm:cxn modelId="{7574DCDF-E041-4F50-8907-7F4699CBCAF8}" type="presParOf" srcId="{3F78EC4B-0C67-44FB-979D-2F5321EED4DA}" destId="{CFC898DE-59DC-4028-BA1D-378513CCEA10}" srcOrd="3" destOrd="0" presId="urn:microsoft.com/office/officeart/2005/8/layout/lProcess3#1"/>
    <dgm:cxn modelId="{47165463-EE79-44ED-9D10-A77CC83E622C}" type="presParOf" srcId="{3F78EC4B-0C67-44FB-979D-2F5321EED4DA}" destId="{B8691B77-4694-4BFA-9DAF-40A313A447BB}" srcOrd="4" destOrd="0" presId="urn:microsoft.com/office/officeart/2005/8/layout/lProcess3#1"/>
    <dgm:cxn modelId="{1C1C3886-20B0-48AA-A36A-044F8BEAF7AD}" type="presParOf" srcId="{3F78EC4B-0C67-44FB-979D-2F5321EED4DA}" destId="{1751DC88-55FC-4BBC-AEEB-04B17C466DA1}" srcOrd="5" destOrd="0" presId="urn:microsoft.com/office/officeart/2005/8/layout/lProcess3#1"/>
    <dgm:cxn modelId="{BF12C449-B812-4218-AB38-101A8F4E3632}" type="presParOf" srcId="{3F78EC4B-0C67-44FB-979D-2F5321EED4DA}" destId="{C330E3A1-3D1D-4453-A315-50DA58578E8B}" srcOrd="6" destOrd="0" presId="urn:microsoft.com/office/officeart/2005/8/layout/lProcess3#1"/>
    <dgm:cxn modelId="{90563F26-22EF-4A98-91AC-427B03443E22}" type="presParOf" srcId="{3F78EC4B-0C67-44FB-979D-2F5321EED4DA}" destId="{498544C9-6F56-4FBB-A67B-E4A4562CC411}" srcOrd="7" destOrd="0" presId="urn:microsoft.com/office/officeart/2005/8/layout/lProcess3#1"/>
    <dgm:cxn modelId="{B575AE09-CA41-49AF-8CD4-4925D99992D3}" type="presParOf" srcId="{3F78EC4B-0C67-44FB-979D-2F5321EED4DA}" destId="{15B667A0-41D3-4D24-9402-E2D0A9F3193D}" srcOrd="8" destOrd="0" presId="urn:microsoft.com/office/officeart/2005/8/layout/lProcess3#1"/>
    <dgm:cxn modelId="{5369C85C-4E6B-4377-9A10-D02E1A3342EB}" type="presParOf" srcId="{3F78EC4B-0C67-44FB-979D-2F5321EED4DA}" destId="{8A99CEBA-B231-4BAF-A04C-18FDE9C4FB8D}" srcOrd="9" destOrd="0" presId="urn:microsoft.com/office/officeart/2005/8/layout/lProcess3#1"/>
    <dgm:cxn modelId="{A431FB46-A1A2-4C2A-B322-0A391858E4F6}" type="presParOf" srcId="{3F78EC4B-0C67-44FB-979D-2F5321EED4DA}" destId="{3133D0F3-2920-497C-9B75-49DB36BD1C0F}" srcOrd="10" destOrd="0" presId="urn:microsoft.com/office/officeart/2005/8/layout/lProcess3#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3D5728C-CBBE-48DF-A285-0A19F5094A78}" type="doc">
      <dgm:prSet loTypeId="urn:microsoft.com/office/officeart/2005/8/layout/hierarchy1#1" loCatId="hierarchy" qsTypeId="urn:microsoft.com/office/officeart/2005/8/quickstyle/simple5#3" qsCatId="simple" csTypeId="urn:microsoft.com/office/officeart/2005/8/colors/colorful1#1" csCatId="colorful" phldr="1"/>
      <dgm:spPr/>
      <dgm:t>
        <a:bodyPr/>
        <a:p>
          <a:endParaRPr lang="en-US"/>
        </a:p>
      </dgm:t>
    </dgm:pt>
    <dgm:pt modelId="{9D22EFBF-BA90-4F0B-AF06-B6CDBF96AE0C}">
      <dgm:prSet phldrT="[Text]" custT="1"/>
      <dgm:spPr/>
      <dgm:t>
        <a:bodyPr/>
        <a:p>
          <a:pPr algn="ctr"/>
          <a:r>
            <a:rPr lang="zh-CN" altLang="en-US" sz="1050" b="1"/>
            <a:t>指标评价体系</a:t>
          </a:r>
          <a:endParaRPr lang="en-US" sz="800" b="1"/>
        </a:p>
      </dgm:t>
    </dgm:pt>
    <dgm:pt modelId="{71220B47-C7CC-465A-8880-F14D7A04B4EA}" cxnId="{CD1A55A8-600E-4CAA-BD15-5F26EB00F617}" type="parTrans">
      <dgm:prSet/>
      <dgm:spPr/>
      <dgm:t>
        <a:bodyPr/>
        <a:p>
          <a:pPr algn="ctr"/>
          <a:endParaRPr lang="en-US"/>
        </a:p>
      </dgm:t>
    </dgm:pt>
    <dgm:pt modelId="{5178EDDB-A656-4E9D-A685-9453F1403C49}" cxnId="{CD1A55A8-600E-4CAA-BD15-5F26EB00F617}" type="sibTrans">
      <dgm:prSet/>
      <dgm:spPr/>
      <dgm:t>
        <a:bodyPr/>
        <a:p>
          <a:pPr algn="ctr"/>
          <a:endParaRPr lang="en-US"/>
        </a:p>
      </dgm:t>
    </dgm:pt>
    <dgm:pt modelId="{4C167B22-D983-41D4-836B-647550AC9E17}">
      <dgm:prSet phldrT="[Text]" custT="1"/>
      <dgm:spPr/>
      <dgm:t>
        <a:bodyPr/>
        <a:p>
          <a:pPr algn="ctr"/>
          <a:r>
            <a:rPr lang="zh-CN" altLang="en-US" sz="1000" b="1"/>
            <a:t>投入</a:t>
          </a:r>
          <a:endParaRPr lang="en-US" altLang="zh-CN" sz="1000" b="1"/>
        </a:p>
        <a:p>
          <a:pPr algn="ctr"/>
          <a:r>
            <a:rPr lang="zh-CN" altLang="en-US" sz="1000" b="1"/>
            <a:t>（</a:t>
          </a:r>
          <a:r>
            <a:rPr lang="en-US" altLang="zh-CN" sz="1000" b="1"/>
            <a:t>12</a:t>
          </a:r>
          <a:r>
            <a:rPr lang="zh-CN" altLang="en-US" sz="1000" b="1"/>
            <a:t>）</a:t>
          </a:r>
          <a:endParaRPr lang="en-US" sz="1000" b="1"/>
        </a:p>
      </dgm:t>
    </dgm:pt>
    <dgm:pt modelId="{AE204805-1D8D-4F99-BEC2-7D66762B9558}" cxnId="{4F3E284E-12A5-46C8-9590-C42EBDAC1147}" type="parTrans">
      <dgm:prSet/>
      <dgm:spPr/>
      <dgm:t>
        <a:bodyPr/>
        <a:p>
          <a:pPr algn="ctr"/>
          <a:endParaRPr lang="en-US"/>
        </a:p>
      </dgm:t>
    </dgm:pt>
    <dgm:pt modelId="{5357EFE0-B730-4FB7-918F-A5C8727A7A5F}" cxnId="{4F3E284E-12A5-46C8-9590-C42EBDAC1147}" type="sibTrans">
      <dgm:prSet/>
      <dgm:spPr/>
      <dgm:t>
        <a:bodyPr/>
        <a:p>
          <a:pPr algn="ctr"/>
          <a:endParaRPr lang="en-US"/>
        </a:p>
      </dgm:t>
    </dgm:pt>
    <dgm:pt modelId="{D2529986-5770-4AF8-AF9F-55687AAF6BF5}">
      <dgm:prSet phldrT="[Text]" custT="1"/>
      <dgm:spPr/>
      <dgm:t>
        <a:bodyPr/>
        <a:p>
          <a:pPr algn="ctr"/>
          <a:r>
            <a:rPr lang="zh-CN" altLang="en-US" sz="900" b="1"/>
            <a:t>项目立项（</a:t>
          </a:r>
          <a:r>
            <a:rPr lang="en-US" altLang="zh-CN" sz="900" b="1"/>
            <a:t>6</a:t>
          </a:r>
          <a:r>
            <a:rPr lang="zh-CN" altLang="en-US" sz="900" b="1"/>
            <a:t>）</a:t>
          </a:r>
          <a:endParaRPr lang="en-US" sz="900" b="1"/>
        </a:p>
      </dgm:t>
    </dgm:pt>
    <dgm:pt modelId="{B17C9EC9-402B-49F0-90DD-F0FD9500D382}" cxnId="{2CE0758C-806F-4EAE-AC19-9926A9061641}" type="parTrans">
      <dgm:prSet/>
      <dgm:spPr/>
      <dgm:t>
        <a:bodyPr/>
        <a:p>
          <a:pPr algn="ctr"/>
          <a:endParaRPr lang="en-US"/>
        </a:p>
      </dgm:t>
    </dgm:pt>
    <dgm:pt modelId="{7E7654C3-A986-4FD7-B9F3-C34DAE17710E}" cxnId="{2CE0758C-806F-4EAE-AC19-9926A9061641}" type="sibTrans">
      <dgm:prSet/>
      <dgm:spPr/>
      <dgm:t>
        <a:bodyPr/>
        <a:p>
          <a:pPr algn="ctr"/>
          <a:endParaRPr lang="en-US"/>
        </a:p>
      </dgm:t>
    </dgm:pt>
    <dgm:pt modelId="{C20222D6-0217-4CD2-88B3-0A45858D3AB1}">
      <dgm:prSet phldrT="[Text]" custT="1"/>
      <dgm:spPr/>
      <dgm:t>
        <a:bodyPr/>
        <a:p>
          <a:pPr algn="ctr"/>
          <a:r>
            <a:rPr lang="zh-CN" altLang="en-US" sz="900" b="1"/>
            <a:t>资金落实（</a:t>
          </a:r>
          <a:r>
            <a:rPr lang="en-US" altLang="zh-CN" sz="900" b="1"/>
            <a:t>6</a:t>
          </a:r>
          <a:r>
            <a:rPr lang="zh-CN" altLang="en-US" sz="900" b="1"/>
            <a:t>）</a:t>
          </a:r>
          <a:endParaRPr lang="en-US" sz="900" b="1"/>
        </a:p>
      </dgm:t>
    </dgm:pt>
    <dgm:pt modelId="{822B259F-5F64-4BB2-90A5-0AAB09ADE86B}" cxnId="{C93C9868-6DDD-4ACE-8BFB-A4FCA3B030C8}" type="parTrans">
      <dgm:prSet/>
      <dgm:spPr/>
      <dgm:t>
        <a:bodyPr/>
        <a:p>
          <a:pPr algn="ctr"/>
          <a:endParaRPr lang="en-US"/>
        </a:p>
      </dgm:t>
    </dgm:pt>
    <dgm:pt modelId="{B8C8CBF0-671F-4132-AB79-9B0A08E31FBA}" cxnId="{C93C9868-6DDD-4ACE-8BFB-A4FCA3B030C8}" type="sibTrans">
      <dgm:prSet/>
      <dgm:spPr/>
      <dgm:t>
        <a:bodyPr/>
        <a:p>
          <a:pPr algn="ctr"/>
          <a:endParaRPr lang="en-US"/>
        </a:p>
      </dgm:t>
    </dgm:pt>
    <dgm:pt modelId="{34392AA1-5A5C-4153-97F9-D4CBAFCE3A47}">
      <dgm:prSet phldrT="[Text]" custT="1"/>
      <dgm:spPr/>
      <dgm:t>
        <a:bodyPr/>
        <a:p>
          <a:pPr algn="ctr"/>
          <a:r>
            <a:rPr lang="zh-CN" altLang="en-US" sz="1000" b="1"/>
            <a:t>过程（</a:t>
          </a:r>
          <a:r>
            <a:rPr lang="en-US" altLang="zh-CN" sz="1000" b="1"/>
            <a:t>28</a:t>
          </a:r>
          <a:r>
            <a:rPr lang="zh-CN" altLang="en-US" sz="1000" b="1"/>
            <a:t>）</a:t>
          </a:r>
          <a:endParaRPr lang="en-US" sz="1000" b="1"/>
        </a:p>
      </dgm:t>
    </dgm:pt>
    <dgm:pt modelId="{F79561F8-85EE-4F30-9968-9D0EF135BE45}" cxnId="{5D3904C1-0E4A-42C6-93B4-2C03876C0950}" type="parTrans">
      <dgm:prSet/>
      <dgm:spPr/>
      <dgm:t>
        <a:bodyPr/>
        <a:p>
          <a:pPr algn="ctr"/>
          <a:endParaRPr lang="en-US"/>
        </a:p>
      </dgm:t>
    </dgm:pt>
    <dgm:pt modelId="{16946FA1-A2D6-42F2-A1DA-14DA3F6F0C30}" cxnId="{5D3904C1-0E4A-42C6-93B4-2C03876C0950}" type="sibTrans">
      <dgm:prSet/>
      <dgm:spPr/>
      <dgm:t>
        <a:bodyPr/>
        <a:p>
          <a:pPr algn="ctr"/>
          <a:endParaRPr lang="en-US"/>
        </a:p>
      </dgm:t>
    </dgm:pt>
    <dgm:pt modelId="{0FFF3A5C-09A4-4AFD-863C-4062BC6DE9B5}">
      <dgm:prSet phldrT="[Text]" custT="1"/>
      <dgm:spPr/>
      <dgm:t>
        <a:bodyPr/>
        <a:p>
          <a:pPr algn="ctr"/>
          <a:r>
            <a:rPr lang="zh-CN" altLang="en-US" sz="900" b="1"/>
            <a:t>项目管理（</a:t>
          </a:r>
          <a:r>
            <a:rPr lang="en-US" altLang="zh-CN" sz="900" b="1"/>
            <a:t>9</a:t>
          </a:r>
          <a:r>
            <a:rPr lang="zh-CN" altLang="en-US" sz="900" b="1"/>
            <a:t>）</a:t>
          </a:r>
          <a:endParaRPr lang="en-US" sz="900" b="1"/>
        </a:p>
      </dgm:t>
    </dgm:pt>
    <dgm:pt modelId="{F9F3489F-B7E4-4C46-8F9D-F00BC10A3A44}" cxnId="{F7020DE0-BDF9-4635-9846-9F1D05109C25}" type="parTrans">
      <dgm:prSet/>
      <dgm:spPr/>
      <dgm:t>
        <a:bodyPr/>
        <a:p>
          <a:pPr algn="ctr"/>
          <a:endParaRPr lang="en-US"/>
        </a:p>
      </dgm:t>
    </dgm:pt>
    <dgm:pt modelId="{29B550EB-FE70-4028-9CA3-4B16731D3790}" cxnId="{F7020DE0-BDF9-4635-9846-9F1D05109C25}" type="sibTrans">
      <dgm:prSet/>
      <dgm:spPr/>
      <dgm:t>
        <a:bodyPr/>
        <a:p>
          <a:pPr algn="ctr"/>
          <a:endParaRPr lang="en-US"/>
        </a:p>
      </dgm:t>
    </dgm:pt>
    <dgm:pt modelId="{0201C36B-6FB2-4E92-AC02-554AED9B5F85}">
      <dgm:prSet phldrT="[Text]" custT="1"/>
      <dgm:spPr/>
      <dgm:t>
        <a:bodyPr/>
        <a:p>
          <a:pPr algn="ctr"/>
          <a:r>
            <a:rPr lang="zh-CN" altLang="en-US" sz="900" b="1"/>
            <a:t>财务管理（</a:t>
          </a:r>
          <a:r>
            <a:rPr lang="en-US" altLang="zh-CN" sz="900" b="1"/>
            <a:t>9</a:t>
          </a:r>
          <a:r>
            <a:rPr lang="zh-CN" altLang="en-US" sz="900" b="1"/>
            <a:t>）</a:t>
          </a:r>
          <a:endParaRPr lang="en-US" sz="900" b="1"/>
        </a:p>
      </dgm:t>
    </dgm:pt>
    <dgm:pt modelId="{BC831E5D-0B21-4672-8FFA-278C0901C9D8}" cxnId="{B2038B6C-5DC6-4842-AEE6-74B67998D72C}" type="parTrans">
      <dgm:prSet/>
      <dgm:spPr/>
      <dgm:t>
        <a:bodyPr/>
        <a:p>
          <a:pPr algn="ctr"/>
          <a:endParaRPr lang="en-US"/>
        </a:p>
      </dgm:t>
    </dgm:pt>
    <dgm:pt modelId="{5D881F4D-B950-47E3-9863-090D78ACDD6B}" cxnId="{B2038B6C-5DC6-4842-AEE6-74B67998D72C}" type="sibTrans">
      <dgm:prSet/>
      <dgm:spPr/>
      <dgm:t>
        <a:bodyPr/>
        <a:p>
          <a:pPr algn="ctr"/>
          <a:endParaRPr lang="en-US"/>
        </a:p>
      </dgm:t>
    </dgm:pt>
    <dgm:pt modelId="{F5E1DC25-0FDE-4F96-B3C7-4B0BD9C42835}">
      <dgm:prSet phldrT="[Text]" custT="1"/>
      <dgm:spPr/>
      <dgm:t>
        <a:bodyPr/>
        <a:p>
          <a:pPr algn="ctr"/>
          <a:r>
            <a:rPr lang="zh-CN" altLang="en-US" sz="1000" b="1"/>
            <a:t>产出（</a:t>
          </a:r>
          <a:r>
            <a:rPr lang="en-US" altLang="zh-CN" sz="1000" b="1"/>
            <a:t>27</a:t>
          </a:r>
          <a:r>
            <a:rPr lang="zh-CN" altLang="en-US" sz="1000" b="1"/>
            <a:t>）</a:t>
          </a:r>
          <a:endParaRPr lang="en-US" sz="1000" b="1"/>
        </a:p>
      </dgm:t>
    </dgm:pt>
    <dgm:pt modelId="{DB87DF42-AC05-44BB-ACDF-E716336A326F}" cxnId="{DF74B243-207C-4FE4-97E2-5782B2EE88DF}" type="parTrans">
      <dgm:prSet/>
      <dgm:spPr/>
      <dgm:t>
        <a:bodyPr/>
        <a:p>
          <a:pPr algn="ctr"/>
          <a:endParaRPr lang="en-US"/>
        </a:p>
      </dgm:t>
    </dgm:pt>
    <dgm:pt modelId="{F12DFE93-48AA-4EE3-B830-4A9F0977DACE}" cxnId="{DF74B243-207C-4FE4-97E2-5782B2EE88DF}" type="sibTrans">
      <dgm:prSet/>
      <dgm:spPr/>
      <dgm:t>
        <a:bodyPr/>
        <a:p>
          <a:pPr algn="ctr"/>
          <a:endParaRPr lang="en-US"/>
        </a:p>
      </dgm:t>
    </dgm:pt>
    <dgm:pt modelId="{A23EC302-1EC7-4211-8785-48D6889DCE62}">
      <dgm:prSet phldrT="[Text]" custT="1"/>
      <dgm:spPr/>
      <dgm:t>
        <a:bodyPr/>
        <a:p>
          <a:pPr algn="ctr"/>
          <a:r>
            <a:rPr lang="zh-CN" altLang="en-US" sz="900" b="1"/>
            <a:t>项目产出（</a:t>
          </a:r>
          <a:r>
            <a:rPr lang="en-US" altLang="zh-CN" sz="900" b="1"/>
            <a:t>27</a:t>
          </a:r>
          <a:r>
            <a:rPr lang="zh-CN" altLang="en-US" sz="900" b="1"/>
            <a:t>）</a:t>
          </a:r>
          <a:endParaRPr lang="en-US" sz="900" b="1"/>
        </a:p>
      </dgm:t>
    </dgm:pt>
    <dgm:pt modelId="{4121AE68-C877-42D4-95F9-F9926399467F}" cxnId="{A44B792B-DE99-4681-9E77-FF2032DED78D}" type="parTrans">
      <dgm:prSet/>
      <dgm:spPr/>
      <dgm:t>
        <a:bodyPr/>
        <a:p>
          <a:pPr algn="ctr"/>
          <a:endParaRPr lang="en-US"/>
        </a:p>
      </dgm:t>
    </dgm:pt>
    <dgm:pt modelId="{54920159-1141-4CD4-86AB-843D4DB1BA24}" cxnId="{A44B792B-DE99-4681-9E77-FF2032DED78D}" type="sibTrans">
      <dgm:prSet/>
      <dgm:spPr/>
      <dgm:t>
        <a:bodyPr/>
        <a:p>
          <a:pPr algn="ctr"/>
          <a:endParaRPr lang="en-US"/>
        </a:p>
      </dgm:t>
    </dgm:pt>
    <dgm:pt modelId="{A2DD95EC-8D6F-4618-B332-9014C3809BBD}">
      <dgm:prSet phldrT="[Text]" custT="1"/>
      <dgm:spPr/>
      <dgm:t>
        <a:bodyPr/>
        <a:p>
          <a:pPr algn="ctr"/>
          <a:r>
            <a:rPr lang="zh-CN" altLang="en-US" sz="1000" b="1"/>
            <a:t>效果（</a:t>
          </a:r>
          <a:r>
            <a:rPr lang="en-US" altLang="zh-CN" sz="1000" b="1"/>
            <a:t>33</a:t>
          </a:r>
          <a:r>
            <a:rPr lang="zh-CN" altLang="en-US" sz="1000" b="1"/>
            <a:t>）</a:t>
          </a:r>
          <a:endParaRPr lang="en-US" sz="1000" b="1"/>
        </a:p>
      </dgm:t>
    </dgm:pt>
    <dgm:pt modelId="{1BDE4C68-FB38-41A8-9778-9CD408A39D04}" cxnId="{FE0DA82E-F8D6-4620-AE88-47472E475785}" type="parTrans">
      <dgm:prSet/>
      <dgm:spPr/>
      <dgm:t>
        <a:bodyPr/>
        <a:p>
          <a:pPr algn="ctr"/>
          <a:endParaRPr lang="en-US"/>
        </a:p>
      </dgm:t>
    </dgm:pt>
    <dgm:pt modelId="{1BE43E53-8F7E-4ADB-B4D2-CD8553B78BBB}" cxnId="{FE0DA82E-F8D6-4620-AE88-47472E475785}" type="sibTrans">
      <dgm:prSet/>
      <dgm:spPr/>
      <dgm:t>
        <a:bodyPr/>
        <a:p>
          <a:pPr algn="ctr"/>
          <a:endParaRPr lang="en-US"/>
        </a:p>
      </dgm:t>
    </dgm:pt>
    <dgm:pt modelId="{8C2D5D92-230B-4E2B-81F2-70E87068AC11}">
      <dgm:prSet phldrT="[Text]" custT="1"/>
      <dgm:spPr/>
      <dgm:t>
        <a:bodyPr/>
        <a:p>
          <a:pPr algn="ctr"/>
          <a:r>
            <a:rPr lang="zh-CN" altLang="en-US" sz="900" b="1"/>
            <a:t>项目效果（</a:t>
          </a:r>
          <a:r>
            <a:rPr lang="en-US" altLang="zh-CN" sz="900" b="1"/>
            <a:t>33</a:t>
          </a:r>
          <a:r>
            <a:rPr lang="zh-CN" altLang="en-US" sz="900" b="1"/>
            <a:t>）</a:t>
          </a:r>
          <a:endParaRPr lang="en-US" sz="900" b="1"/>
        </a:p>
      </dgm:t>
    </dgm:pt>
    <dgm:pt modelId="{DDF4769C-01DE-47A8-8DBA-BF3691A1769F}" cxnId="{5AC8329A-06BF-4FE3-B9FB-0435D0F2A37C}" type="parTrans">
      <dgm:prSet/>
      <dgm:spPr/>
      <dgm:t>
        <a:bodyPr/>
        <a:p>
          <a:pPr algn="ctr"/>
          <a:endParaRPr lang="en-US"/>
        </a:p>
      </dgm:t>
    </dgm:pt>
    <dgm:pt modelId="{0BF6EC83-E94A-40FF-B510-24DC925F5F10}" cxnId="{5AC8329A-06BF-4FE3-B9FB-0435D0F2A37C}" type="sibTrans">
      <dgm:prSet/>
      <dgm:spPr/>
      <dgm:t>
        <a:bodyPr/>
        <a:p>
          <a:pPr algn="ctr"/>
          <a:endParaRPr lang="en-US"/>
        </a:p>
      </dgm:t>
    </dgm:pt>
    <dgm:pt modelId="{6D7CD6C5-8FBC-4474-9294-1340AB4C2587}">
      <dgm:prSet phldrT="[Text]" custT="1"/>
      <dgm:spPr/>
      <dgm:t>
        <a:bodyPr/>
        <a:p>
          <a:pPr algn="ctr"/>
          <a:r>
            <a:rPr lang="zh-CN" altLang="en-US" sz="900" b="1"/>
            <a:t>项目实施（</a:t>
          </a:r>
          <a:r>
            <a:rPr lang="en-US" altLang="zh-CN" sz="900" b="1"/>
            <a:t>10</a:t>
          </a:r>
          <a:r>
            <a:rPr lang="zh-CN" altLang="en-US" sz="900" b="1"/>
            <a:t>）</a:t>
          </a:r>
          <a:endParaRPr lang="en-US" sz="900" b="1"/>
        </a:p>
      </dgm:t>
    </dgm:pt>
    <dgm:pt modelId="{12CFCE2C-3A14-4EBA-A4F4-AEE1CE91CA6A}" cxnId="{5D309F2C-1B5E-4BD0-A9CD-D7EC7BA6161F}" type="sibTrans">
      <dgm:prSet/>
      <dgm:spPr/>
      <dgm:t>
        <a:bodyPr/>
        <a:p>
          <a:pPr algn="ctr"/>
          <a:endParaRPr lang="en-US"/>
        </a:p>
      </dgm:t>
    </dgm:pt>
    <dgm:pt modelId="{DF87F1AC-0F55-4A54-A989-0DDDAAD42112}" cxnId="{5D309F2C-1B5E-4BD0-A9CD-D7EC7BA6161F}" type="parTrans">
      <dgm:prSet/>
      <dgm:spPr/>
      <dgm:t>
        <a:bodyPr/>
        <a:p>
          <a:pPr algn="ctr"/>
          <a:endParaRPr lang="en-US"/>
        </a:p>
      </dgm:t>
    </dgm:pt>
    <dgm:pt modelId="{625BEE41-BBE8-4354-925D-BD0502BBDD16}" type="pres">
      <dgm:prSet presAssocID="{23D5728C-CBBE-48DF-A285-0A19F5094A78}" presName="hierChild1" presStyleCnt="0">
        <dgm:presLayoutVars>
          <dgm:chPref val="1"/>
          <dgm:dir/>
          <dgm:animOne val="branch"/>
          <dgm:animLvl val="lvl"/>
          <dgm:resizeHandles/>
        </dgm:presLayoutVars>
      </dgm:prSet>
      <dgm:spPr/>
      <dgm:t>
        <a:bodyPr/>
        <a:p>
          <a:endParaRPr lang="en-US"/>
        </a:p>
      </dgm:t>
    </dgm:pt>
    <dgm:pt modelId="{A52E4077-45D1-4457-B670-E596EE91B9E7}" type="pres">
      <dgm:prSet presAssocID="{9D22EFBF-BA90-4F0B-AF06-B6CDBF96AE0C}" presName="hierRoot1" presStyleCnt="0"/>
      <dgm:spPr/>
      <dgm:t>
        <a:bodyPr/>
        <a:p>
          <a:endParaRPr lang="en-US"/>
        </a:p>
      </dgm:t>
    </dgm:pt>
    <dgm:pt modelId="{F7AC917E-85B1-4EF8-A916-E46CA3A155F4}" type="pres">
      <dgm:prSet presAssocID="{9D22EFBF-BA90-4F0B-AF06-B6CDBF96AE0C}" presName="composite" presStyleCnt="0"/>
      <dgm:spPr/>
      <dgm:t>
        <a:bodyPr/>
        <a:p>
          <a:endParaRPr lang="en-US"/>
        </a:p>
      </dgm:t>
    </dgm:pt>
    <dgm:pt modelId="{751FA8C5-33F6-4ED0-8FD4-DCDA9AEB112D}" type="pres">
      <dgm:prSet presAssocID="{9D22EFBF-BA90-4F0B-AF06-B6CDBF96AE0C}" presName="background" presStyleLbl="node0" presStyleIdx="0" presStyleCnt="1"/>
      <dgm:spPr/>
      <dgm:t>
        <a:bodyPr/>
        <a:p>
          <a:endParaRPr lang="en-US"/>
        </a:p>
      </dgm:t>
    </dgm:pt>
    <dgm:pt modelId="{4B7E8C5F-B989-4C89-8C0D-BF68E4684B72}" type="pres">
      <dgm:prSet presAssocID="{9D22EFBF-BA90-4F0B-AF06-B6CDBF96AE0C}" presName="text" presStyleLbl="fgAcc0" presStyleIdx="0" presStyleCnt="1" custScaleX="277125" custScaleY="214194" custLinFactNeighborX="-41229" custLinFactNeighborY="-16023">
        <dgm:presLayoutVars>
          <dgm:chPref val="3"/>
        </dgm:presLayoutVars>
      </dgm:prSet>
      <dgm:spPr/>
      <dgm:t>
        <a:bodyPr/>
        <a:p>
          <a:endParaRPr lang="en-US"/>
        </a:p>
      </dgm:t>
    </dgm:pt>
    <dgm:pt modelId="{2F4B5371-1E9B-4F35-979D-C3A76C31DE3C}" type="pres">
      <dgm:prSet presAssocID="{9D22EFBF-BA90-4F0B-AF06-B6CDBF96AE0C}" presName="hierChild2" presStyleCnt="0"/>
      <dgm:spPr/>
      <dgm:t>
        <a:bodyPr/>
        <a:p>
          <a:endParaRPr lang="en-US"/>
        </a:p>
      </dgm:t>
    </dgm:pt>
    <dgm:pt modelId="{74EC6452-BDD8-400D-99E9-EC45E9D841E8}" type="pres">
      <dgm:prSet presAssocID="{AE204805-1D8D-4F99-BEC2-7D66762B9558}" presName="Name10" presStyleLbl="parChTrans1D2" presStyleIdx="0" presStyleCnt="4"/>
      <dgm:spPr/>
      <dgm:t>
        <a:bodyPr/>
        <a:p>
          <a:endParaRPr lang="en-US"/>
        </a:p>
      </dgm:t>
    </dgm:pt>
    <dgm:pt modelId="{1E80804F-2695-4DC1-8844-F19E476991A0}" type="pres">
      <dgm:prSet presAssocID="{4C167B22-D983-41D4-836B-647550AC9E17}" presName="hierRoot2" presStyleCnt="0"/>
      <dgm:spPr/>
      <dgm:t>
        <a:bodyPr/>
        <a:p>
          <a:endParaRPr lang="en-US"/>
        </a:p>
      </dgm:t>
    </dgm:pt>
    <dgm:pt modelId="{C23D6F5C-8662-4815-8352-556F6EB10094}" type="pres">
      <dgm:prSet presAssocID="{4C167B22-D983-41D4-836B-647550AC9E17}" presName="composite2" presStyleCnt="0"/>
      <dgm:spPr/>
      <dgm:t>
        <a:bodyPr/>
        <a:p>
          <a:endParaRPr lang="en-US"/>
        </a:p>
      </dgm:t>
    </dgm:pt>
    <dgm:pt modelId="{18D62E30-A01E-4288-AE6A-A2424EFC9EEA}" type="pres">
      <dgm:prSet presAssocID="{4C167B22-D983-41D4-836B-647550AC9E17}" presName="background2" presStyleLbl="node2" presStyleIdx="0" presStyleCnt="4"/>
      <dgm:spPr/>
      <dgm:t>
        <a:bodyPr/>
        <a:p>
          <a:endParaRPr lang="en-US"/>
        </a:p>
      </dgm:t>
    </dgm:pt>
    <dgm:pt modelId="{FF8EBE30-E081-4A33-90D9-72CD2F1933CC}" type="pres">
      <dgm:prSet presAssocID="{4C167B22-D983-41D4-836B-647550AC9E17}" presName="text2" presStyleLbl="fgAcc2" presStyleIdx="0" presStyleCnt="4" custScaleX="187293" custScaleY="186414">
        <dgm:presLayoutVars>
          <dgm:chPref val="3"/>
        </dgm:presLayoutVars>
      </dgm:prSet>
      <dgm:spPr/>
      <dgm:t>
        <a:bodyPr/>
        <a:p>
          <a:endParaRPr lang="en-US"/>
        </a:p>
      </dgm:t>
    </dgm:pt>
    <dgm:pt modelId="{2A2871DD-8751-4C49-93C7-FE817664C954}" type="pres">
      <dgm:prSet presAssocID="{4C167B22-D983-41D4-836B-647550AC9E17}" presName="hierChild3" presStyleCnt="0"/>
      <dgm:spPr/>
      <dgm:t>
        <a:bodyPr/>
        <a:p>
          <a:endParaRPr lang="en-US"/>
        </a:p>
      </dgm:t>
    </dgm:pt>
    <dgm:pt modelId="{9D5C3002-FCC8-445B-B041-BFE66237EE52}" type="pres">
      <dgm:prSet presAssocID="{B17C9EC9-402B-49F0-90DD-F0FD9500D382}" presName="Name17" presStyleLbl="parChTrans1D3" presStyleIdx="0" presStyleCnt="7"/>
      <dgm:spPr/>
      <dgm:t>
        <a:bodyPr/>
        <a:p>
          <a:endParaRPr lang="en-US"/>
        </a:p>
      </dgm:t>
    </dgm:pt>
    <dgm:pt modelId="{1381A97A-C884-4E99-B4FC-768C05D00480}" type="pres">
      <dgm:prSet presAssocID="{D2529986-5770-4AF8-AF9F-55687AAF6BF5}" presName="hierRoot3" presStyleCnt="0"/>
      <dgm:spPr/>
      <dgm:t>
        <a:bodyPr/>
        <a:p>
          <a:endParaRPr lang="en-US"/>
        </a:p>
      </dgm:t>
    </dgm:pt>
    <dgm:pt modelId="{8F681A15-2C5A-4A00-9CDF-FC9D324A88A8}" type="pres">
      <dgm:prSet presAssocID="{D2529986-5770-4AF8-AF9F-55687AAF6BF5}" presName="composite3" presStyleCnt="0"/>
      <dgm:spPr/>
      <dgm:t>
        <a:bodyPr/>
        <a:p>
          <a:endParaRPr lang="en-US"/>
        </a:p>
      </dgm:t>
    </dgm:pt>
    <dgm:pt modelId="{D1C4155E-B5E9-40ED-B817-07632CCDD58D}" type="pres">
      <dgm:prSet presAssocID="{D2529986-5770-4AF8-AF9F-55687AAF6BF5}" presName="background3" presStyleLbl="node3" presStyleIdx="0" presStyleCnt="7"/>
      <dgm:spPr/>
      <dgm:t>
        <a:bodyPr/>
        <a:p>
          <a:endParaRPr lang="en-US"/>
        </a:p>
      </dgm:t>
    </dgm:pt>
    <dgm:pt modelId="{F3CDD8AE-2E03-4CE3-8B08-3767CEF50E98}" type="pres">
      <dgm:prSet presAssocID="{D2529986-5770-4AF8-AF9F-55687AAF6BF5}" presName="text3" presStyleLbl="fgAcc3" presStyleIdx="0" presStyleCnt="7" custScaleX="186417" custScaleY="180081" custLinFactNeighborX="4203" custLinFactNeighborY="6619">
        <dgm:presLayoutVars>
          <dgm:chPref val="3"/>
        </dgm:presLayoutVars>
      </dgm:prSet>
      <dgm:spPr/>
      <dgm:t>
        <a:bodyPr/>
        <a:p>
          <a:endParaRPr lang="en-US"/>
        </a:p>
      </dgm:t>
    </dgm:pt>
    <dgm:pt modelId="{A233A7B1-4D6D-4ED2-BEF9-15AE36542376}" type="pres">
      <dgm:prSet presAssocID="{D2529986-5770-4AF8-AF9F-55687AAF6BF5}" presName="hierChild4" presStyleCnt="0"/>
      <dgm:spPr/>
      <dgm:t>
        <a:bodyPr/>
        <a:p>
          <a:endParaRPr lang="en-US"/>
        </a:p>
      </dgm:t>
    </dgm:pt>
    <dgm:pt modelId="{9CBA39F5-7B14-47C1-B816-AD71A7633008}" type="pres">
      <dgm:prSet presAssocID="{822B259F-5F64-4BB2-90A5-0AAB09ADE86B}" presName="Name17" presStyleLbl="parChTrans1D3" presStyleIdx="1" presStyleCnt="7"/>
      <dgm:spPr/>
      <dgm:t>
        <a:bodyPr/>
        <a:p>
          <a:endParaRPr lang="en-US"/>
        </a:p>
      </dgm:t>
    </dgm:pt>
    <dgm:pt modelId="{7815367E-20C4-4CA6-961F-8F20CE168421}" type="pres">
      <dgm:prSet presAssocID="{C20222D6-0217-4CD2-88B3-0A45858D3AB1}" presName="hierRoot3" presStyleCnt="0"/>
      <dgm:spPr/>
      <dgm:t>
        <a:bodyPr/>
        <a:p>
          <a:endParaRPr lang="en-US"/>
        </a:p>
      </dgm:t>
    </dgm:pt>
    <dgm:pt modelId="{B100555B-2BA2-4BAC-ACD0-727CB09B1FF1}" type="pres">
      <dgm:prSet presAssocID="{C20222D6-0217-4CD2-88B3-0A45858D3AB1}" presName="composite3" presStyleCnt="0"/>
      <dgm:spPr/>
      <dgm:t>
        <a:bodyPr/>
        <a:p>
          <a:endParaRPr lang="en-US"/>
        </a:p>
      </dgm:t>
    </dgm:pt>
    <dgm:pt modelId="{A9509E24-E02B-4B52-BB18-999DFD1D1998}" type="pres">
      <dgm:prSet presAssocID="{C20222D6-0217-4CD2-88B3-0A45858D3AB1}" presName="background3" presStyleLbl="node3" presStyleIdx="1" presStyleCnt="7"/>
      <dgm:spPr/>
      <dgm:t>
        <a:bodyPr/>
        <a:p>
          <a:endParaRPr lang="en-US"/>
        </a:p>
      </dgm:t>
    </dgm:pt>
    <dgm:pt modelId="{A40671B9-1D40-44F1-8FD8-DB636AA76A8A}" type="pres">
      <dgm:prSet presAssocID="{C20222D6-0217-4CD2-88B3-0A45858D3AB1}" presName="text3" presStyleLbl="fgAcc3" presStyleIdx="1" presStyleCnt="7" custScaleX="168862" custScaleY="181530" custLinFactNeighborX="-6408" custLinFactNeighborY="3638">
        <dgm:presLayoutVars>
          <dgm:chPref val="3"/>
        </dgm:presLayoutVars>
      </dgm:prSet>
      <dgm:spPr/>
      <dgm:t>
        <a:bodyPr/>
        <a:p>
          <a:endParaRPr lang="en-US"/>
        </a:p>
      </dgm:t>
    </dgm:pt>
    <dgm:pt modelId="{99053C11-2835-418E-9C4A-A22BF84C5C3D}" type="pres">
      <dgm:prSet presAssocID="{C20222D6-0217-4CD2-88B3-0A45858D3AB1}" presName="hierChild4" presStyleCnt="0"/>
      <dgm:spPr/>
      <dgm:t>
        <a:bodyPr/>
        <a:p>
          <a:endParaRPr lang="en-US"/>
        </a:p>
      </dgm:t>
    </dgm:pt>
    <dgm:pt modelId="{E6DB6F16-7F3F-4452-83FB-900F4900A64D}" type="pres">
      <dgm:prSet presAssocID="{F79561F8-85EE-4F30-9968-9D0EF135BE45}" presName="Name10" presStyleLbl="parChTrans1D2" presStyleIdx="1" presStyleCnt="4"/>
      <dgm:spPr/>
      <dgm:t>
        <a:bodyPr/>
        <a:p>
          <a:endParaRPr lang="en-US"/>
        </a:p>
      </dgm:t>
    </dgm:pt>
    <dgm:pt modelId="{1E883756-E7E0-4A24-9CF4-4354414036C5}" type="pres">
      <dgm:prSet presAssocID="{34392AA1-5A5C-4153-97F9-D4CBAFCE3A47}" presName="hierRoot2" presStyleCnt="0"/>
      <dgm:spPr/>
      <dgm:t>
        <a:bodyPr/>
        <a:p>
          <a:endParaRPr lang="en-US"/>
        </a:p>
      </dgm:t>
    </dgm:pt>
    <dgm:pt modelId="{D4B8D0F5-6863-4747-8123-BADD2827A495}" type="pres">
      <dgm:prSet presAssocID="{34392AA1-5A5C-4153-97F9-D4CBAFCE3A47}" presName="composite2" presStyleCnt="0"/>
      <dgm:spPr/>
      <dgm:t>
        <a:bodyPr/>
        <a:p>
          <a:endParaRPr lang="en-US"/>
        </a:p>
      </dgm:t>
    </dgm:pt>
    <dgm:pt modelId="{D1E46861-B2F4-409C-A119-D6ECB4702718}" type="pres">
      <dgm:prSet presAssocID="{34392AA1-5A5C-4153-97F9-D4CBAFCE3A47}" presName="background2" presStyleLbl="node2" presStyleIdx="1" presStyleCnt="4"/>
      <dgm:spPr/>
      <dgm:t>
        <a:bodyPr/>
        <a:p>
          <a:endParaRPr lang="en-US"/>
        </a:p>
      </dgm:t>
    </dgm:pt>
    <dgm:pt modelId="{B92FC902-AB94-4080-86A8-5B558BC92E8D}" type="pres">
      <dgm:prSet presAssocID="{34392AA1-5A5C-4153-97F9-D4CBAFCE3A47}" presName="text2" presStyleLbl="fgAcc2" presStyleIdx="1" presStyleCnt="4" custScaleX="185817" custScaleY="189559">
        <dgm:presLayoutVars>
          <dgm:chPref val="3"/>
        </dgm:presLayoutVars>
      </dgm:prSet>
      <dgm:spPr/>
      <dgm:t>
        <a:bodyPr/>
        <a:p>
          <a:endParaRPr lang="en-US"/>
        </a:p>
      </dgm:t>
    </dgm:pt>
    <dgm:pt modelId="{E1D6F1AB-9EAE-4112-BF0F-2D101FE59B35}" type="pres">
      <dgm:prSet presAssocID="{34392AA1-5A5C-4153-97F9-D4CBAFCE3A47}" presName="hierChild3" presStyleCnt="0"/>
      <dgm:spPr/>
      <dgm:t>
        <a:bodyPr/>
        <a:p>
          <a:endParaRPr lang="en-US"/>
        </a:p>
      </dgm:t>
    </dgm:pt>
    <dgm:pt modelId="{FD8E670B-19E7-4B9A-8213-303774DC8E6C}" type="pres">
      <dgm:prSet presAssocID="{F9F3489F-B7E4-4C46-8F9D-F00BC10A3A44}" presName="Name17" presStyleLbl="parChTrans1D3" presStyleIdx="2" presStyleCnt="7"/>
      <dgm:spPr/>
      <dgm:t>
        <a:bodyPr/>
        <a:p>
          <a:endParaRPr lang="en-US"/>
        </a:p>
      </dgm:t>
    </dgm:pt>
    <dgm:pt modelId="{EE766BC1-9118-42B4-A267-60580DA6F0F5}" type="pres">
      <dgm:prSet presAssocID="{0FFF3A5C-09A4-4AFD-863C-4062BC6DE9B5}" presName="hierRoot3" presStyleCnt="0"/>
      <dgm:spPr/>
      <dgm:t>
        <a:bodyPr/>
        <a:p>
          <a:endParaRPr lang="en-US"/>
        </a:p>
      </dgm:t>
    </dgm:pt>
    <dgm:pt modelId="{F1A3648B-12EF-4BEA-B197-AA6539ACA161}" type="pres">
      <dgm:prSet presAssocID="{0FFF3A5C-09A4-4AFD-863C-4062BC6DE9B5}" presName="composite3" presStyleCnt="0"/>
      <dgm:spPr/>
      <dgm:t>
        <a:bodyPr/>
        <a:p>
          <a:endParaRPr lang="en-US"/>
        </a:p>
      </dgm:t>
    </dgm:pt>
    <dgm:pt modelId="{86241E2F-1C87-45B3-BD2E-FF64A19B6F77}" type="pres">
      <dgm:prSet presAssocID="{0FFF3A5C-09A4-4AFD-863C-4062BC6DE9B5}" presName="background3" presStyleLbl="node3" presStyleIdx="2" presStyleCnt="7"/>
      <dgm:spPr/>
      <dgm:t>
        <a:bodyPr/>
        <a:p>
          <a:endParaRPr lang="en-US"/>
        </a:p>
      </dgm:t>
    </dgm:pt>
    <dgm:pt modelId="{EC8A96E6-86FF-407C-B4BA-D9EB09AB9BA6}" type="pres">
      <dgm:prSet presAssocID="{0FFF3A5C-09A4-4AFD-863C-4062BC6DE9B5}" presName="text3" presStyleLbl="fgAcc3" presStyleIdx="2" presStyleCnt="7" custScaleX="165125" custScaleY="166725" custLinFactNeighborY="9688">
        <dgm:presLayoutVars>
          <dgm:chPref val="3"/>
        </dgm:presLayoutVars>
      </dgm:prSet>
      <dgm:spPr/>
      <dgm:t>
        <a:bodyPr/>
        <a:p>
          <a:endParaRPr lang="en-US"/>
        </a:p>
      </dgm:t>
    </dgm:pt>
    <dgm:pt modelId="{A8211B23-E786-448E-A8F7-2ED4F117D806}" type="pres">
      <dgm:prSet presAssocID="{0FFF3A5C-09A4-4AFD-863C-4062BC6DE9B5}" presName="hierChild4" presStyleCnt="0"/>
      <dgm:spPr/>
      <dgm:t>
        <a:bodyPr/>
        <a:p>
          <a:endParaRPr lang="en-US"/>
        </a:p>
      </dgm:t>
    </dgm:pt>
    <dgm:pt modelId="{C7CBC1AB-C2E9-49E7-9106-F887BE5651BA}" type="pres">
      <dgm:prSet presAssocID="{BC831E5D-0B21-4672-8FFA-278C0901C9D8}" presName="Name17" presStyleLbl="parChTrans1D3" presStyleIdx="3" presStyleCnt="7"/>
      <dgm:spPr/>
      <dgm:t>
        <a:bodyPr/>
        <a:p>
          <a:endParaRPr lang="en-US"/>
        </a:p>
      </dgm:t>
    </dgm:pt>
    <dgm:pt modelId="{B13C7FDA-2A9E-4BF4-9B7F-5810738FB8D0}" type="pres">
      <dgm:prSet presAssocID="{0201C36B-6FB2-4E92-AC02-554AED9B5F85}" presName="hierRoot3" presStyleCnt="0"/>
      <dgm:spPr/>
      <dgm:t>
        <a:bodyPr/>
        <a:p>
          <a:endParaRPr lang="en-US"/>
        </a:p>
      </dgm:t>
    </dgm:pt>
    <dgm:pt modelId="{BE00C686-7BA3-4B3F-950F-37999BB130DA}" type="pres">
      <dgm:prSet presAssocID="{0201C36B-6FB2-4E92-AC02-554AED9B5F85}" presName="composite3" presStyleCnt="0"/>
      <dgm:spPr/>
      <dgm:t>
        <a:bodyPr/>
        <a:p>
          <a:endParaRPr lang="en-US"/>
        </a:p>
      </dgm:t>
    </dgm:pt>
    <dgm:pt modelId="{EC57055A-C136-46E2-ADD9-BEE36228EF18}" type="pres">
      <dgm:prSet presAssocID="{0201C36B-6FB2-4E92-AC02-554AED9B5F85}" presName="background3" presStyleLbl="node3" presStyleIdx="3" presStyleCnt="7"/>
      <dgm:spPr/>
      <dgm:t>
        <a:bodyPr/>
        <a:p>
          <a:endParaRPr lang="en-US"/>
        </a:p>
      </dgm:t>
    </dgm:pt>
    <dgm:pt modelId="{3F8BAB32-AD84-4DBC-9811-3A654E55FDB1}" type="pres">
      <dgm:prSet presAssocID="{0201C36B-6FB2-4E92-AC02-554AED9B5F85}" presName="text3" presStyleLbl="fgAcc3" presStyleIdx="3" presStyleCnt="7" custScaleX="175431" custScaleY="178133" custLinFactNeighborX="-4441" custLinFactNeighborY="6458">
        <dgm:presLayoutVars>
          <dgm:chPref val="3"/>
        </dgm:presLayoutVars>
      </dgm:prSet>
      <dgm:spPr/>
      <dgm:t>
        <a:bodyPr/>
        <a:p>
          <a:endParaRPr lang="en-US"/>
        </a:p>
      </dgm:t>
    </dgm:pt>
    <dgm:pt modelId="{1935E100-E28F-4676-B4D3-5DCAF75F52EE}" type="pres">
      <dgm:prSet presAssocID="{0201C36B-6FB2-4E92-AC02-554AED9B5F85}" presName="hierChild4" presStyleCnt="0"/>
      <dgm:spPr/>
      <dgm:t>
        <a:bodyPr/>
        <a:p>
          <a:endParaRPr lang="en-US"/>
        </a:p>
      </dgm:t>
    </dgm:pt>
    <dgm:pt modelId="{0E9F667C-7C91-409C-B221-CC55E83C4DB6}" type="pres">
      <dgm:prSet presAssocID="{DF87F1AC-0F55-4A54-A989-0DDDAAD42112}" presName="Name17" presStyleLbl="parChTrans1D3" presStyleIdx="4" presStyleCnt="7"/>
      <dgm:spPr/>
      <dgm:t>
        <a:bodyPr/>
        <a:p>
          <a:endParaRPr lang="en-US"/>
        </a:p>
      </dgm:t>
    </dgm:pt>
    <dgm:pt modelId="{2011559F-EFE3-4877-908A-2C20231EFECD}" type="pres">
      <dgm:prSet presAssocID="{6D7CD6C5-8FBC-4474-9294-1340AB4C2587}" presName="hierRoot3" presStyleCnt="0"/>
      <dgm:spPr/>
      <dgm:t>
        <a:bodyPr/>
        <a:p>
          <a:endParaRPr lang="en-US"/>
        </a:p>
      </dgm:t>
    </dgm:pt>
    <dgm:pt modelId="{0525DD7E-06E1-4157-AF45-147CD1F575E9}" type="pres">
      <dgm:prSet presAssocID="{6D7CD6C5-8FBC-4474-9294-1340AB4C2587}" presName="composite3" presStyleCnt="0"/>
      <dgm:spPr/>
      <dgm:t>
        <a:bodyPr/>
        <a:p>
          <a:endParaRPr lang="en-US"/>
        </a:p>
      </dgm:t>
    </dgm:pt>
    <dgm:pt modelId="{C912B516-16BA-4604-9F68-F521D09D2C4F}" type="pres">
      <dgm:prSet presAssocID="{6D7CD6C5-8FBC-4474-9294-1340AB4C2587}" presName="background3" presStyleLbl="node3" presStyleIdx="4" presStyleCnt="7"/>
      <dgm:spPr/>
      <dgm:t>
        <a:bodyPr/>
        <a:p>
          <a:endParaRPr lang="en-US"/>
        </a:p>
      </dgm:t>
    </dgm:pt>
    <dgm:pt modelId="{E24C830B-10D7-413F-9059-3131FF4B9ACE}" type="pres">
      <dgm:prSet presAssocID="{6D7CD6C5-8FBC-4474-9294-1340AB4C2587}" presName="text3" presStyleLbl="fgAcc3" presStyleIdx="4" presStyleCnt="7" custScaleX="173283" custScaleY="162583" custLinFactNeighborX="-8202" custLinFactNeighborY="9688">
        <dgm:presLayoutVars>
          <dgm:chPref val="3"/>
        </dgm:presLayoutVars>
      </dgm:prSet>
      <dgm:spPr/>
      <dgm:t>
        <a:bodyPr/>
        <a:p>
          <a:endParaRPr lang="en-US"/>
        </a:p>
      </dgm:t>
    </dgm:pt>
    <dgm:pt modelId="{9BCF2C63-3FA1-453B-96A5-6D6CD638A4F1}" type="pres">
      <dgm:prSet presAssocID="{6D7CD6C5-8FBC-4474-9294-1340AB4C2587}" presName="hierChild4" presStyleCnt="0"/>
      <dgm:spPr/>
      <dgm:t>
        <a:bodyPr/>
        <a:p>
          <a:endParaRPr lang="en-US"/>
        </a:p>
      </dgm:t>
    </dgm:pt>
    <dgm:pt modelId="{BA4EB641-CAB5-4E8F-887C-B09D1DE8DA4A}" type="pres">
      <dgm:prSet presAssocID="{DB87DF42-AC05-44BB-ACDF-E716336A326F}" presName="Name10" presStyleLbl="parChTrans1D2" presStyleIdx="2" presStyleCnt="4"/>
      <dgm:spPr/>
      <dgm:t>
        <a:bodyPr/>
        <a:p>
          <a:endParaRPr lang="en-US"/>
        </a:p>
      </dgm:t>
    </dgm:pt>
    <dgm:pt modelId="{B5FBD0D0-6C81-4F5E-9914-D58DEE9BF832}" type="pres">
      <dgm:prSet presAssocID="{F5E1DC25-0FDE-4F96-B3C7-4B0BD9C42835}" presName="hierRoot2" presStyleCnt="0"/>
      <dgm:spPr/>
      <dgm:t>
        <a:bodyPr/>
        <a:p>
          <a:endParaRPr lang="en-US"/>
        </a:p>
      </dgm:t>
    </dgm:pt>
    <dgm:pt modelId="{0CB53222-2CF2-46D5-8B2D-7360B8391B2E}" type="pres">
      <dgm:prSet presAssocID="{F5E1DC25-0FDE-4F96-B3C7-4B0BD9C42835}" presName="composite2" presStyleCnt="0"/>
      <dgm:spPr/>
      <dgm:t>
        <a:bodyPr/>
        <a:p>
          <a:endParaRPr lang="en-US"/>
        </a:p>
      </dgm:t>
    </dgm:pt>
    <dgm:pt modelId="{EC8585E6-1363-4ACE-B538-09DD943FA059}" type="pres">
      <dgm:prSet presAssocID="{F5E1DC25-0FDE-4F96-B3C7-4B0BD9C42835}" presName="background2" presStyleLbl="node2" presStyleIdx="2" presStyleCnt="4"/>
      <dgm:spPr/>
      <dgm:t>
        <a:bodyPr/>
        <a:p>
          <a:endParaRPr lang="en-US"/>
        </a:p>
      </dgm:t>
    </dgm:pt>
    <dgm:pt modelId="{CF6BD2FC-05BF-4E89-AB00-D3EB2A03FB65}" type="pres">
      <dgm:prSet presAssocID="{F5E1DC25-0FDE-4F96-B3C7-4B0BD9C42835}" presName="text2" presStyleLbl="fgAcc2" presStyleIdx="2" presStyleCnt="4" custScaleX="207697" custScaleY="194440">
        <dgm:presLayoutVars>
          <dgm:chPref val="3"/>
        </dgm:presLayoutVars>
      </dgm:prSet>
      <dgm:spPr/>
      <dgm:t>
        <a:bodyPr/>
        <a:p>
          <a:endParaRPr lang="en-US"/>
        </a:p>
      </dgm:t>
    </dgm:pt>
    <dgm:pt modelId="{CBE3AC18-D034-4796-B0D8-314C7946E424}" type="pres">
      <dgm:prSet presAssocID="{F5E1DC25-0FDE-4F96-B3C7-4B0BD9C42835}" presName="hierChild3" presStyleCnt="0"/>
      <dgm:spPr/>
      <dgm:t>
        <a:bodyPr/>
        <a:p>
          <a:endParaRPr lang="en-US"/>
        </a:p>
      </dgm:t>
    </dgm:pt>
    <dgm:pt modelId="{DD5AE3AC-D1B1-4DDC-84B8-30956825B238}" type="pres">
      <dgm:prSet presAssocID="{4121AE68-C877-42D4-95F9-F9926399467F}" presName="Name17" presStyleLbl="parChTrans1D3" presStyleIdx="5" presStyleCnt="7"/>
      <dgm:spPr/>
      <dgm:t>
        <a:bodyPr/>
        <a:p>
          <a:endParaRPr lang="en-US"/>
        </a:p>
      </dgm:t>
    </dgm:pt>
    <dgm:pt modelId="{F430C6AF-BE55-46F7-A9BC-D7E4E4C155D1}" type="pres">
      <dgm:prSet presAssocID="{A23EC302-1EC7-4211-8785-48D6889DCE62}" presName="hierRoot3" presStyleCnt="0"/>
      <dgm:spPr/>
      <dgm:t>
        <a:bodyPr/>
        <a:p>
          <a:endParaRPr lang="en-US"/>
        </a:p>
      </dgm:t>
    </dgm:pt>
    <dgm:pt modelId="{4ACEA44D-9F13-4202-90D8-FDF7E5BECBC8}" type="pres">
      <dgm:prSet presAssocID="{A23EC302-1EC7-4211-8785-48D6889DCE62}" presName="composite3" presStyleCnt="0"/>
      <dgm:spPr/>
      <dgm:t>
        <a:bodyPr/>
        <a:p>
          <a:endParaRPr lang="en-US"/>
        </a:p>
      </dgm:t>
    </dgm:pt>
    <dgm:pt modelId="{AFCFEA9F-CDB8-421E-A382-DFEC35438330}" type="pres">
      <dgm:prSet presAssocID="{A23EC302-1EC7-4211-8785-48D6889DCE62}" presName="background3" presStyleLbl="node3" presStyleIdx="5" presStyleCnt="7"/>
      <dgm:spPr/>
      <dgm:t>
        <a:bodyPr/>
        <a:p>
          <a:endParaRPr lang="en-US"/>
        </a:p>
      </dgm:t>
    </dgm:pt>
    <dgm:pt modelId="{D43AC0B1-4D84-4992-9955-550DEA2928C0}" type="pres">
      <dgm:prSet presAssocID="{A23EC302-1EC7-4211-8785-48D6889DCE62}" presName="text3" presStyleLbl="fgAcc3" presStyleIdx="5" presStyleCnt="7" custScaleX="188983" custScaleY="161180" custLinFactNeighborY="3230">
        <dgm:presLayoutVars>
          <dgm:chPref val="3"/>
        </dgm:presLayoutVars>
      </dgm:prSet>
      <dgm:spPr/>
      <dgm:t>
        <a:bodyPr/>
        <a:p>
          <a:endParaRPr lang="en-US"/>
        </a:p>
      </dgm:t>
    </dgm:pt>
    <dgm:pt modelId="{2DB4685F-7C83-4734-BAE0-DFDFE55EAE0E}" type="pres">
      <dgm:prSet presAssocID="{A23EC302-1EC7-4211-8785-48D6889DCE62}" presName="hierChild4" presStyleCnt="0"/>
      <dgm:spPr/>
      <dgm:t>
        <a:bodyPr/>
        <a:p>
          <a:endParaRPr lang="en-US"/>
        </a:p>
      </dgm:t>
    </dgm:pt>
    <dgm:pt modelId="{E21FC3E8-2EE9-4DC1-95B5-F617D4DCA375}" type="pres">
      <dgm:prSet presAssocID="{1BDE4C68-FB38-41A8-9778-9CD408A39D04}" presName="Name10" presStyleLbl="parChTrans1D2" presStyleIdx="3" presStyleCnt="4"/>
      <dgm:spPr/>
      <dgm:t>
        <a:bodyPr/>
        <a:p>
          <a:endParaRPr lang="en-US"/>
        </a:p>
      </dgm:t>
    </dgm:pt>
    <dgm:pt modelId="{D95D0B3D-53A5-44A2-94FD-8D2CEE27A8F1}" type="pres">
      <dgm:prSet presAssocID="{A2DD95EC-8D6F-4618-B332-9014C3809BBD}" presName="hierRoot2" presStyleCnt="0"/>
      <dgm:spPr/>
      <dgm:t>
        <a:bodyPr/>
        <a:p>
          <a:endParaRPr lang="en-US"/>
        </a:p>
      </dgm:t>
    </dgm:pt>
    <dgm:pt modelId="{E134A9C7-8AE4-4577-9E33-32919E864195}" type="pres">
      <dgm:prSet presAssocID="{A2DD95EC-8D6F-4618-B332-9014C3809BBD}" presName="composite2" presStyleCnt="0"/>
      <dgm:spPr/>
      <dgm:t>
        <a:bodyPr/>
        <a:p>
          <a:endParaRPr lang="en-US"/>
        </a:p>
      </dgm:t>
    </dgm:pt>
    <dgm:pt modelId="{8A7FDDCC-6453-4535-AD6B-AC70E1E46823}" type="pres">
      <dgm:prSet presAssocID="{A2DD95EC-8D6F-4618-B332-9014C3809BBD}" presName="background2" presStyleLbl="node2" presStyleIdx="3" presStyleCnt="4"/>
      <dgm:spPr/>
      <dgm:t>
        <a:bodyPr/>
        <a:p>
          <a:endParaRPr lang="en-US"/>
        </a:p>
      </dgm:t>
    </dgm:pt>
    <dgm:pt modelId="{6E0A7C07-8970-44CA-B21B-6C653AC50F4E}" type="pres">
      <dgm:prSet presAssocID="{A2DD95EC-8D6F-4618-B332-9014C3809BBD}" presName="text2" presStyleLbl="fgAcc2" presStyleIdx="3" presStyleCnt="4" custScaleX="182170" custScaleY="205235" custLinFactNeighborX="-6202" custLinFactNeighborY="-3229">
        <dgm:presLayoutVars>
          <dgm:chPref val="3"/>
        </dgm:presLayoutVars>
      </dgm:prSet>
      <dgm:spPr/>
      <dgm:t>
        <a:bodyPr/>
        <a:p>
          <a:endParaRPr lang="en-US"/>
        </a:p>
      </dgm:t>
    </dgm:pt>
    <dgm:pt modelId="{7E4C3B83-8623-4A0D-A312-6047290A52C7}" type="pres">
      <dgm:prSet presAssocID="{A2DD95EC-8D6F-4618-B332-9014C3809BBD}" presName="hierChild3" presStyleCnt="0"/>
      <dgm:spPr/>
      <dgm:t>
        <a:bodyPr/>
        <a:p>
          <a:endParaRPr lang="en-US"/>
        </a:p>
      </dgm:t>
    </dgm:pt>
    <dgm:pt modelId="{DA74AA2D-19A3-4D89-8CE1-F58DA28086B2}" type="pres">
      <dgm:prSet presAssocID="{DDF4769C-01DE-47A8-8DBA-BF3691A1769F}" presName="Name17" presStyleLbl="parChTrans1D3" presStyleIdx="6" presStyleCnt="7"/>
      <dgm:spPr/>
      <dgm:t>
        <a:bodyPr/>
        <a:p>
          <a:endParaRPr lang="en-US"/>
        </a:p>
      </dgm:t>
    </dgm:pt>
    <dgm:pt modelId="{7A3B31F9-5B85-4EED-B623-98775DFA13BD}" type="pres">
      <dgm:prSet presAssocID="{8C2D5D92-230B-4E2B-81F2-70E87068AC11}" presName="hierRoot3" presStyleCnt="0"/>
      <dgm:spPr/>
      <dgm:t>
        <a:bodyPr/>
        <a:p>
          <a:endParaRPr lang="en-US"/>
        </a:p>
      </dgm:t>
    </dgm:pt>
    <dgm:pt modelId="{96A8D05D-A492-45CA-95E7-339747F29EF7}" type="pres">
      <dgm:prSet presAssocID="{8C2D5D92-230B-4E2B-81F2-70E87068AC11}" presName="composite3" presStyleCnt="0"/>
      <dgm:spPr/>
      <dgm:t>
        <a:bodyPr/>
        <a:p>
          <a:endParaRPr lang="en-US"/>
        </a:p>
      </dgm:t>
    </dgm:pt>
    <dgm:pt modelId="{9910226B-83E3-4E6F-AA15-8F130E50A5DD}" type="pres">
      <dgm:prSet presAssocID="{8C2D5D92-230B-4E2B-81F2-70E87068AC11}" presName="background3" presStyleLbl="node3" presStyleIdx="6" presStyleCnt="7"/>
      <dgm:spPr/>
      <dgm:t>
        <a:bodyPr/>
        <a:p>
          <a:endParaRPr lang="en-US"/>
        </a:p>
      </dgm:t>
    </dgm:pt>
    <dgm:pt modelId="{269DAC8A-1678-47E3-88F5-1B33FB8B87C4}" type="pres">
      <dgm:prSet presAssocID="{8C2D5D92-230B-4E2B-81F2-70E87068AC11}" presName="text3" presStyleLbl="fgAcc3" presStyleIdx="6" presStyleCnt="7" custScaleX="174595" custScaleY="170582" custLinFactNeighborX="-4101" custLinFactNeighborY="16147">
        <dgm:presLayoutVars>
          <dgm:chPref val="3"/>
        </dgm:presLayoutVars>
      </dgm:prSet>
      <dgm:spPr/>
      <dgm:t>
        <a:bodyPr/>
        <a:p>
          <a:endParaRPr lang="en-US"/>
        </a:p>
      </dgm:t>
    </dgm:pt>
    <dgm:pt modelId="{A74C6E4B-0EBF-4BA4-8D49-99377A120A0F}" type="pres">
      <dgm:prSet presAssocID="{8C2D5D92-230B-4E2B-81F2-70E87068AC11}" presName="hierChild4" presStyleCnt="0"/>
      <dgm:spPr/>
      <dgm:t>
        <a:bodyPr/>
        <a:p>
          <a:endParaRPr lang="en-US"/>
        </a:p>
      </dgm:t>
    </dgm:pt>
  </dgm:ptLst>
  <dgm:cxnLst>
    <dgm:cxn modelId="{7E8951C3-C163-4FAE-83F9-7C28273E95FA}" type="presOf" srcId="{9D22EFBF-BA90-4F0B-AF06-B6CDBF96AE0C}" destId="{4B7E8C5F-B989-4C89-8C0D-BF68E4684B72}" srcOrd="0" destOrd="0" presId="urn:microsoft.com/office/officeart/2005/8/layout/hierarchy1#1"/>
    <dgm:cxn modelId="{4F3E284E-12A5-46C8-9590-C42EBDAC1147}" srcId="{9D22EFBF-BA90-4F0B-AF06-B6CDBF96AE0C}" destId="{4C167B22-D983-41D4-836B-647550AC9E17}" srcOrd="0" destOrd="0" parTransId="{AE204805-1D8D-4F99-BEC2-7D66762B9558}" sibTransId="{5357EFE0-B730-4FB7-918F-A5C8727A7A5F}"/>
    <dgm:cxn modelId="{AC31D05C-4605-429D-B156-6F98DC97AE61}" type="presOf" srcId="{BC831E5D-0B21-4672-8FFA-278C0901C9D8}" destId="{C7CBC1AB-C2E9-49E7-9106-F887BE5651BA}" srcOrd="0" destOrd="0" presId="urn:microsoft.com/office/officeart/2005/8/layout/hierarchy1#1"/>
    <dgm:cxn modelId="{20F51252-EA52-4C85-8FA3-804866CCE0C7}" type="presOf" srcId="{0FFF3A5C-09A4-4AFD-863C-4062BC6DE9B5}" destId="{EC8A96E6-86FF-407C-B4BA-D9EB09AB9BA6}" srcOrd="0" destOrd="0" presId="urn:microsoft.com/office/officeart/2005/8/layout/hierarchy1#1"/>
    <dgm:cxn modelId="{AE987E19-B72F-446E-886C-FD394B50BC3B}" type="presOf" srcId="{D2529986-5770-4AF8-AF9F-55687AAF6BF5}" destId="{F3CDD8AE-2E03-4CE3-8B08-3767CEF50E98}" srcOrd="0" destOrd="0" presId="urn:microsoft.com/office/officeart/2005/8/layout/hierarchy1#1"/>
    <dgm:cxn modelId="{ED51AB7F-6E24-431D-850C-E5165FF73EEA}" type="presOf" srcId="{A23EC302-1EC7-4211-8785-48D6889DCE62}" destId="{D43AC0B1-4D84-4992-9955-550DEA2928C0}" srcOrd="0" destOrd="0" presId="urn:microsoft.com/office/officeart/2005/8/layout/hierarchy1#1"/>
    <dgm:cxn modelId="{FE0DA82E-F8D6-4620-AE88-47472E475785}" srcId="{9D22EFBF-BA90-4F0B-AF06-B6CDBF96AE0C}" destId="{A2DD95EC-8D6F-4618-B332-9014C3809BBD}" srcOrd="3" destOrd="0" parTransId="{1BDE4C68-FB38-41A8-9778-9CD408A39D04}" sibTransId="{1BE43E53-8F7E-4ADB-B4D2-CD8553B78BBB}"/>
    <dgm:cxn modelId="{2CE0758C-806F-4EAE-AC19-9926A9061641}" srcId="{4C167B22-D983-41D4-836B-647550AC9E17}" destId="{D2529986-5770-4AF8-AF9F-55687AAF6BF5}" srcOrd="0" destOrd="0" parTransId="{B17C9EC9-402B-49F0-90DD-F0FD9500D382}" sibTransId="{7E7654C3-A986-4FD7-B9F3-C34DAE17710E}"/>
    <dgm:cxn modelId="{D6C9E82F-61E5-480E-BE03-E9348EC3E05E}" type="presOf" srcId="{DDF4769C-01DE-47A8-8DBA-BF3691A1769F}" destId="{DA74AA2D-19A3-4D89-8CE1-F58DA28086B2}" srcOrd="0" destOrd="0" presId="urn:microsoft.com/office/officeart/2005/8/layout/hierarchy1#1"/>
    <dgm:cxn modelId="{B2038B6C-5DC6-4842-AEE6-74B67998D72C}" srcId="{34392AA1-5A5C-4153-97F9-D4CBAFCE3A47}" destId="{0201C36B-6FB2-4E92-AC02-554AED9B5F85}" srcOrd="1" destOrd="0" parTransId="{BC831E5D-0B21-4672-8FFA-278C0901C9D8}" sibTransId="{5D881F4D-B950-47E3-9863-090D78ACDD6B}"/>
    <dgm:cxn modelId="{839F898D-742F-4492-A6A7-E4BEAEA96E9E}" type="presOf" srcId="{0201C36B-6FB2-4E92-AC02-554AED9B5F85}" destId="{3F8BAB32-AD84-4DBC-9811-3A654E55FDB1}" srcOrd="0" destOrd="0" presId="urn:microsoft.com/office/officeart/2005/8/layout/hierarchy1#1"/>
    <dgm:cxn modelId="{F033F17E-C9B7-4D44-9599-33EFA0A7D9C4}" type="presOf" srcId="{23D5728C-CBBE-48DF-A285-0A19F5094A78}" destId="{625BEE41-BBE8-4354-925D-BD0502BBDD16}" srcOrd="0" destOrd="0" presId="urn:microsoft.com/office/officeart/2005/8/layout/hierarchy1#1"/>
    <dgm:cxn modelId="{5AC8329A-06BF-4FE3-B9FB-0435D0F2A37C}" srcId="{A2DD95EC-8D6F-4618-B332-9014C3809BBD}" destId="{8C2D5D92-230B-4E2B-81F2-70E87068AC11}" srcOrd="0" destOrd="0" parTransId="{DDF4769C-01DE-47A8-8DBA-BF3691A1769F}" sibTransId="{0BF6EC83-E94A-40FF-B510-24DC925F5F10}"/>
    <dgm:cxn modelId="{5D3904C1-0E4A-42C6-93B4-2C03876C0950}" srcId="{9D22EFBF-BA90-4F0B-AF06-B6CDBF96AE0C}" destId="{34392AA1-5A5C-4153-97F9-D4CBAFCE3A47}" srcOrd="1" destOrd="0" parTransId="{F79561F8-85EE-4F30-9968-9D0EF135BE45}" sibTransId="{16946FA1-A2D6-42F2-A1DA-14DA3F6F0C30}"/>
    <dgm:cxn modelId="{7F9B8E06-FA29-4FB2-A178-76840F1D0037}" type="presOf" srcId="{F79561F8-85EE-4F30-9968-9D0EF135BE45}" destId="{E6DB6F16-7F3F-4452-83FB-900F4900A64D}" srcOrd="0" destOrd="0" presId="urn:microsoft.com/office/officeart/2005/8/layout/hierarchy1#1"/>
    <dgm:cxn modelId="{F1CEBFEB-A72E-4ABE-A53D-F7DEB6003094}" type="presOf" srcId="{4121AE68-C877-42D4-95F9-F9926399467F}" destId="{DD5AE3AC-D1B1-4DDC-84B8-30956825B238}" srcOrd="0" destOrd="0" presId="urn:microsoft.com/office/officeart/2005/8/layout/hierarchy1#1"/>
    <dgm:cxn modelId="{5D309F2C-1B5E-4BD0-A9CD-D7EC7BA6161F}" srcId="{34392AA1-5A5C-4153-97F9-D4CBAFCE3A47}" destId="{6D7CD6C5-8FBC-4474-9294-1340AB4C2587}" srcOrd="2" destOrd="0" parTransId="{DF87F1AC-0F55-4A54-A989-0DDDAAD42112}" sibTransId="{12CFCE2C-3A14-4EBA-A4F4-AEE1CE91CA6A}"/>
    <dgm:cxn modelId="{C93C9868-6DDD-4ACE-8BFB-A4FCA3B030C8}" srcId="{4C167B22-D983-41D4-836B-647550AC9E17}" destId="{C20222D6-0217-4CD2-88B3-0A45858D3AB1}" srcOrd="1" destOrd="0" parTransId="{822B259F-5F64-4BB2-90A5-0AAB09ADE86B}" sibTransId="{B8C8CBF0-671F-4132-AB79-9B0A08E31FBA}"/>
    <dgm:cxn modelId="{3BE81730-2E25-4E5E-AF47-C84635887EDE}" type="presOf" srcId="{1BDE4C68-FB38-41A8-9778-9CD408A39D04}" destId="{E21FC3E8-2EE9-4DC1-95B5-F617D4DCA375}" srcOrd="0" destOrd="0" presId="urn:microsoft.com/office/officeart/2005/8/layout/hierarchy1#1"/>
    <dgm:cxn modelId="{92E3A52A-924A-4C62-B466-11C9EC779E24}" type="presOf" srcId="{A2DD95EC-8D6F-4618-B332-9014C3809BBD}" destId="{6E0A7C07-8970-44CA-B21B-6C653AC50F4E}" srcOrd="0" destOrd="0" presId="urn:microsoft.com/office/officeart/2005/8/layout/hierarchy1#1"/>
    <dgm:cxn modelId="{6FCA3FD3-0069-4E3B-A68E-F13A7F515EF8}" type="presOf" srcId="{6D7CD6C5-8FBC-4474-9294-1340AB4C2587}" destId="{E24C830B-10D7-413F-9059-3131FF4B9ACE}" srcOrd="0" destOrd="0" presId="urn:microsoft.com/office/officeart/2005/8/layout/hierarchy1#1"/>
    <dgm:cxn modelId="{7A00121F-F028-4EDE-BC88-69EA119B994B}" type="presOf" srcId="{822B259F-5F64-4BB2-90A5-0AAB09ADE86B}" destId="{9CBA39F5-7B14-47C1-B816-AD71A7633008}" srcOrd="0" destOrd="0" presId="urn:microsoft.com/office/officeart/2005/8/layout/hierarchy1#1"/>
    <dgm:cxn modelId="{DF74B243-207C-4FE4-97E2-5782B2EE88DF}" srcId="{9D22EFBF-BA90-4F0B-AF06-B6CDBF96AE0C}" destId="{F5E1DC25-0FDE-4F96-B3C7-4B0BD9C42835}" srcOrd="2" destOrd="0" parTransId="{DB87DF42-AC05-44BB-ACDF-E716336A326F}" sibTransId="{F12DFE93-48AA-4EE3-B830-4A9F0977DACE}"/>
    <dgm:cxn modelId="{39E05425-3CBB-4012-8AC9-1006907A22E6}" type="presOf" srcId="{8C2D5D92-230B-4E2B-81F2-70E87068AC11}" destId="{269DAC8A-1678-47E3-88F5-1B33FB8B87C4}" srcOrd="0" destOrd="0" presId="urn:microsoft.com/office/officeart/2005/8/layout/hierarchy1#1"/>
    <dgm:cxn modelId="{7ACB8BF0-0DC0-47E6-8A68-A39E6537DB1D}" type="presOf" srcId="{F5E1DC25-0FDE-4F96-B3C7-4B0BD9C42835}" destId="{CF6BD2FC-05BF-4E89-AB00-D3EB2A03FB65}" srcOrd="0" destOrd="0" presId="urn:microsoft.com/office/officeart/2005/8/layout/hierarchy1#1"/>
    <dgm:cxn modelId="{7C9EFC69-8C65-4596-94BC-2642063B4E8A}" type="presOf" srcId="{F9F3489F-B7E4-4C46-8F9D-F00BC10A3A44}" destId="{FD8E670B-19E7-4B9A-8213-303774DC8E6C}" srcOrd="0" destOrd="0" presId="urn:microsoft.com/office/officeart/2005/8/layout/hierarchy1#1"/>
    <dgm:cxn modelId="{300BBBEA-96B8-4800-BFD5-73A61D130146}" type="presOf" srcId="{4C167B22-D983-41D4-836B-647550AC9E17}" destId="{FF8EBE30-E081-4A33-90D9-72CD2F1933CC}" srcOrd="0" destOrd="0" presId="urn:microsoft.com/office/officeart/2005/8/layout/hierarchy1#1"/>
    <dgm:cxn modelId="{16B666E6-F6D5-4C0D-B4EC-1787262F7A3D}" type="presOf" srcId="{B17C9EC9-402B-49F0-90DD-F0FD9500D382}" destId="{9D5C3002-FCC8-445B-B041-BFE66237EE52}" srcOrd="0" destOrd="0" presId="urn:microsoft.com/office/officeart/2005/8/layout/hierarchy1#1"/>
    <dgm:cxn modelId="{78F0EC0C-BAE1-4B51-BE93-96AFFA533308}" type="presOf" srcId="{DF87F1AC-0F55-4A54-A989-0DDDAAD42112}" destId="{0E9F667C-7C91-409C-B221-CC55E83C4DB6}" srcOrd="0" destOrd="0" presId="urn:microsoft.com/office/officeart/2005/8/layout/hierarchy1#1"/>
    <dgm:cxn modelId="{F7020DE0-BDF9-4635-9846-9F1D05109C25}" srcId="{34392AA1-5A5C-4153-97F9-D4CBAFCE3A47}" destId="{0FFF3A5C-09A4-4AFD-863C-4062BC6DE9B5}" srcOrd="0" destOrd="0" parTransId="{F9F3489F-B7E4-4C46-8F9D-F00BC10A3A44}" sibTransId="{29B550EB-FE70-4028-9CA3-4B16731D3790}"/>
    <dgm:cxn modelId="{D803C867-0677-406B-A6CE-B1A16C5B838A}" type="presOf" srcId="{C20222D6-0217-4CD2-88B3-0A45858D3AB1}" destId="{A40671B9-1D40-44F1-8FD8-DB636AA76A8A}" srcOrd="0" destOrd="0" presId="urn:microsoft.com/office/officeart/2005/8/layout/hierarchy1#1"/>
    <dgm:cxn modelId="{A44B792B-DE99-4681-9E77-FF2032DED78D}" srcId="{F5E1DC25-0FDE-4F96-B3C7-4B0BD9C42835}" destId="{A23EC302-1EC7-4211-8785-48D6889DCE62}" srcOrd="0" destOrd="0" parTransId="{4121AE68-C877-42D4-95F9-F9926399467F}" sibTransId="{54920159-1141-4CD4-86AB-843D4DB1BA24}"/>
    <dgm:cxn modelId="{E0725FD4-11CE-4B07-8924-B5A944C0E02D}" type="presOf" srcId="{AE204805-1D8D-4F99-BEC2-7D66762B9558}" destId="{74EC6452-BDD8-400D-99E9-EC45E9D841E8}" srcOrd="0" destOrd="0" presId="urn:microsoft.com/office/officeart/2005/8/layout/hierarchy1#1"/>
    <dgm:cxn modelId="{CD1A55A8-600E-4CAA-BD15-5F26EB00F617}" srcId="{23D5728C-CBBE-48DF-A285-0A19F5094A78}" destId="{9D22EFBF-BA90-4F0B-AF06-B6CDBF96AE0C}" srcOrd="0" destOrd="0" parTransId="{71220B47-C7CC-465A-8880-F14D7A04B4EA}" sibTransId="{5178EDDB-A656-4E9D-A685-9453F1403C49}"/>
    <dgm:cxn modelId="{A0CE55AD-50DF-4995-8367-5D59E5191384}" type="presOf" srcId="{34392AA1-5A5C-4153-97F9-D4CBAFCE3A47}" destId="{B92FC902-AB94-4080-86A8-5B558BC92E8D}" srcOrd="0" destOrd="0" presId="urn:microsoft.com/office/officeart/2005/8/layout/hierarchy1#1"/>
    <dgm:cxn modelId="{E52F1AB5-1ED7-49DD-83A8-A6013641CBC7}" type="presOf" srcId="{DB87DF42-AC05-44BB-ACDF-E716336A326F}" destId="{BA4EB641-CAB5-4E8F-887C-B09D1DE8DA4A}" srcOrd="0" destOrd="0" presId="urn:microsoft.com/office/officeart/2005/8/layout/hierarchy1#1"/>
    <dgm:cxn modelId="{A97368AB-B5CC-4A81-92F8-3EB044718FB9}" type="presParOf" srcId="{625BEE41-BBE8-4354-925D-BD0502BBDD16}" destId="{A52E4077-45D1-4457-B670-E596EE91B9E7}" srcOrd="0" destOrd="0" presId="urn:microsoft.com/office/officeart/2005/8/layout/hierarchy1#1"/>
    <dgm:cxn modelId="{07EEF9E9-CACD-465C-98BF-E3B81C0D175B}" type="presParOf" srcId="{A52E4077-45D1-4457-B670-E596EE91B9E7}" destId="{F7AC917E-85B1-4EF8-A916-E46CA3A155F4}" srcOrd="0" destOrd="0" presId="urn:microsoft.com/office/officeart/2005/8/layout/hierarchy1#1"/>
    <dgm:cxn modelId="{21AC8467-178F-4C0E-81FA-643587075C53}" type="presParOf" srcId="{F7AC917E-85B1-4EF8-A916-E46CA3A155F4}" destId="{751FA8C5-33F6-4ED0-8FD4-DCDA9AEB112D}" srcOrd="0" destOrd="0" presId="urn:microsoft.com/office/officeart/2005/8/layout/hierarchy1#1"/>
    <dgm:cxn modelId="{A5660BDA-E3AC-4A92-9763-88A267B532EF}" type="presParOf" srcId="{F7AC917E-85B1-4EF8-A916-E46CA3A155F4}" destId="{4B7E8C5F-B989-4C89-8C0D-BF68E4684B72}" srcOrd="1" destOrd="0" presId="urn:microsoft.com/office/officeart/2005/8/layout/hierarchy1#1"/>
    <dgm:cxn modelId="{3413F529-33F4-4A9F-91CF-4221C84BDD18}" type="presParOf" srcId="{A52E4077-45D1-4457-B670-E596EE91B9E7}" destId="{2F4B5371-1E9B-4F35-979D-C3A76C31DE3C}" srcOrd="1" destOrd="0" presId="urn:microsoft.com/office/officeart/2005/8/layout/hierarchy1#1"/>
    <dgm:cxn modelId="{7E9BC83C-EAD7-4CDF-AC4D-81D2A16C32EA}" type="presParOf" srcId="{2F4B5371-1E9B-4F35-979D-C3A76C31DE3C}" destId="{74EC6452-BDD8-400D-99E9-EC45E9D841E8}" srcOrd="0" destOrd="0" presId="urn:microsoft.com/office/officeart/2005/8/layout/hierarchy1#1"/>
    <dgm:cxn modelId="{B0347ABA-1504-4822-A27C-78ABCE41BF5A}" type="presParOf" srcId="{2F4B5371-1E9B-4F35-979D-C3A76C31DE3C}" destId="{1E80804F-2695-4DC1-8844-F19E476991A0}" srcOrd="1" destOrd="0" presId="urn:microsoft.com/office/officeart/2005/8/layout/hierarchy1#1"/>
    <dgm:cxn modelId="{C81E61E5-A3F7-4589-BC66-ED2493566242}" type="presParOf" srcId="{1E80804F-2695-4DC1-8844-F19E476991A0}" destId="{C23D6F5C-8662-4815-8352-556F6EB10094}" srcOrd="0" destOrd="0" presId="urn:microsoft.com/office/officeart/2005/8/layout/hierarchy1#1"/>
    <dgm:cxn modelId="{0531170B-7A93-40E5-AF8E-F5D27FA8B260}" type="presParOf" srcId="{C23D6F5C-8662-4815-8352-556F6EB10094}" destId="{18D62E30-A01E-4288-AE6A-A2424EFC9EEA}" srcOrd="0" destOrd="0" presId="urn:microsoft.com/office/officeart/2005/8/layout/hierarchy1#1"/>
    <dgm:cxn modelId="{3ADE5E74-13FA-4A72-8D31-93F19F0EC02D}" type="presParOf" srcId="{C23D6F5C-8662-4815-8352-556F6EB10094}" destId="{FF8EBE30-E081-4A33-90D9-72CD2F1933CC}" srcOrd="1" destOrd="0" presId="urn:microsoft.com/office/officeart/2005/8/layout/hierarchy1#1"/>
    <dgm:cxn modelId="{EA402EE3-F189-4127-A78D-89E20FDD15C5}" type="presParOf" srcId="{1E80804F-2695-4DC1-8844-F19E476991A0}" destId="{2A2871DD-8751-4C49-93C7-FE817664C954}" srcOrd="1" destOrd="0" presId="urn:microsoft.com/office/officeart/2005/8/layout/hierarchy1#1"/>
    <dgm:cxn modelId="{630E7DF4-E9A4-40EF-BFCF-6CFC96CA4AF0}" type="presParOf" srcId="{2A2871DD-8751-4C49-93C7-FE817664C954}" destId="{9D5C3002-FCC8-445B-B041-BFE66237EE52}" srcOrd="0" destOrd="0" presId="urn:microsoft.com/office/officeart/2005/8/layout/hierarchy1#1"/>
    <dgm:cxn modelId="{7D497187-D6C3-4699-8C54-817EE1AC4C8F}" type="presParOf" srcId="{2A2871DD-8751-4C49-93C7-FE817664C954}" destId="{1381A97A-C884-4E99-B4FC-768C05D00480}" srcOrd="1" destOrd="0" presId="urn:microsoft.com/office/officeart/2005/8/layout/hierarchy1#1"/>
    <dgm:cxn modelId="{A3445A7E-0426-4032-89C6-B66E6ACDC04F}" type="presParOf" srcId="{1381A97A-C884-4E99-B4FC-768C05D00480}" destId="{8F681A15-2C5A-4A00-9CDF-FC9D324A88A8}" srcOrd="0" destOrd="0" presId="urn:microsoft.com/office/officeart/2005/8/layout/hierarchy1#1"/>
    <dgm:cxn modelId="{A4DBA077-314F-4A53-919B-BB80D554652B}" type="presParOf" srcId="{8F681A15-2C5A-4A00-9CDF-FC9D324A88A8}" destId="{D1C4155E-B5E9-40ED-B817-07632CCDD58D}" srcOrd="0" destOrd="0" presId="urn:microsoft.com/office/officeart/2005/8/layout/hierarchy1#1"/>
    <dgm:cxn modelId="{EC83D9AE-92E4-4605-AA53-CD4E32482E0E}" type="presParOf" srcId="{8F681A15-2C5A-4A00-9CDF-FC9D324A88A8}" destId="{F3CDD8AE-2E03-4CE3-8B08-3767CEF50E98}" srcOrd="1" destOrd="0" presId="urn:microsoft.com/office/officeart/2005/8/layout/hierarchy1#1"/>
    <dgm:cxn modelId="{95673B8D-E0BB-4F2F-8D6F-A7DC1912C5EE}" type="presParOf" srcId="{1381A97A-C884-4E99-B4FC-768C05D00480}" destId="{A233A7B1-4D6D-4ED2-BEF9-15AE36542376}" srcOrd="1" destOrd="0" presId="urn:microsoft.com/office/officeart/2005/8/layout/hierarchy1#1"/>
    <dgm:cxn modelId="{D1010B22-6D54-49F4-8C0A-222047692FCE}" type="presParOf" srcId="{2A2871DD-8751-4C49-93C7-FE817664C954}" destId="{9CBA39F5-7B14-47C1-B816-AD71A7633008}" srcOrd="2" destOrd="0" presId="urn:microsoft.com/office/officeart/2005/8/layout/hierarchy1#1"/>
    <dgm:cxn modelId="{43AB3952-7792-4442-BEB6-401BA4F8CE17}" type="presParOf" srcId="{2A2871DD-8751-4C49-93C7-FE817664C954}" destId="{7815367E-20C4-4CA6-961F-8F20CE168421}" srcOrd="3" destOrd="0" presId="urn:microsoft.com/office/officeart/2005/8/layout/hierarchy1#1"/>
    <dgm:cxn modelId="{CCA477D0-95EE-4B1B-BC02-C973CF2CBB69}" type="presParOf" srcId="{7815367E-20C4-4CA6-961F-8F20CE168421}" destId="{B100555B-2BA2-4BAC-ACD0-727CB09B1FF1}" srcOrd="0" destOrd="0" presId="urn:microsoft.com/office/officeart/2005/8/layout/hierarchy1#1"/>
    <dgm:cxn modelId="{624EB6E6-62C3-4204-877B-B9C0B41373E5}" type="presParOf" srcId="{B100555B-2BA2-4BAC-ACD0-727CB09B1FF1}" destId="{A9509E24-E02B-4B52-BB18-999DFD1D1998}" srcOrd="0" destOrd="0" presId="urn:microsoft.com/office/officeart/2005/8/layout/hierarchy1#1"/>
    <dgm:cxn modelId="{306F2423-6FC6-4A38-9730-85839E096CC0}" type="presParOf" srcId="{B100555B-2BA2-4BAC-ACD0-727CB09B1FF1}" destId="{A40671B9-1D40-44F1-8FD8-DB636AA76A8A}" srcOrd="1" destOrd="0" presId="urn:microsoft.com/office/officeart/2005/8/layout/hierarchy1#1"/>
    <dgm:cxn modelId="{CD3B7E92-4DA8-4A27-8443-A28BAE16F172}" type="presParOf" srcId="{7815367E-20C4-4CA6-961F-8F20CE168421}" destId="{99053C11-2835-418E-9C4A-A22BF84C5C3D}" srcOrd="1" destOrd="0" presId="urn:microsoft.com/office/officeart/2005/8/layout/hierarchy1#1"/>
    <dgm:cxn modelId="{E6E70CC6-F5C0-40F1-AC08-947DAD0F3AE2}" type="presParOf" srcId="{2F4B5371-1E9B-4F35-979D-C3A76C31DE3C}" destId="{E6DB6F16-7F3F-4452-83FB-900F4900A64D}" srcOrd="2" destOrd="0" presId="urn:microsoft.com/office/officeart/2005/8/layout/hierarchy1#1"/>
    <dgm:cxn modelId="{739C9EE9-0755-4289-BDCC-EAA6CF50F425}" type="presParOf" srcId="{2F4B5371-1E9B-4F35-979D-C3A76C31DE3C}" destId="{1E883756-E7E0-4A24-9CF4-4354414036C5}" srcOrd="3" destOrd="0" presId="urn:microsoft.com/office/officeart/2005/8/layout/hierarchy1#1"/>
    <dgm:cxn modelId="{EC2EAA7B-90D5-42E4-8A8B-912A4D6E8E5F}" type="presParOf" srcId="{1E883756-E7E0-4A24-9CF4-4354414036C5}" destId="{D4B8D0F5-6863-4747-8123-BADD2827A495}" srcOrd="0" destOrd="0" presId="urn:microsoft.com/office/officeart/2005/8/layout/hierarchy1#1"/>
    <dgm:cxn modelId="{12C7B1B4-A4BE-4345-988F-E9029BDB564B}" type="presParOf" srcId="{D4B8D0F5-6863-4747-8123-BADD2827A495}" destId="{D1E46861-B2F4-409C-A119-D6ECB4702718}" srcOrd="0" destOrd="0" presId="urn:microsoft.com/office/officeart/2005/8/layout/hierarchy1#1"/>
    <dgm:cxn modelId="{F25BBC56-0859-4002-87BA-A41E246F3A6B}" type="presParOf" srcId="{D4B8D0F5-6863-4747-8123-BADD2827A495}" destId="{B92FC902-AB94-4080-86A8-5B558BC92E8D}" srcOrd="1" destOrd="0" presId="urn:microsoft.com/office/officeart/2005/8/layout/hierarchy1#1"/>
    <dgm:cxn modelId="{015BB30E-909E-42D7-9A68-23FF650A892A}" type="presParOf" srcId="{1E883756-E7E0-4A24-9CF4-4354414036C5}" destId="{E1D6F1AB-9EAE-4112-BF0F-2D101FE59B35}" srcOrd="1" destOrd="0" presId="urn:microsoft.com/office/officeart/2005/8/layout/hierarchy1#1"/>
    <dgm:cxn modelId="{4BED933D-2D01-4475-83CA-94201ED772AB}" type="presParOf" srcId="{E1D6F1AB-9EAE-4112-BF0F-2D101FE59B35}" destId="{FD8E670B-19E7-4B9A-8213-303774DC8E6C}" srcOrd="0" destOrd="0" presId="urn:microsoft.com/office/officeart/2005/8/layout/hierarchy1#1"/>
    <dgm:cxn modelId="{9CEB4565-E659-4511-B369-50041264D9A3}" type="presParOf" srcId="{E1D6F1AB-9EAE-4112-BF0F-2D101FE59B35}" destId="{EE766BC1-9118-42B4-A267-60580DA6F0F5}" srcOrd="1" destOrd="0" presId="urn:microsoft.com/office/officeart/2005/8/layout/hierarchy1#1"/>
    <dgm:cxn modelId="{519C46D1-64CE-426F-9186-0A119155E892}" type="presParOf" srcId="{EE766BC1-9118-42B4-A267-60580DA6F0F5}" destId="{F1A3648B-12EF-4BEA-B197-AA6539ACA161}" srcOrd="0" destOrd="0" presId="urn:microsoft.com/office/officeart/2005/8/layout/hierarchy1#1"/>
    <dgm:cxn modelId="{C5889679-22FC-4097-8786-32CAA67D7634}" type="presParOf" srcId="{F1A3648B-12EF-4BEA-B197-AA6539ACA161}" destId="{86241E2F-1C87-45B3-BD2E-FF64A19B6F77}" srcOrd="0" destOrd="0" presId="urn:microsoft.com/office/officeart/2005/8/layout/hierarchy1#1"/>
    <dgm:cxn modelId="{08CF3F06-7EF9-4380-8EBE-40BD16239601}" type="presParOf" srcId="{F1A3648B-12EF-4BEA-B197-AA6539ACA161}" destId="{EC8A96E6-86FF-407C-B4BA-D9EB09AB9BA6}" srcOrd="1" destOrd="0" presId="urn:microsoft.com/office/officeart/2005/8/layout/hierarchy1#1"/>
    <dgm:cxn modelId="{1CCD0311-029B-47EA-A629-318555D1E412}" type="presParOf" srcId="{EE766BC1-9118-42B4-A267-60580DA6F0F5}" destId="{A8211B23-E786-448E-A8F7-2ED4F117D806}" srcOrd="1" destOrd="0" presId="urn:microsoft.com/office/officeart/2005/8/layout/hierarchy1#1"/>
    <dgm:cxn modelId="{8E56E163-6B42-4399-8E4E-2A99188A59EA}" type="presParOf" srcId="{E1D6F1AB-9EAE-4112-BF0F-2D101FE59B35}" destId="{C7CBC1AB-C2E9-49E7-9106-F887BE5651BA}" srcOrd="2" destOrd="0" presId="urn:microsoft.com/office/officeart/2005/8/layout/hierarchy1#1"/>
    <dgm:cxn modelId="{3D171B6C-94EC-4127-AE35-9F9ABA2F309F}" type="presParOf" srcId="{E1D6F1AB-9EAE-4112-BF0F-2D101FE59B35}" destId="{B13C7FDA-2A9E-4BF4-9B7F-5810738FB8D0}" srcOrd="3" destOrd="0" presId="urn:microsoft.com/office/officeart/2005/8/layout/hierarchy1#1"/>
    <dgm:cxn modelId="{38AB226C-7635-484D-B2B7-F2DCD41DD7E5}" type="presParOf" srcId="{B13C7FDA-2A9E-4BF4-9B7F-5810738FB8D0}" destId="{BE00C686-7BA3-4B3F-950F-37999BB130DA}" srcOrd="0" destOrd="0" presId="urn:microsoft.com/office/officeart/2005/8/layout/hierarchy1#1"/>
    <dgm:cxn modelId="{72BBFBBE-E292-48BF-AD4C-A0320D3E4262}" type="presParOf" srcId="{BE00C686-7BA3-4B3F-950F-37999BB130DA}" destId="{EC57055A-C136-46E2-ADD9-BEE36228EF18}" srcOrd="0" destOrd="0" presId="urn:microsoft.com/office/officeart/2005/8/layout/hierarchy1#1"/>
    <dgm:cxn modelId="{8B72892B-80FB-44D3-9EE0-D23AAA1961CC}" type="presParOf" srcId="{BE00C686-7BA3-4B3F-950F-37999BB130DA}" destId="{3F8BAB32-AD84-4DBC-9811-3A654E55FDB1}" srcOrd="1" destOrd="0" presId="urn:microsoft.com/office/officeart/2005/8/layout/hierarchy1#1"/>
    <dgm:cxn modelId="{7D565C06-2A15-435B-85AA-D2F0282C2E64}" type="presParOf" srcId="{B13C7FDA-2A9E-4BF4-9B7F-5810738FB8D0}" destId="{1935E100-E28F-4676-B4D3-5DCAF75F52EE}" srcOrd="1" destOrd="0" presId="urn:microsoft.com/office/officeart/2005/8/layout/hierarchy1#1"/>
    <dgm:cxn modelId="{8C4EE5FC-2537-4627-9C83-5618DD4B8CEB}" type="presParOf" srcId="{E1D6F1AB-9EAE-4112-BF0F-2D101FE59B35}" destId="{0E9F667C-7C91-409C-B221-CC55E83C4DB6}" srcOrd="4" destOrd="0" presId="urn:microsoft.com/office/officeart/2005/8/layout/hierarchy1#1"/>
    <dgm:cxn modelId="{DE7AAFB4-3C36-4789-8BC0-998AEBD945BD}" type="presParOf" srcId="{E1D6F1AB-9EAE-4112-BF0F-2D101FE59B35}" destId="{2011559F-EFE3-4877-908A-2C20231EFECD}" srcOrd="5" destOrd="0" presId="urn:microsoft.com/office/officeart/2005/8/layout/hierarchy1#1"/>
    <dgm:cxn modelId="{15ABF57E-8BAE-496E-B7B1-0AB259EFA71B}" type="presParOf" srcId="{2011559F-EFE3-4877-908A-2C20231EFECD}" destId="{0525DD7E-06E1-4157-AF45-147CD1F575E9}" srcOrd="0" destOrd="0" presId="urn:microsoft.com/office/officeart/2005/8/layout/hierarchy1#1"/>
    <dgm:cxn modelId="{5FA06F81-3FB5-4875-B6FD-949F33C64FF2}" type="presParOf" srcId="{0525DD7E-06E1-4157-AF45-147CD1F575E9}" destId="{C912B516-16BA-4604-9F68-F521D09D2C4F}" srcOrd="0" destOrd="0" presId="urn:microsoft.com/office/officeart/2005/8/layout/hierarchy1#1"/>
    <dgm:cxn modelId="{C17061FF-A766-4D86-98D6-6E150DA9AAFB}" type="presParOf" srcId="{0525DD7E-06E1-4157-AF45-147CD1F575E9}" destId="{E24C830B-10D7-413F-9059-3131FF4B9ACE}" srcOrd="1" destOrd="0" presId="urn:microsoft.com/office/officeart/2005/8/layout/hierarchy1#1"/>
    <dgm:cxn modelId="{4AF56299-9090-4F1F-9A96-3BC856F7BB11}" type="presParOf" srcId="{2011559F-EFE3-4877-908A-2C20231EFECD}" destId="{9BCF2C63-3FA1-453B-96A5-6D6CD638A4F1}" srcOrd="1" destOrd="0" presId="urn:microsoft.com/office/officeart/2005/8/layout/hierarchy1#1"/>
    <dgm:cxn modelId="{EE5D8B86-23C4-464B-8926-159ECA508FD4}" type="presParOf" srcId="{2F4B5371-1E9B-4F35-979D-C3A76C31DE3C}" destId="{BA4EB641-CAB5-4E8F-887C-B09D1DE8DA4A}" srcOrd="4" destOrd="0" presId="urn:microsoft.com/office/officeart/2005/8/layout/hierarchy1#1"/>
    <dgm:cxn modelId="{3BB0F80D-4F27-4CD1-A39F-31E9ED19DF2D}" type="presParOf" srcId="{2F4B5371-1E9B-4F35-979D-C3A76C31DE3C}" destId="{B5FBD0D0-6C81-4F5E-9914-D58DEE9BF832}" srcOrd="5" destOrd="0" presId="urn:microsoft.com/office/officeart/2005/8/layout/hierarchy1#1"/>
    <dgm:cxn modelId="{B157324E-74D8-4713-9541-AB0050B383EC}" type="presParOf" srcId="{B5FBD0D0-6C81-4F5E-9914-D58DEE9BF832}" destId="{0CB53222-2CF2-46D5-8B2D-7360B8391B2E}" srcOrd="0" destOrd="0" presId="urn:microsoft.com/office/officeart/2005/8/layout/hierarchy1#1"/>
    <dgm:cxn modelId="{3FD01C7A-C4D0-4372-8271-FA624EFBFE8E}" type="presParOf" srcId="{0CB53222-2CF2-46D5-8B2D-7360B8391B2E}" destId="{EC8585E6-1363-4ACE-B538-09DD943FA059}" srcOrd="0" destOrd="0" presId="urn:microsoft.com/office/officeart/2005/8/layout/hierarchy1#1"/>
    <dgm:cxn modelId="{D83A1495-7339-40DC-B80C-AA0829AF141A}" type="presParOf" srcId="{0CB53222-2CF2-46D5-8B2D-7360B8391B2E}" destId="{CF6BD2FC-05BF-4E89-AB00-D3EB2A03FB65}" srcOrd="1" destOrd="0" presId="urn:microsoft.com/office/officeart/2005/8/layout/hierarchy1#1"/>
    <dgm:cxn modelId="{70DADCB2-0EEB-4CBB-8445-2AD4AC9EB9D0}" type="presParOf" srcId="{B5FBD0D0-6C81-4F5E-9914-D58DEE9BF832}" destId="{CBE3AC18-D034-4796-B0D8-314C7946E424}" srcOrd="1" destOrd="0" presId="urn:microsoft.com/office/officeart/2005/8/layout/hierarchy1#1"/>
    <dgm:cxn modelId="{77071722-BD46-45AC-A035-9676E7243276}" type="presParOf" srcId="{CBE3AC18-D034-4796-B0D8-314C7946E424}" destId="{DD5AE3AC-D1B1-4DDC-84B8-30956825B238}" srcOrd="0" destOrd="0" presId="urn:microsoft.com/office/officeart/2005/8/layout/hierarchy1#1"/>
    <dgm:cxn modelId="{3DC5283C-DB9C-421A-8C32-6F09308C16F9}" type="presParOf" srcId="{CBE3AC18-D034-4796-B0D8-314C7946E424}" destId="{F430C6AF-BE55-46F7-A9BC-D7E4E4C155D1}" srcOrd="1" destOrd="0" presId="urn:microsoft.com/office/officeart/2005/8/layout/hierarchy1#1"/>
    <dgm:cxn modelId="{F8A1F7C0-CB13-4259-85BD-D39C3A0C9656}" type="presParOf" srcId="{F430C6AF-BE55-46F7-A9BC-D7E4E4C155D1}" destId="{4ACEA44D-9F13-4202-90D8-FDF7E5BECBC8}" srcOrd="0" destOrd="0" presId="urn:microsoft.com/office/officeart/2005/8/layout/hierarchy1#1"/>
    <dgm:cxn modelId="{C6F5F2E9-AF59-4567-AC2B-6E9C7D64FF52}" type="presParOf" srcId="{4ACEA44D-9F13-4202-90D8-FDF7E5BECBC8}" destId="{AFCFEA9F-CDB8-421E-A382-DFEC35438330}" srcOrd="0" destOrd="0" presId="urn:microsoft.com/office/officeart/2005/8/layout/hierarchy1#1"/>
    <dgm:cxn modelId="{5A47DFF4-D816-4667-BC1B-58977D7BF272}" type="presParOf" srcId="{4ACEA44D-9F13-4202-90D8-FDF7E5BECBC8}" destId="{D43AC0B1-4D84-4992-9955-550DEA2928C0}" srcOrd="1" destOrd="0" presId="urn:microsoft.com/office/officeart/2005/8/layout/hierarchy1#1"/>
    <dgm:cxn modelId="{188DA851-ED4B-4644-870A-7D2B874CB6AF}" type="presParOf" srcId="{F430C6AF-BE55-46F7-A9BC-D7E4E4C155D1}" destId="{2DB4685F-7C83-4734-BAE0-DFDFE55EAE0E}" srcOrd="1" destOrd="0" presId="urn:microsoft.com/office/officeart/2005/8/layout/hierarchy1#1"/>
    <dgm:cxn modelId="{276F3307-1E20-4085-B6A2-66B2AE7A297F}" type="presParOf" srcId="{2F4B5371-1E9B-4F35-979D-C3A76C31DE3C}" destId="{E21FC3E8-2EE9-4DC1-95B5-F617D4DCA375}" srcOrd="6" destOrd="0" presId="urn:microsoft.com/office/officeart/2005/8/layout/hierarchy1#1"/>
    <dgm:cxn modelId="{421A5F17-EB3B-41CC-A55E-A46C9398A8AB}" type="presParOf" srcId="{2F4B5371-1E9B-4F35-979D-C3A76C31DE3C}" destId="{D95D0B3D-53A5-44A2-94FD-8D2CEE27A8F1}" srcOrd="7" destOrd="0" presId="urn:microsoft.com/office/officeart/2005/8/layout/hierarchy1#1"/>
    <dgm:cxn modelId="{537F2EA5-7A52-4F1D-BAD1-8FB6DBAA1953}" type="presParOf" srcId="{D95D0B3D-53A5-44A2-94FD-8D2CEE27A8F1}" destId="{E134A9C7-8AE4-4577-9E33-32919E864195}" srcOrd="0" destOrd="0" presId="urn:microsoft.com/office/officeart/2005/8/layout/hierarchy1#1"/>
    <dgm:cxn modelId="{67508479-589E-49F5-9D41-9FFFEC2DD9A3}" type="presParOf" srcId="{E134A9C7-8AE4-4577-9E33-32919E864195}" destId="{8A7FDDCC-6453-4535-AD6B-AC70E1E46823}" srcOrd="0" destOrd="0" presId="urn:microsoft.com/office/officeart/2005/8/layout/hierarchy1#1"/>
    <dgm:cxn modelId="{5A623D1E-BE2C-4046-884D-E4636456B304}" type="presParOf" srcId="{E134A9C7-8AE4-4577-9E33-32919E864195}" destId="{6E0A7C07-8970-44CA-B21B-6C653AC50F4E}" srcOrd="1" destOrd="0" presId="urn:microsoft.com/office/officeart/2005/8/layout/hierarchy1#1"/>
    <dgm:cxn modelId="{AFC378FE-22F5-48FF-8EA1-3C07B9BA5452}" type="presParOf" srcId="{D95D0B3D-53A5-44A2-94FD-8D2CEE27A8F1}" destId="{7E4C3B83-8623-4A0D-A312-6047290A52C7}" srcOrd="1" destOrd="0" presId="urn:microsoft.com/office/officeart/2005/8/layout/hierarchy1#1"/>
    <dgm:cxn modelId="{BE50B1B7-55B6-476E-B869-3FD17B431D85}" type="presParOf" srcId="{7E4C3B83-8623-4A0D-A312-6047290A52C7}" destId="{DA74AA2D-19A3-4D89-8CE1-F58DA28086B2}" srcOrd="0" destOrd="0" presId="urn:microsoft.com/office/officeart/2005/8/layout/hierarchy1#1"/>
    <dgm:cxn modelId="{E1FB2803-A944-4E22-B497-4C6E30EB46F8}" type="presParOf" srcId="{7E4C3B83-8623-4A0D-A312-6047290A52C7}" destId="{7A3B31F9-5B85-4EED-B623-98775DFA13BD}" srcOrd="1" destOrd="0" presId="urn:microsoft.com/office/officeart/2005/8/layout/hierarchy1#1"/>
    <dgm:cxn modelId="{2566C052-A7A8-4AE7-9676-B287D2961BDA}" type="presParOf" srcId="{7A3B31F9-5B85-4EED-B623-98775DFA13BD}" destId="{96A8D05D-A492-45CA-95E7-339747F29EF7}" srcOrd="0" destOrd="0" presId="urn:microsoft.com/office/officeart/2005/8/layout/hierarchy1#1"/>
    <dgm:cxn modelId="{CDC6B95B-FD83-4122-8963-47FEA7E2BFD0}" type="presParOf" srcId="{96A8D05D-A492-45CA-95E7-339747F29EF7}" destId="{9910226B-83E3-4E6F-AA15-8F130E50A5DD}" srcOrd="0" destOrd="0" presId="urn:microsoft.com/office/officeart/2005/8/layout/hierarchy1#1"/>
    <dgm:cxn modelId="{4B35AF57-B28F-4C30-A2B2-071B35E00A6D}" type="presParOf" srcId="{96A8D05D-A492-45CA-95E7-339747F29EF7}" destId="{269DAC8A-1678-47E3-88F5-1B33FB8B87C4}" srcOrd="1" destOrd="0" presId="urn:microsoft.com/office/officeart/2005/8/layout/hierarchy1#1"/>
    <dgm:cxn modelId="{9725E48A-2412-4A1A-BBC7-802DECA2DD6B}" type="presParOf" srcId="{7A3B31F9-5B85-4EED-B623-98775DFA13BD}" destId="{A74C6E4B-0EBF-4BA4-8D49-99377A120A0F}" srcOrd="1" destOrd="0" presId="urn:microsoft.com/office/officeart/2005/8/layout/hierarchy1#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820285" cy="1400175"/>
        <a:chOff x="0" y="0"/>
        <a:chExt cx="4820285" cy="1400175"/>
      </a:xfrm>
    </dsp:grpSpPr>
    <dsp:sp modelId="{77482DA5-41E1-41D0-A9D6-79B1CCF7F452}">
      <dsp:nvSpPr>
        <dsp:cNvPr id="3" name="燕尾形 2"/>
        <dsp:cNvSpPr/>
      </dsp:nvSpPr>
      <dsp:spPr bwMode="white">
        <a:xfrm>
          <a:off x="0" y="488449"/>
          <a:ext cx="1058194" cy="423278"/>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rgbClr val="FFFFFF"/>
        </a:lnRef>
        <a:fillRef idx="3">
          <a:srgbClr val="FFC000"/>
        </a:fillRef>
        <a:effectRef idx="3">
          <a:scrgbClr r="0" g="0" b="0"/>
        </a:effectRef>
        <a:fontRef idx="minor">
          <a:srgbClr val="FFFFFF"/>
        </a:fontRef>
      </dsp:style>
      <dsp:txBody>
        <a:bodyPr lIns="11430" tIns="5715" rIns="0"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a:off x="0" y="488449"/>
        <a:ext cx="1058194" cy="423278"/>
      </dsp:txXfrm>
    </dsp:sp>
    <dsp:sp modelId="{6E8D7C1F-A22A-42B0-A090-A57413634287}">
      <dsp:nvSpPr>
        <dsp:cNvPr id="4" name="燕尾形 3"/>
        <dsp:cNvSpPr/>
      </dsp:nvSpPr>
      <dsp:spPr bwMode="white">
        <a:xfrm>
          <a:off x="920629" y="524427"/>
          <a:ext cx="878301" cy="351320"/>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rgbClr val="FFE8CB">
            <a:tint val="40000"/>
            <a:alpha val="90000"/>
            <a:hueOff val="0"/>
            <a:satOff val="0"/>
            <a:lumOff val="0"/>
            <a:alpha val="90196"/>
          </a:srgbClr>
        </a:lnRef>
        <a:fillRef idx="1">
          <a:srgbClr val="FFE8CB">
            <a:tint val="40000"/>
            <a:alpha val="90000"/>
            <a:hueOff val="0"/>
            <a:satOff val="0"/>
            <a:lumOff val="0"/>
            <a:alpha val="90196"/>
          </a:srgbClr>
        </a:fillRef>
        <a:effectRef idx="2">
          <a:scrgbClr r="0" g="0" b="0"/>
        </a:effectRef>
        <a:fontRef idx="minor"/>
      </dsp:style>
      <dsp:txBody>
        <a:bodyPr lIns="12700" tIns="6350" rIns="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000" b="0">
              <a:solidFill>
                <a:srgbClr val="000000"/>
              </a:solidFill>
              <a:latin typeface="+mj-lt"/>
            </a:rPr>
            <a:t>相关性原则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sp:txBody>
      <dsp:txXfrm>
        <a:off x="920629" y="524427"/>
        <a:ext cx="878301" cy="351320"/>
      </dsp:txXfrm>
    </dsp:sp>
    <dsp:sp modelId="{B8691B77-4694-4BFA-9DAF-40A313A447BB}">
      <dsp:nvSpPr>
        <dsp:cNvPr id="5" name="燕尾形 4"/>
        <dsp:cNvSpPr/>
      </dsp:nvSpPr>
      <dsp:spPr bwMode="white">
        <a:xfrm>
          <a:off x="1675968" y="524427"/>
          <a:ext cx="878301" cy="351320"/>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rgbClr val="FFE8CB">
            <a:tint val="40000"/>
            <a:alpha val="90000"/>
            <a:hueOff val="2955000"/>
            <a:satOff val="-15391"/>
            <a:lumOff val="-391"/>
            <a:alpha val="90196"/>
          </a:srgbClr>
        </a:lnRef>
        <a:fillRef idx="1">
          <a:srgbClr val="FFE8CB">
            <a:tint val="40000"/>
            <a:alpha val="90000"/>
            <a:hueOff val="2955000"/>
            <a:satOff val="-15391"/>
            <a:lumOff val="-391"/>
            <a:alpha val="90196"/>
          </a:srgbClr>
        </a:fillRef>
        <a:effectRef idx="2">
          <a:scrgbClr r="0" g="0" b="0"/>
        </a:effectRef>
        <a:fontRef idx="minor"/>
      </dsp:style>
      <dsp:txBody>
        <a:bodyPr lIns="12700" tIns="6350" rIns="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000" b="0">
              <a:solidFill>
                <a:srgbClr val="000000"/>
              </a:solidFill>
              <a:latin typeface="+mj-lt"/>
            </a:rPr>
            <a:t>重要性原则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sp:txBody>
      <dsp:txXfrm>
        <a:off x="1675968" y="524427"/>
        <a:ext cx="878301" cy="351320"/>
      </dsp:txXfrm>
    </dsp:sp>
    <dsp:sp modelId="{C330E3A1-3D1D-4453-A315-50DA58578E8B}">
      <dsp:nvSpPr>
        <dsp:cNvPr id="6" name="燕尾形 5"/>
        <dsp:cNvSpPr/>
      </dsp:nvSpPr>
      <dsp:spPr bwMode="white">
        <a:xfrm>
          <a:off x="2431306" y="524427"/>
          <a:ext cx="878301" cy="351320"/>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rgbClr val="FFE8CB">
            <a:tint val="40000"/>
            <a:alpha val="90000"/>
            <a:hueOff val="5910000"/>
            <a:satOff val="-30783"/>
            <a:lumOff val="-783"/>
            <a:alpha val="90196"/>
          </a:srgbClr>
        </a:lnRef>
        <a:fillRef idx="1">
          <a:srgbClr val="FFE8CB">
            <a:tint val="40000"/>
            <a:alpha val="90000"/>
            <a:hueOff val="5910000"/>
            <a:satOff val="-30783"/>
            <a:lumOff val="-783"/>
            <a:alpha val="90196"/>
          </a:srgbClr>
        </a:fillRef>
        <a:effectRef idx="2">
          <a:scrgbClr r="0" g="0" b="0"/>
        </a:effectRef>
        <a:fontRef idx="minor"/>
      </dsp:style>
      <dsp:txBody>
        <a:bodyPr lIns="12700" tIns="6350" rIns="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000" b="0">
              <a:solidFill>
                <a:srgbClr val="000000"/>
              </a:solidFill>
              <a:latin typeface="+mj-lt"/>
            </a:rPr>
            <a:t>可比性原则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sp:txBody>
      <dsp:txXfrm>
        <a:off x="2431306" y="524427"/>
        <a:ext cx="878301" cy="351320"/>
      </dsp:txXfrm>
    </dsp:sp>
    <dsp:sp modelId="{15B667A0-41D3-4D24-9402-E2D0A9F3193D}">
      <dsp:nvSpPr>
        <dsp:cNvPr id="7" name="燕尾形 6"/>
        <dsp:cNvSpPr/>
      </dsp:nvSpPr>
      <dsp:spPr bwMode="white">
        <a:xfrm>
          <a:off x="3186645" y="524427"/>
          <a:ext cx="878301" cy="351320"/>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rgbClr val="FFE8CB">
            <a:tint val="40000"/>
            <a:alpha val="90000"/>
            <a:hueOff val="8865000"/>
            <a:satOff val="-46175"/>
            <a:lumOff val="-1175"/>
            <a:alpha val="90196"/>
          </a:srgbClr>
        </a:lnRef>
        <a:fillRef idx="1">
          <a:srgbClr val="FFE8CB">
            <a:tint val="40000"/>
            <a:alpha val="90000"/>
            <a:hueOff val="8865000"/>
            <a:satOff val="-46175"/>
            <a:lumOff val="-1175"/>
            <a:alpha val="90196"/>
          </a:srgbClr>
        </a:fillRef>
        <a:effectRef idx="2">
          <a:scrgbClr r="0" g="0" b="0"/>
        </a:effectRef>
        <a:fontRef idx="minor"/>
      </dsp:style>
      <dsp:txBody>
        <a:bodyPr lIns="12700" tIns="6350" rIns="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000" b="0">
              <a:solidFill>
                <a:srgbClr val="000000"/>
              </a:solidFill>
              <a:latin typeface="+mj-lt"/>
            </a:rPr>
            <a:t>系统性原则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sp:txBody>
      <dsp:txXfrm>
        <a:off x="3186645" y="524427"/>
        <a:ext cx="878301" cy="351320"/>
      </dsp:txXfrm>
    </dsp:sp>
    <dsp:sp modelId="{3133D0F3-2920-497C-9B75-49DB36BD1C0F}">
      <dsp:nvSpPr>
        <dsp:cNvPr id="8" name="燕尾形 7"/>
        <dsp:cNvSpPr/>
      </dsp:nvSpPr>
      <dsp:spPr bwMode="white">
        <a:xfrm>
          <a:off x="3941984" y="524427"/>
          <a:ext cx="878301" cy="351320"/>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rgbClr val="FFE8CB">
            <a:tint val="40000"/>
            <a:alpha val="90000"/>
            <a:hueOff val="11820000"/>
            <a:satOff val="-61568"/>
            <a:lumOff val="-1568"/>
            <a:alpha val="90196"/>
          </a:srgbClr>
        </a:lnRef>
        <a:fillRef idx="1">
          <a:srgbClr val="FFE8CB">
            <a:tint val="40000"/>
            <a:alpha val="90000"/>
            <a:hueOff val="11820000"/>
            <a:satOff val="-61568"/>
            <a:lumOff val="-1568"/>
            <a:alpha val="90196"/>
          </a:srgbClr>
        </a:fillRef>
        <a:effectRef idx="2">
          <a:scrgbClr r="0" g="0" b="0"/>
        </a:effectRef>
        <a:fontRef idx="minor"/>
      </dsp:style>
      <dsp:txBody>
        <a:bodyPr lIns="12700" tIns="6350" rIns="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000" b="0">
              <a:solidFill>
                <a:srgbClr val="000000"/>
              </a:solidFill>
              <a:latin typeface="+mj-lt"/>
            </a:rPr>
            <a:t>经济性原则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sp:txBody>
      <dsp:txXfrm>
        <a:off x="3941984" y="524427"/>
        <a:ext cx="878301" cy="3513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918200" cy="1920240"/>
        <a:chOff x="0" y="0"/>
        <a:chExt cx="5918200" cy="1920240"/>
      </a:xfrm>
    </dsp:grpSpPr>
    <dsp:sp modelId="{74EC6452-BDD8-400D-99E9-EC45E9D841E8}">
      <dsp:nvSpPr>
        <dsp:cNvPr id="5" name="任意多边形 4"/>
        <dsp:cNvSpPr/>
      </dsp:nvSpPr>
      <dsp:spPr bwMode="white">
        <a:xfrm>
          <a:off x="801295" y="553208"/>
          <a:ext cx="2161063" cy="166660"/>
        </a:xfrm>
        <a:custGeom>
          <a:avLst/>
          <a:gdLst/>
          <a:ahLst/>
          <a:cxnLst/>
          <a:pathLst>
            <a:path w="3403" h="262">
              <a:moveTo>
                <a:pt x="3403" y="0"/>
              </a:moveTo>
              <a:lnTo>
                <a:pt x="3403" y="166"/>
              </a:lnTo>
              <a:lnTo>
                <a:pt x="0" y="166"/>
              </a:lnTo>
              <a:lnTo>
                <a:pt x="0" y="262"/>
              </a:lnTo>
            </a:path>
          </a:pathLst>
        </a:custGeom>
      </dsp:spPr>
      <dsp:style>
        <a:lnRef idx="2">
          <a:schemeClr val="accent2"/>
        </a:lnRef>
        <a:fillRef idx="0">
          <a:schemeClr val="accent3">
            <a:tint val="90000"/>
          </a:schemeClr>
        </a:fillRef>
        <a:effectRef idx="0">
          <a:scrgbClr r="0" g="0" b="0"/>
        </a:effectRef>
        <a:fontRef idx="minor"/>
      </dsp:style>
      <dsp:txXfrm>
        <a:off x="801295" y="553208"/>
        <a:ext cx="2161063" cy="166660"/>
      </dsp:txXfrm>
    </dsp:sp>
    <dsp:sp modelId="{9D5C3002-FCC8-445B-B041-BFE66237EE52}">
      <dsp:nvSpPr>
        <dsp:cNvPr id="8" name="任意多边形 7"/>
        <dsp:cNvSpPr/>
      </dsp:nvSpPr>
      <dsp:spPr bwMode="white">
        <a:xfrm>
          <a:off x="413537" y="1222391"/>
          <a:ext cx="387758" cy="141309"/>
        </a:xfrm>
        <a:custGeom>
          <a:avLst/>
          <a:gdLst/>
          <a:ahLst/>
          <a:cxnLst/>
          <a:pathLst>
            <a:path w="611" h="223">
              <a:moveTo>
                <a:pt x="611" y="0"/>
              </a:moveTo>
              <a:lnTo>
                <a:pt x="611" y="126"/>
              </a:lnTo>
              <a:lnTo>
                <a:pt x="0" y="126"/>
              </a:lnTo>
              <a:lnTo>
                <a:pt x="0" y="223"/>
              </a:lnTo>
            </a:path>
          </a:pathLst>
        </a:custGeom>
      </dsp:spPr>
      <dsp:style>
        <a:lnRef idx="2">
          <a:schemeClr val="accent3"/>
        </a:lnRef>
        <a:fillRef idx="0">
          <a:schemeClr val="accent4">
            <a:tint val="70000"/>
          </a:schemeClr>
        </a:fillRef>
        <a:effectRef idx="0">
          <a:scrgbClr r="0" g="0" b="0"/>
        </a:effectRef>
        <a:fontRef idx="minor"/>
      </dsp:style>
      <dsp:txXfrm>
        <a:off x="413537" y="1222391"/>
        <a:ext cx="387758" cy="141309"/>
      </dsp:txXfrm>
    </dsp:sp>
    <dsp:sp modelId="{9CBA39F5-7B14-47C1-B816-AD71A7633008}">
      <dsp:nvSpPr>
        <dsp:cNvPr id="11" name="任意多边形 10"/>
        <dsp:cNvSpPr/>
      </dsp:nvSpPr>
      <dsp:spPr bwMode="white">
        <a:xfrm>
          <a:off x="801295" y="1222391"/>
          <a:ext cx="415660" cy="133273"/>
        </a:xfrm>
        <a:custGeom>
          <a:avLst/>
          <a:gdLst/>
          <a:ahLst/>
          <a:cxnLst/>
          <a:pathLst>
            <a:path w="655" h="210">
              <a:moveTo>
                <a:pt x="0" y="0"/>
              </a:moveTo>
              <a:lnTo>
                <a:pt x="0" y="114"/>
              </a:lnTo>
              <a:lnTo>
                <a:pt x="655" y="114"/>
              </a:lnTo>
              <a:lnTo>
                <a:pt x="655" y="210"/>
              </a:lnTo>
            </a:path>
          </a:pathLst>
        </a:custGeom>
      </dsp:spPr>
      <dsp:style>
        <a:lnRef idx="2">
          <a:schemeClr val="accent3"/>
        </a:lnRef>
        <a:fillRef idx="0">
          <a:schemeClr val="accent4">
            <a:tint val="70000"/>
          </a:schemeClr>
        </a:fillRef>
        <a:effectRef idx="0">
          <a:scrgbClr r="0" g="0" b="0"/>
        </a:effectRef>
        <a:fontRef idx="minor"/>
      </dsp:style>
      <dsp:txXfrm>
        <a:off x="801295" y="1222391"/>
        <a:ext cx="415660" cy="133273"/>
      </dsp:txXfrm>
    </dsp:sp>
    <dsp:sp modelId="{E6DB6F16-7F3F-4452-83FB-900F4900A64D}">
      <dsp:nvSpPr>
        <dsp:cNvPr id="14" name="任意多边形 13"/>
        <dsp:cNvSpPr/>
      </dsp:nvSpPr>
      <dsp:spPr bwMode="white">
        <a:xfrm>
          <a:off x="2881959" y="553208"/>
          <a:ext cx="80399" cy="166660"/>
        </a:xfrm>
        <a:custGeom>
          <a:avLst/>
          <a:gdLst/>
          <a:ahLst/>
          <a:cxnLst/>
          <a:pathLst>
            <a:path w="127" h="262">
              <a:moveTo>
                <a:pt x="127" y="0"/>
              </a:moveTo>
              <a:lnTo>
                <a:pt x="127" y="166"/>
              </a:lnTo>
              <a:lnTo>
                <a:pt x="0" y="166"/>
              </a:lnTo>
              <a:lnTo>
                <a:pt x="0" y="262"/>
              </a:lnTo>
            </a:path>
          </a:pathLst>
        </a:custGeom>
      </dsp:spPr>
      <dsp:style>
        <a:lnRef idx="2">
          <a:schemeClr val="accent2"/>
        </a:lnRef>
        <a:fillRef idx="0">
          <a:schemeClr val="accent3">
            <a:tint val="90000"/>
          </a:schemeClr>
        </a:fillRef>
        <a:effectRef idx="0">
          <a:scrgbClr r="0" g="0" b="0"/>
        </a:effectRef>
        <a:fontRef idx="minor"/>
      </dsp:style>
      <dsp:txXfrm>
        <a:off x="2881959" y="553208"/>
        <a:ext cx="80399" cy="166660"/>
      </dsp:txXfrm>
    </dsp:sp>
    <dsp:sp modelId="{FD8E670B-19E7-4B9A-8213-303774DC8E6C}">
      <dsp:nvSpPr>
        <dsp:cNvPr id="17" name="任意多边形 16"/>
        <dsp:cNvSpPr/>
      </dsp:nvSpPr>
      <dsp:spPr bwMode="white">
        <a:xfrm>
          <a:off x="2047429" y="1230869"/>
          <a:ext cx="834530" cy="149583"/>
        </a:xfrm>
        <a:custGeom>
          <a:avLst/>
          <a:gdLst/>
          <a:ahLst/>
          <a:cxnLst/>
          <a:pathLst>
            <a:path w="1314" h="236">
              <a:moveTo>
                <a:pt x="1314" y="0"/>
              </a:moveTo>
              <a:lnTo>
                <a:pt x="1314" y="139"/>
              </a:lnTo>
              <a:lnTo>
                <a:pt x="0" y="139"/>
              </a:lnTo>
              <a:lnTo>
                <a:pt x="0" y="236"/>
              </a:lnTo>
            </a:path>
          </a:pathLst>
        </a:custGeom>
      </dsp:spPr>
      <dsp:style>
        <a:lnRef idx="2">
          <a:schemeClr val="accent3"/>
        </a:lnRef>
        <a:fillRef idx="0">
          <a:schemeClr val="accent4">
            <a:tint val="70000"/>
          </a:schemeClr>
        </a:fillRef>
        <a:effectRef idx="0">
          <a:scrgbClr r="0" g="0" b="0"/>
        </a:effectRef>
        <a:fontRef idx="minor"/>
      </dsp:style>
      <dsp:txXfrm>
        <a:off x="2047429" y="1230869"/>
        <a:ext cx="834530" cy="149583"/>
      </dsp:txXfrm>
    </dsp:sp>
    <dsp:sp modelId="{C7CBC1AB-C2E9-49E7-9106-F887BE5651BA}">
      <dsp:nvSpPr>
        <dsp:cNvPr id="20" name="任意多边形 19"/>
        <dsp:cNvSpPr/>
      </dsp:nvSpPr>
      <dsp:spPr bwMode="white">
        <a:xfrm>
          <a:off x="2845790" y="1230869"/>
          <a:ext cx="36170" cy="140875"/>
        </a:xfrm>
        <a:custGeom>
          <a:avLst/>
          <a:gdLst/>
          <a:ahLst/>
          <a:cxnLst/>
          <a:pathLst>
            <a:path w="57" h="222">
              <a:moveTo>
                <a:pt x="57" y="0"/>
              </a:moveTo>
              <a:lnTo>
                <a:pt x="57" y="126"/>
              </a:lnTo>
              <a:lnTo>
                <a:pt x="0" y="126"/>
              </a:lnTo>
              <a:lnTo>
                <a:pt x="0" y="222"/>
              </a:lnTo>
            </a:path>
          </a:pathLst>
        </a:custGeom>
      </dsp:spPr>
      <dsp:style>
        <a:lnRef idx="2">
          <a:schemeClr val="accent3"/>
        </a:lnRef>
        <a:fillRef idx="0">
          <a:schemeClr val="accent4">
            <a:tint val="70000"/>
          </a:schemeClr>
        </a:fillRef>
        <a:effectRef idx="0">
          <a:scrgbClr r="0" g="0" b="0"/>
        </a:effectRef>
        <a:fontRef idx="minor"/>
      </dsp:style>
      <dsp:txXfrm>
        <a:off x="2845790" y="1230869"/>
        <a:ext cx="36170" cy="140875"/>
      </dsp:txXfrm>
    </dsp:sp>
    <dsp:sp modelId="{0E9F667C-7C91-409C-B221-CC55E83C4DB6}">
      <dsp:nvSpPr>
        <dsp:cNvPr id="23" name="任意多边形 22"/>
        <dsp:cNvSpPr/>
      </dsp:nvSpPr>
      <dsp:spPr bwMode="white">
        <a:xfrm>
          <a:off x="2881959" y="1230869"/>
          <a:ext cx="782394" cy="149583"/>
        </a:xfrm>
        <a:custGeom>
          <a:avLst/>
          <a:gdLst/>
          <a:ahLst/>
          <a:cxnLst/>
          <a:pathLst>
            <a:path w="1232" h="236">
              <a:moveTo>
                <a:pt x="0" y="0"/>
              </a:moveTo>
              <a:lnTo>
                <a:pt x="0" y="139"/>
              </a:lnTo>
              <a:lnTo>
                <a:pt x="1232" y="139"/>
              </a:lnTo>
              <a:lnTo>
                <a:pt x="1232" y="236"/>
              </a:lnTo>
            </a:path>
          </a:pathLst>
        </a:custGeom>
      </dsp:spPr>
      <dsp:style>
        <a:lnRef idx="2">
          <a:schemeClr val="accent3"/>
        </a:lnRef>
        <a:fillRef idx="0">
          <a:schemeClr val="accent4">
            <a:tint val="70000"/>
          </a:schemeClr>
        </a:fillRef>
        <a:effectRef idx="0">
          <a:scrgbClr r="0" g="0" b="0"/>
        </a:effectRef>
        <a:fontRef idx="minor"/>
      </dsp:style>
      <dsp:txXfrm>
        <a:off x="2881959" y="1230869"/>
        <a:ext cx="782394" cy="149583"/>
      </dsp:txXfrm>
    </dsp:sp>
    <dsp:sp modelId="{BA4EB641-CAB5-4E8F-887C-B09D1DE8DA4A}">
      <dsp:nvSpPr>
        <dsp:cNvPr id="26" name="任意多边形 25"/>
        <dsp:cNvSpPr/>
      </dsp:nvSpPr>
      <dsp:spPr bwMode="white">
        <a:xfrm>
          <a:off x="2962358" y="553208"/>
          <a:ext cx="1600110" cy="166660"/>
        </a:xfrm>
        <a:custGeom>
          <a:avLst/>
          <a:gdLst/>
          <a:ahLst/>
          <a:cxnLst/>
          <a:pathLst>
            <a:path w="2520" h="262">
              <a:moveTo>
                <a:pt x="0" y="0"/>
              </a:moveTo>
              <a:lnTo>
                <a:pt x="0" y="166"/>
              </a:lnTo>
              <a:lnTo>
                <a:pt x="2520" y="166"/>
              </a:lnTo>
              <a:lnTo>
                <a:pt x="2520" y="262"/>
              </a:lnTo>
            </a:path>
          </a:pathLst>
        </a:custGeom>
      </dsp:spPr>
      <dsp:style>
        <a:lnRef idx="2">
          <a:schemeClr val="accent2"/>
        </a:lnRef>
        <a:fillRef idx="0">
          <a:schemeClr val="accent3">
            <a:tint val="90000"/>
          </a:schemeClr>
        </a:fillRef>
        <a:effectRef idx="0">
          <a:scrgbClr r="0" g="0" b="0"/>
        </a:effectRef>
        <a:fontRef idx="minor"/>
      </dsp:style>
      <dsp:txXfrm>
        <a:off x="2962358" y="553208"/>
        <a:ext cx="1600110" cy="166660"/>
      </dsp:txXfrm>
    </dsp:sp>
    <dsp:sp modelId="{DD5AE3AC-D1B1-4DDC-84B8-30956825B238}">
      <dsp:nvSpPr>
        <dsp:cNvPr id="29" name="任意多边形 28"/>
        <dsp:cNvSpPr/>
      </dsp:nvSpPr>
      <dsp:spPr bwMode="white">
        <a:xfrm>
          <a:off x="4562468" y="1244027"/>
          <a:ext cx="0" cy="132174"/>
        </a:xfrm>
        <a:custGeom>
          <a:avLst/>
          <a:gdLst/>
          <a:ahLst/>
          <a:cxnLst/>
          <a:pathLst>
            <a:path h="208">
              <a:moveTo>
                <a:pt x="0" y="0"/>
              </a:moveTo>
              <a:lnTo>
                <a:pt x="0" y="112"/>
              </a:lnTo>
              <a:lnTo>
                <a:pt x="0" y="112"/>
              </a:lnTo>
              <a:lnTo>
                <a:pt x="0" y="208"/>
              </a:lnTo>
            </a:path>
          </a:pathLst>
        </a:custGeom>
      </dsp:spPr>
      <dsp:style>
        <a:lnRef idx="2">
          <a:schemeClr val="accent3"/>
        </a:lnRef>
        <a:fillRef idx="0">
          <a:schemeClr val="accent4">
            <a:tint val="70000"/>
          </a:schemeClr>
        </a:fillRef>
        <a:effectRef idx="0">
          <a:scrgbClr r="0" g="0" b="0"/>
        </a:effectRef>
        <a:fontRef idx="minor"/>
      </dsp:style>
      <dsp:txXfrm>
        <a:off x="4562468" y="1244027"/>
        <a:ext cx="0" cy="132174"/>
      </dsp:txXfrm>
    </dsp:sp>
    <dsp:sp modelId="{E21FC3E8-2EE9-4DC1-95B5-F617D4DCA375}">
      <dsp:nvSpPr>
        <dsp:cNvPr id="32" name="任意多边形 31"/>
        <dsp:cNvSpPr/>
      </dsp:nvSpPr>
      <dsp:spPr bwMode="white">
        <a:xfrm>
          <a:off x="2962358" y="553208"/>
          <a:ext cx="2495664" cy="157956"/>
        </a:xfrm>
        <a:custGeom>
          <a:avLst/>
          <a:gdLst/>
          <a:ahLst/>
          <a:cxnLst/>
          <a:pathLst>
            <a:path w="3930" h="249">
              <a:moveTo>
                <a:pt x="0" y="0"/>
              </a:moveTo>
              <a:lnTo>
                <a:pt x="0" y="152"/>
              </a:lnTo>
              <a:lnTo>
                <a:pt x="3930" y="152"/>
              </a:lnTo>
              <a:lnTo>
                <a:pt x="3930" y="249"/>
              </a:lnTo>
            </a:path>
          </a:pathLst>
        </a:custGeom>
      </dsp:spPr>
      <dsp:style>
        <a:lnRef idx="2">
          <a:schemeClr val="accent2"/>
        </a:lnRef>
        <a:fillRef idx="0">
          <a:schemeClr val="accent3">
            <a:tint val="90000"/>
          </a:schemeClr>
        </a:fillRef>
        <a:effectRef idx="0">
          <a:scrgbClr r="0" g="0" b="0"/>
        </a:effectRef>
        <a:fontRef idx="minor"/>
      </dsp:style>
      <dsp:txXfrm>
        <a:off x="2962358" y="553208"/>
        <a:ext cx="2495664" cy="157956"/>
      </dsp:txXfrm>
    </dsp:sp>
    <dsp:sp modelId="{DA74AA2D-19A3-4D89-8CE1-F58DA28086B2}">
      <dsp:nvSpPr>
        <dsp:cNvPr id="35" name="任意多边形 34"/>
        <dsp:cNvSpPr/>
      </dsp:nvSpPr>
      <dsp:spPr bwMode="white">
        <a:xfrm>
          <a:off x="5458022" y="1264423"/>
          <a:ext cx="8919" cy="151161"/>
        </a:xfrm>
        <a:custGeom>
          <a:avLst/>
          <a:gdLst/>
          <a:ahLst/>
          <a:cxnLst/>
          <a:pathLst>
            <a:path w="14" h="238">
              <a:moveTo>
                <a:pt x="0" y="0"/>
              </a:moveTo>
              <a:lnTo>
                <a:pt x="0" y="142"/>
              </a:lnTo>
              <a:lnTo>
                <a:pt x="14" y="142"/>
              </a:lnTo>
              <a:lnTo>
                <a:pt x="14" y="238"/>
              </a:lnTo>
            </a:path>
          </a:pathLst>
        </a:custGeom>
      </dsp:spPr>
      <dsp:style>
        <a:lnRef idx="2">
          <a:schemeClr val="accent3"/>
        </a:lnRef>
        <a:fillRef idx="0">
          <a:schemeClr val="accent4">
            <a:tint val="70000"/>
          </a:schemeClr>
        </a:fillRef>
        <a:effectRef idx="0">
          <a:scrgbClr r="0" g="0" b="0"/>
        </a:effectRef>
        <a:fontRef idx="minor"/>
      </dsp:style>
      <dsp:txXfrm>
        <a:off x="5458022" y="1264423"/>
        <a:ext cx="8919" cy="151161"/>
      </dsp:txXfrm>
    </dsp:sp>
    <dsp:sp modelId="{751FA8C5-33F6-4ED0-8FD4-DCDA9AEB112D}">
      <dsp:nvSpPr>
        <dsp:cNvPr id="3" name="圆角矩形 2"/>
        <dsp:cNvSpPr/>
      </dsp:nvSpPr>
      <dsp:spPr bwMode="white">
        <a:xfrm>
          <a:off x="2374124" y="-24204"/>
          <a:ext cx="1176468" cy="577411"/>
        </a:xfrm>
        <a:prstGeom prst="roundRect">
          <a:avLst>
            <a:gd name="adj" fmla="val 10000"/>
          </a:avLst>
        </a:prstGeom>
      </dsp:spPr>
      <dsp:style>
        <a:lnRef idx="0">
          <a:schemeClr val="lt1"/>
        </a:lnRef>
        <a:fillRef idx="3">
          <a:schemeClr val="accent1"/>
        </a:fillRef>
        <a:effectRef idx="3">
          <a:scrgbClr r="0" g="0" b="0"/>
        </a:effectRef>
        <a:fontRef idx="minor">
          <a:schemeClr val="lt1"/>
        </a:fontRef>
      </dsp:style>
      <dsp:txXfrm>
        <a:off x="2374124" y="-24204"/>
        <a:ext cx="1176468" cy="577411"/>
      </dsp:txXfrm>
    </dsp:sp>
    <dsp:sp modelId="{4B7E8C5F-B989-4C89-8C0D-BF68E4684B72}">
      <dsp:nvSpPr>
        <dsp:cNvPr id="4" name="圆角矩形 3"/>
        <dsp:cNvSpPr/>
      </dsp:nvSpPr>
      <dsp:spPr bwMode="white">
        <a:xfrm>
          <a:off x="2421294" y="20607"/>
          <a:ext cx="1176468" cy="577411"/>
        </a:xfrm>
        <a:prstGeom prst="roundRect">
          <a:avLst>
            <a:gd name="adj" fmla="val 10000"/>
          </a:avLst>
        </a:prstGeom>
      </dsp:spPr>
      <dsp:style>
        <a:lnRef idx="1">
          <a:schemeClr val="accent1"/>
        </a:lnRef>
        <a:fillRef idx="1">
          <a:schemeClr val="lt1">
            <a:alpha val="90000"/>
          </a:schemeClr>
        </a:fillRef>
        <a:effectRef idx="2">
          <a:scrgbClr r="0" g="0" b="0"/>
        </a:effectRef>
        <a:fontRef idx="minor"/>
      </dsp:style>
      <dsp:txBody>
        <a:bodyPr lIns="38100" tIns="38100" rIns="38100" bIns="381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1050" b="1">
              <a:solidFill>
                <a:schemeClr val="dk1"/>
              </a:solidFill>
            </a:rPr>
            <a:t>指标评价体系</a:t>
          </a:r>
          <a:endParaRPr lang="en-US" sz="800" b="1">
            <a:solidFill>
              <a:schemeClr val="dk1"/>
            </a:solidFill>
          </a:endParaRPr>
        </a:p>
      </dsp:txBody>
      <dsp:txXfrm>
        <a:off x="2421294" y="20607"/>
        <a:ext cx="1176468" cy="577411"/>
      </dsp:txXfrm>
    </dsp:sp>
    <dsp:sp modelId="{18D62E30-A01E-4288-AE6A-A2424EFC9EEA}">
      <dsp:nvSpPr>
        <dsp:cNvPr id="6" name="圆角矩形 5"/>
        <dsp:cNvSpPr/>
      </dsp:nvSpPr>
      <dsp:spPr bwMode="white">
        <a:xfrm>
          <a:off x="403742" y="719868"/>
          <a:ext cx="795107" cy="502524"/>
        </a:xfrm>
        <a:prstGeom prst="roundRect">
          <a:avLst>
            <a:gd name="adj" fmla="val 10000"/>
          </a:avLst>
        </a:prstGeom>
      </dsp:spPr>
      <dsp:style>
        <a:lnRef idx="0">
          <a:schemeClr val="lt1"/>
        </a:lnRef>
        <a:fillRef idx="3">
          <a:schemeClr val="accent2">
            <a:hueOff val="0"/>
            <a:satOff val="0"/>
            <a:lumOff val="0"/>
            <a:alpha val="100000"/>
          </a:schemeClr>
        </a:fillRef>
        <a:effectRef idx="3">
          <a:scrgbClr r="0" g="0" b="0"/>
        </a:effectRef>
        <a:fontRef idx="minor">
          <a:schemeClr val="lt1"/>
        </a:fontRef>
      </dsp:style>
      <dsp:txXfrm>
        <a:off x="403742" y="719868"/>
        <a:ext cx="795107" cy="502524"/>
      </dsp:txXfrm>
    </dsp:sp>
    <dsp:sp modelId="{FF8EBE30-E081-4A33-90D9-72CD2F1933CC}">
      <dsp:nvSpPr>
        <dsp:cNvPr id="7" name="圆角矩形 6"/>
        <dsp:cNvSpPr/>
      </dsp:nvSpPr>
      <dsp:spPr bwMode="white">
        <a:xfrm>
          <a:off x="450911" y="764679"/>
          <a:ext cx="795107" cy="502524"/>
        </a:xfrm>
        <a:prstGeom prst="roundRect">
          <a:avLst>
            <a:gd name="adj" fmla="val 10000"/>
          </a:avLst>
        </a:prstGeom>
      </dsp:spPr>
      <dsp:style>
        <a:lnRef idx="1">
          <a:schemeClr val="accent2">
            <a:hueOff val="0"/>
            <a:satOff val="0"/>
            <a:lumOff val="0"/>
            <a:alpha val="100000"/>
          </a:schemeClr>
        </a:lnRef>
        <a:fillRef idx="1">
          <a:schemeClr val="lt1">
            <a:alpha val="90000"/>
          </a:schemeClr>
        </a:fillRef>
        <a:effectRef idx="2">
          <a:scrgbClr r="0" g="0" b="0"/>
        </a:effectRef>
        <a:fontRef idx="minor"/>
      </dsp:style>
      <dsp:txBody>
        <a:bodyPr lIns="38100" tIns="38100" rIns="38100" bIns="381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1000" b="1">
              <a:solidFill>
                <a:schemeClr val="dk1"/>
              </a:solidFill>
            </a:rPr>
            <a:t>投入</a:t>
          </a:r>
          <a:endParaRPr lang="en-US" altLang="zh-CN" sz="1000" b="1">
            <a:solidFill>
              <a:schemeClr val="dk1"/>
            </a:solidFill>
          </a:endParaRPr>
        </a:p>
        <a:p>
          <a:pPr lvl="0" algn="ctr">
            <a:lnSpc>
              <a:spcPct val="100000"/>
            </a:lnSpc>
            <a:spcBef>
              <a:spcPct val="0"/>
            </a:spcBef>
            <a:spcAft>
              <a:spcPct val="35000"/>
            </a:spcAft>
          </a:pPr>
          <a:r>
            <a:rPr lang="zh-CN" altLang="en-US" sz="1000" b="1">
              <a:solidFill>
                <a:schemeClr val="dk1"/>
              </a:solidFill>
            </a:rPr>
            <a:t>（</a:t>
          </a:r>
          <a:r>
            <a:rPr lang="en-US" altLang="zh-CN" sz="1000" b="1">
              <a:solidFill>
                <a:schemeClr val="dk1"/>
              </a:solidFill>
            </a:rPr>
            <a:t>12</a:t>
          </a:r>
          <a:r>
            <a:rPr lang="zh-CN" altLang="en-US" sz="1000" b="1">
              <a:solidFill>
                <a:schemeClr val="dk1"/>
              </a:solidFill>
            </a:rPr>
            <a:t>）</a:t>
          </a:r>
          <a:endParaRPr lang="en-US" sz="1000" b="1">
            <a:solidFill>
              <a:schemeClr val="dk1"/>
            </a:solidFill>
          </a:endParaRPr>
        </a:p>
      </dsp:txBody>
      <dsp:txXfrm>
        <a:off x="450911" y="764679"/>
        <a:ext cx="795107" cy="502524"/>
      </dsp:txXfrm>
    </dsp:sp>
    <dsp:sp modelId="{D1C4155E-B5E9-40ED-B817-07632CCDD58D}">
      <dsp:nvSpPr>
        <dsp:cNvPr id="9" name="圆角矩形 8"/>
        <dsp:cNvSpPr/>
      </dsp:nvSpPr>
      <dsp:spPr bwMode="white">
        <a:xfrm>
          <a:off x="17843" y="1363701"/>
          <a:ext cx="791389" cy="485452"/>
        </a:xfrm>
        <a:prstGeom prst="roundRect">
          <a:avLst>
            <a:gd name="adj" fmla="val 10000"/>
          </a:avLst>
        </a:prstGeom>
      </dsp:spPr>
      <dsp:style>
        <a:lnRef idx="0">
          <a:schemeClr val="lt1"/>
        </a:lnRef>
        <a:fillRef idx="3">
          <a:schemeClr val="accent3">
            <a:hueOff val="0"/>
            <a:satOff val="0"/>
            <a:lumOff val="0"/>
            <a:alpha val="100000"/>
          </a:schemeClr>
        </a:fillRef>
        <a:effectRef idx="3">
          <a:scrgbClr r="0" g="0" b="0"/>
        </a:effectRef>
        <a:fontRef idx="minor">
          <a:schemeClr val="lt1"/>
        </a:fontRef>
      </dsp:style>
      <dsp:txXfrm>
        <a:off x="17843" y="1363701"/>
        <a:ext cx="791389" cy="485452"/>
      </dsp:txXfrm>
    </dsp:sp>
    <dsp:sp modelId="{F3CDD8AE-2E03-4CE3-8B08-3767CEF50E98}">
      <dsp:nvSpPr>
        <dsp:cNvPr id="10" name="圆角矩形 9"/>
        <dsp:cNvSpPr/>
      </dsp:nvSpPr>
      <dsp:spPr bwMode="white">
        <a:xfrm>
          <a:off x="65012" y="1408512"/>
          <a:ext cx="791389" cy="485452"/>
        </a:xfrm>
        <a:prstGeom prst="roundRect">
          <a:avLst>
            <a:gd name="adj" fmla="val 10000"/>
          </a:avLst>
        </a:prstGeom>
      </dsp:spPr>
      <dsp:style>
        <a:lnRef idx="1">
          <a:schemeClr val="accent3">
            <a:hueOff val="0"/>
            <a:satOff val="0"/>
            <a:lumOff val="0"/>
            <a:alpha val="100000"/>
          </a:schemeClr>
        </a:lnRef>
        <a:fillRef idx="1">
          <a:schemeClr val="lt1">
            <a:alpha val="90000"/>
          </a:schemeClr>
        </a:fillRef>
        <a:effectRef idx="2">
          <a:scrgbClr r="0" g="0" b="0"/>
        </a:effectRef>
        <a:fontRef idx="minor"/>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900" b="1">
              <a:solidFill>
                <a:schemeClr val="dk1"/>
              </a:solidFill>
            </a:rPr>
            <a:t>项目立项（</a:t>
          </a:r>
          <a:r>
            <a:rPr lang="en-US" altLang="zh-CN" sz="900" b="1">
              <a:solidFill>
                <a:schemeClr val="dk1"/>
              </a:solidFill>
            </a:rPr>
            <a:t>6</a:t>
          </a:r>
          <a:r>
            <a:rPr lang="zh-CN" altLang="en-US" sz="900" b="1">
              <a:solidFill>
                <a:schemeClr val="dk1"/>
              </a:solidFill>
            </a:rPr>
            <a:t>）</a:t>
          </a:r>
          <a:endParaRPr lang="en-US" sz="900" b="1">
            <a:solidFill>
              <a:schemeClr val="dk1"/>
            </a:solidFill>
          </a:endParaRPr>
        </a:p>
      </dsp:txBody>
      <dsp:txXfrm>
        <a:off x="65012" y="1408512"/>
        <a:ext cx="791389" cy="485452"/>
      </dsp:txXfrm>
    </dsp:sp>
    <dsp:sp modelId="{A9509E24-E02B-4B52-BB18-999DFD1D1998}">
      <dsp:nvSpPr>
        <dsp:cNvPr id="12" name="圆角矩形 11"/>
        <dsp:cNvSpPr/>
      </dsp:nvSpPr>
      <dsp:spPr bwMode="white">
        <a:xfrm>
          <a:off x="858524" y="1355665"/>
          <a:ext cx="716863" cy="489358"/>
        </a:xfrm>
        <a:prstGeom prst="roundRect">
          <a:avLst>
            <a:gd name="adj" fmla="val 10000"/>
          </a:avLst>
        </a:prstGeom>
      </dsp:spPr>
      <dsp:style>
        <a:lnRef idx="0">
          <a:schemeClr val="lt1"/>
        </a:lnRef>
        <a:fillRef idx="3">
          <a:schemeClr val="accent3">
            <a:hueOff val="0"/>
            <a:satOff val="0"/>
            <a:lumOff val="0"/>
            <a:alpha val="100000"/>
          </a:schemeClr>
        </a:fillRef>
        <a:effectRef idx="3">
          <a:scrgbClr r="0" g="0" b="0"/>
        </a:effectRef>
        <a:fontRef idx="minor">
          <a:schemeClr val="lt1"/>
        </a:fontRef>
      </dsp:style>
      <dsp:txXfrm>
        <a:off x="858524" y="1355665"/>
        <a:ext cx="716863" cy="489358"/>
      </dsp:txXfrm>
    </dsp:sp>
    <dsp:sp modelId="{A40671B9-1D40-44F1-8FD8-DB636AA76A8A}">
      <dsp:nvSpPr>
        <dsp:cNvPr id="13" name="圆角矩形 12"/>
        <dsp:cNvSpPr/>
      </dsp:nvSpPr>
      <dsp:spPr bwMode="white">
        <a:xfrm>
          <a:off x="905694" y="1400476"/>
          <a:ext cx="716863" cy="489358"/>
        </a:xfrm>
        <a:prstGeom prst="roundRect">
          <a:avLst>
            <a:gd name="adj" fmla="val 10000"/>
          </a:avLst>
        </a:prstGeom>
      </dsp:spPr>
      <dsp:style>
        <a:lnRef idx="1">
          <a:schemeClr val="accent3">
            <a:hueOff val="0"/>
            <a:satOff val="0"/>
            <a:lumOff val="0"/>
            <a:alpha val="100000"/>
          </a:schemeClr>
        </a:lnRef>
        <a:fillRef idx="1">
          <a:schemeClr val="lt1">
            <a:alpha val="90000"/>
          </a:schemeClr>
        </a:fillRef>
        <a:effectRef idx="2">
          <a:scrgbClr r="0" g="0" b="0"/>
        </a:effectRef>
        <a:fontRef idx="minor"/>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900" b="1">
              <a:solidFill>
                <a:schemeClr val="dk1"/>
              </a:solidFill>
            </a:rPr>
            <a:t>资金落实（</a:t>
          </a:r>
          <a:r>
            <a:rPr lang="en-US" altLang="zh-CN" sz="900" b="1">
              <a:solidFill>
                <a:schemeClr val="dk1"/>
              </a:solidFill>
            </a:rPr>
            <a:t>6</a:t>
          </a:r>
          <a:r>
            <a:rPr lang="zh-CN" altLang="en-US" sz="900" b="1">
              <a:solidFill>
                <a:schemeClr val="dk1"/>
              </a:solidFill>
            </a:rPr>
            <a:t>）</a:t>
          </a:r>
          <a:endParaRPr lang="en-US" sz="900" b="1">
            <a:solidFill>
              <a:schemeClr val="dk1"/>
            </a:solidFill>
          </a:endParaRPr>
        </a:p>
      </dsp:txBody>
      <dsp:txXfrm>
        <a:off x="905694" y="1400476"/>
        <a:ext cx="716863" cy="489358"/>
      </dsp:txXfrm>
    </dsp:sp>
    <dsp:sp modelId="{D1E46861-B2F4-409C-A119-D6ECB4702718}">
      <dsp:nvSpPr>
        <dsp:cNvPr id="15" name="圆角矩形 14"/>
        <dsp:cNvSpPr/>
      </dsp:nvSpPr>
      <dsp:spPr bwMode="white">
        <a:xfrm>
          <a:off x="2487538" y="719868"/>
          <a:ext cx="788841" cy="511002"/>
        </a:xfrm>
        <a:prstGeom prst="roundRect">
          <a:avLst>
            <a:gd name="adj" fmla="val 10000"/>
          </a:avLst>
        </a:prstGeom>
      </dsp:spPr>
      <dsp:style>
        <a:lnRef idx="0">
          <a:schemeClr val="lt1"/>
        </a:lnRef>
        <a:fillRef idx="3">
          <a:schemeClr val="accent2">
            <a:hueOff val="0"/>
            <a:satOff val="0"/>
            <a:lumOff val="0"/>
            <a:alpha val="100000"/>
          </a:schemeClr>
        </a:fillRef>
        <a:effectRef idx="3">
          <a:scrgbClr r="0" g="0" b="0"/>
        </a:effectRef>
        <a:fontRef idx="minor">
          <a:schemeClr val="lt1"/>
        </a:fontRef>
      </dsp:style>
      <dsp:txXfrm>
        <a:off x="2487538" y="719868"/>
        <a:ext cx="788841" cy="511002"/>
      </dsp:txXfrm>
    </dsp:sp>
    <dsp:sp modelId="{B92FC902-AB94-4080-86A8-5B558BC92E8D}">
      <dsp:nvSpPr>
        <dsp:cNvPr id="16" name="圆角矩形 15"/>
        <dsp:cNvSpPr/>
      </dsp:nvSpPr>
      <dsp:spPr bwMode="white">
        <a:xfrm>
          <a:off x="2534708" y="764679"/>
          <a:ext cx="788841" cy="511002"/>
        </a:xfrm>
        <a:prstGeom prst="roundRect">
          <a:avLst>
            <a:gd name="adj" fmla="val 10000"/>
          </a:avLst>
        </a:prstGeom>
      </dsp:spPr>
      <dsp:style>
        <a:lnRef idx="1">
          <a:schemeClr val="accent2">
            <a:hueOff val="0"/>
            <a:satOff val="0"/>
            <a:lumOff val="0"/>
            <a:alpha val="100000"/>
          </a:schemeClr>
        </a:lnRef>
        <a:fillRef idx="1">
          <a:schemeClr val="lt1">
            <a:alpha val="90000"/>
          </a:schemeClr>
        </a:fillRef>
        <a:effectRef idx="2">
          <a:scrgbClr r="0" g="0" b="0"/>
        </a:effectRef>
        <a:fontRef idx="minor"/>
      </dsp:style>
      <dsp:txBody>
        <a:bodyPr lIns="38100" tIns="38100" rIns="38100" bIns="381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1000" b="1">
              <a:solidFill>
                <a:schemeClr val="dk1"/>
              </a:solidFill>
            </a:rPr>
            <a:t>过程（</a:t>
          </a:r>
          <a:r>
            <a:rPr lang="en-US" altLang="zh-CN" sz="1000" b="1">
              <a:solidFill>
                <a:schemeClr val="dk1"/>
              </a:solidFill>
            </a:rPr>
            <a:t>28</a:t>
          </a:r>
          <a:r>
            <a:rPr lang="zh-CN" altLang="en-US" sz="1000" b="1">
              <a:solidFill>
                <a:schemeClr val="dk1"/>
              </a:solidFill>
            </a:rPr>
            <a:t>）</a:t>
          </a:r>
          <a:endParaRPr lang="en-US" sz="1000" b="1">
            <a:solidFill>
              <a:schemeClr val="dk1"/>
            </a:solidFill>
          </a:endParaRPr>
        </a:p>
      </dsp:txBody>
      <dsp:txXfrm>
        <a:off x="2534708" y="764679"/>
        <a:ext cx="788841" cy="511002"/>
      </dsp:txXfrm>
    </dsp:sp>
    <dsp:sp modelId="{86241E2F-1C87-45B3-BD2E-FF64A19B6F77}">
      <dsp:nvSpPr>
        <dsp:cNvPr id="18" name="圆角矩形 17"/>
        <dsp:cNvSpPr/>
      </dsp:nvSpPr>
      <dsp:spPr bwMode="white">
        <a:xfrm>
          <a:off x="1696930" y="1380452"/>
          <a:ext cx="700999" cy="449447"/>
        </a:xfrm>
        <a:prstGeom prst="roundRect">
          <a:avLst>
            <a:gd name="adj" fmla="val 10000"/>
          </a:avLst>
        </a:prstGeom>
      </dsp:spPr>
      <dsp:style>
        <a:lnRef idx="0">
          <a:schemeClr val="lt1"/>
        </a:lnRef>
        <a:fillRef idx="3">
          <a:schemeClr val="accent3">
            <a:hueOff val="0"/>
            <a:satOff val="0"/>
            <a:lumOff val="0"/>
            <a:alpha val="100000"/>
          </a:schemeClr>
        </a:fillRef>
        <a:effectRef idx="3">
          <a:scrgbClr r="0" g="0" b="0"/>
        </a:effectRef>
        <a:fontRef idx="minor">
          <a:schemeClr val="lt1"/>
        </a:fontRef>
      </dsp:style>
      <dsp:txXfrm>
        <a:off x="1696930" y="1380452"/>
        <a:ext cx="700999" cy="449447"/>
      </dsp:txXfrm>
    </dsp:sp>
    <dsp:sp modelId="{EC8A96E6-86FF-407C-B4BA-D9EB09AB9BA6}">
      <dsp:nvSpPr>
        <dsp:cNvPr id="19" name="圆角矩形 18"/>
        <dsp:cNvSpPr/>
      </dsp:nvSpPr>
      <dsp:spPr bwMode="white">
        <a:xfrm>
          <a:off x="1744100" y="1425263"/>
          <a:ext cx="700999" cy="449447"/>
        </a:xfrm>
        <a:prstGeom prst="roundRect">
          <a:avLst>
            <a:gd name="adj" fmla="val 10000"/>
          </a:avLst>
        </a:prstGeom>
      </dsp:spPr>
      <dsp:style>
        <a:lnRef idx="1">
          <a:schemeClr val="accent3">
            <a:hueOff val="0"/>
            <a:satOff val="0"/>
            <a:lumOff val="0"/>
            <a:alpha val="100000"/>
          </a:schemeClr>
        </a:lnRef>
        <a:fillRef idx="1">
          <a:schemeClr val="lt1">
            <a:alpha val="90000"/>
          </a:schemeClr>
        </a:fillRef>
        <a:effectRef idx="2">
          <a:scrgbClr r="0" g="0" b="0"/>
        </a:effectRef>
        <a:fontRef idx="minor"/>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900" b="1">
              <a:solidFill>
                <a:schemeClr val="dk1"/>
              </a:solidFill>
            </a:rPr>
            <a:t>项目管理（</a:t>
          </a:r>
          <a:r>
            <a:rPr lang="en-US" altLang="zh-CN" sz="900" b="1">
              <a:solidFill>
                <a:schemeClr val="dk1"/>
              </a:solidFill>
            </a:rPr>
            <a:t>9</a:t>
          </a:r>
          <a:r>
            <a:rPr lang="zh-CN" altLang="en-US" sz="900" b="1">
              <a:solidFill>
                <a:schemeClr val="dk1"/>
              </a:solidFill>
            </a:rPr>
            <a:t>）</a:t>
          </a:r>
          <a:endParaRPr lang="en-US" sz="900" b="1">
            <a:solidFill>
              <a:schemeClr val="dk1"/>
            </a:solidFill>
          </a:endParaRPr>
        </a:p>
      </dsp:txBody>
      <dsp:txXfrm>
        <a:off x="1744100" y="1425263"/>
        <a:ext cx="700999" cy="449447"/>
      </dsp:txXfrm>
    </dsp:sp>
    <dsp:sp modelId="{EC57055A-C136-46E2-ADD9-BEE36228EF18}">
      <dsp:nvSpPr>
        <dsp:cNvPr id="21" name="圆角矩形 20"/>
        <dsp:cNvSpPr/>
      </dsp:nvSpPr>
      <dsp:spPr bwMode="white">
        <a:xfrm>
          <a:off x="2473414" y="1371745"/>
          <a:ext cx="744750" cy="480200"/>
        </a:xfrm>
        <a:prstGeom prst="roundRect">
          <a:avLst>
            <a:gd name="adj" fmla="val 10000"/>
          </a:avLst>
        </a:prstGeom>
      </dsp:spPr>
      <dsp:style>
        <a:lnRef idx="0">
          <a:schemeClr val="lt1"/>
        </a:lnRef>
        <a:fillRef idx="3">
          <a:schemeClr val="accent3">
            <a:hueOff val="0"/>
            <a:satOff val="0"/>
            <a:lumOff val="0"/>
            <a:alpha val="100000"/>
          </a:schemeClr>
        </a:fillRef>
        <a:effectRef idx="3">
          <a:scrgbClr r="0" g="0" b="0"/>
        </a:effectRef>
        <a:fontRef idx="minor">
          <a:schemeClr val="lt1"/>
        </a:fontRef>
      </dsp:style>
      <dsp:txXfrm>
        <a:off x="2473414" y="1371745"/>
        <a:ext cx="744750" cy="480200"/>
      </dsp:txXfrm>
    </dsp:sp>
    <dsp:sp modelId="{3F8BAB32-AD84-4DBC-9811-3A654E55FDB1}">
      <dsp:nvSpPr>
        <dsp:cNvPr id="22" name="圆角矩形 21"/>
        <dsp:cNvSpPr/>
      </dsp:nvSpPr>
      <dsp:spPr bwMode="white">
        <a:xfrm>
          <a:off x="2520584" y="1416556"/>
          <a:ext cx="744750" cy="480200"/>
        </a:xfrm>
        <a:prstGeom prst="roundRect">
          <a:avLst>
            <a:gd name="adj" fmla="val 10000"/>
          </a:avLst>
        </a:prstGeom>
      </dsp:spPr>
      <dsp:style>
        <a:lnRef idx="1">
          <a:schemeClr val="accent3">
            <a:hueOff val="0"/>
            <a:satOff val="0"/>
            <a:lumOff val="0"/>
            <a:alpha val="100000"/>
          </a:schemeClr>
        </a:lnRef>
        <a:fillRef idx="1">
          <a:schemeClr val="lt1">
            <a:alpha val="90000"/>
          </a:schemeClr>
        </a:fillRef>
        <a:effectRef idx="2">
          <a:scrgbClr r="0" g="0" b="0"/>
        </a:effectRef>
        <a:fontRef idx="minor"/>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900" b="1">
              <a:solidFill>
                <a:schemeClr val="dk1"/>
              </a:solidFill>
            </a:rPr>
            <a:t>财务管理（</a:t>
          </a:r>
          <a:r>
            <a:rPr lang="en-US" altLang="zh-CN" sz="900" b="1">
              <a:solidFill>
                <a:schemeClr val="dk1"/>
              </a:solidFill>
            </a:rPr>
            <a:t>9</a:t>
          </a:r>
          <a:r>
            <a:rPr lang="zh-CN" altLang="en-US" sz="900" b="1">
              <a:solidFill>
                <a:schemeClr val="dk1"/>
              </a:solidFill>
            </a:rPr>
            <a:t>）</a:t>
          </a:r>
          <a:endParaRPr lang="en-US" sz="900" b="1">
            <a:solidFill>
              <a:schemeClr val="dk1"/>
            </a:solidFill>
          </a:endParaRPr>
        </a:p>
      </dsp:txBody>
      <dsp:txXfrm>
        <a:off x="2520584" y="1416556"/>
        <a:ext cx="744750" cy="480200"/>
      </dsp:txXfrm>
    </dsp:sp>
    <dsp:sp modelId="{C912B516-16BA-4604-9F68-F521D09D2C4F}">
      <dsp:nvSpPr>
        <dsp:cNvPr id="24" name="圆角矩形 23"/>
        <dsp:cNvSpPr/>
      </dsp:nvSpPr>
      <dsp:spPr bwMode="white">
        <a:xfrm>
          <a:off x="3296537" y="1380452"/>
          <a:ext cx="735631" cy="438282"/>
        </a:xfrm>
        <a:prstGeom prst="roundRect">
          <a:avLst>
            <a:gd name="adj" fmla="val 10000"/>
          </a:avLst>
        </a:prstGeom>
      </dsp:spPr>
      <dsp:style>
        <a:lnRef idx="0">
          <a:schemeClr val="lt1"/>
        </a:lnRef>
        <a:fillRef idx="3">
          <a:schemeClr val="accent3">
            <a:hueOff val="0"/>
            <a:satOff val="0"/>
            <a:lumOff val="0"/>
            <a:alpha val="100000"/>
          </a:schemeClr>
        </a:fillRef>
        <a:effectRef idx="3">
          <a:scrgbClr r="0" g="0" b="0"/>
        </a:effectRef>
        <a:fontRef idx="minor">
          <a:schemeClr val="lt1"/>
        </a:fontRef>
      </dsp:style>
      <dsp:txXfrm>
        <a:off x="3296537" y="1380452"/>
        <a:ext cx="735631" cy="438282"/>
      </dsp:txXfrm>
    </dsp:sp>
    <dsp:sp modelId="{E24C830B-10D7-413F-9059-3131FF4B9ACE}">
      <dsp:nvSpPr>
        <dsp:cNvPr id="25" name="圆角矩形 24"/>
        <dsp:cNvSpPr/>
      </dsp:nvSpPr>
      <dsp:spPr bwMode="white">
        <a:xfrm>
          <a:off x="3343707" y="1425263"/>
          <a:ext cx="735631" cy="438282"/>
        </a:xfrm>
        <a:prstGeom prst="roundRect">
          <a:avLst>
            <a:gd name="adj" fmla="val 10000"/>
          </a:avLst>
        </a:prstGeom>
      </dsp:spPr>
      <dsp:style>
        <a:lnRef idx="1">
          <a:schemeClr val="accent3">
            <a:hueOff val="0"/>
            <a:satOff val="0"/>
            <a:lumOff val="0"/>
            <a:alpha val="100000"/>
          </a:schemeClr>
        </a:lnRef>
        <a:fillRef idx="1">
          <a:schemeClr val="lt1">
            <a:alpha val="90000"/>
          </a:schemeClr>
        </a:fillRef>
        <a:effectRef idx="2">
          <a:scrgbClr r="0" g="0" b="0"/>
        </a:effectRef>
        <a:fontRef idx="minor"/>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900" b="1">
              <a:solidFill>
                <a:schemeClr val="dk1"/>
              </a:solidFill>
            </a:rPr>
            <a:t>项目实施（</a:t>
          </a:r>
          <a:r>
            <a:rPr lang="en-US" altLang="zh-CN" sz="900" b="1">
              <a:solidFill>
                <a:schemeClr val="dk1"/>
              </a:solidFill>
            </a:rPr>
            <a:t>10</a:t>
          </a:r>
          <a:r>
            <a:rPr lang="zh-CN" altLang="en-US" sz="900" b="1">
              <a:solidFill>
                <a:schemeClr val="dk1"/>
              </a:solidFill>
            </a:rPr>
            <a:t>）</a:t>
          </a:r>
          <a:endParaRPr lang="en-US" sz="900" b="1">
            <a:solidFill>
              <a:schemeClr val="dk1"/>
            </a:solidFill>
          </a:endParaRPr>
        </a:p>
      </dsp:txBody>
      <dsp:txXfrm>
        <a:off x="3343707" y="1425263"/>
        <a:ext cx="735631" cy="438282"/>
      </dsp:txXfrm>
    </dsp:sp>
    <dsp:sp modelId="{EC8585E6-1363-4ACE-B538-09DD943FA059}">
      <dsp:nvSpPr>
        <dsp:cNvPr id="27" name="圆角矩形 26"/>
        <dsp:cNvSpPr/>
      </dsp:nvSpPr>
      <dsp:spPr bwMode="white">
        <a:xfrm>
          <a:off x="4121605" y="719868"/>
          <a:ext cx="881728" cy="524160"/>
        </a:xfrm>
        <a:prstGeom prst="roundRect">
          <a:avLst>
            <a:gd name="adj" fmla="val 10000"/>
          </a:avLst>
        </a:prstGeom>
      </dsp:spPr>
      <dsp:style>
        <a:lnRef idx="0">
          <a:schemeClr val="lt1"/>
        </a:lnRef>
        <a:fillRef idx="3">
          <a:schemeClr val="accent2">
            <a:hueOff val="0"/>
            <a:satOff val="0"/>
            <a:lumOff val="0"/>
            <a:alpha val="100000"/>
          </a:schemeClr>
        </a:fillRef>
        <a:effectRef idx="3">
          <a:scrgbClr r="0" g="0" b="0"/>
        </a:effectRef>
        <a:fontRef idx="minor">
          <a:schemeClr val="lt1"/>
        </a:fontRef>
      </dsp:style>
      <dsp:txXfrm>
        <a:off x="4121605" y="719868"/>
        <a:ext cx="881728" cy="524160"/>
      </dsp:txXfrm>
    </dsp:sp>
    <dsp:sp modelId="{CF6BD2FC-05BF-4E89-AB00-D3EB2A03FB65}">
      <dsp:nvSpPr>
        <dsp:cNvPr id="28" name="圆角矩形 27"/>
        <dsp:cNvSpPr/>
      </dsp:nvSpPr>
      <dsp:spPr bwMode="white">
        <a:xfrm>
          <a:off x="4168774" y="764679"/>
          <a:ext cx="881728" cy="524160"/>
        </a:xfrm>
        <a:prstGeom prst="roundRect">
          <a:avLst>
            <a:gd name="adj" fmla="val 10000"/>
          </a:avLst>
        </a:prstGeom>
      </dsp:spPr>
      <dsp:style>
        <a:lnRef idx="1">
          <a:schemeClr val="accent2">
            <a:hueOff val="0"/>
            <a:satOff val="0"/>
            <a:lumOff val="0"/>
            <a:alpha val="100000"/>
          </a:schemeClr>
        </a:lnRef>
        <a:fillRef idx="1">
          <a:schemeClr val="lt1">
            <a:alpha val="90000"/>
          </a:schemeClr>
        </a:fillRef>
        <a:effectRef idx="2">
          <a:scrgbClr r="0" g="0" b="0"/>
        </a:effectRef>
        <a:fontRef idx="minor"/>
      </dsp:style>
      <dsp:txBody>
        <a:bodyPr lIns="38100" tIns="38100" rIns="38100" bIns="381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1000" b="1">
              <a:solidFill>
                <a:schemeClr val="dk1"/>
              </a:solidFill>
            </a:rPr>
            <a:t>产出（</a:t>
          </a:r>
          <a:r>
            <a:rPr lang="en-US" altLang="zh-CN" sz="1000" b="1">
              <a:solidFill>
                <a:schemeClr val="dk1"/>
              </a:solidFill>
            </a:rPr>
            <a:t>27</a:t>
          </a:r>
          <a:r>
            <a:rPr lang="zh-CN" altLang="en-US" sz="1000" b="1">
              <a:solidFill>
                <a:schemeClr val="dk1"/>
              </a:solidFill>
            </a:rPr>
            <a:t>）</a:t>
          </a:r>
          <a:endParaRPr lang="en-US" sz="1000" b="1">
            <a:solidFill>
              <a:schemeClr val="dk1"/>
            </a:solidFill>
          </a:endParaRPr>
        </a:p>
      </dsp:txBody>
      <dsp:txXfrm>
        <a:off x="4168774" y="764679"/>
        <a:ext cx="881728" cy="524160"/>
      </dsp:txXfrm>
    </dsp:sp>
    <dsp:sp modelId="{AFCFEA9F-CDB8-421E-A382-DFEC35438330}">
      <dsp:nvSpPr>
        <dsp:cNvPr id="30" name="圆角矩形 29"/>
        <dsp:cNvSpPr/>
      </dsp:nvSpPr>
      <dsp:spPr bwMode="white">
        <a:xfrm>
          <a:off x="4161327" y="1376201"/>
          <a:ext cx="802282" cy="434499"/>
        </a:xfrm>
        <a:prstGeom prst="roundRect">
          <a:avLst>
            <a:gd name="adj" fmla="val 10000"/>
          </a:avLst>
        </a:prstGeom>
      </dsp:spPr>
      <dsp:style>
        <a:lnRef idx="0">
          <a:schemeClr val="lt1"/>
        </a:lnRef>
        <a:fillRef idx="3">
          <a:schemeClr val="accent3">
            <a:hueOff val="0"/>
            <a:satOff val="0"/>
            <a:lumOff val="0"/>
            <a:alpha val="100000"/>
          </a:schemeClr>
        </a:fillRef>
        <a:effectRef idx="3">
          <a:scrgbClr r="0" g="0" b="0"/>
        </a:effectRef>
        <a:fontRef idx="minor">
          <a:schemeClr val="lt1"/>
        </a:fontRef>
      </dsp:style>
      <dsp:txXfrm>
        <a:off x="4161327" y="1376201"/>
        <a:ext cx="802282" cy="434499"/>
      </dsp:txXfrm>
    </dsp:sp>
    <dsp:sp modelId="{D43AC0B1-4D84-4992-9955-550DEA2928C0}">
      <dsp:nvSpPr>
        <dsp:cNvPr id="31" name="圆角矩形 30"/>
        <dsp:cNvSpPr/>
      </dsp:nvSpPr>
      <dsp:spPr bwMode="white">
        <a:xfrm>
          <a:off x="4208497" y="1421012"/>
          <a:ext cx="802282" cy="434499"/>
        </a:xfrm>
        <a:prstGeom prst="roundRect">
          <a:avLst>
            <a:gd name="adj" fmla="val 10000"/>
          </a:avLst>
        </a:prstGeom>
      </dsp:spPr>
      <dsp:style>
        <a:lnRef idx="1">
          <a:schemeClr val="accent3">
            <a:hueOff val="0"/>
            <a:satOff val="0"/>
            <a:lumOff val="0"/>
            <a:alpha val="100000"/>
          </a:schemeClr>
        </a:lnRef>
        <a:fillRef idx="1">
          <a:schemeClr val="lt1">
            <a:alpha val="90000"/>
          </a:schemeClr>
        </a:fillRef>
        <a:effectRef idx="2">
          <a:scrgbClr r="0" g="0" b="0"/>
        </a:effectRef>
        <a:fontRef idx="minor"/>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900" b="1">
              <a:solidFill>
                <a:schemeClr val="dk1"/>
              </a:solidFill>
            </a:rPr>
            <a:t>项目产出（</a:t>
          </a:r>
          <a:r>
            <a:rPr lang="en-US" altLang="zh-CN" sz="900" b="1">
              <a:solidFill>
                <a:schemeClr val="dk1"/>
              </a:solidFill>
            </a:rPr>
            <a:t>27</a:t>
          </a:r>
          <a:r>
            <a:rPr lang="zh-CN" altLang="en-US" sz="900" b="1">
              <a:solidFill>
                <a:schemeClr val="dk1"/>
              </a:solidFill>
            </a:rPr>
            <a:t>）</a:t>
          </a:r>
          <a:endParaRPr lang="en-US" sz="900" b="1">
            <a:solidFill>
              <a:schemeClr val="dk1"/>
            </a:solidFill>
          </a:endParaRPr>
        </a:p>
      </dsp:txBody>
      <dsp:txXfrm>
        <a:off x="4208497" y="1421012"/>
        <a:ext cx="802282" cy="434499"/>
      </dsp:txXfrm>
    </dsp:sp>
    <dsp:sp modelId="{8A7FDDCC-6453-4535-AD6B-AC70E1E46823}">
      <dsp:nvSpPr>
        <dsp:cNvPr id="33" name="圆角矩形 32"/>
        <dsp:cNvSpPr/>
      </dsp:nvSpPr>
      <dsp:spPr bwMode="white">
        <a:xfrm>
          <a:off x="5071342" y="711163"/>
          <a:ext cx="773359" cy="553260"/>
        </a:xfrm>
        <a:prstGeom prst="roundRect">
          <a:avLst>
            <a:gd name="adj" fmla="val 10000"/>
          </a:avLst>
        </a:prstGeom>
      </dsp:spPr>
      <dsp:style>
        <a:lnRef idx="0">
          <a:schemeClr val="lt1"/>
        </a:lnRef>
        <a:fillRef idx="3">
          <a:schemeClr val="accent2">
            <a:hueOff val="0"/>
            <a:satOff val="0"/>
            <a:lumOff val="0"/>
            <a:alpha val="100000"/>
          </a:schemeClr>
        </a:fillRef>
        <a:effectRef idx="3">
          <a:scrgbClr r="0" g="0" b="0"/>
        </a:effectRef>
        <a:fontRef idx="minor">
          <a:schemeClr val="lt1"/>
        </a:fontRef>
      </dsp:style>
      <dsp:txXfrm>
        <a:off x="5071342" y="711163"/>
        <a:ext cx="773359" cy="553260"/>
      </dsp:txXfrm>
    </dsp:sp>
    <dsp:sp modelId="{6E0A7C07-8970-44CA-B21B-6C653AC50F4E}">
      <dsp:nvSpPr>
        <dsp:cNvPr id="34" name="圆角矩形 33"/>
        <dsp:cNvSpPr/>
      </dsp:nvSpPr>
      <dsp:spPr bwMode="white">
        <a:xfrm>
          <a:off x="5118512" y="755974"/>
          <a:ext cx="773359" cy="553260"/>
        </a:xfrm>
        <a:prstGeom prst="roundRect">
          <a:avLst>
            <a:gd name="adj" fmla="val 10000"/>
          </a:avLst>
        </a:prstGeom>
      </dsp:spPr>
      <dsp:style>
        <a:lnRef idx="1">
          <a:schemeClr val="accent2">
            <a:hueOff val="0"/>
            <a:satOff val="0"/>
            <a:lumOff val="0"/>
            <a:alpha val="100000"/>
          </a:schemeClr>
        </a:lnRef>
        <a:fillRef idx="1">
          <a:schemeClr val="lt1">
            <a:alpha val="90000"/>
          </a:schemeClr>
        </a:fillRef>
        <a:effectRef idx="2">
          <a:scrgbClr r="0" g="0" b="0"/>
        </a:effectRef>
        <a:fontRef idx="minor"/>
      </dsp:style>
      <dsp:txBody>
        <a:bodyPr lIns="38100" tIns="38100" rIns="38100" bIns="381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1000" b="1">
              <a:solidFill>
                <a:schemeClr val="dk1"/>
              </a:solidFill>
            </a:rPr>
            <a:t>效果（</a:t>
          </a:r>
          <a:r>
            <a:rPr lang="en-US" altLang="zh-CN" sz="1000" b="1">
              <a:solidFill>
                <a:schemeClr val="dk1"/>
              </a:solidFill>
            </a:rPr>
            <a:t>33</a:t>
          </a:r>
          <a:r>
            <a:rPr lang="zh-CN" altLang="en-US" sz="1000" b="1">
              <a:solidFill>
                <a:schemeClr val="dk1"/>
              </a:solidFill>
            </a:rPr>
            <a:t>）</a:t>
          </a:r>
          <a:endParaRPr lang="en-US" sz="1000" b="1">
            <a:solidFill>
              <a:schemeClr val="dk1"/>
            </a:solidFill>
          </a:endParaRPr>
        </a:p>
      </dsp:txBody>
      <dsp:txXfrm>
        <a:off x="5118512" y="755974"/>
        <a:ext cx="773359" cy="553260"/>
      </dsp:txXfrm>
    </dsp:sp>
    <dsp:sp modelId="{9910226B-83E3-4E6F-AA15-8F130E50A5DD}">
      <dsp:nvSpPr>
        <dsp:cNvPr id="36" name="圆角矩形 35"/>
        <dsp:cNvSpPr/>
      </dsp:nvSpPr>
      <dsp:spPr bwMode="white">
        <a:xfrm>
          <a:off x="5096341" y="1415584"/>
          <a:ext cx="741201" cy="459845"/>
        </a:xfrm>
        <a:prstGeom prst="roundRect">
          <a:avLst>
            <a:gd name="adj" fmla="val 10000"/>
          </a:avLst>
        </a:prstGeom>
      </dsp:spPr>
      <dsp:style>
        <a:lnRef idx="0">
          <a:schemeClr val="lt1"/>
        </a:lnRef>
        <a:fillRef idx="3">
          <a:schemeClr val="accent3">
            <a:hueOff val="0"/>
            <a:satOff val="0"/>
            <a:lumOff val="0"/>
            <a:alpha val="100000"/>
          </a:schemeClr>
        </a:fillRef>
        <a:effectRef idx="3">
          <a:scrgbClr r="0" g="0" b="0"/>
        </a:effectRef>
        <a:fontRef idx="minor">
          <a:schemeClr val="lt1"/>
        </a:fontRef>
      </dsp:style>
      <dsp:txXfrm>
        <a:off x="5096341" y="1415584"/>
        <a:ext cx="741201" cy="459845"/>
      </dsp:txXfrm>
    </dsp:sp>
    <dsp:sp modelId="{269DAC8A-1678-47E3-88F5-1B33FB8B87C4}">
      <dsp:nvSpPr>
        <dsp:cNvPr id="37" name="圆角矩形 36"/>
        <dsp:cNvSpPr/>
      </dsp:nvSpPr>
      <dsp:spPr bwMode="white">
        <a:xfrm>
          <a:off x="5143510" y="1460395"/>
          <a:ext cx="741201" cy="459845"/>
        </a:xfrm>
        <a:prstGeom prst="roundRect">
          <a:avLst>
            <a:gd name="adj" fmla="val 10000"/>
          </a:avLst>
        </a:prstGeom>
      </dsp:spPr>
      <dsp:style>
        <a:lnRef idx="1">
          <a:schemeClr val="accent3">
            <a:hueOff val="0"/>
            <a:satOff val="0"/>
            <a:lumOff val="0"/>
            <a:alpha val="100000"/>
          </a:schemeClr>
        </a:lnRef>
        <a:fillRef idx="1">
          <a:schemeClr val="lt1">
            <a:alpha val="90000"/>
          </a:schemeClr>
        </a:fillRef>
        <a:effectRef idx="2">
          <a:scrgbClr r="0" g="0" b="0"/>
        </a:effectRef>
        <a:fontRef idx="minor"/>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900" b="1">
              <a:solidFill>
                <a:schemeClr val="dk1"/>
              </a:solidFill>
            </a:rPr>
            <a:t>项目效果（</a:t>
          </a:r>
          <a:r>
            <a:rPr lang="en-US" altLang="zh-CN" sz="900" b="1">
              <a:solidFill>
                <a:schemeClr val="dk1"/>
              </a:solidFill>
            </a:rPr>
            <a:t>33</a:t>
          </a:r>
          <a:r>
            <a:rPr lang="zh-CN" altLang="en-US" sz="900" b="1">
              <a:solidFill>
                <a:schemeClr val="dk1"/>
              </a:solidFill>
            </a:rPr>
            <a:t>）</a:t>
          </a:r>
          <a:endParaRPr lang="en-US" sz="900" b="1">
            <a:solidFill>
              <a:schemeClr val="dk1"/>
            </a:solidFill>
          </a:endParaRPr>
        </a:p>
      </dsp:txBody>
      <dsp:txXfrm>
        <a:off x="5143510" y="1460395"/>
        <a:ext cx="741201" cy="45984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1">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nodeVertAlign" val="t"/>
          <dgm:param type="vertAlign" val="mid"/>
          <dgm:param type="nodeHorzAlign" val="l"/>
          <dgm:param type="fallback" val="2D"/>
        </dgm:alg>
      </dgm:if>
      <dgm:else name="Name3">
        <dgm:alg type="lin">
          <dgm:param type="linDir" val="fromT"/>
          <dgm:param type="nodeVertAlign" val="t"/>
          <dgm:param type="vertAlign" val="mid"/>
          <dgm:param type="nodeHorzAlign" val="r"/>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VertAlign" val="mid"/>
              <dgm:param type="nodeHorzAlign" val="l"/>
              <dgm:param type="fallback" val="2D"/>
            </dgm:alg>
          </dgm:if>
          <dgm:else name="Name7">
            <dgm:alg type="lin">
              <dgm:param type="linDir" val="fromR"/>
              <dgm:param type="nodeVertAlign" val="mid"/>
              <dgm:param type="nodeHorzAlign" val="r"/>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type="chevron" r:blip="" rot="180">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type="chevron" r:blip="" rot="180">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srcNode" val="background"/>
                    <dgm:param type="dstNode" val="background2"/>
                    <dgm:param type="dim" val="1D"/>
                    <dgm:param type="endSty" val="noArr"/>
                    <dgm:param type="connRout" val="bend"/>
                    <dgm:param type="begPts" val="bCtr"/>
                    <dgm:param type="endPts" val="tCtr"/>
                    <dgm:param type="bendPt" val="e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srcNode" val="background2"/>
                            <dgm:param type="dstNode" val="background3"/>
                            <dgm:param type="dim" val="1D"/>
                            <dgm:param type="endSty" val="noArr"/>
                            <dgm:param type="connRout" val="bend"/>
                            <dgm:param type="begPts" val="bCtr"/>
                            <dgm:param type="endPts" val="tCtr"/>
                            <dgm:param type="bendPt" val="end"/>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srcNode" val="background3"/>
                                        <dgm:param type="dstNode" val="background4"/>
                                        <dgm:param type="dim" val="1D"/>
                                        <dgm:param type="endSty" val="noArr"/>
                                        <dgm:param type="connRout" val="bend"/>
                                        <dgm:param type="begPts" val="bCtr"/>
                                        <dgm:param type="endPts" val="tCtr"/>
                                        <dgm:param type="bendPt" val="end"/>
                                      </dgm:alg>
                                    </dgm:if>
                                    <dgm:else name="Name26">
                                      <dgm:alg type="conn">
                                        <dgm:param type="srcNode" val="background4"/>
                                        <dgm:param type="dstNode" val="background4"/>
                                        <dgm:param type="dim" val="1D"/>
                                        <dgm:param type="endSty" val="noArr"/>
                                        <dgm:param type="connRout" val="bend"/>
                                        <dgm:param type="begPts" val="bCtr"/>
                                        <dgm:param type="endPts" val="tCtr"/>
                                        <dgm:param type="bendPt" val="end"/>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2">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rgbClr val="FFFFFF"/>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rgbClr val="000000"/>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3">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32058-F360-4F99-9811-C57D98E4A9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1614</Words>
  <Characters>1651</Characters>
  <Lines>131</Lines>
  <Paragraphs>36</Paragraphs>
  <TotalTime>8</TotalTime>
  <ScaleCrop>false</ScaleCrop>
  <LinksUpToDate>false</LinksUpToDate>
  <CharactersWithSpaces>1686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2018-05-02T04:53:00Z</dcterms:created>
  <dc:creator>Administrator</dc:creator>
  <cp:lastModifiedBy>WPS_1772005803</cp:lastModifiedBy>
  <dcterms:modified xsi:type="dcterms:W3CDTF">2026-03-17T08:11:55Z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eyJoZGlkIjoiNzNlMWI5MTM2Y2YzYzRhNGUxNzAwYmQ5OTEzZThhZjAiLCJ1c2VySWQiOiIxODAyMDQ3OTY5In0=</vt:lpwstr>
  </property>
  <property fmtid="{D5CDD505-2E9C-101B-9397-08002B2CF9AE}" pid="4" name="ICV">
    <vt:lpwstr>EDEA76734CB04130AAB10E8FC454B7B1_12</vt:lpwstr>
  </property>
</Properties>
</file>