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firstLine="0" w:firstLineChars="0"/>
        <w:rPr>
          <w:rFonts w:ascii="宋体" w:hAnsi="宋体" w:eastAsia="宋体"/>
          <w:b/>
          <w:color w:val="000000"/>
          <w:sz w:val="44"/>
          <w:szCs w:val="44"/>
        </w:rPr>
      </w:pPr>
    </w:p>
    <w:p>
      <w:pPr>
        <w:spacing w:line="760" w:lineRule="exact"/>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教育信息化建设经费</w:t>
      </w:r>
    </w:p>
    <w:p>
      <w:pPr>
        <w:spacing w:line="760" w:lineRule="exact"/>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绩效评价报告</w:t>
      </w:r>
    </w:p>
    <w:p>
      <w:pPr>
        <w:spacing w:line="760" w:lineRule="exact"/>
        <w:ind w:firstLine="0" w:firstLineChars="0"/>
        <w:jc w:val="center"/>
        <w:rPr>
          <w:rFonts w:ascii="仿宋" w:hAnsi="仿宋" w:eastAsia="仿宋"/>
          <w:b/>
          <w:bCs/>
          <w:color w:val="000000"/>
          <w:sz w:val="36"/>
          <w:szCs w:val="36"/>
        </w:rPr>
      </w:pPr>
      <w:r>
        <w:rPr>
          <w:rFonts w:hint="eastAsia" w:ascii="仿宋" w:hAnsi="仿宋" w:eastAsia="仿宋"/>
          <w:b/>
          <w:color w:val="000000"/>
          <w:sz w:val="36"/>
          <w:szCs w:val="36"/>
        </w:rPr>
        <w:t>鄂普华绩评[2018]021号</w:t>
      </w:r>
    </w:p>
    <w:p>
      <w:pPr>
        <w:spacing w:line="760" w:lineRule="exact"/>
        <w:ind w:firstLine="0" w:firstLineChars="0"/>
        <w:jc w:val="center"/>
        <w:rPr>
          <w:rFonts w:ascii="宋体" w:hAnsi="宋体" w:eastAsia="宋体"/>
          <w:b/>
          <w:bCs/>
          <w:color w:val="000000"/>
          <w:sz w:val="44"/>
          <w:szCs w:val="44"/>
        </w:rPr>
      </w:pPr>
    </w:p>
    <w:p>
      <w:pPr>
        <w:spacing w:line="760" w:lineRule="exact"/>
        <w:ind w:firstLine="480"/>
      </w:pPr>
    </w:p>
    <w:p>
      <w:pPr>
        <w:widowControl/>
        <w:spacing w:line="760" w:lineRule="exact"/>
        <w:ind w:firstLine="790" w:firstLineChars="246"/>
        <w:jc w:val="left"/>
        <w:rPr>
          <w:b/>
          <w:bCs/>
          <w:kern w:val="32"/>
          <w:sz w:val="32"/>
          <w:lang w:bidi="he-IL"/>
        </w:rPr>
      </w:pPr>
    </w:p>
    <w:p>
      <w:pPr>
        <w:widowControl/>
        <w:spacing w:line="760" w:lineRule="exact"/>
        <w:ind w:firstLine="790" w:firstLineChars="246"/>
        <w:jc w:val="left"/>
        <w:rPr>
          <w:b/>
          <w:bCs/>
          <w:kern w:val="32"/>
          <w:sz w:val="32"/>
          <w:lang w:bidi="he-IL"/>
        </w:rPr>
      </w:pPr>
    </w:p>
    <w:p>
      <w:pPr>
        <w:widowControl/>
        <w:spacing w:line="760" w:lineRule="exact"/>
        <w:ind w:right="-192" w:rightChars="-80" w:firstLine="787" w:firstLineChars="246"/>
        <w:jc w:val="left"/>
        <w:rPr>
          <w:rFonts w:ascii="仿宋" w:hAnsi="仿宋" w:eastAsia="仿宋"/>
          <w:bCs/>
          <w:kern w:val="32"/>
          <w:sz w:val="32"/>
          <w:szCs w:val="32"/>
          <w:lang w:bidi="he-IL"/>
        </w:rPr>
      </w:pPr>
      <w:r>
        <w:rPr>
          <w:rFonts w:ascii="仿宋" w:hAnsi="仿宋" w:eastAsia="仿宋"/>
          <w:bCs/>
          <w:kern w:val="32"/>
          <w:sz w:val="32"/>
          <w:lang w:bidi="he-IL"/>
        </w:rPr>
        <w:t>项目名称：</w:t>
      </w:r>
      <w:r>
        <w:rPr>
          <w:rFonts w:hint="eastAsia" w:ascii="仿宋" w:hAnsi="仿宋" w:eastAsia="仿宋"/>
          <w:bCs/>
          <w:kern w:val="32"/>
          <w:sz w:val="32"/>
          <w:lang w:bidi="he-IL"/>
        </w:rPr>
        <w:t>教育信息化建设经费</w:t>
      </w:r>
    </w:p>
    <w:p>
      <w:pPr>
        <w:widowControl/>
        <w:spacing w:line="760" w:lineRule="exact"/>
        <w:ind w:firstLine="787" w:firstLineChars="246"/>
        <w:jc w:val="left"/>
        <w:rPr>
          <w:rFonts w:ascii="仿宋" w:hAnsi="仿宋" w:eastAsia="仿宋"/>
          <w:bCs/>
          <w:sz w:val="32"/>
          <w:szCs w:val="32"/>
        </w:rPr>
      </w:pPr>
      <w:r>
        <w:rPr>
          <w:rFonts w:ascii="仿宋" w:hAnsi="仿宋" w:eastAsia="仿宋"/>
          <w:bCs/>
          <w:kern w:val="32"/>
          <w:sz w:val="32"/>
          <w:lang w:bidi="he-IL"/>
        </w:rPr>
        <w:t>项目单位：</w:t>
      </w:r>
      <w:r>
        <w:rPr>
          <w:rFonts w:hint="eastAsia" w:ascii="仿宋" w:hAnsi="仿宋" w:eastAsia="仿宋"/>
          <w:bCs/>
          <w:kern w:val="32"/>
          <w:sz w:val="32"/>
          <w:lang w:bidi="he-IL"/>
        </w:rPr>
        <w:t>武昌区教育局电教中心</w:t>
      </w:r>
    </w:p>
    <w:p>
      <w:pPr>
        <w:widowControl/>
        <w:spacing w:line="760" w:lineRule="exact"/>
        <w:ind w:firstLine="787" w:firstLineChars="246"/>
        <w:jc w:val="left"/>
        <w:rPr>
          <w:rFonts w:ascii="仿宋" w:hAnsi="仿宋" w:eastAsia="仿宋"/>
          <w:bCs/>
          <w:sz w:val="32"/>
          <w:szCs w:val="32"/>
        </w:rPr>
      </w:pPr>
      <w:r>
        <w:rPr>
          <w:rFonts w:ascii="仿宋" w:hAnsi="仿宋" w:eastAsia="仿宋"/>
          <w:bCs/>
          <w:kern w:val="32"/>
          <w:sz w:val="32"/>
          <w:lang w:bidi="he-IL"/>
        </w:rPr>
        <w:t>主管部门：</w:t>
      </w:r>
      <w:r>
        <w:rPr>
          <w:rFonts w:hint="eastAsia" w:ascii="仿宋" w:hAnsi="仿宋" w:eastAsia="仿宋"/>
          <w:bCs/>
          <w:kern w:val="32"/>
          <w:sz w:val="32"/>
          <w:lang w:bidi="he-IL"/>
        </w:rPr>
        <w:t>武昌区教育局</w:t>
      </w:r>
    </w:p>
    <w:p>
      <w:pPr>
        <w:widowControl/>
        <w:spacing w:line="760" w:lineRule="exact"/>
        <w:ind w:firstLine="787" w:firstLineChars="246"/>
        <w:jc w:val="left"/>
        <w:rPr>
          <w:rFonts w:ascii="仿宋" w:hAnsi="仿宋" w:eastAsia="仿宋"/>
          <w:bCs/>
          <w:sz w:val="32"/>
          <w:szCs w:val="32"/>
        </w:rPr>
      </w:pPr>
      <w:r>
        <w:rPr>
          <w:rFonts w:ascii="仿宋" w:hAnsi="仿宋" w:eastAsia="仿宋"/>
          <w:bCs/>
          <w:kern w:val="32"/>
          <w:sz w:val="32"/>
          <w:lang w:bidi="he-IL"/>
        </w:rPr>
        <w:t>评价机构：</w:t>
      </w:r>
      <w:r>
        <w:rPr>
          <w:rFonts w:hint="eastAsia" w:ascii="仿宋" w:hAnsi="仿宋" w:eastAsia="仿宋"/>
          <w:bCs/>
          <w:sz w:val="32"/>
          <w:szCs w:val="32"/>
        </w:rPr>
        <w:t>湖北普华立信会计师事务有限公司</w:t>
      </w:r>
    </w:p>
    <w:p>
      <w:pPr>
        <w:spacing w:line="760" w:lineRule="exact"/>
        <w:ind w:firstLine="0" w:firstLineChars="0"/>
        <w:rPr>
          <w:rFonts w:ascii="仿宋" w:hAnsi="仿宋" w:eastAsia="仿宋"/>
          <w:b/>
          <w:bCs/>
          <w:sz w:val="32"/>
          <w:szCs w:val="32"/>
        </w:rPr>
      </w:pPr>
    </w:p>
    <w:p>
      <w:pPr>
        <w:spacing w:line="760" w:lineRule="exact"/>
        <w:ind w:firstLine="0" w:firstLineChars="0"/>
        <w:rPr>
          <w:b/>
          <w:bCs/>
          <w:sz w:val="32"/>
          <w:szCs w:val="32"/>
        </w:rPr>
      </w:pPr>
    </w:p>
    <w:p>
      <w:pPr>
        <w:spacing w:line="760" w:lineRule="exact"/>
        <w:ind w:firstLine="0" w:firstLineChars="0"/>
        <w:jc w:val="center"/>
        <w:rPr>
          <w:rFonts w:ascii="仿宋" w:hAnsi="仿宋" w:eastAsia="仿宋"/>
          <w:bCs/>
          <w:sz w:val="32"/>
          <w:szCs w:val="32"/>
        </w:rPr>
      </w:pPr>
      <w:r>
        <w:rPr>
          <w:rFonts w:ascii="仿宋" w:hAnsi="仿宋" w:eastAsia="仿宋"/>
          <w:bCs/>
          <w:sz w:val="32"/>
          <w:szCs w:val="32"/>
        </w:rPr>
        <w:t>二〇</w:t>
      </w:r>
      <w:r>
        <w:rPr>
          <w:rFonts w:hint="eastAsia" w:ascii="仿宋" w:hAnsi="仿宋" w:eastAsia="仿宋"/>
          <w:bCs/>
          <w:sz w:val="32"/>
          <w:szCs w:val="32"/>
        </w:rPr>
        <w:t>一八</w:t>
      </w:r>
      <w:r>
        <w:rPr>
          <w:rFonts w:ascii="仿宋" w:hAnsi="仿宋" w:eastAsia="仿宋"/>
          <w:bCs/>
          <w:sz w:val="32"/>
          <w:szCs w:val="32"/>
        </w:rPr>
        <w:t>年</w:t>
      </w:r>
      <w:r>
        <w:rPr>
          <w:rFonts w:hint="eastAsia" w:ascii="仿宋" w:hAnsi="仿宋" w:eastAsia="仿宋"/>
          <w:bCs/>
          <w:sz w:val="32"/>
          <w:szCs w:val="32"/>
        </w:rPr>
        <w:t>十</w:t>
      </w:r>
      <w:r>
        <w:rPr>
          <w:rFonts w:ascii="仿宋" w:hAnsi="仿宋" w:eastAsia="仿宋"/>
          <w:bCs/>
          <w:sz w:val="32"/>
          <w:szCs w:val="32"/>
        </w:rPr>
        <w:t>月</w:t>
      </w:r>
    </w:p>
    <w:p>
      <w:pPr>
        <w:spacing w:line="760" w:lineRule="exact"/>
        <w:ind w:firstLine="0" w:firstLineChars="0"/>
        <w:jc w:val="center"/>
        <w:rPr>
          <w:b/>
          <w:bCs/>
          <w:sz w:val="32"/>
          <w:szCs w:val="32"/>
        </w:rPr>
      </w:pPr>
    </w:p>
    <w:p>
      <w:pPr>
        <w:spacing w:line="760" w:lineRule="exact"/>
        <w:ind w:firstLine="0" w:firstLineChars="0"/>
        <w:jc w:val="center"/>
        <w:rPr>
          <w:b/>
          <w:bCs/>
          <w:sz w:val="30"/>
          <w:szCs w:val="30"/>
        </w:rPr>
      </w:pPr>
    </w:p>
    <w:p>
      <w:pPr>
        <w:spacing w:line="720" w:lineRule="exact"/>
        <w:ind w:firstLine="0" w:firstLineChars="0"/>
        <w:jc w:val="center"/>
        <w:outlineLvl w:val="0"/>
        <w:rPr>
          <w:rFonts w:ascii="仿宋" w:hAnsi="仿宋" w:eastAsia="仿宋" w:cs="Arial Narrow"/>
          <w:b/>
          <w:sz w:val="44"/>
          <w:szCs w:val="44"/>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134" w:right="1406" w:bottom="850" w:left="1797" w:header="1361" w:footer="992" w:gutter="0"/>
          <w:cols w:space="0" w:num="1"/>
          <w:titlePg/>
          <w:docGrid w:type="lines" w:linePitch="408" w:charSpace="0"/>
        </w:sectPr>
      </w:pPr>
    </w:p>
    <w:p>
      <w:pPr>
        <w:spacing w:line="720" w:lineRule="exact"/>
        <w:ind w:firstLine="0" w:firstLineChars="0"/>
        <w:jc w:val="center"/>
        <w:outlineLvl w:val="0"/>
        <w:rPr>
          <w:rFonts w:ascii="仿宋" w:hAnsi="仿宋" w:eastAsia="仿宋" w:cs="Arial Narrow"/>
          <w:b/>
          <w:sz w:val="44"/>
          <w:szCs w:val="44"/>
        </w:rPr>
      </w:pPr>
      <w:bookmarkStart w:id="0" w:name="_Toc479518517"/>
      <w:r>
        <w:rPr>
          <w:rFonts w:hint="eastAsia" w:ascii="仿宋" w:hAnsi="仿宋" w:eastAsia="仿宋" w:cs="Arial Narrow"/>
          <w:b/>
          <w:sz w:val="44"/>
          <w:szCs w:val="44"/>
        </w:rPr>
        <w:t>摘要</w:t>
      </w:r>
      <w:bookmarkEnd w:id="0"/>
    </w:p>
    <w:p>
      <w:pPr>
        <w:spacing w:line="440" w:lineRule="exact"/>
        <w:ind w:firstLine="0" w:firstLineChars="0"/>
        <w:jc w:val="center"/>
        <w:rPr>
          <w:rFonts w:ascii="Arial Narrow" w:hAnsi="Arial Narrow" w:cs="Arial Narrow"/>
          <w:b/>
        </w:rPr>
      </w:pP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项目名称：</w:t>
      </w:r>
      <w:r>
        <w:rPr>
          <w:rFonts w:hint="eastAsia" w:ascii="仿宋" w:hAnsi="仿宋" w:eastAsia="仿宋" w:cs="Arial Narrow"/>
        </w:rPr>
        <w:t>教育信息化建设经费</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项目金额：</w:t>
      </w:r>
      <w:r>
        <w:rPr>
          <w:rFonts w:hint="eastAsia" w:ascii="仿宋" w:hAnsi="仿宋" w:eastAsia="仿宋" w:cs="Arial Narrow"/>
        </w:rPr>
        <w:t>1,500万元</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绩效评价结果</w:t>
      </w:r>
    </w:p>
    <w:tbl>
      <w:tblPr>
        <w:tblStyle w:val="2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2235"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评价准则</w:t>
            </w:r>
          </w:p>
        </w:tc>
        <w:tc>
          <w:tcPr>
            <w:tcW w:w="2126"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准则分值</w:t>
            </w:r>
          </w:p>
        </w:tc>
        <w:tc>
          <w:tcPr>
            <w:tcW w:w="2268" w:type="dxa"/>
            <w:tcBorders>
              <w:bottom w:val="single" w:color="008000" w:sz="6" w:space="0"/>
            </w:tcBorders>
            <w:vAlign w:val="center"/>
          </w:tcPr>
          <w:p>
            <w:pPr>
              <w:spacing w:line="240" w:lineRule="auto"/>
              <w:ind w:left="183" w:firstLine="420"/>
              <w:rPr>
                <w:rFonts w:ascii="仿宋" w:hAnsi="仿宋" w:eastAsia="仿宋" w:cs="Arial Narrow"/>
                <w:sz w:val="21"/>
                <w:szCs w:val="21"/>
              </w:rPr>
            </w:pPr>
            <w:r>
              <w:rPr>
                <w:rFonts w:ascii="仿宋" w:hAnsi="仿宋" w:eastAsia="仿宋" w:cs="Arial Narrow"/>
                <w:sz w:val="21"/>
                <w:szCs w:val="21"/>
              </w:rPr>
              <w:t>评价得分</w:t>
            </w:r>
          </w:p>
        </w:tc>
        <w:tc>
          <w:tcPr>
            <w:tcW w:w="2126"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投入</w:t>
            </w:r>
          </w:p>
        </w:tc>
        <w:tc>
          <w:tcPr>
            <w:tcW w:w="2126" w:type="dxa"/>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15分</w:t>
            </w:r>
          </w:p>
        </w:tc>
        <w:tc>
          <w:tcPr>
            <w:tcW w:w="2268" w:type="dxa"/>
            <w:vAlign w:val="center"/>
          </w:tcPr>
          <w:p>
            <w:pPr>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13分</w:t>
            </w:r>
          </w:p>
        </w:tc>
        <w:tc>
          <w:tcPr>
            <w:tcW w:w="2126" w:type="dxa"/>
            <w:vAlign w:val="center"/>
          </w:tcPr>
          <w:p>
            <w:pPr>
              <w:spacing w:line="240" w:lineRule="auto"/>
              <w:ind w:firstLine="697" w:firstLineChars="332"/>
              <w:rPr>
                <w:rFonts w:ascii="仿宋" w:hAnsi="仿宋" w:eastAsia="仿宋" w:cs="Arial Narrow"/>
                <w:sz w:val="21"/>
                <w:szCs w:val="21"/>
              </w:rPr>
            </w:pPr>
            <w:r>
              <w:rPr>
                <w:rFonts w:hint="eastAsia" w:ascii="仿宋" w:hAnsi="仿宋" w:eastAsia="仿宋" w:cs="Arial Narrow"/>
                <w:sz w:val="21"/>
                <w:szCs w:val="21"/>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过程</w:t>
            </w:r>
          </w:p>
        </w:tc>
        <w:tc>
          <w:tcPr>
            <w:tcW w:w="2126" w:type="dxa"/>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25分</w:t>
            </w:r>
          </w:p>
        </w:tc>
        <w:tc>
          <w:tcPr>
            <w:tcW w:w="2268" w:type="dxa"/>
            <w:vAlign w:val="center"/>
          </w:tcPr>
          <w:p>
            <w:pPr>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21分</w:t>
            </w:r>
          </w:p>
        </w:tc>
        <w:tc>
          <w:tcPr>
            <w:tcW w:w="2126" w:type="dxa"/>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hint="eastAsia" w:ascii="仿宋" w:hAnsi="仿宋" w:eastAsia="仿宋" w:cs="Arial Narrow"/>
                <w:sz w:val="21"/>
                <w:szCs w:val="21"/>
              </w:rPr>
              <w:t>项目产出</w:t>
            </w:r>
          </w:p>
        </w:tc>
        <w:tc>
          <w:tcPr>
            <w:tcW w:w="2126" w:type="dxa"/>
            <w:vAlign w:val="center"/>
          </w:tcPr>
          <w:p>
            <w:pPr>
              <w:spacing w:line="240" w:lineRule="auto"/>
              <w:ind w:firstLine="630" w:firstLineChars="300"/>
              <w:jc w:val="left"/>
              <w:textAlignment w:val="top"/>
              <w:rPr>
                <w:rFonts w:ascii="仿宋" w:hAnsi="仿宋" w:eastAsia="仿宋" w:cs="Arial Narrow"/>
                <w:sz w:val="21"/>
                <w:szCs w:val="21"/>
              </w:rPr>
            </w:pPr>
            <w:r>
              <w:rPr>
                <w:rFonts w:hint="eastAsia" w:ascii="仿宋" w:hAnsi="仿宋" w:eastAsia="仿宋" w:cs="Arial Narrow"/>
                <w:sz w:val="21"/>
                <w:szCs w:val="21"/>
              </w:rPr>
              <w:t>25分</w:t>
            </w:r>
          </w:p>
        </w:tc>
        <w:tc>
          <w:tcPr>
            <w:tcW w:w="2268" w:type="dxa"/>
            <w:vAlign w:val="center"/>
          </w:tcPr>
          <w:p>
            <w:pPr>
              <w:spacing w:line="240" w:lineRule="auto"/>
              <w:ind w:firstLine="0" w:firstLineChars="0"/>
              <w:jc w:val="center"/>
              <w:textAlignment w:val="top"/>
              <w:rPr>
                <w:rFonts w:ascii="仿宋" w:hAnsi="仿宋" w:eastAsia="仿宋" w:cs="Arial Narrow"/>
                <w:sz w:val="21"/>
                <w:szCs w:val="21"/>
              </w:rPr>
            </w:pPr>
            <w:r>
              <w:rPr>
                <w:rFonts w:hint="eastAsia" w:ascii="仿宋" w:hAnsi="仿宋" w:eastAsia="仿宋" w:cs="Arial Narrow"/>
                <w:sz w:val="21"/>
                <w:szCs w:val="21"/>
              </w:rPr>
              <w:t>18.60分</w:t>
            </w:r>
          </w:p>
        </w:tc>
        <w:tc>
          <w:tcPr>
            <w:tcW w:w="2126" w:type="dxa"/>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效果</w:t>
            </w:r>
          </w:p>
        </w:tc>
        <w:tc>
          <w:tcPr>
            <w:tcW w:w="2126" w:type="dxa"/>
            <w:vAlign w:val="center"/>
          </w:tcPr>
          <w:p>
            <w:pPr>
              <w:spacing w:line="240" w:lineRule="auto"/>
              <w:ind w:firstLine="630" w:firstLineChars="300"/>
              <w:jc w:val="left"/>
              <w:textAlignment w:val="top"/>
              <w:rPr>
                <w:rFonts w:ascii="仿宋" w:hAnsi="仿宋" w:eastAsia="仿宋" w:cs="Arial Narrow"/>
                <w:sz w:val="21"/>
                <w:szCs w:val="21"/>
              </w:rPr>
            </w:pPr>
            <w:r>
              <w:rPr>
                <w:rFonts w:hint="eastAsia" w:ascii="仿宋" w:hAnsi="仿宋" w:eastAsia="仿宋" w:cs="Arial Narrow"/>
                <w:sz w:val="21"/>
                <w:szCs w:val="21"/>
              </w:rPr>
              <w:t>35分</w:t>
            </w:r>
          </w:p>
        </w:tc>
        <w:tc>
          <w:tcPr>
            <w:tcW w:w="2268" w:type="dxa"/>
            <w:vAlign w:val="center"/>
          </w:tcPr>
          <w:p>
            <w:pPr>
              <w:spacing w:line="240" w:lineRule="auto"/>
              <w:ind w:firstLine="0" w:firstLineChars="0"/>
              <w:jc w:val="center"/>
              <w:textAlignment w:val="top"/>
              <w:rPr>
                <w:rFonts w:ascii="仿宋" w:hAnsi="仿宋" w:eastAsia="仿宋" w:cs="Arial Narrow"/>
                <w:sz w:val="21"/>
                <w:szCs w:val="21"/>
              </w:rPr>
            </w:pPr>
            <w:r>
              <w:rPr>
                <w:rFonts w:hint="eastAsia" w:ascii="仿宋" w:hAnsi="仿宋" w:eastAsia="仿宋" w:cs="Arial Narrow"/>
                <w:sz w:val="21"/>
                <w:szCs w:val="21"/>
              </w:rPr>
              <w:t>35分</w:t>
            </w:r>
          </w:p>
        </w:tc>
        <w:tc>
          <w:tcPr>
            <w:tcW w:w="2126" w:type="dxa"/>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tcBorders>
              <w:top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综合绩效</w:t>
            </w:r>
          </w:p>
        </w:tc>
        <w:tc>
          <w:tcPr>
            <w:tcW w:w="2126" w:type="dxa"/>
            <w:tcBorders>
              <w:top w:val="single" w:color="008000" w:sz="6" w:space="0"/>
            </w:tcBorders>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100分</w:t>
            </w:r>
          </w:p>
        </w:tc>
        <w:tc>
          <w:tcPr>
            <w:tcW w:w="2268" w:type="dxa"/>
            <w:tcBorders>
              <w:top w:val="single" w:color="008000" w:sz="6" w:space="0"/>
            </w:tcBorders>
            <w:vAlign w:val="center"/>
          </w:tcPr>
          <w:p>
            <w:pPr>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87.60分</w:t>
            </w:r>
          </w:p>
        </w:tc>
        <w:tc>
          <w:tcPr>
            <w:tcW w:w="2126" w:type="dxa"/>
            <w:tcBorders>
              <w:top w:val="single" w:color="008000" w:sz="6" w:space="0"/>
            </w:tcBorders>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良</w:t>
            </w:r>
          </w:p>
        </w:tc>
      </w:tr>
    </w:tbl>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评价工作组组成名单</w:t>
      </w:r>
    </w:p>
    <w:p>
      <w:pPr>
        <w:snapToGrid w:val="0"/>
        <w:spacing w:line="420" w:lineRule="exact"/>
        <w:ind w:firstLine="360" w:firstLineChars="150"/>
        <w:rPr>
          <w:rFonts w:ascii="仿宋" w:hAnsi="仿宋" w:eastAsia="仿宋" w:cs="Arial Narrow"/>
        </w:rPr>
      </w:pPr>
      <w:r>
        <w:rPr>
          <w:rFonts w:hint="eastAsia" w:ascii="仿宋" w:hAnsi="仿宋" w:eastAsia="仿宋" w:cs="Arial Narrow"/>
        </w:rPr>
        <w:t>项目负责人：王秋生</w:t>
      </w:r>
    </w:p>
    <w:p>
      <w:pPr>
        <w:snapToGrid w:val="0"/>
        <w:spacing w:line="420" w:lineRule="exact"/>
        <w:ind w:firstLine="360" w:firstLineChars="150"/>
        <w:rPr>
          <w:rFonts w:ascii="仿宋" w:hAnsi="仿宋" w:eastAsia="仿宋" w:cs="Arial Narrow"/>
        </w:rPr>
      </w:pPr>
      <w:r>
        <w:rPr>
          <w:rFonts w:hint="eastAsia" w:ascii="仿宋" w:hAnsi="仿宋" w:eastAsia="仿宋" w:cs="Arial Narrow"/>
        </w:rPr>
        <w:t>工作人员：刘巧、杨怡</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主要评价方法概述</w:t>
      </w:r>
    </w:p>
    <w:p>
      <w:pPr>
        <w:snapToGrid w:val="0"/>
        <w:spacing w:line="420" w:lineRule="exact"/>
        <w:ind w:firstLine="360" w:firstLineChars="150"/>
        <w:rPr>
          <w:rFonts w:ascii="仿宋" w:hAnsi="仿宋" w:eastAsia="仿宋" w:cs="Arial Narrow"/>
          <w:b/>
        </w:rPr>
      </w:pPr>
      <w:r>
        <w:rPr>
          <w:rFonts w:ascii="仿宋" w:hAnsi="仿宋" w:eastAsia="仿宋"/>
        </w:rPr>
        <w:t>本次绩效</w:t>
      </w:r>
      <w:r>
        <w:rPr>
          <w:rFonts w:hint="eastAsia" w:ascii="仿宋" w:hAnsi="仿宋" w:eastAsia="仿宋"/>
        </w:rPr>
        <w:t>评价</w:t>
      </w:r>
      <w:r>
        <w:rPr>
          <w:rFonts w:ascii="仿宋" w:hAnsi="仿宋" w:eastAsia="仿宋"/>
        </w:rPr>
        <w:t>采用目标比较法、</w:t>
      </w:r>
      <w:r>
        <w:rPr>
          <w:rFonts w:hint="eastAsia" w:ascii="仿宋" w:hAnsi="仿宋" w:eastAsia="仿宋"/>
        </w:rPr>
        <w:t>统计计算法、实地考察、</w:t>
      </w:r>
      <w:r>
        <w:rPr>
          <w:rFonts w:ascii="仿宋" w:hAnsi="仿宋" w:eastAsia="仿宋"/>
        </w:rPr>
        <w:t>定性与定量相结合</w:t>
      </w:r>
      <w:r>
        <w:rPr>
          <w:rFonts w:hint="eastAsia" w:ascii="仿宋" w:hAnsi="仿宋" w:eastAsia="仿宋"/>
        </w:rPr>
        <w:t>的方法。</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存在的主要问题概述</w:t>
      </w:r>
    </w:p>
    <w:p>
      <w:pPr>
        <w:snapToGrid w:val="0"/>
        <w:spacing w:line="420" w:lineRule="exact"/>
        <w:ind w:firstLine="360" w:firstLineChars="150"/>
        <w:rPr>
          <w:rFonts w:ascii="仿宋" w:hAnsi="仿宋" w:eastAsia="仿宋" w:cs="Arial Narrow"/>
        </w:rPr>
      </w:pPr>
      <w:r>
        <w:rPr>
          <w:rFonts w:ascii="仿宋" w:hAnsi="仿宋" w:eastAsia="仿宋" w:cs="Arial Narrow"/>
        </w:rPr>
        <w:t>项目实施中主要存在以下问题：（1）</w:t>
      </w:r>
      <w:r>
        <w:rPr>
          <w:rFonts w:hint="eastAsia" w:ascii="仿宋" w:hAnsi="仿宋" w:eastAsia="仿宋" w:cs="Arial Narrow"/>
        </w:rPr>
        <w:t>绩效目标的细化、量化有待改善， 2017年编制的绩效目标不够细化；（2）专项经费执行和预算有偏差，部分项目预算未执行，预算执行率86.24%；（3）验收手续不完善，部分学校在质量及服务验收单上仅有专人签字，并未发表使用意见，电教中心均未在验收单上签字和发表意见；（4）设备使用的学校反映教育信息化设备质量不稳定，设备零件返修率高，更换主体零件时间长，影响教师学生使用。</w:t>
      </w:r>
    </w:p>
    <w:p>
      <w:pPr>
        <w:snapToGrid w:val="0"/>
        <w:spacing w:line="420" w:lineRule="exact"/>
        <w:ind w:firstLine="360" w:firstLineChars="150"/>
        <w:rPr>
          <w:rFonts w:ascii="仿宋" w:hAnsi="仿宋" w:eastAsia="仿宋" w:cs="Arial Narrow"/>
        </w:rPr>
      </w:pP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管理建议概述</w:t>
      </w:r>
    </w:p>
    <w:p>
      <w:pPr>
        <w:snapToGrid w:val="0"/>
        <w:spacing w:line="420" w:lineRule="exact"/>
        <w:ind w:firstLine="360" w:firstLineChars="150"/>
        <w:rPr>
          <w:rFonts w:ascii="仿宋" w:hAnsi="仿宋" w:eastAsia="仿宋" w:cs="Arial Narrow"/>
        </w:rPr>
      </w:pPr>
      <w:r>
        <w:rPr>
          <w:rFonts w:ascii="仿宋" w:hAnsi="仿宋" w:eastAsia="仿宋"/>
        </w:rPr>
        <w:t>针对项目实施中存在的问题，为进一步提高财政支出资金的使用效益和管理水平，绩效评价工作组建议：（1）</w:t>
      </w:r>
      <w:r>
        <w:rPr>
          <w:rFonts w:hint="eastAsia" w:ascii="仿宋" w:hAnsi="仿宋" w:eastAsia="仿宋" w:cs="Arial Narrow"/>
        </w:rPr>
        <w:t>进一步完善教育信息化建设经费资金项目绩效评价指标体系，增强项目绩效目标的细化、可衡量性；（2）根据项目的实际特点，加强项目资金预算编制的科学性、针对性，资金分配和设备配置数量目标应该具体到每一个单位并严格执行，提高预算的执行率；（3）结合项目的实际特点、业务操作规程、相关的政策规定等，要完善本项目的管理制度，尤其是质量验收制度，让制度成为项目执行的重要基础和保障，规范验收的手续；（4）电教中心在采购招标时，不仅要对产品的价格提出要求，还要对电子设备的质量标准提出要求，不能一味追求低价中标而忽视质量，要综合全面考虑，确保设备的正常稳定使用。</w:t>
      </w: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pStyle w:val="2"/>
        <w:spacing w:line="760" w:lineRule="exact"/>
        <w:ind w:firstLine="3767" w:firstLineChars="1340"/>
        <w:rPr>
          <w:rFonts w:ascii="仿宋" w:hAnsi="仿宋" w:eastAsia="仿宋"/>
        </w:rPr>
      </w:pPr>
      <w:bookmarkStart w:id="1" w:name="_Toc479518518"/>
    </w:p>
    <w:p>
      <w:pPr>
        <w:pStyle w:val="2"/>
        <w:spacing w:line="760" w:lineRule="exact"/>
        <w:ind w:firstLine="3767" w:firstLineChars="1340"/>
        <w:rPr>
          <w:rFonts w:ascii="仿宋" w:hAnsi="仿宋" w:eastAsia="仿宋"/>
        </w:rPr>
      </w:pPr>
      <w:r>
        <w:rPr>
          <w:rFonts w:hint="eastAsia" w:ascii="仿宋" w:hAnsi="仿宋" w:eastAsia="仿宋"/>
        </w:rPr>
        <w:t>目录</w:t>
      </w:r>
      <w:bookmarkEnd w:id="1"/>
    </w:p>
    <w:p>
      <w:pPr>
        <w:snapToGrid w:val="0"/>
        <w:spacing w:line="440" w:lineRule="exact"/>
        <w:ind w:firstLine="0" w:firstLineChars="0"/>
        <w:jc w:val="center"/>
        <w:rPr>
          <w:rFonts w:ascii="仿宋" w:hAnsi="仿宋" w:eastAsia="仿宋" w:cs="仿宋"/>
        </w:rPr>
      </w:pPr>
    </w:p>
    <w:p>
      <w:pPr>
        <w:snapToGrid w:val="0"/>
        <w:spacing w:line="440" w:lineRule="exact"/>
        <w:ind w:firstLine="0" w:firstLineChars="0"/>
        <w:rPr>
          <w:rFonts w:ascii="仿宋" w:hAnsi="仿宋" w:eastAsia="仿宋" w:cs="仿宋"/>
        </w:rPr>
      </w:pPr>
    </w:p>
    <w:p>
      <w:pPr>
        <w:pStyle w:val="15"/>
        <w:tabs>
          <w:tab w:val="right" w:leader="dot" w:pos="8693"/>
        </w:tabs>
        <w:spacing w:before="0" w:after="0" w:line="440" w:lineRule="exact"/>
        <w:ind w:firstLine="480"/>
        <w:rPr>
          <w:rFonts w:ascii="仿宋" w:hAnsi="仿宋" w:eastAsia="仿宋" w:cstheme="minorBidi"/>
          <w:b w:val="0"/>
          <w:bCs w:val="0"/>
          <w:caps w:val="0"/>
          <w:sz w:val="24"/>
          <w:szCs w:val="24"/>
        </w:rPr>
      </w:pPr>
      <w:r>
        <w:rPr>
          <w:rFonts w:hint="eastAsia" w:ascii="仿宋" w:hAnsi="仿宋" w:eastAsia="仿宋" w:cs="仿宋"/>
          <w:b w:val="0"/>
          <w:bCs w:val="0"/>
          <w:caps w:val="0"/>
          <w:sz w:val="24"/>
          <w:szCs w:val="24"/>
        </w:rPr>
        <w:fldChar w:fldCharType="begin"/>
      </w:r>
      <w:r>
        <w:rPr>
          <w:rFonts w:hint="eastAsia" w:ascii="仿宋" w:hAnsi="仿宋" w:eastAsia="仿宋" w:cs="仿宋"/>
          <w:b w:val="0"/>
          <w:bCs w:val="0"/>
          <w:caps w:val="0"/>
          <w:sz w:val="24"/>
          <w:szCs w:val="24"/>
        </w:rPr>
        <w:instrText xml:space="preserve"> TOC \o "1-4" \h \z \u </w:instrText>
      </w:r>
      <w:r>
        <w:rPr>
          <w:rFonts w:hint="eastAsia" w:ascii="仿宋" w:hAnsi="仿宋" w:eastAsia="仿宋" w:cs="仿宋"/>
          <w:b w:val="0"/>
          <w:bCs w:val="0"/>
          <w:caps w:val="0"/>
          <w:sz w:val="24"/>
          <w:szCs w:val="24"/>
        </w:rPr>
        <w:fldChar w:fldCharType="separate"/>
      </w:r>
      <w:r>
        <w:fldChar w:fldCharType="begin"/>
      </w:r>
      <w:r>
        <w:instrText xml:space="preserve"> HYPERLINK \l "_Toc479518517" </w:instrText>
      </w:r>
      <w:r>
        <w:fldChar w:fldCharType="separate"/>
      </w:r>
      <w:r>
        <w:rPr>
          <w:rStyle w:val="26"/>
          <w:rFonts w:hint="eastAsia" w:ascii="仿宋" w:hAnsi="仿宋" w:eastAsia="仿宋" w:cs="Arial Narrow"/>
          <w:sz w:val="24"/>
          <w:szCs w:val="24"/>
        </w:rPr>
        <w:t>摘要</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_Toc479518517 \h </w:instrText>
      </w:r>
      <w:r>
        <w:rPr>
          <w:rFonts w:ascii="仿宋" w:hAnsi="仿宋" w:eastAsia="仿宋"/>
          <w:sz w:val="24"/>
          <w:szCs w:val="24"/>
        </w:rPr>
        <w:fldChar w:fldCharType="separate"/>
      </w:r>
      <w:r>
        <w:rPr>
          <w:rFonts w:ascii="仿宋" w:hAnsi="仿宋" w:eastAsia="仿宋"/>
          <w:sz w:val="24"/>
          <w:szCs w:val="24"/>
        </w:rPr>
        <w:t>1</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before="0" w:after="0" w:line="440" w:lineRule="exact"/>
        <w:ind w:firstLine="562"/>
        <w:rPr>
          <w:rFonts w:ascii="仿宋" w:hAnsi="仿宋" w:eastAsia="仿宋" w:cstheme="minorBidi"/>
          <w:b w:val="0"/>
          <w:bCs w:val="0"/>
          <w:caps w:val="0"/>
          <w:sz w:val="24"/>
          <w:szCs w:val="24"/>
        </w:rPr>
      </w:pPr>
      <w:r>
        <w:fldChar w:fldCharType="begin"/>
      </w:r>
      <w:r>
        <w:instrText xml:space="preserve"> HYPERLINK \l "_Toc479518518" </w:instrText>
      </w:r>
      <w:r>
        <w:fldChar w:fldCharType="separate"/>
      </w:r>
      <w:r>
        <w:rPr>
          <w:rStyle w:val="26"/>
          <w:rFonts w:hint="eastAsia" w:ascii="仿宋" w:hAnsi="仿宋" w:eastAsia="仿宋"/>
          <w:sz w:val="24"/>
          <w:szCs w:val="24"/>
        </w:rPr>
        <w:t>目录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_Toc479518518 \h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before="0" w:after="0" w:line="440" w:lineRule="exact"/>
        <w:ind w:firstLine="562"/>
        <w:rPr>
          <w:rFonts w:ascii="仿宋" w:hAnsi="仿宋" w:eastAsia="仿宋" w:cstheme="minorBidi"/>
          <w:b w:val="0"/>
          <w:bCs w:val="0"/>
          <w:caps w:val="0"/>
          <w:sz w:val="24"/>
          <w:szCs w:val="24"/>
        </w:rPr>
      </w:pPr>
      <w:r>
        <w:fldChar w:fldCharType="begin"/>
      </w:r>
      <w:r>
        <w:instrText xml:space="preserve"> HYPERLINK \l "_Toc479518519" </w:instrText>
      </w:r>
      <w:r>
        <w:fldChar w:fldCharType="separate"/>
      </w:r>
      <w:r>
        <w:rPr>
          <w:rStyle w:val="26"/>
          <w:rFonts w:hint="eastAsia" w:ascii="仿宋" w:hAnsi="仿宋" w:eastAsia="仿宋"/>
          <w:sz w:val="24"/>
          <w:szCs w:val="24"/>
        </w:rPr>
        <w:t>前言</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_Toc479518519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before="0" w:after="0" w:line="440" w:lineRule="exact"/>
        <w:ind w:firstLine="562"/>
        <w:rPr>
          <w:rFonts w:ascii="仿宋" w:hAnsi="仿宋" w:eastAsia="仿宋" w:cstheme="minorBidi"/>
          <w:b w:val="0"/>
          <w:bCs w:val="0"/>
          <w:caps w:val="0"/>
          <w:sz w:val="24"/>
          <w:szCs w:val="24"/>
        </w:rPr>
      </w:pPr>
      <w:r>
        <w:fldChar w:fldCharType="begin"/>
      </w:r>
      <w:r>
        <w:instrText xml:space="preserve"> HYPERLINK \l "_Toc479518520" </w:instrText>
      </w:r>
      <w:r>
        <w:fldChar w:fldCharType="separate"/>
      </w:r>
      <w:r>
        <w:rPr>
          <w:rStyle w:val="26"/>
          <w:rFonts w:hint="eastAsia" w:ascii="仿宋" w:hAnsi="仿宋" w:eastAsia="仿宋"/>
          <w:sz w:val="24"/>
          <w:szCs w:val="24"/>
        </w:rPr>
        <w:t>一、 项目基本情况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_Toc479518520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"_Toc479518521" </w:instrText>
      </w:r>
      <w:r>
        <w:fldChar w:fldCharType="separate"/>
      </w:r>
      <w:r>
        <w:rPr>
          <w:rStyle w:val="26"/>
          <w:rFonts w:hint="eastAsia" w:ascii="仿宋" w:hAnsi="仿宋" w:eastAsia="仿宋"/>
          <w:sz w:val="24"/>
          <w:szCs w:val="24"/>
        </w:rPr>
        <w:t>（一） 项目概况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_Toc479518521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"_Toc479518522" </w:instrText>
      </w:r>
      <w:r>
        <w:fldChar w:fldCharType="separate"/>
      </w:r>
      <w:r>
        <w:rPr>
          <w:rStyle w:val="26"/>
          <w:rFonts w:hint="eastAsia" w:ascii="仿宋" w:hAnsi="仿宋" w:eastAsia="仿宋"/>
          <w:sz w:val="24"/>
          <w:szCs w:val="24"/>
        </w:rPr>
        <w:t>1．项目立项背景</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_Toc479518522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"_Toc479518523" </w:instrText>
      </w:r>
      <w:r>
        <w:fldChar w:fldCharType="separate"/>
      </w:r>
      <w:r>
        <w:rPr>
          <w:rStyle w:val="26"/>
          <w:rFonts w:hint="eastAsia" w:ascii="仿宋" w:hAnsi="仿宋" w:eastAsia="仿宋"/>
          <w:sz w:val="24"/>
          <w:szCs w:val="24"/>
        </w:rPr>
        <w:t>2．基准日及评价历时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_Toc479518523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"_Toc479518524" </w:instrText>
      </w:r>
      <w:r>
        <w:fldChar w:fldCharType="separate"/>
      </w:r>
      <w:r>
        <w:rPr>
          <w:rStyle w:val="26"/>
          <w:rFonts w:hint="eastAsia" w:ascii="仿宋" w:hAnsi="仿宋" w:eastAsia="仿宋"/>
          <w:sz w:val="24"/>
          <w:szCs w:val="24"/>
        </w:rPr>
        <w:t>3．项目实施情况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_Toc479518524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"_Toc479518525" </w:instrText>
      </w:r>
      <w:r>
        <w:fldChar w:fldCharType="separate"/>
      </w:r>
      <w:r>
        <w:rPr>
          <w:rStyle w:val="26"/>
          <w:rFonts w:hint="eastAsia" w:ascii="仿宋" w:hAnsi="仿宋" w:eastAsia="仿宋"/>
          <w:sz w:val="24"/>
          <w:szCs w:val="24"/>
        </w:rPr>
        <w:t>4．项目经费来源和使用情况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_Toc479518525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"_Toc479518526" </w:instrText>
      </w:r>
      <w:r>
        <w:fldChar w:fldCharType="separate"/>
      </w:r>
      <w:r>
        <w:rPr>
          <w:rStyle w:val="26"/>
          <w:rFonts w:hint="eastAsia" w:ascii="仿宋" w:hAnsi="仿宋" w:eastAsia="仿宋"/>
          <w:sz w:val="24"/>
          <w:szCs w:val="24"/>
        </w:rPr>
        <w:t>（二） 项目绩效目标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_Toc479518526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"_Toc479518527" </w:instrText>
      </w:r>
      <w:r>
        <w:fldChar w:fldCharType="separate"/>
      </w:r>
      <w:r>
        <w:rPr>
          <w:rStyle w:val="26"/>
          <w:rFonts w:hint="eastAsia" w:ascii="仿宋" w:hAnsi="仿宋" w:eastAsia="仿宋"/>
          <w:sz w:val="24"/>
          <w:szCs w:val="24"/>
        </w:rPr>
        <w:t>1．项目绩效目标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_Toc479518527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"_Toc479518528" </w:instrText>
      </w:r>
      <w:r>
        <w:fldChar w:fldCharType="separate"/>
      </w:r>
      <w:r>
        <w:rPr>
          <w:rStyle w:val="26"/>
          <w:rFonts w:hint="eastAsia" w:ascii="仿宋" w:hAnsi="仿宋" w:eastAsia="仿宋"/>
          <w:sz w:val="24"/>
          <w:szCs w:val="24"/>
        </w:rPr>
        <w:t>2．绩效目标完成情况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_Toc479518528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before="0" w:after="0" w:line="440" w:lineRule="exact"/>
        <w:ind w:firstLine="562"/>
        <w:rPr>
          <w:rFonts w:ascii="仿宋" w:hAnsi="仿宋" w:eastAsia="仿宋" w:cstheme="minorBidi"/>
          <w:b w:val="0"/>
          <w:bCs w:val="0"/>
          <w:caps w:val="0"/>
          <w:sz w:val="24"/>
          <w:szCs w:val="24"/>
        </w:rPr>
      </w:pPr>
      <w:r>
        <w:fldChar w:fldCharType="begin"/>
      </w:r>
      <w:r>
        <w:instrText xml:space="preserve"> HYPERLINK \l "_Toc479518529" </w:instrText>
      </w:r>
      <w:r>
        <w:fldChar w:fldCharType="separate"/>
      </w:r>
      <w:r>
        <w:rPr>
          <w:rStyle w:val="26"/>
          <w:rFonts w:hint="eastAsia" w:ascii="仿宋" w:hAnsi="仿宋" w:eastAsia="仿宋"/>
          <w:sz w:val="24"/>
          <w:szCs w:val="24"/>
        </w:rPr>
        <w:t>二、 绩效评价工作情况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_Toc479518529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"_Toc479518530" </w:instrText>
      </w:r>
      <w:r>
        <w:fldChar w:fldCharType="separate"/>
      </w:r>
      <w:r>
        <w:rPr>
          <w:rStyle w:val="26"/>
          <w:rFonts w:hint="eastAsia" w:ascii="仿宋" w:hAnsi="仿宋" w:eastAsia="仿宋"/>
          <w:sz w:val="24"/>
          <w:szCs w:val="24"/>
        </w:rPr>
        <w:t>（一） 绩效评价目的</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_Toc479518530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"_Toc479518531" </w:instrText>
      </w:r>
      <w:r>
        <w:fldChar w:fldCharType="separate"/>
      </w:r>
      <w:r>
        <w:rPr>
          <w:rStyle w:val="26"/>
          <w:rFonts w:hint="eastAsia" w:ascii="仿宋" w:hAnsi="仿宋" w:eastAsia="仿宋"/>
          <w:sz w:val="24"/>
          <w:szCs w:val="24"/>
        </w:rPr>
        <w:t>1．前期准备工作</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_Toc479518531 \h </w:instrText>
      </w:r>
      <w:r>
        <w:rPr>
          <w:rFonts w:ascii="仿宋" w:hAnsi="仿宋" w:eastAsia="仿宋"/>
          <w:sz w:val="24"/>
          <w:szCs w:val="24"/>
        </w:rPr>
        <w:fldChar w:fldCharType="separate"/>
      </w:r>
      <w:r>
        <w:rPr>
          <w:rFonts w:ascii="仿宋" w:hAnsi="仿宋" w:eastAsia="仿宋"/>
          <w:sz w:val="24"/>
          <w:szCs w:val="24"/>
        </w:rPr>
        <w:t>9</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"_Toc479518532" </w:instrText>
      </w:r>
      <w:r>
        <w:fldChar w:fldCharType="separate"/>
      </w:r>
      <w:r>
        <w:rPr>
          <w:rStyle w:val="26"/>
          <w:rFonts w:hint="eastAsia" w:ascii="仿宋" w:hAnsi="仿宋" w:eastAsia="仿宋"/>
          <w:sz w:val="24"/>
          <w:szCs w:val="24"/>
        </w:rPr>
        <w:t>2．组织实施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_Toc479518532 \h </w:instrText>
      </w:r>
      <w:r>
        <w:rPr>
          <w:rFonts w:ascii="仿宋" w:hAnsi="仿宋" w:eastAsia="仿宋"/>
          <w:sz w:val="24"/>
          <w:szCs w:val="24"/>
        </w:rPr>
        <w:fldChar w:fldCharType="separate"/>
      </w:r>
      <w:r>
        <w:rPr>
          <w:rFonts w:ascii="仿宋" w:hAnsi="仿宋" w:eastAsia="仿宋"/>
          <w:sz w:val="24"/>
          <w:szCs w:val="24"/>
        </w:rPr>
        <w:t>9</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"_Toc479518533" </w:instrText>
      </w:r>
      <w:r>
        <w:fldChar w:fldCharType="separate"/>
      </w:r>
      <w:r>
        <w:rPr>
          <w:rStyle w:val="26"/>
          <w:rFonts w:hint="eastAsia" w:ascii="仿宋" w:hAnsi="仿宋" w:eastAsia="仿宋"/>
          <w:sz w:val="24"/>
          <w:szCs w:val="24"/>
        </w:rPr>
        <w:t>3．分析评价工作内容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_Toc479518533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"_Toc479518534" </w:instrText>
      </w:r>
      <w:r>
        <w:fldChar w:fldCharType="separate"/>
      </w:r>
      <w:r>
        <w:rPr>
          <w:rStyle w:val="26"/>
          <w:rFonts w:hint="eastAsia" w:ascii="仿宋" w:hAnsi="仿宋" w:eastAsia="仿宋"/>
          <w:sz w:val="24"/>
          <w:szCs w:val="24"/>
        </w:rPr>
        <w:t>4．归档</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_Toc479518534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"_Toc479518535" </w:instrText>
      </w:r>
      <w:r>
        <w:fldChar w:fldCharType="separate"/>
      </w:r>
      <w:r>
        <w:rPr>
          <w:rStyle w:val="26"/>
          <w:rFonts w:hint="eastAsia" w:ascii="仿宋" w:hAnsi="仿宋" w:eastAsia="仿宋"/>
          <w:sz w:val="24"/>
          <w:szCs w:val="24"/>
        </w:rPr>
        <w:t>（二） 绩效评价框架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_Toc479518535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"_Toc479518536" </w:instrText>
      </w:r>
      <w:r>
        <w:fldChar w:fldCharType="separate"/>
      </w:r>
      <w:r>
        <w:rPr>
          <w:rStyle w:val="26"/>
          <w:rFonts w:hint="eastAsia" w:ascii="仿宋" w:hAnsi="仿宋" w:eastAsia="仿宋"/>
          <w:sz w:val="24"/>
          <w:szCs w:val="24"/>
        </w:rPr>
        <w:t>1．评价原则</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_Toc479518536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"_Toc479518537" </w:instrText>
      </w:r>
      <w:r>
        <w:fldChar w:fldCharType="separate"/>
      </w:r>
      <w:r>
        <w:rPr>
          <w:rStyle w:val="26"/>
          <w:rFonts w:hint="eastAsia" w:ascii="仿宋" w:hAnsi="仿宋" w:eastAsia="仿宋"/>
          <w:sz w:val="24"/>
          <w:szCs w:val="24"/>
        </w:rPr>
        <w:t>2．评价依据</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_Toc479518537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"_Toc479518538" </w:instrText>
      </w:r>
      <w:r>
        <w:fldChar w:fldCharType="separate"/>
      </w:r>
      <w:r>
        <w:rPr>
          <w:rStyle w:val="26"/>
          <w:rFonts w:hint="eastAsia" w:ascii="仿宋" w:hAnsi="仿宋" w:eastAsia="仿宋"/>
          <w:sz w:val="24"/>
          <w:szCs w:val="24"/>
        </w:rPr>
        <w:t>3．评价指标体系</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_Toc479518538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"_Toc479518539" </w:instrText>
      </w:r>
      <w:r>
        <w:fldChar w:fldCharType="separate"/>
      </w:r>
      <w:r>
        <w:rPr>
          <w:rStyle w:val="26"/>
          <w:rFonts w:hint="eastAsia" w:ascii="仿宋" w:hAnsi="仿宋" w:eastAsia="仿宋"/>
          <w:sz w:val="24"/>
          <w:szCs w:val="24"/>
        </w:rPr>
        <w:t>4．评价方法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_Toc479518539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"_Toc479518540" </w:instrText>
      </w:r>
      <w:r>
        <w:fldChar w:fldCharType="separate"/>
      </w:r>
      <w:r>
        <w:rPr>
          <w:rStyle w:val="26"/>
          <w:rFonts w:hint="eastAsia" w:ascii="仿宋" w:hAnsi="仿宋" w:eastAsia="仿宋"/>
          <w:sz w:val="24"/>
          <w:szCs w:val="24"/>
        </w:rPr>
        <w:t>（三） 证据收集方式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_Toc479518540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before="0" w:after="0" w:line="440" w:lineRule="exact"/>
        <w:ind w:firstLine="562"/>
        <w:rPr>
          <w:rFonts w:ascii="仿宋" w:hAnsi="仿宋" w:eastAsia="仿宋" w:cstheme="minorBidi"/>
          <w:b w:val="0"/>
          <w:bCs w:val="0"/>
          <w:caps w:val="0"/>
          <w:sz w:val="24"/>
          <w:szCs w:val="24"/>
        </w:rPr>
      </w:pPr>
      <w:r>
        <w:fldChar w:fldCharType="begin"/>
      </w:r>
      <w:r>
        <w:instrText xml:space="preserve"> HYPERLINK \l "_Toc479518541" </w:instrText>
      </w:r>
      <w:r>
        <w:fldChar w:fldCharType="separate"/>
      </w:r>
      <w:r>
        <w:rPr>
          <w:rStyle w:val="26"/>
          <w:rFonts w:hint="eastAsia" w:ascii="仿宋" w:hAnsi="仿宋" w:eastAsia="仿宋"/>
          <w:sz w:val="24"/>
          <w:szCs w:val="24"/>
        </w:rPr>
        <w:t>三、 绩效分析</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_Toc479518541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"_Toc479518542" </w:instrText>
      </w:r>
      <w:r>
        <w:fldChar w:fldCharType="separate"/>
      </w:r>
      <w:r>
        <w:rPr>
          <w:rStyle w:val="26"/>
          <w:rFonts w:hint="eastAsia" w:ascii="仿宋" w:hAnsi="仿宋" w:eastAsia="仿宋"/>
          <w:sz w:val="24"/>
          <w:szCs w:val="24"/>
        </w:rPr>
        <w:t>（一） 项目投入（</w:t>
      </w:r>
      <w:r>
        <w:rPr>
          <w:rStyle w:val="26"/>
          <w:rFonts w:ascii="仿宋" w:hAnsi="仿宋" w:eastAsia="仿宋"/>
          <w:sz w:val="24"/>
          <w:szCs w:val="24"/>
        </w:rPr>
        <w:t>15</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_Toc479518542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"_Toc479518543" </w:instrText>
      </w:r>
      <w:r>
        <w:fldChar w:fldCharType="separate"/>
      </w:r>
      <w:r>
        <w:rPr>
          <w:rStyle w:val="26"/>
          <w:rFonts w:hint="eastAsia" w:ascii="仿宋" w:hAnsi="仿宋" w:eastAsia="仿宋"/>
          <w:sz w:val="24"/>
          <w:szCs w:val="24"/>
        </w:rPr>
        <w:t>1．项目立项（</w:t>
      </w:r>
      <w:r>
        <w:rPr>
          <w:rStyle w:val="26"/>
          <w:rFonts w:ascii="仿宋" w:hAnsi="仿宋" w:eastAsia="仿宋"/>
          <w:sz w:val="24"/>
          <w:szCs w:val="24"/>
        </w:rPr>
        <w:t>11</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_Toc479518543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before="0" w:after="0" w:line="440" w:lineRule="exact"/>
        <w:ind w:firstLine="1464" w:firstLineChars="521"/>
        <w:rPr>
          <w:rFonts w:ascii="仿宋" w:hAnsi="仿宋" w:eastAsia="仿宋" w:cstheme="minorBidi"/>
          <w:bCs w:val="0"/>
          <w:caps w:val="0"/>
          <w:sz w:val="24"/>
          <w:szCs w:val="24"/>
        </w:rPr>
      </w:pPr>
      <w:r>
        <w:fldChar w:fldCharType="begin"/>
      </w:r>
      <w:r>
        <w:instrText xml:space="preserve"> HYPERLINK \l "_Toc479518544" </w:instrText>
      </w:r>
      <w:r>
        <w:fldChar w:fldCharType="separate"/>
      </w:r>
      <w:r>
        <w:rPr>
          <w:rStyle w:val="26"/>
          <w:rFonts w:ascii="仿宋" w:hAnsi="仿宋" w:eastAsia="仿宋"/>
          <w:b w:val="0"/>
          <w:bCs w:val="0"/>
          <w:caps w:val="0"/>
          <w:sz w:val="24"/>
          <w:szCs w:val="24"/>
        </w:rPr>
        <w:t>2.</w:t>
      </w:r>
      <w:r>
        <w:rPr>
          <w:rStyle w:val="26"/>
          <w:rFonts w:hint="eastAsia" w:ascii="仿宋" w:hAnsi="仿宋" w:eastAsia="仿宋"/>
          <w:b w:val="0"/>
          <w:bCs w:val="0"/>
          <w:caps w:val="0"/>
          <w:sz w:val="24"/>
          <w:szCs w:val="24"/>
        </w:rPr>
        <w:t xml:space="preserve"> 资金落实（</w:t>
      </w:r>
      <w:r>
        <w:rPr>
          <w:rStyle w:val="26"/>
          <w:rFonts w:ascii="仿宋" w:hAnsi="仿宋" w:eastAsia="仿宋"/>
          <w:b w:val="0"/>
          <w:bCs w:val="0"/>
          <w:caps w:val="0"/>
          <w:sz w:val="24"/>
          <w:szCs w:val="24"/>
        </w:rPr>
        <w:t>4</w:t>
      </w:r>
      <w:r>
        <w:rPr>
          <w:rStyle w:val="26"/>
          <w:rFonts w:hint="eastAsia" w:ascii="仿宋" w:hAnsi="仿宋" w:eastAsia="仿宋"/>
          <w:b w:val="0"/>
          <w:bCs w:val="0"/>
          <w:caps w:val="0"/>
          <w:sz w:val="24"/>
          <w:szCs w:val="24"/>
        </w:rPr>
        <w:t>分）</w:t>
      </w:r>
      <w:r>
        <w:rPr>
          <w:rFonts w:ascii="仿宋" w:hAnsi="仿宋" w:eastAsia="仿宋"/>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_Toc479518544 \h </w:instrText>
      </w:r>
      <w:r>
        <w:rPr>
          <w:rFonts w:ascii="仿宋" w:hAnsi="仿宋" w:eastAsia="仿宋"/>
          <w:b w:val="0"/>
          <w:sz w:val="24"/>
          <w:szCs w:val="24"/>
        </w:rPr>
        <w:fldChar w:fldCharType="separate"/>
      </w:r>
      <w:r>
        <w:rPr>
          <w:rFonts w:ascii="仿宋" w:hAnsi="仿宋" w:eastAsia="仿宋"/>
          <w:b w:val="0"/>
          <w:sz w:val="24"/>
          <w:szCs w:val="24"/>
        </w:rPr>
        <w:t>18</w:t>
      </w:r>
      <w:r>
        <w:rPr>
          <w:rFonts w:ascii="仿宋" w:hAnsi="仿宋" w:eastAsia="仿宋"/>
          <w:b w:val="0"/>
          <w:sz w:val="24"/>
          <w:szCs w:val="24"/>
        </w:rPr>
        <w:fldChar w:fldCharType="end"/>
      </w:r>
      <w:r>
        <w:rPr>
          <w:rFonts w:ascii="仿宋" w:hAnsi="仿宋" w:eastAsia="仿宋"/>
          <w:b w:val="0"/>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"_Toc479518545" </w:instrText>
      </w:r>
      <w:r>
        <w:fldChar w:fldCharType="separate"/>
      </w:r>
      <w:r>
        <w:rPr>
          <w:rStyle w:val="26"/>
          <w:rFonts w:hint="eastAsia" w:ascii="仿宋" w:hAnsi="仿宋" w:eastAsia="仿宋"/>
          <w:sz w:val="24"/>
          <w:szCs w:val="24"/>
        </w:rPr>
        <w:t>（二） 项目过程（</w:t>
      </w:r>
      <w:r>
        <w:rPr>
          <w:rStyle w:val="26"/>
          <w:rFonts w:ascii="仿宋" w:hAnsi="仿宋" w:eastAsia="仿宋"/>
          <w:sz w:val="24"/>
          <w:szCs w:val="24"/>
        </w:rPr>
        <w:t>25</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_Toc479518545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"_Toc479518546" </w:instrText>
      </w:r>
      <w:r>
        <w:fldChar w:fldCharType="separate"/>
      </w:r>
      <w:r>
        <w:rPr>
          <w:rStyle w:val="26"/>
          <w:rFonts w:ascii="仿宋" w:hAnsi="仿宋" w:eastAsia="仿宋"/>
          <w:sz w:val="24"/>
          <w:szCs w:val="24"/>
        </w:rPr>
        <w:t>1.</w:t>
      </w:r>
      <w:r>
        <w:rPr>
          <w:rStyle w:val="26"/>
          <w:rFonts w:hint="eastAsia" w:ascii="仿宋" w:hAnsi="仿宋" w:eastAsia="仿宋"/>
          <w:sz w:val="24"/>
          <w:szCs w:val="24"/>
        </w:rPr>
        <w:t xml:space="preserve"> 业务管理（</w:t>
      </w:r>
      <w:r>
        <w:rPr>
          <w:rStyle w:val="26"/>
          <w:rFonts w:ascii="仿宋" w:hAnsi="仿宋" w:eastAsia="仿宋"/>
          <w:sz w:val="24"/>
          <w:szCs w:val="24"/>
        </w:rPr>
        <w:t>10</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_Toc479518546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"_Toc479518547" </w:instrText>
      </w:r>
      <w:r>
        <w:fldChar w:fldCharType="separate"/>
      </w:r>
      <w:r>
        <w:rPr>
          <w:rStyle w:val="26"/>
          <w:rFonts w:hint="eastAsia" w:ascii="仿宋" w:hAnsi="仿宋" w:eastAsia="仿宋"/>
          <w:sz w:val="24"/>
          <w:szCs w:val="24"/>
        </w:rPr>
        <w:t>2．财务管理（</w:t>
      </w:r>
      <w:r>
        <w:rPr>
          <w:rStyle w:val="26"/>
          <w:rFonts w:ascii="仿宋" w:hAnsi="仿宋" w:eastAsia="仿宋"/>
          <w:sz w:val="24"/>
          <w:szCs w:val="24"/>
        </w:rPr>
        <w:t>15</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_Toc479518547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"_Toc479518548" </w:instrText>
      </w:r>
      <w:r>
        <w:fldChar w:fldCharType="separate"/>
      </w:r>
      <w:r>
        <w:rPr>
          <w:rStyle w:val="26"/>
          <w:rFonts w:hint="eastAsia" w:ascii="仿宋" w:hAnsi="仿宋" w:eastAsia="仿宋"/>
          <w:sz w:val="24"/>
          <w:szCs w:val="24"/>
        </w:rPr>
        <w:t>（三） 项目产出（</w:t>
      </w:r>
      <w:r>
        <w:rPr>
          <w:rStyle w:val="26"/>
          <w:rFonts w:ascii="仿宋" w:hAnsi="仿宋" w:eastAsia="仿宋"/>
          <w:sz w:val="24"/>
          <w:szCs w:val="24"/>
        </w:rPr>
        <w:t>25</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_Toc479518548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"_Toc479518549" </w:instrText>
      </w:r>
      <w:r>
        <w:fldChar w:fldCharType="separate"/>
      </w:r>
      <w:r>
        <w:rPr>
          <w:rStyle w:val="26"/>
          <w:rFonts w:hint="eastAsia" w:ascii="仿宋" w:hAnsi="仿宋" w:eastAsia="仿宋"/>
          <w:sz w:val="24"/>
          <w:szCs w:val="24"/>
        </w:rPr>
        <w:t>1．项目实际完成率（</w:t>
      </w:r>
      <w:r>
        <w:rPr>
          <w:rStyle w:val="26"/>
          <w:rFonts w:ascii="仿宋" w:hAnsi="仿宋" w:eastAsia="仿宋"/>
          <w:sz w:val="24"/>
          <w:szCs w:val="24"/>
        </w:rPr>
        <w:t>14</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_Toc479518549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"_Toc479518550" </w:instrText>
      </w:r>
      <w:r>
        <w:fldChar w:fldCharType="separate"/>
      </w:r>
      <w:r>
        <w:rPr>
          <w:rStyle w:val="26"/>
          <w:rFonts w:hint="eastAsia" w:ascii="仿宋" w:hAnsi="仿宋" w:eastAsia="仿宋"/>
          <w:sz w:val="24"/>
          <w:szCs w:val="24"/>
        </w:rPr>
        <w:t>2．完成及时率（</w:t>
      </w:r>
      <w:r>
        <w:rPr>
          <w:rStyle w:val="26"/>
          <w:rFonts w:ascii="仿宋" w:hAnsi="仿宋" w:eastAsia="仿宋"/>
          <w:sz w:val="24"/>
          <w:szCs w:val="24"/>
        </w:rPr>
        <w:t>4</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_Toc479518550 \h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"_Toc479518551" </w:instrText>
      </w:r>
      <w:r>
        <w:fldChar w:fldCharType="separate"/>
      </w:r>
      <w:r>
        <w:rPr>
          <w:rStyle w:val="26"/>
          <w:rFonts w:ascii="仿宋" w:hAnsi="仿宋" w:eastAsia="仿宋"/>
          <w:sz w:val="24"/>
          <w:szCs w:val="24"/>
        </w:rPr>
        <w:t>3.</w:t>
      </w:r>
      <w:r>
        <w:rPr>
          <w:rStyle w:val="26"/>
          <w:rFonts w:hint="eastAsia" w:ascii="仿宋" w:hAnsi="仿宋" w:eastAsia="仿宋"/>
          <w:sz w:val="24"/>
          <w:szCs w:val="24"/>
        </w:rPr>
        <w:t xml:space="preserve"> 质量达标率（</w:t>
      </w:r>
      <w:r>
        <w:rPr>
          <w:rStyle w:val="26"/>
          <w:rFonts w:ascii="仿宋" w:hAnsi="仿宋" w:eastAsia="仿宋"/>
          <w:sz w:val="24"/>
          <w:szCs w:val="24"/>
        </w:rPr>
        <w:t>4</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_Toc479518551 \h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"_Toc479518552" </w:instrText>
      </w:r>
      <w:r>
        <w:fldChar w:fldCharType="separate"/>
      </w:r>
      <w:r>
        <w:rPr>
          <w:rStyle w:val="26"/>
          <w:rFonts w:ascii="仿宋" w:hAnsi="仿宋" w:eastAsia="仿宋"/>
          <w:sz w:val="24"/>
          <w:szCs w:val="24"/>
        </w:rPr>
        <w:t xml:space="preserve">4. </w:t>
      </w:r>
      <w:r>
        <w:rPr>
          <w:rStyle w:val="26"/>
          <w:rFonts w:hint="eastAsia" w:ascii="仿宋" w:hAnsi="仿宋" w:eastAsia="仿宋"/>
          <w:sz w:val="24"/>
          <w:szCs w:val="24"/>
        </w:rPr>
        <w:t>成本节约率（</w:t>
      </w:r>
      <w:r>
        <w:rPr>
          <w:rStyle w:val="26"/>
          <w:rFonts w:ascii="仿宋" w:hAnsi="仿宋" w:eastAsia="仿宋"/>
          <w:sz w:val="24"/>
          <w:szCs w:val="24"/>
        </w:rPr>
        <w:t>3</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_Toc479518552 \h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"_Toc479518553" </w:instrText>
      </w:r>
      <w:r>
        <w:fldChar w:fldCharType="separate"/>
      </w:r>
      <w:r>
        <w:rPr>
          <w:rStyle w:val="26"/>
          <w:rFonts w:hint="eastAsia" w:ascii="仿宋" w:hAnsi="仿宋" w:eastAsia="仿宋"/>
          <w:sz w:val="24"/>
          <w:szCs w:val="24"/>
        </w:rPr>
        <w:t>（四） 项目效果（</w:t>
      </w:r>
      <w:r>
        <w:rPr>
          <w:rStyle w:val="26"/>
          <w:rFonts w:ascii="仿宋" w:hAnsi="仿宋" w:eastAsia="仿宋"/>
          <w:sz w:val="24"/>
          <w:szCs w:val="24"/>
        </w:rPr>
        <w:t>35</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_Toc479518553 \h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"_Toc479518554" </w:instrText>
      </w:r>
      <w:r>
        <w:fldChar w:fldCharType="separate"/>
      </w:r>
      <w:r>
        <w:rPr>
          <w:rStyle w:val="26"/>
          <w:rFonts w:ascii="仿宋" w:hAnsi="仿宋" w:eastAsia="仿宋"/>
          <w:sz w:val="24"/>
          <w:szCs w:val="24"/>
        </w:rPr>
        <w:t xml:space="preserve">1. </w:t>
      </w:r>
      <w:r>
        <w:rPr>
          <w:rStyle w:val="26"/>
          <w:rFonts w:hint="eastAsia" w:ascii="仿宋" w:hAnsi="仿宋" w:eastAsia="仿宋"/>
          <w:sz w:val="24"/>
          <w:szCs w:val="24"/>
        </w:rPr>
        <w:t>社会效益（</w:t>
      </w:r>
      <w:r>
        <w:rPr>
          <w:rStyle w:val="26"/>
          <w:rFonts w:ascii="仿宋" w:hAnsi="仿宋" w:eastAsia="仿宋"/>
          <w:sz w:val="24"/>
          <w:szCs w:val="24"/>
        </w:rPr>
        <w:t>15</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_Toc479518554 \h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"_Toc479518555" </w:instrText>
      </w:r>
      <w:r>
        <w:fldChar w:fldCharType="separate"/>
      </w:r>
      <w:r>
        <w:rPr>
          <w:rStyle w:val="26"/>
          <w:rFonts w:ascii="仿宋" w:hAnsi="仿宋" w:eastAsia="仿宋"/>
          <w:sz w:val="24"/>
          <w:szCs w:val="24"/>
        </w:rPr>
        <w:t xml:space="preserve">2. </w:t>
      </w:r>
      <w:r>
        <w:rPr>
          <w:rStyle w:val="26"/>
          <w:rFonts w:hint="eastAsia" w:ascii="仿宋" w:hAnsi="仿宋" w:eastAsia="仿宋"/>
          <w:sz w:val="24"/>
          <w:szCs w:val="24"/>
        </w:rPr>
        <w:t>可持续发展影响（</w:t>
      </w:r>
      <w:r>
        <w:rPr>
          <w:rStyle w:val="26"/>
          <w:rFonts w:ascii="仿宋" w:hAnsi="仿宋" w:eastAsia="仿宋"/>
          <w:sz w:val="24"/>
          <w:szCs w:val="24"/>
        </w:rPr>
        <w:t>10</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_Toc479518555 \h </w:instrText>
      </w:r>
      <w:r>
        <w:rPr>
          <w:rFonts w:ascii="仿宋" w:hAnsi="仿宋" w:eastAsia="仿宋"/>
          <w:sz w:val="24"/>
          <w:szCs w:val="24"/>
        </w:rPr>
        <w:fldChar w:fldCharType="separate"/>
      </w:r>
      <w:r>
        <w:rPr>
          <w:rFonts w:ascii="仿宋" w:hAnsi="仿宋" w:eastAsia="仿宋"/>
          <w:sz w:val="24"/>
          <w:szCs w:val="24"/>
        </w:rPr>
        <w:t>21</w:t>
      </w:r>
      <w:r>
        <w:rPr>
          <w:rFonts w:ascii="仿宋" w:hAnsi="仿宋" w:eastAsia="仿宋"/>
          <w:sz w:val="24"/>
          <w:szCs w:val="24"/>
        </w:rPr>
        <w:fldChar w:fldCharType="end"/>
      </w:r>
      <w:r>
        <w:rPr>
          <w:rFonts w:ascii="仿宋" w:hAnsi="仿宋" w:eastAsia="仿宋"/>
          <w:sz w:val="24"/>
          <w:szCs w:val="24"/>
        </w:rPr>
        <w:fldChar w:fldCharType="end"/>
      </w:r>
    </w:p>
    <w:p>
      <w:pPr>
        <w:pStyle w:val="16"/>
        <w:spacing w:line="440" w:lineRule="exact"/>
        <w:ind w:firstLine="560"/>
        <w:rPr>
          <w:rFonts w:ascii="仿宋" w:hAnsi="仿宋" w:eastAsia="仿宋" w:cstheme="minorBidi"/>
          <w:sz w:val="24"/>
          <w:szCs w:val="24"/>
        </w:rPr>
      </w:pPr>
      <w:r>
        <w:fldChar w:fldCharType="begin"/>
      </w:r>
      <w:r>
        <w:instrText xml:space="preserve"> HYPERLINK \l "_Toc479518556" </w:instrText>
      </w:r>
      <w:r>
        <w:fldChar w:fldCharType="separate"/>
      </w:r>
      <w:r>
        <w:rPr>
          <w:rStyle w:val="26"/>
          <w:rFonts w:ascii="仿宋" w:hAnsi="仿宋" w:eastAsia="仿宋"/>
          <w:sz w:val="24"/>
          <w:szCs w:val="24"/>
        </w:rPr>
        <w:t xml:space="preserve">3. </w:t>
      </w:r>
      <w:r>
        <w:rPr>
          <w:rStyle w:val="26"/>
          <w:rFonts w:hint="eastAsia" w:ascii="仿宋" w:hAnsi="仿宋" w:eastAsia="仿宋"/>
          <w:sz w:val="24"/>
          <w:szCs w:val="24"/>
        </w:rPr>
        <w:t>服务对象满意度（</w:t>
      </w:r>
      <w:r>
        <w:rPr>
          <w:rStyle w:val="26"/>
          <w:rFonts w:ascii="仿宋" w:hAnsi="仿宋" w:eastAsia="仿宋"/>
          <w:sz w:val="24"/>
          <w:szCs w:val="24"/>
        </w:rPr>
        <w:t>10</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_Toc479518556 \h </w:instrText>
      </w:r>
      <w:r>
        <w:rPr>
          <w:rFonts w:ascii="仿宋" w:hAnsi="仿宋" w:eastAsia="仿宋"/>
          <w:sz w:val="24"/>
          <w:szCs w:val="24"/>
        </w:rPr>
        <w:fldChar w:fldCharType="separate"/>
      </w:r>
      <w:r>
        <w:rPr>
          <w:rFonts w:ascii="仿宋" w:hAnsi="仿宋" w:eastAsia="仿宋"/>
          <w:sz w:val="24"/>
          <w:szCs w:val="24"/>
        </w:rPr>
        <w:t>21</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before="0" w:after="0" w:line="440" w:lineRule="exact"/>
        <w:ind w:firstLine="562"/>
        <w:rPr>
          <w:rFonts w:ascii="仿宋" w:hAnsi="仿宋" w:eastAsia="仿宋" w:cstheme="minorBidi"/>
          <w:b w:val="0"/>
          <w:bCs w:val="0"/>
          <w:caps w:val="0"/>
          <w:sz w:val="24"/>
          <w:szCs w:val="24"/>
        </w:rPr>
      </w:pPr>
      <w:r>
        <w:fldChar w:fldCharType="begin"/>
      </w:r>
      <w:r>
        <w:instrText xml:space="preserve"> HYPERLINK \l "_Toc479518557" </w:instrText>
      </w:r>
      <w:r>
        <w:fldChar w:fldCharType="separate"/>
      </w:r>
      <w:r>
        <w:rPr>
          <w:rStyle w:val="26"/>
          <w:rFonts w:hint="eastAsia" w:ascii="仿宋" w:hAnsi="仿宋" w:eastAsia="仿宋"/>
          <w:sz w:val="24"/>
          <w:szCs w:val="24"/>
        </w:rPr>
        <w:t>四、 评价结论</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_Toc479518557 \h </w:instrText>
      </w:r>
      <w:r>
        <w:rPr>
          <w:rFonts w:ascii="仿宋" w:hAnsi="仿宋" w:eastAsia="仿宋"/>
          <w:sz w:val="24"/>
          <w:szCs w:val="24"/>
        </w:rPr>
        <w:fldChar w:fldCharType="separate"/>
      </w:r>
      <w:r>
        <w:rPr>
          <w:rFonts w:ascii="仿宋" w:hAnsi="仿宋" w:eastAsia="仿宋"/>
          <w:sz w:val="24"/>
          <w:szCs w:val="24"/>
        </w:rPr>
        <w:t>21</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"_Toc479518558" </w:instrText>
      </w:r>
      <w:r>
        <w:fldChar w:fldCharType="separate"/>
      </w:r>
      <w:r>
        <w:rPr>
          <w:rStyle w:val="26"/>
          <w:rFonts w:hint="eastAsia" w:ascii="仿宋" w:hAnsi="仿宋" w:eastAsia="仿宋"/>
          <w:sz w:val="24"/>
          <w:szCs w:val="24"/>
        </w:rPr>
        <w:t>（一） 评分结果</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_Toc479518558 \h </w:instrText>
      </w:r>
      <w:r>
        <w:rPr>
          <w:rFonts w:ascii="仿宋" w:hAnsi="仿宋" w:eastAsia="仿宋"/>
          <w:sz w:val="24"/>
          <w:szCs w:val="24"/>
        </w:rPr>
        <w:fldChar w:fldCharType="separate"/>
      </w:r>
      <w:r>
        <w:rPr>
          <w:rFonts w:ascii="仿宋" w:hAnsi="仿宋" w:eastAsia="仿宋"/>
          <w:sz w:val="24"/>
          <w:szCs w:val="24"/>
        </w:rPr>
        <w:t>21</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"_Toc479518559" </w:instrText>
      </w:r>
      <w:r>
        <w:fldChar w:fldCharType="separate"/>
      </w:r>
      <w:r>
        <w:rPr>
          <w:rStyle w:val="26"/>
          <w:rFonts w:hint="eastAsia" w:ascii="仿宋" w:hAnsi="仿宋" w:eastAsia="仿宋"/>
          <w:sz w:val="24"/>
          <w:szCs w:val="24"/>
        </w:rPr>
        <w:t>（二） 主要结论</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_Toc479518559 \h </w:instrText>
      </w:r>
      <w:r>
        <w:rPr>
          <w:rFonts w:ascii="仿宋" w:hAnsi="仿宋" w:eastAsia="仿宋"/>
          <w:sz w:val="24"/>
          <w:szCs w:val="24"/>
        </w:rPr>
        <w:fldChar w:fldCharType="separate"/>
      </w:r>
      <w:r>
        <w:rPr>
          <w:rFonts w:ascii="仿宋" w:hAnsi="仿宋" w:eastAsia="仿宋"/>
          <w:sz w:val="24"/>
          <w:szCs w:val="24"/>
        </w:rPr>
        <w:t>22</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before="0" w:after="0" w:line="440" w:lineRule="exact"/>
        <w:ind w:firstLine="562"/>
        <w:rPr>
          <w:rFonts w:ascii="仿宋" w:hAnsi="仿宋" w:eastAsia="仿宋" w:cstheme="minorBidi"/>
          <w:b w:val="0"/>
          <w:bCs w:val="0"/>
          <w:caps w:val="0"/>
          <w:sz w:val="24"/>
          <w:szCs w:val="24"/>
        </w:rPr>
      </w:pPr>
      <w:r>
        <w:fldChar w:fldCharType="begin"/>
      </w:r>
      <w:r>
        <w:instrText xml:space="preserve"> HYPERLINK \l "_Toc479518560" </w:instrText>
      </w:r>
      <w:r>
        <w:fldChar w:fldCharType="separate"/>
      </w:r>
      <w:r>
        <w:rPr>
          <w:rStyle w:val="26"/>
          <w:rFonts w:hint="eastAsia" w:ascii="仿宋" w:hAnsi="仿宋" w:eastAsia="仿宋"/>
          <w:sz w:val="24"/>
          <w:szCs w:val="24"/>
        </w:rPr>
        <w:t>五、 主要经验及做法、存在的问题和建议</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_Toc479518560 \h </w:instrText>
      </w:r>
      <w:r>
        <w:rPr>
          <w:rFonts w:ascii="仿宋" w:hAnsi="仿宋" w:eastAsia="仿宋"/>
          <w:sz w:val="24"/>
          <w:szCs w:val="24"/>
        </w:rPr>
        <w:fldChar w:fldCharType="separate"/>
      </w:r>
      <w:r>
        <w:rPr>
          <w:rFonts w:ascii="仿宋" w:hAnsi="仿宋" w:eastAsia="仿宋"/>
          <w:sz w:val="24"/>
          <w:szCs w:val="24"/>
        </w:rPr>
        <w:t>22</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"_Toc479518561" </w:instrText>
      </w:r>
      <w:r>
        <w:fldChar w:fldCharType="separate"/>
      </w:r>
      <w:r>
        <w:rPr>
          <w:rStyle w:val="26"/>
          <w:rFonts w:hint="eastAsia" w:ascii="仿宋" w:hAnsi="仿宋" w:eastAsia="仿宋"/>
          <w:sz w:val="24"/>
          <w:szCs w:val="24"/>
        </w:rPr>
        <w:t>（一） 主要经验及做法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_Toc479518561 \h </w:instrText>
      </w:r>
      <w:r>
        <w:rPr>
          <w:rFonts w:ascii="仿宋" w:hAnsi="仿宋" w:eastAsia="仿宋"/>
          <w:sz w:val="24"/>
          <w:szCs w:val="24"/>
        </w:rPr>
        <w:fldChar w:fldCharType="separate"/>
      </w:r>
      <w:r>
        <w:rPr>
          <w:rFonts w:ascii="仿宋" w:hAnsi="仿宋" w:eastAsia="仿宋"/>
          <w:sz w:val="24"/>
          <w:szCs w:val="24"/>
        </w:rPr>
        <w:t>22</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"_Toc479518562" </w:instrText>
      </w:r>
      <w:r>
        <w:fldChar w:fldCharType="separate"/>
      </w:r>
      <w:r>
        <w:rPr>
          <w:rStyle w:val="26"/>
          <w:rFonts w:hint="eastAsia" w:ascii="仿宋" w:hAnsi="仿宋" w:eastAsia="仿宋"/>
          <w:sz w:val="24"/>
          <w:szCs w:val="24"/>
        </w:rPr>
        <w:t>（二） 存在的问题</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_Toc479518562 \h </w:instrText>
      </w:r>
      <w:r>
        <w:rPr>
          <w:rFonts w:ascii="仿宋" w:hAnsi="仿宋" w:eastAsia="仿宋"/>
          <w:sz w:val="24"/>
          <w:szCs w:val="24"/>
        </w:rPr>
        <w:fldChar w:fldCharType="separate"/>
      </w:r>
      <w:r>
        <w:rPr>
          <w:rFonts w:ascii="仿宋" w:hAnsi="仿宋" w:eastAsia="仿宋"/>
          <w:sz w:val="24"/>
          <w:szCs w:val="24"/>
        </w:rPr>
        <w:t>22</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"_Toc479518563" </w:instrText>
      </w:r>
      <w:r>
        <w:fldChar w:fldCharType="separate"/>
      </w:r>
      <w:r>
        <w:rPr>
          <w:rStyle w:val="26"/>
          <w:rFonts w:hint="eastAsia" w:ascii="仿宋" w:hAnsi="仿宋" w:eastAsia="仿宋"/>
          <w:sz w:val="24"/>
          <w:szCs w:val="24"/>
        </w:rPr>
        <w:t>（三） 建议</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_Toc479518563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before="0" w:after="0" w:line="440" w:lineRule="exact"/>
        <w:ind w:firstLine="562"/>
        <w:rPr>
          <w:rFonts w:ascii="仿宋" w:hAnsi="仿宋" w:eastAsia="仿宋" w:cstheme="minorBidi"/>
          <w:b w:val="0"/>
          <w:bCs w:val="0"/>
          <w:caps w:val="0"/>
          <w:sz w:val="24"/>
          <w:szCs w:val="24"/>
        </w:rPr>
      </w:pPr>
      <w:r>
        <w:fldChar w:fldCharType="begin"/>
      </w:r>
      <w:r>
        <w:instrText xml:space="preserve"> HYPERLINK \l "_Toc479518564" </w:instrText>
      </w:r>
      <w:r>
        <w:fldChar w:fldCharType="separate"/>
      </w:r>
      <w:r>
        <w:rPr>
          <w:rStyle w:val="26"/>
          <w:rFonts w:hint="eastAsia" w:ascii="仿宋" w:hAnsi="仿宋" w:eastAsia="仿宋"/>
          <w:sz w:val="24"/>
          <w:szCs w:val="24"/>
        </w:rPr>
        <w:t>六、 其他需说明的问题</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_Toc479518564 \h </w:instrText>
      </w:r>
      <w:r>
        <w:rPr>
          <w:rFonts w:ascii="仿宋" w:hAnsi="仿宋" w:eastAsia="仿宋"/>
          <w:sz w:val="24"/>
          <w:szCs w:val="24"/>
        </w:rPr>
        <w:fldChar w:fldCharType="separate"/>
      </w:r>
      <w:r>
        <w:rPr>
          <w:rFonts w:ascii="仿宋" w:hAnsi="仿宋" w:eastAsia="仿宋"/>
          <w:sz w:val="24"/>
          <w:szCs w:val="24"/>
        </w:rPr>
        <w:t>24</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"_Toc479518565" </w:instrText>
      </w:r>
      <w:r>
        <w:fldChar w:fldCharType="separate"/>
      </w:r>
      <w:r>
        <w:rPr>
          <w:rStyle w:val="26"/>
          <w:rFonts w:hint="eastAsia" w:ascii="仿宋" w:hAnsi="仿宋" w:eastAsia="仿宋"/>
          <w:sz w:val="24"/>
          <w:szCs w:val="24"/>
        </w:rPr>
        <w:t>（一） 关于评价责任的说明</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_Toc479518565 \h </w:instrText>
      </w:r>
      <w:r>
        <w:rPr>
          <w:rFonts w:ascii="仿宋" w:hAnsi="仿宋" w:eastAsia="仿宋"/>
          <w:sz w:val="24"/>
          <w:szCs w:val="24"/>
        </w:rPr>
        <w:fldChar w:fldCharType="separate"/>
      </w:r>
      <w:r>
        <w:rPr>
          <w:rFonts w:ascii="仿宋" w:hAnsi="仿宋" w:eastAsia="仿宋"/>
          <w:sz w:val="24"/>
          <w:szCs w:val="24"/>
        </w:rPr>
        <w:t>24</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smallCaps w:val="0"/>
          <w:sz w:val="24"/>
          <w:szCs w:val="24"/>
        </w:rPr>
      </w:pPr>
      <w:r>
        <w:fldChar w:fldCharType="begin"/>
      </w:r>
      <w:r>
        <w:instrText xml:space="preserve"> HYPERLINK \l "_Toc479518566" </w:instrText>
      </w:r>
      <w:r>
        <w:fldChar w:fldCharType="separate"/>
      </w:r>
      <w:r>
        <w:rPr>
          <w:rStyle w:val="26"/>
          <w:rFonts w:hint="eastAsia" w:ascii="仿宋" w:hAnsi="仿宋" w:eastAsia="仿宋"/>
          <w:sz w:val="24"/>
          <w:szCs w:val="24"/>
        </w:rPr>
        <w:t>（二） 关于影响本项目绩效评价局限性的说明</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_Toc479518566 \h </w:instrText>
      </w:r>
      <w:r>
        <w:rPr>
          <w:rFonts w:ascii="仿宋" w:hAnsi="仿宋" w:eastAsia="仿宋"/>
          <w:sz w:val="24"/>
          <w:szCs w:val="24"/>
        </w:rPr>
        <w:fldChar w:fldCharType="separate"/>
      </w:r>
      <w:r>
        <w:rPr>
          <w:rFonts w:ascii="仿宋" w:hAnsi="仿宋" w:eastAsia="仿宋"/>
          <w:sz w:val="24"/>
          <w:szCs w:val="24"/>
        </w:rPr>
        <w:t>24</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440" w:lineRule="exact"/>
        <w:ind w:firstLine="560"/>
        <w:rPr>
          <w:rFonts w:ascii="仿宋" w:hAnsi="仿宋" w:eastAsia="仿宋" w:cstheme="minorBidi"/>
          <w:b/>
          <w:smallCaps w:val="0"/>
          <w:sz w:val="24"/>
          <w:szCs w:val="24"/>
        </w:rPr>
      </w:pPr>
      <w:r>
        <w:fldChar w:fldCharType="begin"/>
      </w:r>
      <w:r>
        <w:instrText xml:space="preserve"> HYPERLINK \l "_Toc479518567" </w:instrText>
      </w:r>
      <w:r>
        <w:fldChar w:fldCharType="separate"/>
      </w:r>
      <w:r>
        <w:rPr>
          <w:rStyle w:val="26"/>
          <w:rFonts w:hint="eastAsia" w:ascii="仿宋" w:hAnsi="仿宋" w:eastAsia="仿宋"/>
          <w:sz w:val="24"/>
          <w:szCs w:val="24"/>
        </w:rPr>
        <w:t>（三） 提示报告使用者注意事项的说明</w:t>
      </w:r>
      <w:r>
        <w:rPr>
          <w:rFonts w:ascii="仿宋" w:hAnsi="仿宋" w:eastAsia="仿宋"/>
          <w:b/>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_Toc479518567 \h </w:instrText>
      </w:r>
      <w:r>
        <w:rPr>
          <w:rFonts w:ascii="仿宋" w:hAnsi="仿宋" w:eastAsia="仿宋"/>
          <w:sz w:val="24"/>
          <w:szCs w:val="24"/>
        </w:rPr>
        <w:fldChar w:fldCharType="separate"/>
      </w:r>
      <w:r>
        <w:rPr>
          <w:rFonts w:ascii="仿宋" w:hAnsi="仿宋" w:eastAsia="仿宋"/>
          <w:sz w:val="24"/>
          <w:szCs w:val="24"/>
        </w:rPr>
        <w:t>24</w:t>
      </w:r>
      <w:r>
        <w:rPr>
          <w:rFonts w:ascii="仿宋" w:hAnsi="仿宋" w:eastAsia="仿宋"/>
          <w:sz w:val="24"/>
          <w:szCs w:val="24"/>
        </w:rPr>
        <w:fldChar w:fldCharType="end"/>
      </w:r>
      <w:r>
        <w:rPr>
          <w:rFonts w:ascii="仿宋" w:hAnsi="仿宋" w:eastAsia="仿宋"/>
          <w:sz w:val="24"/>
          <w:szCs w:val="24"/>
        </w:rPr>
        <w:fldChar w:fldCharType="end"/>
      </w:r>
    </w:p>
    <w:p>
      <w:pPr>
        <w:adjustRightInd w:val="0"/>
        <w:snapToGrid w:val="0"/>
        <w:spacing w:line="440" w:lineRule="exact"/>
        <w:ind w:firstLine="0" w:firstLineChars="0"/>
        <w:jc w:val="left"/>
        <w:rPr>
          <w:rFonts w:ascii="仿宋" w:hAnsi="仿宋" w:eastAsia="仿宋" w:cs="Arial Narrow"/>
        </w:rPr>
        <w:sectPr>
          <w:footerReference r:id="rId9" w:type="default"/>
          <w:pgSz w:w="11906" w:h="16838"/>
          <w:pgMar w:top="1134" w:right="1406" w:bottom="850" w:left="1797" w:header="850" w:footer="850" w:gutter="0"/>
          <w:pgNumType w:start="1"/>
          <w:cols w:space="0" w:num="1"/>
          <w:docGrid w:type="lines" w:linePitch="408" w:charSpace="0"/>
        </w:sectPr>
      </w:pPr>
      <w:r>
        <w:rPr>
          <w:rFonts w:hint="eastAsia" w:ascii="仿宋" w:hAnsi="仿宋" w:eastAsia="仿宋" w:cs="仿宋"/>
        </w:rPr>
        <w:fldChar w:fldCharType="end"/>
      </w:r>
    </w:p>
    <w:p>
      <w:pPr>
        <w:pStyle w:val="2"/>
        <w:spacing w:line="760" w:lineRule="exact"/>
        <w:ind w:firstLine="3767" w:firstLineChars="1340"/>
        <w:rPr>
          <w:rFonts w:ascii="仿宋" w:hAnsi="仿宋" w:eastAsia="仿宋"/>
        </w:rPr>
      </w:pPr>
      <w:bookmarkStart w:id="2" w:name="_Toc406668024"/>
      <w:bookmarkStart w:id="3" w:name="_Toc5048"/>
      <w:bookmarkStart w:id="4" w:name="_Toc479518519"/>
      <w:bookmarkStart w:id="5" w:name="_Toc406666351"/>
      <w:r>
        <w:rPr>
          <w:rFonts w:ascii="仿宋" w:hAnsi="仿宋" w:eastAsia="仿宋"/>
        </w:rPr>
        <w:t>前言</w:t>
      </w:r>
      <w:bookmarkEnd w:id="2"/>
      <w:bookmarkEnd w:id="3"/>
      <w:bookmarkEnd w:id="4"/>
      <w:bookmarkEnd w:id="5"/>
    </w:p>
    <w:p>
      <w:pPr>
        <w:snapToGrid w:val="0"/>
        <w:spacing w:line="760" w:lineRule="exact"/>
        <w:ind w:firstLine="480"/>
        <w:rPr>
          <w:rFonts w:ascii="仿宋" w:hAnsi="仿宋" w:eastAsia="仿宋"/>
        </w:rPr>
      </w:pPr>
      <w:r>
        <w:rPr>
          <w:rFonts w:ascii="仿宋" w:hAnsi="仿宋" w:eastAsia="仿宋"/>
        </w:rPr>
        <w:t>为全面了解201</w:t>
      </w:r>
      <w:r>
        <w:rPr>
          <w:rFonts w:hint="eastAsia" w:ascii="仿宋" w:hAnsi="仿宋" w:eastAsia="仿宋"/>
        </w:rPr>
        <w:t>7</w:t>
      </w:r>
      <w:r>
        <w:rPr>
          <w:rFonts w:ascii="仿宋" w:hAnsi="仿宋" w:eastAsia="仿宋"/>
        </w:rPr>
        <w:t>年度</w:t>
      </w:r>
      <w:r>
        <w:rPr>
          <w:rFonts w:hint="eastAsia" w:ascii="仿宋" w:hAnsi="仿宋" w:eastAsia="仿宋"/>
        </w:rPr>
        <w:t>教育信息化建设经费项目</w:t>
      </w:r>
      <w:r>
        <w:rPr>
          <w:rFonts w:ascii="仿宋" w:hAnsi="仿宋" w:eastAsia="仿宋"/>
        </w:rPr>
        <w:t>的实施情况和实施效果，同时为以后年度该项目的开展提供参考，</w:t>
      </w:r>
      <w:r>
        <w:rPr>
          <w:rFonts w:hint="eastAsia" w:ascii="仿宋" w:hAnsi="仿宋" w:eastAsia="仿宋"/>
        </w:rPr>
        <w:t>武汉市武昌区教育局（以下简称“武昌区教育局”）</w:t>
      </w:r>
      <w:r>
        <w:rPr>
          <w:rFonts w:ascii="仿宋" w:hAnsi="仿宋" w:eastAsia="仿宋"/>
        </w:rPr>
        <w:t>组织了201</w:t>
      </w:r>
      <w:r>
        <w:rPr>
          <w:rFonts w:hint="eastAsia" w:ascii="仿宋" w:hAnsi="仿宋" w:eastAsia="仿宋"/>
        </w:rPr>
        <w:t>7</w:t>
      </w:r>
      <w:r>
        <w:rPr>
          <w:rFonts w:ascii="仿宋" w:hAnsi="仿宋" w:eastAsia="仿宋"/>
        </w:rPr>
        <w:t>年度</w:t>
      </w:r>
      <w:r>
        <w:rPr>
          <w:rFonts w:hint="eastAsia" w:ascii="仿宋" w:hAnsi="仿宋" w:eastAsia="仿宋"/>
        </w:rPr>
        <w:t>教育信息化建设经费项目</w:t>
      </w:r>
      <w:r>
        <w:rPr>
          <w:rFonts w:ascii="仿宋" w:hAnsi="仿宋" w:eastAsia="仿宋"/>
        </w:rPr>
        <w:t>绩效评价工作。</w:t>
      </w:r>
    </w:p>
    <w:p>
      <w:pPr>
        <w:snapToGrid w:val="0"/>
        <w:spacing w:line="760" w:lineRule="exact"/>
        <w:ind w:firstLine="480"/>
        <w:rPr>
          <w:rFonts w:ascii="仿宋" w:hAnsi="仿宋" w:eastAsia="仿宋"/>
        </w:rPr>
      </w:pPr>
      <w:r>
        <w:rPr>
          <w:rFonts w:ascii="仿宋" w:hAnsi="仿宋" w:eastAsia="仿宋"/>
        </w:rPr>
        <w:t>湖北</w:t>
      </w:r>
      <w:r>
        <w:rPr>
          <w:rFonts w:hint="eastAsia" w:ascii="仿宋" w:hAnsi="仿宋" w:eastAsia="仿宋"/>
        </w:rPr>
        <w:t>普华立信</w:t>
      </w:r>
      <w:r>
        <w:rPr>
          <w:rFonts w:ascii="仿宋" w:hAnsi="仿宋" w:eastAsia="仿宋"/>
        </w:rPr>
        <w:t>会计师事务有限公司受</w:t>
      </w:r>
      <w:r>
        <w:rPr>
          <w:rFonts w:hint="eastAsia" w:ascii="仿宋" w:hAnsi="仿宋" w:eastAsia="仿宋"/>
        </w:rPr>
        <w:t>武昌区财政局</w:t>
      </w:r>
      <w:r>
        <w:rPr>
          <w:rFonts w:ascii="仿宋" w:hAnsi="仿宋" w:eastAsia="仿宋"/>
        </w:rPr>
        <w:t>委托，依照财政部《财政支出绩效评价管理暂行办法》（财预[2011]285号文件）、湖北省财政厅《湖北省省级财政项目资金绩效评价实施暂行办法》（鄂财绩发[2012]5号文件）、《湖北省财政项目资金绩效评价操作指南》（鄂财函[2014]376号）</w:t>
      </w:r>
      <w:r>
        <w:rPr>
          <w:rFonts w:hint="eastAsia" w:ascii="仿宋" w:hAnsi="仿宋" w:eastAsia="仿宋"/>
        </w:rPr>
        <w:t>和武昌区财政局《武昌区财政支出绩效评价管理暂行办法》</w:t>
      </w:r>
      <w:r>
        <w:rPr>
          <w:rFonts w:ascii="仿宋" w:hAnsi="仿宋" w:eastAsia="仿宋"/>
        </w:rPr>
        <w:t>的规定和要求，秉承第三方评价应遵循的客观、公平、公正原则，运用科学、合理的评价方法，实施了充分、必要的评价程序，进而形成了比较客观、公允的评价结论，形成本绩效评价报告。</w:t>
      </w:r>
    </w:p>
    <w:p>
      <w:pPr>
        <w:tabs>
          <w:tab w:val="left" w:pos="1985"/>
        </w:tabs>
        <w:snapToGrid w:val="0"/>
        <w:spacing w:line="760" w:lineRule="exact"/>
        <w:ind w:firstLine="480"/>
        <w:rPr>
          <w:rFonts w:ascii="仿宋" w:hAnsi="仿宋" w:eastAsia="仿宋"/>
        </w:rPr>
      </w:pPr>
      <w:r>
        <w:rPr>
          <w:rFonts w:ascii="仿宋" w:hAnsi="仿宋" w:eastAsia="仿宋"/>
        </w:rPr>
        <w:t>湖北</w:t>
      </w:r>
      <w:r>
        <w:rPr>
          <w:rFonts w:hint="eastAsia" w:ascii="仿宋" w:hAnsi="仿宋" w:eastAsia="仿宋"/>
        </w:rPr>
        <w:t>普华立信</w:t>
      </w:r>
      <w:r>
        <w:rPr>
          <w:rFonts w:ascii="仿宋" w:hAnsi="仿宋" w:eastAsia="仿宋"/>
        </w:rPr>
        <w:t>会计师事务有限公司实施的本项目绩效评价工作是在</w:t>
      </w:r>
      <w:r>
        <w:rPr>
          <w:rFonts w:hint="eastAsia" w:ascii="仿宋" w:hAnsi="仿宋" w:eastAsia="仿宋"/>
        </w:rPr>
        <w:t>武昌区财政局组织</w:t>
      </w:r>
      <w:r>
        <w:rPr>
          <w:rFonts w:ascii="仿宋" w:hAnsi="仿宋" w:eastAsia="仿宋"/>
        </w:rPr>
        <w:t>、</w:t>
      </w:r>
      <w:r>
        <w:rPr>
          <w:rFonts w:hint="eastAsia" w:ascii="仿宋" w:hAnsi="仿宋" w:eastAsia="仿宋"/>
        </w:rPr>
        <w:t>武昌区教育局</w:t>
      </w:r>
      <w:r>
        <w:rPr>
          <w:rFonts w:ascii="仿宋" w:hAnsi="仿宋" w:eastAsia="仿宋"/>
        </w:rPr>
        <w:t>配合下完成的，</w:t>
      </w:r>
      <w:r>
        <w:rPr>
          <w:rFonts w:hint="eastAsia" w:ascii="仿宋" w:hAnsi="仿宋" w:eastAsia="仿宋"/>
        </w:rPr>
        <w:t>武昌区教育局及其相关部门</w:t>
      </w:r>
      <w:r>
        <w:rPr>
          <w:rFonts w:ascii="仿宋" w:hAnsi="仿宋" w:eastAsia="仿宋"/>
        </w:rPr>
        <w:t>的支持和配合保障了本项目绩效评价工作的顺利实施。</w:t>
      </w: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pStyle w:val="2"/>
        <w:numPr>
          <w:ilvl w:val="0"/>
          <w:numId w:val="2"/>
        </w:numPr>
        <w:spacing w:line="444" w:lineRule="exact"/>
        <w:ind w:firstLine="562" w:firstLineChars="200"/>
        <w:rPr>
          <w:rFonts w:ascii="仿宋" w:hAnsi="仿宋" w:eastAsia="仿宋"/>
        </w:rPr>
      </w:pPr>
      <w:bookmarkStart w:id="6" w:name="_Toc479518520"/>
      <w:bookmarkStart w:id="7" w:name="_Toc361304672"/>
      <w:bookmarkStart w:id="8" w:name="_Toc387957799"/>
      <w:bookmarkStart w:id="9" w:name="_Toc387957800"/>
      <w:bookmarkStart w:id="10" w:name="_Toc361304673"/>
      <w:r>
        <w:rPr>
          <w:rFonts w:hint="eastAsia" w:ascii="仿宋" w:hAnsi="仿宋" w:eastAsia="仿宋"/>
        </w:rPr>
        <w:t>项目基本情况</w:t>
      </w:r>
      <w:bookmarkEnd w:id="6"/>
    </w:p>
    <w:p>
      <w:pPr>
        <w:pStyle w:val="3"/>
        <w:numPr>
          <w:ilvl w:val="0"/>
          <w:numId w:val="3"/>
        </w:numPr>
        <w:spacing w:line="440" w:lineRule="exact"/>
        <w:ind w:firstLine="482"/>
        <w:rPr>
          <w:rFonts w:ascii="仿宋" w:hAnsi="仿宋" w:eastAsia="仿宋"/>
          <w:sz w:val="24"/>
        </w:rPr>
      </w:pPr>
      <w:bookmarkStart w:id="11" w:name="_Toc479518521"/>
      <w:r>
        <w:rPr>
          <w:rFonts w:hint="eastAsia" w:ascii="仿宋" w:hAnsi="仿宋" w:eastAsia="仿宋"/>
          <w:sz w:val="24"/>
        </w:rPr>
        <w:t>项目概况</w:t>
      </w:r>
      <w:bookmarkEnd w:id="11"/>
    </w:p>
    <w:p>
      <w:pPr>
        <w:pStyle w:val="21"/>
        <w:numPr>
          <w:ilvl w:val="0"/>
          <w:numId w:val="4"/>
        </w:numPr>
        <w:spacing w:line="440" w:lineRule="exact"/>
        <w:ind w:firstLine="482"/>
        <w:outlineLvl w:val="2"/>
        <w:rPr>
          <w:rFonts w:ascii="仿宋" w:hAnsi="仿宋" w:eastAsia="仿宋"/>
          <w:b/>
        </w:rPr>
      </w:pPr>
      <w:bookmarkStart w:id="12" w:name="_Toc479518522"/>
      <w:r>
        <w:rPr>
          <w:rFonts w:hint="eastAsia" w:ascii="仿宋" w:hAnsi="仿宋" w:eastAsia="仿宋"/>
          <w:b/>
        </w:rPr>
        <w:t>项目立项</w:t>
      </w:r>
      <w:r>
        <w:rPr>
          <w:rFonts w:ascii="仿宋" w:hAnsi="仿宋" w:eastAsia="仿宋"/>
          <w:b/>
        </w:rPr>
        <w:t>背景</w:t>
      </w:r>
      <w:bookmarkEnd w:id="7"/>
      <w:bookmarkEnd w:id="8"/>
      <w:bookmarkEnd w:id="12"/>
    </w:p>
    <w:p>
      <w:pPr>
        <w:pStyle w:val="43"/>
        <w:numPr>
          <w:ilvl w:val="1"/>
          <w:numId w:val="5"/>
        </w:numPr>
        <w:snapToGrid w:val="0"/>
        <w:spacing w:line="440" w:lineRule="exact"/>
        <w:ind w:firstLineChars="0"/>
        <w:rPr>
          <w:rFonts w:ascii="仿宋" w:hAnsi="仿宋" w:eastAsia="仿宋" w:cs="Arial Narrow"/>
        </w:rPr>
      </w:pPr>
      <w:r>
        <w:rPr>
          <w:rFonts w:hint="eastAsia" w:ascii="仿宋" w:hAnsi="仿宋" w:eastAsia="仿宋" w:cs="Arial Narrow"/>
        </w:rPr>
        <w:t>项目立项依据</w:t>
      </w:r>
    </w:p>
    <w:p>
      <w:pPr>
        <w:pStyle w:val="43"/>
        <w:numPr>
          <w:ilvl w:val="0"/>
          <w:numId w:val="6"/>
        </w:numPr>
        <w:snapToGrid w:val="0"/>
        <w:spacing w:line="440" w:lineRule="exact"/>
        <w:ind w:firstLineChars="0"/>
        <w:rPr>
          <w:rFonts w:ascii="仿宋" w:hAnsi="仿宋" w:eastAsia="仿宋" w:cs="Arial Narrow"/>
        </w:rPr>
      </w:pPr>
      <w:r>
        <w:rPr>
          <w:rFonts w:hint="eastAsia" w:ascii="仿宋" w:hAnsi="仿宋" w:eastAsia="仿宋" w:cs="Arial Narrow"/>
          <w:vanish/>
        </w:rPr>
        <w:t>①</w:t>
      </w:r>
      <w:r>
        <w:rPr>
          <w:rFonts w:hint="eastAsia" w:ascii="仿宋" w:hAnsi="仿宋" w:eastAsia="仿宋" w:cs="Arial Narrow"/>
        </w:rPr>
        <w:t>教育部《教育信息化十年发展规划（2011-2020）》；</w:t>
      </w:r>
    </w:p>
    <w:p>
      <w:pPr>
        <w:pStyle w:val="43"/>
        <w:numPr>
          <w:ilvl w:val="0"/>
          <w:numId w:val="6"/>
        </w:numPr>
        <w:snapToGrid w:val="0"/>
        <w:spacing w:line="440" w:lineRule="exact"/>
        <w:ind w:firstLineChars="0"/>
        <w:rPr>
          <w:rFonts w:ascii="仿宋" w:hAnsi="仿宋" w:eastAsia="仿宋" w:cs="Arial Narrow"/>
        </w:rPr>
      </w:pPr>
      <w:r>
        <w:rPr>
          <w:rFonts w:hint="eastAsia" w:ascii="仿宋" w:hAnsi="仿宋" w:eastAsia="仿宋" w:cs="Arial Narrow"/>
          <w:vanish/>
        </w:rPr>
        <w:t>教育部教育部</w:t>
      </w:r>
      <w:r>
        <w:rPr>
          <w:rFonts w:hint="eastAsia" w:ascii="仿宋" w:hAnsi="仿宋" w:eastAsia="仿宋" w:cs="Arial Narrow"/>
        </w:rPr>
        <w:t>教育部关于印发《教育信息化“十三五”规划》的通知；</w:t>
      </w:r>
    </w:p>
    <w:p>
      <w:pPr>
        <w:pStyle w:val="43"/>
        <w:numPr>
          <w:ilvl w:val="0"/>
          <w:numId w:val="6"/>
        </w:numPr>
        <w:snapToGrid w:val="0"/>
        <w:spacing w:line="440" w:lineRule="exact"/>
        <w:ind w:firstLineChars="0"/>
        <w:rPr>
          <w:rFonts w:ascii="仿宋" w:hAnsi="仿宋" w:eastAsia="仿宋" w:cs="Arial Narrow"/>
        </w:rPr>
      </w:pPr>
      <w:r>
        <w:rPr>
          <w:rFonts w:hint="eastAsia" w:ascii="仿宋" w:hAnsi="仿宋" w:eastAsia="仿宋" w:cs="Arial Narrow"/>
        </w:rPr>
        <w:t>《武汉市教育云示范工程实施方案》；</w:t>
      </w:r>
    </w:p>
    <w:p>
      <w:pPr>
        <w:snapToGrid w:val="0"/>
        <w:spacing w:line="440" w:lineRule="exact"/>
        <w:ind w:firstLine="480"/>
        <w:rPr>
          <w:rFonts w:ascii="仿宋" w:hAnsi="仿宋" w:eastAsia="仿宋" w:cs="Arial Narrow"/>
        </w:rPr>
      </w:pPr>
      <w:r>
        <w:rPr>
          <w:rFonts w:hint="eastAsia" w:ascii="仿宋" w:hAnsi="仿宋" w:eastAsia="仿宋" w:cs="Arial Narrow"/>
        </w:rPr>
        <w:t>④《市人</w:t>
      </w:r>
      <w:r>
        <w:rPr>
          <w:rFonts w:hint="eastAsia" w:ascii="仿宋" w:hAnsi="仿宋" w:eastAsia="仿宋" w:cs="Arial Narrow"/>
          <w:lang w:val="en-US" w:eastAsia="zh-CN"/>
        </w:rPr>
        <w:t>民</w:t>
      </w:r>
      <w:bookmarkStart w:id="181" w:name="_GoBack"/>
      <w:bookmarkEnd w:id="181"/>
      <w:r>
        <w:rPr>
          <w:rFonts w:hint="eastAsia" w:ascii="仿宋" w:hAnsi="仿宋" w:eastAsia="仿宋" w:cs="Arial Narrow"/>
        </w:rPr>
        <w:t>政府教育督导室 市教育局关于印发武汉市公办小学标准化建设评估验收方案（试行）的通知》（武政督[2011]7号）；</w:t>
      </w:r>
    </w:p>
    <w:p>
      <w:pPr>
        <w:snapToGrid w:val="0"/>
        <w:spacing w:line="440" w:lineRule="exact"/>
        <w:ind w:firstLine="480"/>
        <w:rPr>
          <w:rFonts w:ascii="仿宋" w:hAnsi="仿宋" w:eastAsia="仿宋" w:cs="Arial Narrow"/>
        </w:rPr>
      </w:pPr>
      <w:r>
        <w:rPr>
          <w:rFonts w:hint="eastAsia" w:ascii="仿宋" w:hAnsi="仿宋" w:eastAsia="仿宋" w:cs="Arial Narrow"/>
        </w:rPr>
        <w:t>⑤ 《市委教育工委 市教育局关于印发武汉市义务教育学校现代化指标体系（试行）的通知》（武教工委办[2016]2号）；</w:t>
      </w:r>
    </w:p>
    <w:p>
      <w:pPr>
        <w:snapToGrid w:val="0"/>
        <w:spacing w:line="440" w:lineRule="exact"/>
        <w:ind w:firstLine="480"/>
        <w:rPr>
          <w:rFonts w:ascii="仿宋" w:hAnsi="仿宋" w:eastAsia="仿宋" w:cs="Arial Narrow"/>
        </w:rPr>
      </w:pPr>
      <w:r>
        <w:rPr>
          <w:rFonts w:hint="eastAsia" w:ascii="仿宋" w:hAnsi="仿宋" w:eastAsia="仿宋" w:cs="Arial Narrow"/>
        </w:rPr>
        <w:t xml:space="preserve">⑥ </w:t>
      </w:r>
      <w:r>
        <w:rPr>
          <w:rFonts w:hint="eastAsia" w:ascii="仿宋" w:hAnsi="仿宋" w:eastAsia="仿宋"/>
        </w:rPr>
        <w:t>《武昌区财政局关于武昌区教育局2017年部门预算的批复》（武昌财预[2016]272号）。</w:t>
      </w:r>
    </w:p>
    <w:p>
      <w:pPr>
        <w:snapToGrid w:val="0"/>
        <w:spacing w:line="440" w:lineRule="exact"/>
        <w:ind w:firstLine="480"/>
        <w:rPr>
          <w:rFonts w:ascii="仿宋" w:hAnsi="仿宋" w:eastAsia="仿宋" w:cs="Arial Narrow"/>
        </w:rPr>
      </w:pPr>
      <w:r>
        <w:rPr>
          <w:rFonts w:hint="eastAsia" w:ascii="仿宋" w:hAnsi="仿宋" w:eastAsia="仿宋" w:cs="Arial Narrow"/>
        </w:rPr>
        <w:t>1.2 项目所属领域</w:t>
      </w:r>
    </w:p>
    <w:p>
      <w:pPr>
        <w:snapToGrid w:val="0"/>
        <w:spacing w:line="440" w:lineRule="exact"/>
        <w:ind w:firstLine="480"/>
        <w:rPr>
          <w:rFonts w:ascii="仿宋" w:hAnsi="仿宋" w:eastAsia="仿宋" w:cs="Arial Narrow"/>
        </w:rPr>
      </w:pPr>
      <w:r>
        <w:rPr>
          <w:rFonts w:ascii="仿宋" w:hAnsi="仿宋" w:eastAsia="仿宋"/>
        </w:rPr>
        <w:t>本项目属于</w:t>
      </w:r>
      <w:r>
        <w:rPr>
          <w:rFonts w:hint="eastAsia" w:ascii="仿宋" w:hAnsi="仿宋" w:eastAsia="仿宋"/>
        </w:rPr>
        <w:t>教育与教学</w:t>
      </w:r>
      <w:r>
        <w:rPr>
          <w:rFonts w:ascii="仿宋" w:hAnsi="仿宋" w:eastAsia="仿宋"/>
        </w:rPr>
        <w:t>领域。</w:t>
      </w:r>
    </w:p>
    <w:p>
      <w:pPr>
        <w:snapToGrid w:val="0"/>
        <w:spacing w:line="440" w:lineRule="exact"/>
        <w:ind w:firstLine="480"/>
        <w:rPr>
          <w:rFonts w:ascii="仿宋" w:hAnsi="仿宋" w:eastAsia="仿宋" w:cs="Arial Narrow"/>
        </w:rPr>
      </w:pPr>
      <w:r>
        <w:rPr>
          <w:rFonts w:hint="eastAsia" w:ascii="仿宋" w:hAnsi="仿宋" w:eastAsia="仿宋" w:cs="Arial Narrow"/>
        </w:rPr>
        <w:t>1.3 项目性质与特点</w:t>
      </w:r>
    </w:p>
    <w:p>
      <w:pPr>
        <w:snapToGrid w:val="0"/>
        <w:spacing w:line="440" w:lineRule="exact"/>
        <w:ind w:firstLine="480"/>
        <w:rPr>
          <w:rFonts w:ascii="仿宋" w:hAnsi="仿宋" w:eastAsia="仿宋"/>
        </w:rPr>
      </w:pPr>
      <w:r>
        <w:rPr>
          <w:rFonts w:ascii="仿宋" w:hAnsi="仿宋" w:eastAsia="仿宋"/>
        </w:rPr>
        <w:t>本项目经费属于公共预算财政拨款，项目属性为</w:t>
      </w:r>
      <w:r>
        <w:rPr>
          <w:rFonts w:hint="eastAsia" w:ascii="仿宋" w:hAnsi="仿宋" w:eastAsia="仿宋"/>
        </w:rPr>
        <w:t>持续性</w:t>
      </w:r>
      <w:r>
        <w:rPr>
          <w:rFonts w:ascii="仿宋" w:hAnsi="仿宋" w:eastAsia="仿宋"/>
        </w:rPr>
        <w:t>项目，项目类型为</w:t>
      </w:r>
      <w:r>
        <w:rPr>
          <w:rFonts w:hint="eastAsia" w:ascii="仿宋" w:hAnsi="仿宋" w:eastAsia="仿宋"/>
        </w:rPr>
        <w:t>常年性</w:t>
      </w:r>
      <w:r>
        <w:rPr>
          <w:rFonts w:ascii="仿宋" w:hAnsi="仿宋" w:eastAsia="仿宋"/>
        </w:rPr>
        <w:t>项目。</w:t>
      </w:r>
    </w:p>
    <w:p>
      <w:pPr>
        <w:snapToGrid w:val="0"/>
        <w:spacing w:line="440" w:lineRule="exact"/>
        <w:ind w:firstLine="480"/>
        <w:rPr>
          <w:rFonts w:ascii="仿宋" w:hAnsi="仿宋" w:eastAsia="仿宋" w:cs="Arial Narrow"/>
        </w:rPr>
      </w:pPr>
      <w:r>
        <w:rPr>
          <w:rFonts w:hint="eastAsia" w:ascii="仿宋" w:hAnsi="仿宋" w:eastAsia="仿宋" w:cs="Arial Narrow"/>
        </w:rPr>
        <w:t>1.4 项目立项时所属领域状况</w:t>
      </w:r>
    </w:p>
    <w:p>
      <w:pPr>
        <w:snapToGrid w:val="0"/>
        <w:spacing w:line="440" w:lineRule="exact"/>
        <w:ind w:firstLine="480"/>
        <w:rPr>
          <w:rFonts w:ascii="仿宋" w:hAnsi="仿宋" w:eastAsia="仿宋" w:cs="Arial Narrow"/>
        </w:rPr>
      </w:pPr>
      <w:r>
        <w:rPr>
          <w:rFonts w:hint="eastAsia" w:ascii="仿宋" w:hAnsi="仿宋" w:eastAsia="仿宋"/>
        </w:rPr>
        <w:t>“十二五”以来，特别是《教育信息化十年发展规划（2011-2020）》发布和首次全国教育信息化工作会议召开以来，教育信息化工作坚持促进信息技术与教育教学深度融合的核心理念，以“三通两平台”为主要标志的各项工作取得了突破性进展，学校网络教学环境大幅改善，为深入贯彻党的十八大和十八届三中、四中、五中全会精神，落实中央有关教育信息化的战略部属，全面深入推进“十三五”教育信息化工作，武昌区切实加大教育信息化资金投入，建立健全教育信息化专项经费正常增长机制，确保基层学校信息化教育教学正常运转，满足教育信息规模化创新应用要求，推进信息化与教育教学深度融合，从而进一步提升武昌教育教学质量，推进武昌教育优质、高位、均衡发展。</w:t>
      </w:r>
    </w:p>
    <w:bookmarkEnd w:id="9"/>
    <w:bookmarkEnd w:id="10"/>
    <w:p>
      <w:pPr>
        <w:pStyle w:val="21"/>
        <w:numPr>
          <w:ilvl w:val="0"/>
          <w:numId w:val="4"/>
        </w:numPr>
        <w:spacing w:line="440" w:lineRule="exact"/>
        <w:ind w:firstLine="482"/>
        <w:outlineLvl w:val="2"/>
        <w:rPr>
          <w:rFonts w:ascii="仿宋" w:hAnsi="仿宋" w:eastAsia="仿宋"/>
          <w:b/>
        </w:rPr>
      </w:pPr>
      <w:bookmarkStart w:id="13" w:name="_Toc479518523"/>
      <w:r>
        <w:rPr>
          <w:rFonts w:hint="eastAsia" w:ascii="仿宋" w:hAnsi="仿宋" w:eastAsia="仿宋"/>
          <w:b/>
        </w:rPr>
        <w:t>基准日及评价历时</w:t>
      </w:r>
      <w:bookmarkEnd w:id="13"/>
    </w:p>
    <w:p>
      <w:pPr>
        <w:snapToGrid w:val="0"/>
        <w:spacing w:line="440" w:lineRule="exact"/>
        <w:ind w:firstLine="480"/>
        <w:rPr>
          <w:rFonts w:ascii="仿宋" w:hAnsi="仿宋" w:eastAsia="仿宋" w:cs="Arial Narrow"/>
        </w:rPr>
      </w:pPr>
      <w:bookmarkStart w:id="14" w:name="_Toc387957801"/>
      <w:bookmarkStart w:id="15" w:name="_Toc406666352"/>
      <w:bookmarkStart w:id="16" w:name="_Toc10760"/>
      <w:bookmarkStart w:id="17" w:name="_Toc406668025"/>
      <w:bookmarkStart w:id="18" w:name="_Toc361304674"/>
      <w:r>
        <w:rPr>
          <w:rFonts w:hint="eastAsia" w:ascii="仿宋" w:hAnsi="仿宋" w:eastAsia="仿宋" w:cs="Arial Narrow"/>
        </w:rPr>
        <w:t>2.1 评价基准日</w:t>
      </w:r>
    </w:p>
    <w:p>
      <w:pPr>
        <w:snapToGrid w:val="0"/>
        <w:spacing w:line="440" w:lineRule="exact"/>
        <w:ind w:firstLine="480"/>
        <w:rPr>
          <w:rFonts w:ascii="仿宋" w:hAnsi="仿宋" w:eastAsia="仿宋" w:cs="Arial Narrow"/>
        </w:rPr>
      </w:pPr>
      <w:r>
        <w:rPr>
          <w:rFonts w:hint="eastAsia" w:ascii="仿宋" w:hAnsi="仿宋" w:eastAsia="仿宋" w:cs="Arial Narrow"/>
        </w:rPr>
        <w:t>2017年12月31日</w:t>
      </w:r>
    </w:p>
    <w:p>
      <w:pPr>
        <w:snapToGrid w:val="0"/>
        <w:spacing w:line="440" w:lineRule="exact"/>
        <w:ind w:firstLine="480"/>
        <w:rPr>
          <w:rFonts w:ascii="仿宋" w:hAnsi="仿宋" w:eastAsia="仿宋" w:cs="Arial Narrow"/>
        </w:rPr>
      </w:pPr>
      <w:r>
        <w:rPr>
          <w:rFonts w:hint="eastAsia" w:ascii="仿宋" w:hAnsi="仿宋" w:eastAsia="仿宋" w:cs="Arial Narrow"/>
        </w:rPr>
        <w:t>2.2 本次评价从2018年9月17日——2018年10月18日，历时一个月。</w:t>
      </w:r>
    </w:p>
    <w:p>
      <w:pPr>
        <w:pStyle w:val="21"/>
        <w:numPr>
          <w:ilvl w:val="0"/>
          <w:numId w:val="4"/>
        </w:numPr>
        <w:spacing w:line="440" w:lineRule="exact"/>
        <w:ind w:firstLine="482"/>
        <w:outlineLvl w:val="2"/>
        <w:rPr>
          <w:rFonts w:ascii="仿宋" w:hAnsi="仿宋" w:eastAsia="仿宋"/>
          <w:b/>
        </w:rPr>
      </w:pPr>
      <w:bookmarkStart w:id="19" w:name="_Toc479518524"/>
      <w:r>
        <w:rPr>
          <w:rFonts w:hint="eastAsia" w:ascii="仿宋" w:hAnsi="仿宋" w:eastAsia="仿宋"/>
          <w:b/>
        </w:rPr>
        <w:t>项目实施情况</w:t>
      </w:r>
      <w:bookmarkEnd w:id="19"/>
    </w:p>
    <w:p>
      <w:pPr>
        <w:snapToGrid w:val="0"/>
        <w:spacing w:line="440" w:lineRule="exact"/>
        <w:ind w:firstLine="480"/>
        <w:rPr>
          <w:rFonts w:ascii="仿宋" w:hAnsi="仿宋" w:eastAsia="仿宋" w:cs="Arial Narrow"/>
        </w:rPr>
      </w:pPr>
      <w:r>
        <w:rPr>
          <w:rFonts w:hint="eastAsia" w:ascii="仿宋" w:hAnsi="仿宋" w:eastAsia="仿宋" w:cs="Arial Narrow"/>
        </w:rPr>
        <w:t>（1）项目实施单位</w:t>
      </w:r>
    </w:p>
    <w:p>
      <w:pPr>
        <w:snapToGrid w:val="0"/>
        <w:spacing w:line="440" w:lineRule="exact"/>
        <w:ind w:firstLine="480"/>
        <w:rPr>
          <w:rFonts w:ascii="仿宋" w:hAnsi="仿宋" w:eastAsia="仿宋" w:cs="Arial Narrow"/>
        </w:rPr>
      </w:pPr>
      <w:r>
        <w:rPr>
          <w:rFonts w:ascii="仿宋" w:hAnsi="仿宋" w:eastAsia="仿宋"/>
        </w:rPr>
        <w:t>财政预算单位为</w:t>
      </w:r>
      <w:r>
        <w:rPr>
          <w:rFonts w:hint="eastAsia" w:ascii="仿宋" w:hAnsi="仿宋" w:eastAsia="仿宋"/>
        </w:rPr>
        <w:t>武昌区教育局</w:t>
      </w:r>
      <w:r>
        <w:rPr>
          <w:rFonts w:ascii="仿宋" w:hAnsi="仿宋" w:eastAsia="仿宋"/>
        </w:rPr>
        <w:t>，项目执行单位为</w:t>
      </w:r>
      <w:r>
        <w:rPr>
          <w:rFonts w:hint="eastAsia" w:ascii="仿宋" w:hAnsi="仿宋" w:eastAsia="仿宋"/>
        </w:rPr>
        <w:t>武昌区教育局电教中心</w:t>
      </w:r>
      <w:r>
        <w:rPr>
          <w:rFonts w:ascii="仿宋" w:hAnsi="仿宋" w:eastAsia="仿宋"/>
        </w:rPr>
        <w:t>。</w:t>
      </w:r>
    </w:p>
    <w:p>
      <w:pPr>
        <w:snapToGrid w:val="0"/>
        <w:spacing w:line="440" w:lineRule="exact"/>
        <w:ind w:firstLine="480"/>
        <w:rPr>
          <w:rFonts w:ascii="仿宋" w:hAnsi="仿宋" w:eastAsia="仿宋" w:cs="Arial Narrow"/>
        </w:rPr>
      </w:pPr>
      <w:r>
        <w:rPr>
          <w:rFonts w:hint="eastAsia" w:ascii="仿宋" w:hAnsi="仿宋" w:eastAsia="仿宋" w:cs="Arial Narrow"/>
        </w:rPr>
        <w:t>（2）项目实施周期与地点</w:t>
      </w:r>
    </w:p>
    <w:p>
      <w:pPr>
        <w:snapToGrid w:val="0"/>
        <w:spacing w:line="440" w:lineRule="exact"/>
        <w:ind w:firstLine="480"/>
        <w:rPr>
          <w:rFonts w:ascii="仿宋" w:hAnsi="仿宋" w:eastAsia="仿宋"/>
        </w:rPr>
      </w:pPr>
      <w:r>
        <w:rPr>
          <w:rFonts w:ascii="仿宋" w:hAnsi="仿宋" w:eastAsia="仿宋"/>
        </w:rPr>
        <w:t>项目为</w:t>
      </w:r>
      <w:r>
        <w:rPr>
          <w:rFonts w:hint="eastAsia" w:ascii="仿宋" w:hAnsi="仿宋" w:eastAsia="仿宋"/>
        </w:rPr>
        <w:t>常年性</w:t>
      </w:r>
      <w:r>
        <w:rPr>
          <w:rFonts w:ascii="仿宋" w:hAnsi="仿宋" w:eastAsia="仿宋"/>
        </w:rPr>
        <w:t>项目，实施地点为</w:t>
      </w:r>
      <w:r>
        <w:rPr>
          <w:rFonts w:hint="eastAsia" w:ascii="仿宋" w:hAnsi="仿宋" w:eastAsia="仿宋"/>
        </w:rPr>
        <w:t>武昌区教育局电教中心</w:t>
      </w:r>
      <w:r>
        <w:rPr>
          <w:rFonts w:ascii="仿宋" w:hAnsi="仿宋" w:eastAsia="仿宋"/>
        </w:rPr>
        <w:t>，地址位于</w:t>
      </w:r>
      <w:r>
        <w:rPr>
          <w:rFonts w:hint="eastAsia" w:ascii="仿宋" w:hAnsi="仿宋" w:eastAsia="仿宋"/>
        </w:rPr>
        <w:t>粮道街279号</w:t>
      </w:r>
      <w:r>
        <w:rPr>
          <w:rFonts w:ascii="仿宋" w:hAnsi="仿宋" w:eastAsia="仿宋"/>
        </w:rPr>
        <w:t>。</w:t>
      </w:r>
    </w:p>
    <w:p>
      <w:pPr>
        <w:snapToGrid w:val="0"/>
        <w:spacing w:line="440" w:lineRule="exact"/>
        <w:ind w:firstLine="480"/>
        <w:rPr>
          <w:rFonts w:ascii="仿宋" w:hAnsi="仿宋" w:eastAsia="仿宋" w:cs="Arial Narrow"/>
        </w:rPr>
      </w:pPr>
      <w:r>
        <w:rPr>
          <w:rFonts w:hint="eastAsia" w:ascii="仿宋" w:hAnsi="仿宋" w:eastAsia="仿宋" w:cs="Arial Narrow"/>
        </w:rPr>
        <w:t>（3）项目主要内容</w:t>
      </w:r>
    </w:p>
    <w:p>
      <w:pPr>
        <w:snapToGrid w:val="0"/>
        <w:spacing w:line="440" w:lineRule="exact"/>
        <w:ind w:firstLine="480"/>
        <w:rPr>
          <w:rFonts w:ascii="仿宋" w:hAnsi="仿宋" w:eastAsia="仿宋" w:cs="Arial Narrow"/>
        </w:rPr>
      </w:pPr>
      <w:r>
        <w:rPr>
          <w:rFonts w:hint="eastAsia" w:ascii="仿宋" w:hAnsi="仿宋" w:eastAsia="仿宋" w:cs="Arial Narrow"/>
        </w:rPr>
        <w:t>按照《武昌区财政局关于武昌区教育局2017年预算的批复》，武昌区教育信息化项目资金预算1500万元，其中，学生机810台和机房改造17间，金额419万元；平板电脑1000台，金额165万元；电子白板班班通340套，金额524万元；无线网改造学校9所，金额140万元；LED屏2块，金额33万元；双速网、服务创客等经费支出220.00万元。</w:t>
      </w:r>
    </w:p>
    <w:p>
      <w:pPr>
        <w:snapToGrid w:val="0"/>
        <w:spacing w:line="440" w:lineRule="exact"/>
        <w:ind w:firstLine="480"/>
        <w:rPr>
          <w:rFonts w:ascii="仿宋" w:hAnsi="仿宋" w:eastAsia="仿宋" w:cs="Arial Narrow"/>
        </w:rPr>
      </w:pPr>
      <w:r>
        <w:rPr>
          <w:rFonts w:hint="eastAsia" w:ascii="仿宋" w:hAnsi="仿宋" w:eastAsia="仿宋" w:cs="Arial Narrow"/>
        </w:rPr>
        <w:t>（4）项目完成概况</w:t>
      </w:r>
    </w:p>
    <w:p>
      <w:pPr>
        <w:snapToGrid w:val="0"/>
        <w:spacing w:line="440" w:lineRule="exact"/>
        <w:ind w:firstLine="480"/>
        <w:rPr>
          <w:rFonts w:ascii="仿宋" w:hAnsi="仿宋" w:eastAsia="仿宋" w:cs="Arial Narrow"/>
        </w:rPr>
      </w:pPr>
      <w:r>
        <w:rPr>
          <w:rFonts w:hint="eastAsia" w:ascii="仿宋" w:hAnsi="仿宋" w:eastAsia="仿宋" w:cs="Arial Narrow"/>
        </w:rPr>
        <w:t>截止2017年12月31日，教育信息化项目已经完成学生机811台；机房改造17间；平板电脑945台；电子白板班班通338套；LED显示屏6块，以上设备安装调试已完成，学校已验收。</w:t>
      </w:r>
    </w:p>
    <w:p>
      <w:pPr>
        <w:pStyle w:val="21"/>
        <w:numPr>
          <w:ilvl w:val="0"/>
          <w:numId w:val="4"/>
        </w:numPr>
        <w:spacing w:line="440" w:lineRule="exact"/>
        <w:ind w:firstLine="482"/>
        <w:outlineLvl w:val="2"/>
        <w:rPr>
          <w:rFonts w:ascii="仿宋" w:hAnsi="仿宋" w:eastAsia="仿宋"/>
          <w:b/>
        </w:rPr>
      </w:pPr>
      <w:bookmarkStart w:id="20" w:name="_Toc479518525"/>
      <w:r>
        <w:rPr>
          <w:rFonts w:hint="eastAsia" w:ascii="仿宋" w:hAnsi="仿宋" w:eastAsia="仿宋"/>
          <w:b/>
        </w:rPr>
        <w:t>项目经费来源和使用情况</w:t>
      </w:r>
      <w:bookmarkEnd w:id="20"/>
    </w:p>
    <w:p>
      <w:pPr>
        <w:snapToGrid w:val="0"/>
        <w:spacing w:line="440" w:lineRule="exact"/>
        <w:ind w:firstLine="480"/>
        <w:rPr>
          <w:rFonts w:ascii="仿宋" w:hAnsi="仿宋" w:eastAsia="仿宋" w:cs="Arial Narrow"/>
        </w:rPr>
      </w:pPr>
      <w:r>
        <w:rPr>
          <w:rFonts w:hint="eastAsia" w:ascii="仿宋" w:hAnsi="仿宋" w:eastAsia="仿宋" w:cs="Arial Narrow"/>
        </w:rPr>
        <w:t>（1）项目资金来源概况</w:t>
      </w:r>
    </w:p>
    <w:p>
      <w:pPr>
        <w:snapToGrid w:val="0"/>
        <w:spacing w:line="440" w:lineRule="exact"/>
        <w:ind w:firstLine="480"/>
        <w:rPr>
          <w:rFonts w:ascii="仿宋" w:hAnsi="仿宋" w:eastAsia="仿宋" w:cs="Arial Narrow"/>
        </w:rPr>
      </w:pPr>
      <w:r>
        <w:rPr>
          <w:rFonts w:hint="eastAsia" w:ascii="仿宋" w:hAnsi="仿宋" w:eastAsia="仿宋" w:cs="Arial Narrow"/>
        </w:rPr>
        <w:t>教育信息化建设经费项目资金1,500万元，均为财政拨付资金。</w:t>
      </w:r>
    </w:p>
    <w:p>
      <w:pPr>
        <w:snapToGrid w:val="0"/>
        <w:spacing w:line="440" w:lineRule="exact"/>
        <w:ind w:firstLine="480"/>
        <w:rPr>
          <w:rFonts w:ascii="仿宋" w:hAnsi="仿宋" w:eastAsia="仿宋" w:cs="Arial Narrow"/>
        </w:rPr>
      </w:pPr>
      <w:r>
        <w:rPr>
          <w:rFonts w:hint="eastAsia" w:ascii="仿宋" w:hAnsi="仿宋" w:eastAsia="仿宋" w:cs="Arial Narrow"/>
        </w:rPr>
        <w:t>（2）项目资金使用概况</w:t>
      </w:r>
      <w:bookmarkEnd w:id="14"/>
      <w:bookmarkEnd w:id="15"/>
      <w:bookmarkEnd w:id="16"/>
      <w:bookmarkEnd w:id="17"/>
      <w:bookmarkEnd w:id="18"/>
      <w:bookmarkStart w:id="21" w:name="_Toc361303718"/>
      <w:bookmarkStart w:id="22" w:name="_Toc361302024"/>
      <w:bookmarkStart w:id="23" w:name="_Toc361304169"/>
      <w:bookmarkStart w:id="24" w:name="_Toc361304427"/>
      <w:bookmarkStart w:id="25" w:name="_Toc361304679"/>
    </w:p>
    <w:p>
      <w:pPr>
        <w:snapToGrid w:val="0"/>
        <w:spacing w:line="440" w:lineRule="exact"/>
        <w:ind w:firstLine="480"/>
        <w:rPr>
          <w:rFonts w:ascii="仿宋" w:hAnsi="仿宋" w:eastAsia="仿宋" w:cs="Arial Narrow"/>
        </w:rPr>
      </w:pPr>
      <w:r>
        <w:rPr>
          <w:rFonts w:hint="eastAsia" w:ascii="仿宋" w:hAnsi="仿宋" w:eastAsia="仿宋" w:cs="Arial Narrow"/>
        </w:rPr>
        <w:t>信息化建设经费项目预算1,500万元，拨款1,500万，实际支出1,294.47万元，结余</w:t>
      </w:r>
      <w:r>
        <w:rPr>
          <w:rFonts w:ascii="仿宋" w:hAnsi="仿宋" w:eastAsia="仿宋" w:cs="Arial Narrow"/>
        </w:rPr>
        <w:t>205.53</w:t>
      </w:r>
      <w:r>
        <w:rPr>
          <w:rFonts w:hint="eastAsia" w:ascii="仿宋" w:hAnsi="仿宋" w:eastAsia="仿宋" w:cs="Arial Narrow"/>
        </w:rPr>
        <w:t>万元已上交财政。具体资金使用情况见下表：</w:t>
      </w:r>
    </w:p>
    <w:tbl>
      <w:tblPr>
        <w:tblStyle w:val="23"/>
        <w:tblW w:w="9300" w:type="dxa"/>
        <w:tblInd w:w="93" w:type="dxa"/>
        <w:tblLayout w:type="autofit"/>
        <w:tblCellMar>
          <w:top w:w="0" w:type="dxa"/>
          <w:left w:w="108" w:type="dxa"/>
          <w:bottom w:w="0" w:type="dxa"/>
          <w:right w:w="108" w:type="dxa"/>
        </w:tblCellMar>
      </w:tblPr>
      <w:tblGrid>
        <w:gridCol w:w="3600"/>
        <w:gridCol w:w="797"/>
        <w:gridCol w:w="1923"/>
        <w:gridCol w:w="768"/>
        <w:gridCol w:w="2212"/>
      </w:tblGrid>
      <w:tr>
        <w:tblPrEx>
          <w:tblCellMar>
            <w:top w:w="0" w:type="dxa"/>
            <w:left w:w="108" w:type="dxa"/>
            <w:bottom w:w="0" w:type="dxa"/>
            <w:right w:w="108" w:type="dxa"/>
          </w:tblCellMar>
        </w:tblPrEx>
        <w:trPr>
          <w:trHeight w:val="285" w:hRule="atLeast"/>
        </w:trPr>
        <w:tc>
          <w:tcPr>
            <w:tcW w:w="36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480" w:firstLineChars="0"/>
              <w:jc w:val="center"/>
              <w:rPr>
                <w:rFonts w:ascii="仿宋" w:hAnsi="仿宋" w:eastAsia="仿宋" w:cs="Arial Narrow"/>
                <w:sz w:val="21"/>
                <w:szCs w:val="21"/>
              </w:rPr>
            </w:pPr>
            <w:r>
              <w:rPr>
                <w:rFonts w:hint="eastAsia" w:ascii="仿宋" w:hAnsi="仿宋" w:eastAsia="仿宋" w:cs="Arial Narrow"/>
                <w:sz w:val="21"/>
                <w:szCs w:val="21"/>
              </w:rPr>
              <w:t>项目</w:t>
            </w:r>
          </w:p>
        </w:tc>
        <w:tc>
          <w:tcPr>
            <w:tcW w:w="27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预算</w:t>
            </w:r>
          </w:p>
        </w:tc>
        <w:tc>
          <w:tcPr>
            <w:tcW w:w="29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实际</w:t>
            </w:r>
          </w:p>
        </w:tc>
      </w:tr>
      <w:tr>
        <w:tblPrEx>
          <w:tblCellMar>
            <w:top w:w="0" w:type="dxa"/>
            <w:left w:w="108" w:type="dxa"/>
            <w:bottom w:w="0" w:type="dxa"/>
            <w:right w:w="108" w:type="dxa"/>
          </w:tblCellMar>
        </w:tblPrEx>
        <w:trPr>
          <w:trHeight w:val="285" w:hRule="atLeast"/>
        </w:trPr>
        <w:tc>
          <w:tcPr>
            <w:tcW w:w="36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cs="Arial Narrow"/>
                <w:sz w:val="21"/>
                <w:szCs w:val="21"/>
              </w:rPr>
            </w:pP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数量</w:t>
            </w:r>
          </w:p>
        </w:tc>
        <w:tc>
          <w:tcPr>
            <w:tcW w:w="192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金额</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数量</w:t>
            </w: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金额</w:t>
            </w:r>
          </w:p>
        </w:tc>
      </w:tr>
      <w:tr>
        <w:tblPrEx>
          <w:tblCellMar>
            <w:top w:w="0" w:type="dxa"/>
            <w:left w:w="108" w:type="dxa"/>
            <w:bottom w:w="0" w:type="dxa"/>
            <w:right w:w="108" w:type="dxa"/>
          </w:tblCellMar>
        </w:tblPrEx>
        <w:trPr>
          <w:trHeight w:val="285" w:hRule="atLeast"/>
        </w:trPr>
        <w:tc>
          <w:tcPr>
            <w:tcW w:w="3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Arial Narrow"/>
                <w:sz w:val="21"/>
                <w:szCs w:val="21"/>
              </w:rPr>
            </w:pPr>
            <w:r>
              <w:rPr>
                <w:rFonts w:hint="eastAsia" w:ascii="仿宋" w:hAnsi="仿宋" w:eastAsia="仿宋" w:cs="Arial Narrow"/>
                <w:sz w:val="21"/>
                <w:szCs w:val="21"/>
              </w:rPr>
              <w:t>学生机</w:t>
            </w: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810</w:t>
            </w:r>
          </w:p>
        </w:tc>
        <w:tc>
          <w:tcPr>
            <w:tcW w:w="192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419.00</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811</w:t>
            </w: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255.88</w:t>
            </w:r>
          </w:p>
        </w:tc>
      </w:tr>
      <w:tr>
        <w:tblPrEx>
          <w:tblCellMar>
            <w:top w:w="0" w:type="dxa"/>
            <w:left w:w="108" w:type="dxa"/>
            <w:bottom w:w="0" w:type="dxa"/>
            <w:right w:w="108" w:type="dxa"/>
          </w:tblCellMar>
        </w:tblPrEx>
        <w:trPr>
          <w:trHeight w:val="285" w:hRule="atLeast"/>
        </w:trPr>
        <w:tc>
          <w:tcPr>
            <w:tcW w:w="3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Arial Narrow"/>
                <w:sz w:val="21"/>
                <w:szCs w:val="21"/>
              </w:rPr>
            </w:pPr>
            <w:r>
              <w:rPr>
                <w:rFonts w:hint="eastAsia" w:ascii="仿宋" w:hAnsi="仿宋" w:eastAsia="仿宋" w:cs="Arial Narrow"/>
                <w:sz w:val="21"/>
                <w:szCs w:val="21"/>
              </w:rPr>
              <w:t>机房改造</w:t>
            </w: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17</w:t>
            </w:r>
          </w:p>
        </w:tc>
        <w:tc>
          <w:tcPr>
            <w:tcW w:w="1923"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cs="Arial Narrow"/>
                <w:sz w:val="21"/>
                <w:szCs w:val="21"/>
              </w:rPr>
            </w:pP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17</w:t>
            </w: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111.68</w:t>
            </w:r>
          </w:p>
        </w:tc>
      </w:tr>
      <w:tr>
        <w:tblPrEx>
          <w:tblCellMar>
            <w:top w:w="0" w:type="dxa"/>
            <w:left w:w="108" w:type="dxa"/>
            <w:bottom w:w="0" w:type="dxa"/>
            <w:right w:w="108" w:type="dxa"/>
          </w:tblCellMar>
        </w:tblPrEx>
        <w:trPr>
          <w:trHeight w:val="285" w:hRule="atLeast"/>
        </w:trPr>
        <w:tc>
          <w:tcPr>
            <w:tcW w:w="3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Arial Narrow"/>
                <w:sz w:val="21"/>
                <w:szCs w:val="21"/>
              </w:rPr>
            </w:pPr>
            <w:r>
              <w:rPr>
                <w:rFonts w:hint="eastAsia" w:ascii="仿宋" w:hAnsi="仿宋" w:eastAsia="仿宋" w:cs="Arial Narrow"/>
                <w:sz w:val="21"/>
                <w:szCs w:val="21"/>
              </w:rPr>
              <w:t>平板电脑</w:t>
            </w: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1000</w:t>
            </w:r>
          </w:p>
        </w:tc>
        <w:tc>
          <w:tcPr>
            <w:tcW w:w="192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165.00</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945</w:t>
            </w: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114.93</w:t>
            </w:r>
          </w:p>
        </w:tc>
      </w:tr>
      <w:tr>
        <w:tblPrEx>
          <w:tblCellMar>
            <w:top w:w="0" w:type="dxa"/>
            <w:left w:w="108" w:type="dxa"/>
            <w:bottom w:w="0" w:type="dxa"/>
            <w:right w:w="108" w:type="dxa"/>
          </w:tblCellMar>
        </w:tblPrEx>
        <w:trPr>
          <w:trHeight w:val="285" w:hRule="atLeast"/>
        </w:trPr>
        <w:tc>
          <w:tcPr>
            <w:tcW w:w="3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Arial Narrow"/>
                <w:sz w:val="21"/>
                <w:szCs w:val="21"/>
              </w:rPr>
            </w:pPr>
            <w:r>
              <w:rPr>
                <w:rFonts w:hint="eastAsia" w:ascii="仿宋" w:hAnsi="仿宋" w:eastAsia="仿宋" w:cs="Arial Narrow"/>
                <w:sz w:val="21"/>
                <w:szCs w:val="21"/>
              </w:rPr>
              <w:t>电子白板班班通</w:t>
            </w: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340</w:t>
            </w:r>
          </w:p>
        </w:tc>
        <w:tc>
          <w:tcPr>
            <w:tcW w:w="192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523.00</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338</w:t>
            </w: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472.64</w:t>
            </w:r>
          </w:p>
        </w:tc>
      </w:tr>
      <w:tr>
        <w:tblPrEx>
          <w:tblCellMar>
            <w:top w:w="0" w:type="dxa"/>
            <w:left w:w="108" w:type="dxa"/>
            <w:bottom w:w="0" w:type="dxa"/>
            <w:right w:w="108" w:type="dxa"/>
          </w:tblCellMar>
        </w:tblPrEx>
        <w:trPr>
          <w:trHeight w:val="285" w:hRule="atLeast"/>
        </w:trPr>
        <w:tc>
          <w:tcPr>
            <w:tcW w:w="3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Arial Narrow"/>
                <w:sz w:val="21"/>
                <w:szCs w:val="21"/>
              </w:rPr>
            </w:pPr>
            <w:r>
              <w:rPr>
                <w:rFonts w:hint="eastAsia" w:ascii="仿宋" w:hAnsi="仿宋" w:eastAsia="仿宋" w:cs="Arial Narrow"/>
                <w:sz w:val="21"/>
                <w:szCs w:val="21"/>
              </w:rPr>
              <w:t>无线网改造</w:t>
            </w: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9</w:t>
            </w:r>
          </w:p>
        </w:tc>
        <w:tc>
          <w:tcPr>
            <w:tcW w:w="192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140.00</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0</w:t>
            </w: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p>
        </w:tc>
      </w:tr>
      <w:tr>
        <w:tblPrEx>
          <w:tblCellMar>
            <w:top w:w="0" w:type="dxa"/>
            <w:left w:w="108" w:type="dxa"/>
            <w:bottom w:w="0" w:type="dxa"/>
            <w:right w:w="108" w:type="dxa"/>
          </w:tblCellMar>
        </w:tblPrEx>
        <w:trPr>
          <w:trHeight w:val="285" w:hRule="atLeast"/>
        </w:trPr>
        <w:tc>
          <w:tcPr>
            <w:tcW w:w="3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Arial Narrow"/>
                <w:sz w:val="21"/>
                <w:szCs w:val="21"/>
              </w:rPr>
            </w:pPr>
            <w:r>
              <w:rPr>
                <w:rFonts w:hint="eastAsia" w:ascii="仿宋" w:hAnsi="仿宋" w:eastAsia="仿宋" w:cs="Arial Narrow"/>
                <w:sz w:val="21"/>
                <w:szCs w:val="21"/>
              </w:rPr>
              <w:t>LED显示屏</w:t>
            </w: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2</w:t>
            </w:r>
          </w:p>
        </w:tc>
        <w:tc>
          <w:tcPr>
            <w:tcW w:w="192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33.00</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6</w:t>
            </w: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90.04</w:t>
            </w:r>
          </w:p>
        </w:tc>
      </w:tr>
      <w:tr>
        <w:tblPrEx>
          <w:tblCellMar>
            <w:top w:w="0" w:type="dxa"/>
            <w:left w:w="108" w:type="dxa"/>
            <w:bottom w:w="0" w:type="dxa"/>
            <w:right w:w="108" w:type="dxa"/>
          </w:tblCellMar>
        </w:tblPrEx>
        <w:trPr>
          <w:trHeight w:val="285" w:hRule="atLeast"/>
        </w:trPr>
        <w:tc>
          <w:tcPr>
            <w:tcW w:w="3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Arial Narrow"/>
                <w:sz w:val="21"/>
                <w:szCs w:val="21"/>
              </w:rPr>
            </w:pPr>
            <w:r>
              <w:rPr>
                <w:rFonts w:hint="eastAsia" w:ascii="仿宋" w:hAnsi="仿宋" w:eastAsia="仿宋" w:cs="Arial Narrow"/>
                <w:sz w:val="21"/>
                <w:szCs w:val="21"/>
              </w:rPr>
              <w:t>双速网</w:t>
            </w: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p>
        </w:tc>
        <w:tc>
          <w:tcPr>
            <w:tcW w:w="192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80.00</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38.01</w:t>
            </w:r>
          </w:p>
        </w:tc>
      </w:tr>
      <w:tr>
        <w:tblPrEx>
          <w:tblCellMar>
            <w:top w:w="0" w:type="dxa"/>
            <w:left w:w="108" w:type="dxa"/>
            <w:bottom w:w="0" w:type="dxa"/>
            <w:right w:w="108" w:type="dxa"/>
          </w:tblCellMar>
        </w:tblPrEx>
        <w:trPr>
          <w:trHeight w:val="285" w:hRule="atLeast"/>
        </w:trPr>
        <w:tc>
          <w:tcPr>
            <w:tcW w:w="3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Arial Narrow"/>
                <w:sz w:val="21"/>
                <w:szCs w:val="21"/>
              </w:rPr>
            </w:pPr>
            <w:r>
              <w:rPr>
                <w:rFonts w:hint="eastAsia" w:ascii="仿宋" w:hAnsi="仿宋" w:eastAsia="仿宋" w:cs="Arial Narrow"/>
                <w:sz w:val="21"/>
                <w:szCs w:val="21"/>
              </w:rPr>
              <w:t>服务创客</w:t>
            </w: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p>
        </w:tc>
        <w:tc>
          <w:tcPr>
            <w:tcW w:w="192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140.00</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89.20</w:t>
            </w:r>
          </w:p>
        </w:tc>
      </w:tr>
      <w:tr>
        <w:tblPrEx>
          <w:tblCellMar>
            <w:top w:w="0" w:type="dxa"/>
            <w:left w:w="108" w:type="dxa"/>
            <w:bottom w:w="0" w:type="dxa"/>
            <w:right w:w="108" w:type="dxa"/>
          </w:tblCellMar>
        </w:tblPrEx>
        <w:trPr>
          <w:trHeight w:val="285" w:hRule="atLeast"/>
        </w:trPr>
        <w:tc>
          <w:tcPr>
            <w:tcW w:w="3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Arial Narrow"/>
                <w:sz w:val="21"/>
                <w:szCs w:val="21"/>
              </w:rPr>
            </w:pPr>
            <w:r>
              <w:rPr>
                <w:rFonts w:hint="eastAsia" w:ascii="仿宋" w:hAnsi="仿宋" w:eastAsia="仿宋" w:cs="Arial Narrow"/>
                <w:sz w:val="21"/>
                <w:szCs w:val="21"/>
              </w:rPr>
              <w:t>平板电脑（2016年）</w:t>
            </w: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p>
        </w:tc>
        <w:tc>
          <w:tcPr>
            <w:tcW w:w="192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64.05</w:t>
            </w:r>
          </w:p>
        </w:tc>
      </w:tr>
      <w:tr>
        <w:tblPrEx>
          <w:tblCellMar>
            <w:top w:w="0" w:type="dxa"/>
            <w:left w:w="108" w:type="dxa"/>
            <w:bottom w:w="0" w:type="dxa"/>
            <w:right w:w="108" w:type="dxa"/>
          </w:tblCellMar>
        </w:tblPrEx>
        <w:trPr>
          <w:trHeight w:val="285" w:hRule="atLeast"/>
        </w:trPr>
        <w:tc>
          <w:tcPr>
            <w:tcW w:w="3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Arial Narrow"/>
                <w:sz w:val="21"/>
                <w:szCs w:val="21"/>
              </w:rPr>
            </w:pPr>
            <w:r>
              <w:rPr>
                <w:rFonts w:hint="eastAsia" w:ascii="仿宋" w:hAnsi="仿宋" w:eastAsia="仿宋" w:cs="Arial Narrow"/>
                <w:sz w:val="21"/>
                <w:szCs w:val="21"/>
              </w:rPr>
              <w:t>电子白板班班通（2016年）</w:t>
            </w: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p>
        </w:tc>
        <w:tc>
          <w:tcPr>
            <w:tcW w:w="192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58.04</w:t>
            </w:r>
          </w:p>
        </w:tc>
      </w:tr>
      <w:tr>
        <w:tblPrEx>
          <w:tblCellMar>
            <w:top w:w="0" w:type="dxa"/>
            <w:left w:w="108" w:type="dxa"/>
            <w:bottom w:w="0" w:type="dxa"/>
            <w:right w:w="108" w:type="dxa"/>
          </w:tblCellMar>
        </w:tblPrEx>
        <w:trPr>
          <w:trHeight w:val="285" w:hRule="atLeast"/>
        </w:trPr>
        <w:tc>
          <w:tcPr>
            <w:tcW w:w="3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合计</w:t>
            </w:r>
          </w:p>
        </w:tc>
        <w:tc>
          <w:tcPr>
            <w:tcW w:w="7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2178</w:t>
            </w:r>
          </w:p>
        </w:tc>
        <w:tc>
          <w:tcPr>
            <w:tcW w:w="192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1,500.00</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2117</w:t>
            </w:r>
          </w:p>
        </w:tc>
        <w:tc>
          <w:tcPr>
            <w:tcW w:w="221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1,294.47</w:t>
            </w:r>
          </w:p>
        </w:tc>
      </w:tr>
    </w:tbl>
    <w:p>
      <w:pPr>
        <w:snapToGrid w:val="0"/>
        <w:spacing w:line="440" w:lineRule="exact"/>
        <w:ind w:firstLine="480"/>
        <w:rPr>
          <w:rFonts w:ascii="仿宋" w:hAnsi="仿宋" w:eastAsia="仿宋" w:cs="Arial Narrow"/>
        </w:rPr>
      </w:pPr>
    </w:p>
    <w:bookmarkEnd w:id="21"/>
    <w:bookmarkEnd w:id="22"/>
    <w:bookmarkEnd w:id="23"/>
    <w:bookmarkEnd w:id="24"/>
    <w:bookmarkEnd w:id="25"/>
    <w:p>
      <w:pPr>
        <w:pStyle w:val="3"/>
        <w:numPr>
          <w:ilvl w:val="0"/>
          <w:numId w:val="3"/>
        </w:numPr>
        <w:spacing w:line="440" w:lineRule="exact"/>
        <w:ind w:firstLine="482"/>
        <w:rPr>
          <w:rFonts w:ascii="仿宋" w:hAnsi="仿宋" w:eastAsia="仿宋"/>
          <w:sz w:val="24"/>
        </w:rPr>
      </w:pPr>
      <w:bookmarkStart w:id="26" w:name="_Toc479518526"/>
      <w:bookmarkStart w:id="27" w:name="_Toc406666356"/>
      <w:bookmarkStart w:id="28" w:name="_Toc361304680"/>
      <w:bookmarkStart w:id="29" w:name="_Toc406668030"/>
      <w:bookmarkStart w:id="30" w:name="_Toc16351"/>
      <w:r>
        <w:rPr>
          <w:rFonts w:hint="eastAsia" w:ascii="仿宋" w:hAnsi="仿宋" w:eastAsia="仿宋"/>
          <w:sz w:val="24"/>
        </w:rPr>
        <w:t>项目绩效目标</w:t>
      </w:r>
      <w:bookmarkEnd w:id="26"/>
    </w:p>
    <w:p>
      <w:pPr>
        <w:pStyle w:val="21"/>
        <w:numPr>
          <w:ilvl w:val="0"/>
          <w:numId w:val="7"/>
        </w:numPr>
        <w:spacing w:line="440" w:lineRule="exact"/>
        <w:ind w:firstLine="482"/>
        <w:outlineLvl w:val="2"/>
        <w:rPr>
          <w:rFonts w:ascii="仿宋" w:hAnsi="仿宋" w:eastAsia="仿宋"/>
          <w:b/>
        </w:rPr>
      </w:pPr>
      <w:bookmarkStart w:id="31" w:name="_Toc479518527"/>
      <w:r>
        <w:rPr>
          <w:rFonts w:hint="eastAsia" w:ascii="仿宋" w:hAnsi="仿宋" w:eastAsia="仿宋"/>
          <w:b/>
        </w:rPr>
        <w:t>项目绩效目标</w:t>
      </w:r>
      <w:bookmarkEnd w:id="27"/>
      <w:bookmarkEnd w:id="28"/>
      <w:bookmarkEnd w:id="29"/>
      <w:bookmarkEnd w:id="30"/>
      <w:bookmarkEnd w:id="31"/>
    </w:p>
    <w:p>
      <w:pPr>
        <w:snapToGrid w:val="0"/>
        <w:spacing w:line="440" w:lineRule="exact"/>
        <w:ind w:firstLine="480"/>
        <w:rPr>
          <w:rFonts w:ascii="仿宋" w:hAnsi="仿宋" w:eastAsia="仿宋" w:cs="Arial Narrow"/>
        </w:rPr>
      </w:pPr>
      <w:bookmarkStart w:id="32" w:name="_Toc361304681"/>
      <w:bookmarkStart w:id="33" w:name="_Toc387957806"/>
      <w:r>
        <w:rPr>
          <w:rFonts w:hint="eastAsia" w:ascii="仿宋" w:hAnsi="仿宋" w:eastAsia="仿宋" w:cs="Arial Narrow"/>
        </w:rPr>
        <w:t>根据《武昌区财政局关于武昌区教育局2017年预算的批复》的预算说明，武昌区教育信息化项目区级资金需完成学生机配置810台、机房改造17间、平板电脑1000台、班班通配置340套、配置LED屏2个、无线网改造学校9所，设备均通过验收并投入使用，师生终端利用率达95%以上,师生满意度90%。</w:t>
      </w:r>
    </w:p>
    <w:p>
      <w:pPr>
        <w:pStyle w:val="21"/>
        <w:numPr>
          <w:ilvl w:val="0"/>
          <w:numId w:val="7"/>
        </w:numPr>
        <w:spacing w:line="440" w:lineRule="exact"/>
        <w:ind w:firstLine="482"/>
        <w:outlineLvl w:val="2"/>
        <w:rPr>
          <w:rFonts w:ascii="仿宋" w:hAnsi="仿宋" w:eastAsia="仿宋"/>
          <w:b/>
        </w:rPr>
      </w:pPr>
      <w:bookmarkStart w:id="34" w:name="_Toc479518528"/>
      <w:bookmarkStart w:id="35" w:name="_Toc406668031"/>
      <w:bookmarkStart w:id="36" w:name="_Toc406666357"/>
      <w:bookmarkStart w:id="37" w:name="_Toc14372"/>
      <w:r>
        <w:rPr>
          <w:rFonts w:hint="eastAsia" w:ascii="仿宋" w:hAnsi="仿宋" w:eastAsia="仿宋"/>
          <w:b/>
        </w:rPr>
        <w:t>绩效目标完成情况</w:t>
      </w:r>
      <w:bookmarkEnd w:id="34"/>
    </w:p>
    <w:p>
      <w:pPr>
        <w:snapToGrid w:val="0"/>
        <w:spacing w:line="440" w:lineRule="exact"/>
        <w:ind w:firstLine="480"/>
        <w:rPr>
          <w:rFonts w:ascii="仿宋" w:hAnsi="仿宋" w:eastAsia="仿宋" w:cs="Arial Narrow"/>
        </w:rPr>
      </w:pPr>
      <w:r>
        <w:rPr>
          <w:rFonts w:hint="eastAsia" w:ascii="仿宋" w:hAnsi="仿宋" w:eastAsia="仿宋" w:cs="Arial Narrow"/>
        </w:rPr>
        <w:t>截止2017年年底，武昌区教育局区级资金已经完成完成学生机配置811台、机房改造17间、平板电脑945台、班班通配置338套、配置LED屏6个，设备均通过验收并投入使用，师生终端利用率达100%</w:t>
      </w:r>
      <w:r>
        <w:rPr>
          <w:rFonts w:hint="eastAsia" w:ascii="仿宋" w:hAnsi="仿宋" w:eastAsia="仿宋" w:cs="Arial Narrow"/>
          <w:bCs/>
        </w:rPr>
        <w:t>，师生满意度93.31%。</w:t>
      </w:r>
    </w:p>
    <w:p>
      <w:pPr>
        <w:spacing w:line="440" w:lineRule="exact"/>
        <w:ind w:left="480" w:leftChars="200" w:firstLine="0" w:firstLineChars="0"/>
        <w:rPr>
          <w:rFonts w:ascii="仿宋" w:hAnsi="仿宋" w:eastAsia="仿宋"/>
        </w:rPr>
      </w:pPr>
    </w:p>
    <w:p>
      <w:pPr>
        <w:pStyle w:val="2"/>
        <w:numPr>
          <w:ilvl w:val="0"/>
          <w:numId w:val="2"/>
        </w:numPr>
        <w:spacing w:line="440" w:lineRule="exact"/>
        <w:ind w:firstLine="562" w:firstLineChars="200"/>
        <w:rPr>
          <w:rFonts w:ascii="仿宋" w:hAnsi="仿宋" w:eastAsia="仿宋"/>
        </w:rPr>
      </w:pPr>
      <w:bookmarkStart w:id="38" w:name="_Toc479518529"/>
      <w:r>
        <w:rPr>
          <w:rFonts w:hint="eastAsia" w:ascii="仿宋" w:hAnsi="仿宋" w:eastAsia="仿宋"/>
        </w:rPr>
        <w:t>绩效评价工作情况</w:t>
      </w:r>
      <w:bookmarkEnd w:id="32"/>
      <w:bookmarkEnd w:id="33"/>
      <w:bookmarkEnd w:id="35"/>
      <w:bookmarkEnd w:id="36"/>
      <w:bookmarkEnd w:id="37"/>
      <w:bookmarkEnd w:id="38"/>
      <w:bookmarkStart w:id="39" w:name="_Toc361304682"/>
    </w:p>
    <w:p>
      <w:pPr>
        <w:pStyle w:val="3"/>
        <w:numPr>
          <w:ilvl w:val="0"/>
          <w:numId w:val="8"/>
        </w:numPr>
        <w:spacing w:line="440" w:lineRule="exact"/>
        <w:ind w:firstLine="482"/>
        <w:rPr>
          <w:rFonts w:ascii="仿宋" w:hAnsi="仿宋" w:eastAsia="仿宋"/>
          <w:sz w:val="24"/>
        </w:rPr>
      </w:pPr>
      <w:bookmarkStart w:id="40" w:name="_Toc387957807"/>
      <w:bookmarkStart w:id="41" w:name="_Toc406666358"/>
      <w:bookmarkStart w:id="42" w:name="_Toc479518530"/>
      <w:bookmarkStart w:id="43" w:name="_Toc406668032"/>
      <w:bookmarkStart w:id="44" w:name="_Toc29064"/>
      <w:r>
        <w:rPr>
          <w:rFonts w:ascii="仿宋" w:hAnsi="仿宋" w:eastAsia="仿宋"/>
          <w:sz w:val="24"/>
        </w:rPr>
        <w:t>绩效评价目</w:t>
      </w:r>
      <w:bookmarkEnd w:id="39"/>
      <w:bookmarkEnd w:id="40"/>
      <w:r>
        <w:rPr>
          <w:rFonts w:ascii="仿宋" w:hAnsi="仿宋" w:eastAsia="仿宋"/>
          <w:sz w:val="24"/>
        </w:rPr>
        <w:t>的</w:t>
      </w:r>
      <w:bookmarkEnd w:id="41"/>
      <w:bookmarkEnd w:id="42"/>
      <w:bookmarkEnd w:id="43"/>
      <w:bookmarkEnd w:id="44"/>
    </w:p>
    <w:p>
      <w:pPr>
        <w:snapToGrid w:val="0"/>
        <w:spacing w:line="440" w:lineRule="exact"/>
        <w:ind w:firstLine="480"/>
        <w:rPr>
          <w:rFonts w:ascii="仿宋" w:hAnsi="仿宋" w:eastAsia="仿宋"/>
        </w:rPr>
      </w:pPr>
      <w:r>
        <w:rPr>
          <w:rFonts w:hint="eastAsia" w:ascii="仿宋" w:hAnsi="仿宋" w:eastAsia="仿宋"/>
        </w:rPr>
        <w:t>武昌区教育局</w:t>
      </w:r>
      <w:r>
        <w:rPr>
          <w:rFonts w:ascii="仿宋" w:hAnsi="仿宋" w:eastAsia="仿宋"/>
        </w:rPr>
        <w:t>201</w:t>
      </w:r>
      <w:r>
        <w:rPr>
          <w:rFonts w:hint="eastAsia" w:ascii="仿宋" w:hAnsi="仿宋" w:eastAsia="仿宋"/>
        </w:rPr>
        <w:t>7</w:t>
      </w:r>
      <w:r>
        <w:rPr>
          <w:rFonts w:ascii="仿宋" w:hAnsi="仿宋" w:eastAsia="仿宋"/>
        </w:rPr>
        <w:t>年</w:t>
      </w:r>
      <w:r>
        <w:rPr>
          <w:rFonts w:hint="eastAsia" w:ascii="仿宋" w:hAnsi="仿宋" w:eastAsia="仿宋"/>
        </w:rPr>
        <w:t>教育信息化建设经费项目</w:t>
      </w:r>
      <w:r>
        <w:rPr>
          <w:rFonts w:ascii="仿宋" w:hAnsi="仿宋" w:eastAsia="仿宋"/>
        </w:rPr>
        <w:t>绩效评价，是落实财政部、省财政厅关于绩效评价管理工作规章、制度的体现，推动</w:t>
      </w:r>
      <w:r>
        <w:rPr>
          <w:rFonts w:hint="eastAsia" w:ascii="仿宋" w:hAnsi="仿宋" w:eastAsia="仿宋"/>
        </w:rPr>
        <w:t>武昌区教育局</w:t>
      </w:r>
      <w:r>
        <w:rPr>
          <w:rFonts w:ascii="仿宋" w:hAnsi="仿宋" w:eastAsia="仿宋"/>
        </w:rPr>
        <w:t>工作绩效和实施新《预算法》的需要，是</w:t>
      </w:r>
      <w:r>
        <w:rPr>
          <w:rFonts w:hint="eastAsia" w:ascii="仿宋" w:hAnsi="仿宋" w:eastAsia="仿宋"/>
        </w:rPr>
        <w:t>武昌区教育局</w:t>
      </w:r>
      <w:r>
        <w:rPr>
          <w:rFonts w:ascii="仿宋" w:hAnsi="仿宋" w:eastAsia="仿宋"/>
        </w:rPr>
        <w:t>绩效管理工作的重要环节，是政府和财政部门“用钱必问效、无效必问责”的预算观及“目标-结果-导向”理论的具体实践。本次评价主要有三个目的：</w:t>
      </w:r>
    </w:p>
    <w:p>
      <w:pPr>
        <w:snapToGrid w:val="0"/>
        <w:spacing w:line="440" w:lineRule="exact"/>
        <w:ind w:firstLine="480"/>
        <w:rPr>
          <w:rFonts w:ascii="仿宋" w:hAnsi="仿宋" w:eastAsia="仿宋"/>
        </w:rPr>
      </w:pPr>
      <w:r>
        <w:rPr>
          <w:rFonts w:ascii="仿宋" w:hAnsi="仿宋" w:eastAsia="仿宋"/>
        </w:rPr>
        <w:t>一是通过访谈、观察、检查、分析、计算</w:t>
      </w:r>
      <w:r>
        <w:rPr>
          <w:rFonts w:hint="eastAsia" w:ascii="仿宋" w:hAnsi="仿宋" w:eastAsia="仿宋"/>
        </w:rPr>
        <w:t>项目投入、项目过程、项目产出和项目效果</w:t>
      </w:r>
      <w:r>
        <w:rPr>
          <w:rFonts w:ascii="仿宋" w:hAnsi="仿宋" w:eastAsia="仿宋"/>
        </w:rPr>
        <w:t>所涉及的各项具体指标，客观公正地反映了201</w:t>
      </w:r>
      <w:r>
        <w:rPr>
          <w:rFonts w:hint="eastAsia" w:ascii="仿宋" w:hAnsi="仿宋" w:eastAsia="仿宋"/>
        </w:rPr>
        <w:t>7</w:t>
      </w:r>
      <w:r>
        <w:rPr>
          <w:rFonts w:ascii="仿宋" w:hAnsi="仿宋" w:eastAsia="仿宋"/>
        </w:rPr>
        <w:t>年度</w:t>
      </w:r>
      <w:r>
        <w:rPr>
          <w:rFonts w:hint="eastAsia" w:ascii="仿宋" w:hAnsi="仿宋" w:eastAsia="仿宋"/>
        </w:rPr>
        <w:t>教育信息化建设经费</w:t>
      </w:r>
      <w:r>
        <w:rPr>
          <w:rFonts w:ascii="仿宋" w:hAnsi="仿宋" w:eastAsia="仿宋"/>
          <w:bCs/>
          <w:kern w:val="0"/>
        </w:rPr>
        <w:t>实际使用和产生的绩效状况，为今后该项目实施方向及管理方式的改进提供指引，逐步树立“跟踪问效，追踪问责”的预算责任机制、“结果导向，讲求绩效”的理财观念；</w:t>
      </w:r>
    </w:p>
    <w:p>
      <w:pPr>
        <w:snapToGrid w:val="0"/>
        <w:spacing w:line="440" w:lineRule="exact"/>
        <w:ind w:firstLine="480"/>
        <w:rPr>
          <w:rFonts w:ascii="仿宋" w:hAnsi="仿宋" w:eastAsia="仿宋"/>
        </w:rPr>
      </w:pPr>
      <w:r>
        <w:rPr>
          <w:rFonts w:ascii="仿宋" w:hAnsi="仿宋" w:eastAsia="仿宋"/>
        </w:rPr>
        <w:t>二是通过绩效评价、总结项目实施的做法和经验、教训，提出改进措施和建设性意见，为进一步加强</w:t>
      </w:r>
      <w:r>
        <w:rPr>
          <w:rFonts w:hint="eastAsia" w:ascii="仿宋" w:hAnsi="仿宋" w:eastAsia="仿宋"/>
        </w:rPr>
        <w:t>信息化建设经费</w:t>
      </w:r>
      <w:r>
        <w:rPr>
          <w:rFonts w:ascii="仿宋" w:hAnsi="仿宋" w:eastAsia="仿宋"/>
        </w:rPr>
        <w:t>项目支出绩效管理提供决策参考及政策制定依据；</w:t>
      </w:r>
    </w:p>
    <w:p>
      <w:pPr>
        <w:snapToGrid w:val="0"/>
        <w:spacing w:line="440" w:lineRule="exact"/>
        <w:ind w:firstLine="480"/>
        <w:rPr>
          <w:rFonts w:ascii="仿宋" w:hAnsi="仿宋" w:eastAsia="仿宋"/>
        </w:rPr>
      </w:pPr>
      <w:r>
        <w:rPr>
          <w:rFonts w:ascii="仿宋" w:hAnsi="仿宋" w:eastAsia="仿宋"/>
        </w:rPr>
        <w:t>三是培养</w:t>
      </w:r>
      <w:r>
        <w:rPr>
          <w:rFonts w:hint="eastAsia" w:ascii="仿宋" w:hAnsi="仿宋" w:eastAsia="仿宋"/>
        </w:rPr>
        <w:t>教育</w:t>
      </w:r>
      <w:r>
        <w:rPr>
          <w:rFonts w:ascii="仿宋" w:hAnsi="仿宋" w:eastAsia="仿宋"/>
        </w:rPr>
        <w:t>系统复合型的绩效评价队伍，构建财政预算支出绩效管理的长效机制，打造</w:t>
      </w:r>
      <w:r>
        <w:rPr>
          <w:rFonts w:hint="eastAsia" w:ascii="仿宋" w:hAnsi="仿宋" w:eastAsia="仿宋"/>
        </w:rPr>
        <w:t>财政资金</w:t>
      </w:r>
      <w:r>
        <w:rPr>
          <w:rFonts w:ascii="仿宋" w:hAnsi="仿宋" w:eastAsia="仿宋"/>
        </w:rPr>
        <w:t>绩效监管格局。</w:t>
      </w:r>
      <w:bookmarkStart w:id="45" w:name="_Toc417753592"/>
      <w:bookmarkStart w:id="46" w:name="_Toc420526432"/>
      <w:bookmarkStart w:id="47" w:name="_Toc406668033"/>
      <w:bookmarkStart w:id="48" w:name="_Toc406666359"/>
      <w:bookmarkStart w:id="49" w:name="_Toc361304684"/>
      <w:bookmarkStart w:id="50" w:name="_Toc387957809"/>
      <w:bookmarkStart w:id="51" w:name="_Toc361302025"/>
    </w:p>
    <w:p>
      <w:pPr>
        <w:pStyle w:val="21"/>
        <w:numPr>
          <w:ilvl w:val="0"/>
          <w:numId w:val="9"/>
        </w:numPr>
        <w:spacing w:line="440" w:lineRule="exact"/>
        <w:ind w:firstLine="482"/>
        <w:outlineLvl w:val="2"/>
        <w:rPr>
          <w:rFonts w:ascii="仿宋" w:hAnsi="仿宋" w:eastAsia="仿宋"/>
          <w:b/>
        </w:rPr>
      </w:pPr>
      <w:bookmarkStart w:id="52" w:name="_Toc479518531"/>
      <w:r>
        <w:rPr>
          <w:rFonts w:hint="eastAsia" w:ascii="仿宋" w:hAnsi="仿宋" w:eastAsia="仿宋"/>
          <w:b/>
        </w:rPr>
        <w:t>前期准备工作</w:t>
      </w:r>
      <w:bookmarkEnd w:id="45"/>
      <w:bookmarkEnd w:id="46"/>
      <w:bookmarkEnd w:id="52"/>
    </w:p>
    <w:p>
      <w:pPr>
        <w:snapToGrid w:val="0"/>
        <w:spacing w:line="440" w:lineRule="exact"/>
        <w:ind w:firstLine="480"/>
        <w:rPr>
          <w:rFonts w:ascii="仿宋" w:hAnsi="仿宋" w:eastAsia="仿宋"/>
        </w:rPr>
      </w:pPr>
      <w:r>
        <w:rPr>
          <w:rFonts w:ascii="仿宋" w:hAnsi="仿宋" w:eastAsia="仿宋"/>
        </w:rPr>
        <w:t>（1）组成绩效评价工作组，收集、学习相关绩效评价的文件、制度，传达有关的文件精神和具体工作要求，介绍绩效评价工作的目标、任务、要求、原则、评价方法和资料收集方法等。</w:t>
      </w:r>
    </w:p>
    <w:p>
      <w:pPr>
        <w:snapToGrid w:val="0"/>
        <w:spacing w:line="440" w:lineRule="exact"/>
        <w:ind w:firstLine="480"/>
        <w:rPr>
          <w:rFonts w:ascii="仿宋" w:hAnsi="仿宋" w:eastAsia="仿宋"/>
        </w:rPr>
      </w:pPr>
      <w:r>
        <w:rPr>
          <w:rFonts w:ascii="仿宋" w:hAnsi="仿宋" w:eastAsia="仿宋"/>
        </w:rPr>
        <w:t>（2）绩效评价组调取了项目文件，查询相关资料，并从问卷调查、</w:t>
      </w:r>
      <w:r>
        <w:rPr>
          <w:rFonts w:hint="eastAsia" w:ascii="仿宋" w:hAnsi="仿宋" w:eastAsia="仿宋"/>
        </w:rPr>
        <w:t>网络监管系统</w:t>
      </w:r>
      <w:r>
        <w:rPr>
          <w:rFonts w:ascii="仿宋" w:hAnsi="仿宋" w:eastAsia="仿宋"/>
        </w:rPr>
        <w:t>等途径获取相关资料信息，与项目文件相互印证，了解</w:t>
      </w:r>
      <w:r>
        <w:rPr>
          <w:rFonts w:hint="eastAsia" w:ascii="仿宋" w:hAnsi="仿宋" w:eastAsia="仿宋"/>
        </w:rPr>
        <w:t>教育信息化建设经费资金</w:t>
      </w:r>
      <w:r>
        <w:rPr>
          <w:rFonts w:ascii="仿宋" w:hAnsi="仿宋" w:eastAsia="仿宋"/>
        </w:rPr>
        <w:t>项目的运营和管理状况，与主管部门联系了解项目的特点以及评价目的，并制定了201</w:t>
      </w:r>
      <w:r>
        <w:rPr>
          <w:rFonts w:hint="eastAsia" w:ascii="仿宋" w:hAnsi="仿宋" w:eastAsia="仿宋"/>
        </w:rPr>
        <w:t>7</w:t>
      </w:r>
      <w:r>
        <w:rPr>
          <w:rFonts w:ascii="仿宋" w:hAnsi="仿宋" w:eastAsia="仿宋"/>
        </w:rPr>
        <w:t>年</w:t>
      </w:r>
      <w:r>
        <w:rPr>
          <w:rFonts w:hint="eastAsia" w:ascii="仿宋" w:hAnsi="仿宋" w:eastAsia="仿宋"/>
        </w:rPr>
        <w:t>教育信息化建设经费资金</w:t>
      </w:r>
      <w:r>
        <w:rPr>
          <w:rFonts w:ascii="仿宋" w:hAnsi="仿宋" w:eastAsia="仿宋"/>
        </w:rPr>
        <w:t>项目绩效评价工作方案。</w:t>
      </w:r>
    </w:p>
    <w:p>
      <w:pPr>
        <w:snapToGrid w:val="0"/>
        <w:spacing w:line="440" w:lineRule="exact"/>
        <w:ind w:firstLine="480"/>
        <w:rPr>
          <w:rFonts w:ascii="仿宋" w:hAnsi="仿宋" w:eastAsia="仿宋"/>
        </w:rPr>
      </w:pPr>
      <w:r>
        <w:rPr>
          <w:rFonts w:ascii="仿宋" w:hAnsi="仿宋" w:eastAsia="仿宋"/>
        </w:rPr>
        <w:t>（3）与单位相关负责人进行了解、面访、调查，初步了解被评价项目的总体情况，确定绩效评价工作开展的方向和重点。</w:t>
      </w:r>
    </w:p>
    <w:p>
      <w:pPr>
        <w:snapToGrid w:val="0"/>
        <w:spacing w:line="440" w:lineRule="exact"/>
        <w:ind w:firstLine="480"/>
        <w:rPr>
          <w:rFonts w:ascii="仿宋" w:hAnsi="仿宋" w:eastAsia="仿宋"/>
        </w:rPr>
      </w:pPr>
      <w:r>
        <w:rPr>
          <w:rFonts w:ascii="仿宋" w:hAnsi="仿宋" w:eastAsia="仿宋"/>
        </w:rPr>
        <w:t>（4）对照《财政支出绩效评价管理暂行办法》（财预[2011]285号）、《预算绩效评价共性指标体系框架》（财预[2013]53号）、湖北省财政厅《湖北省省级财政项目资金绩效评价实施暂行办法》（鄂财绩发〔2012〕5号）和《湖北省财政项目资金绩效评价操作指南》（鄂财函〔2014〕376号），结合</w:t>
      </w:r>
      <w:r>
        <w:rPr>
          <w:rFonts w:hint="eastAsia" w:ascii="仿宋" w:hAnsi="仿宋" w:eastAsia="仿宋"/>
        </w:rPr>
        <w:t>武昌区教育局</w:t>
      </w:r>
      <w:r>
        <w:rPr>
          <w:rFonts w:ascii="仿宋" w:hAnsi="仿宋" w:eastAsia="仿宋"/>
        </w:rPr>
        <w:t>工作的实际情况，围绕</w:t>
      </w:r>
      <w:r>
        <w:rPr>
          <w:rFonts w:hint="eastAsia" w:ascii="仿宋" w:hAnsi="仿宋" w:eastAsia="仿宋"/>
        </w:rPr>
        <w:t>项目投入、项目过程、项目使用和项目效果四</w:t>
      </w:r>
      <w:r>
        <w:rPr>
          <w:rFonts w:ascii="仿宋" w:hAnsi="仿宋" w:eastAsia="仿宋"/>
        </w:rPr>
        <w:t>个方面的绩效评价，拟订201</w:t>
      </w:r>
      <w:r>
        <w:rPr>
          <w:rFonts w:hint="eastAsia" w:ascii="仿宋" w:hAnsi="仿宋" w:eastAsia="仿宋"/>
        </w:rPr>
        <w:t>7</w:t>
      </w:r>
      <w:r>
        <w:rPr>
          <w:rFonts w:ascii="仿宋" w:hAnsi="仿宋" w:eastAsia="仿宋"/>
        </w:rPr>
        <w:t>年</w:t>
      </w:r>
      <w:r>
        <w:rPr>
          <w:rFonts w:hint="eastAsia" w:ascii="仿宋" w:hAnsi="仿宋" w:eastAsia="仿宋"/>
        </w:rPr>
        <w:t>教育信息化建设经费资金</w:t>
      </w:r>
      <w:r>
        <w:rPr>
          <w:rFonts w:ascii="仿宋" w:hAnsi="仿宋" w:eastAsia="仿宋"/>
        </w:rPr>
        <w:t>项目绩效评价指标体系、绩效评价访谈提纲和评价资料清单，制定初步的项目绩效评价指标体系框架，制备绩效评价数据基础表，为后期的调查和研究、资料收集做好准备。</w:t>
      </w:r>
    </w:p>
    <w:p>
      <w:pPr>
        <w:snapToGrid w:val="0"/>
        <w:spacing w:line="440" w:lineRule="exact"/>
        <w:ind w:firstLine="480"/>
        <w:rPr>
          <w:rFonts w:ascii="仿宋" w:hAnsi="仿宋" w:eastAsia="仿宋"/>
        </w:rPr>
      </w:pPr>
      <w:r>
        <w:rPr>
          <w:rFonts w:ascii="仿宋" w:hAnsi="仿宋" w:eastAsia="仿宋"/>
        </w:rPr>
        <w:t>（5）与</w:t>
      </w:r>
      <w:r>
        <w:rPr>
          <w:rFonts w:hint="eastAsia" w:ascii="仿宋" w:hAnsi="仿宋" w:eastAsia="仿宋"/>
        </w:rPr>
        <w:t>武昌区教育局</w:t>
      </w:r>
      <w:r>
        <w:rPr>
          <w:rFonts w:ascii="仿宋" w:hAnsi="仿宋" w:eastAsia="仿宋"/>
        </w:rPr>
        <w:t>共同拟定问题清单与访问对象，安排实地调研事宜。</w:t>
      </w:r>
    </w:p>
    <w:p>
      <w:pPr>
        <w:pStyle w:val="21"/>
        <w:numPr>
          <w:ilvl w:val="0"/>
          <w:numId w:val="9"/>
        </w:numPr>
        <w:spacing w:line="440" w:lineRule="exact"/>
        <w:ind w:firstLine="482"/>
        <w:outlineLvl w:val="2"/>
        <w:rPr>
          <w:rFonts w:ascii="仿宋" w:hAnsi="仿宋" w:eastAsia="仿宋"/>
          <w:b/>
        </w:rPr>
      </w:pPr>
      <w:bookmarkStart w:id="53" w:name="_Toc414444062"/>
      <w:bookmarkStart w:id="54" w:name="_Toc417753593"/>
      <w:bookmarkStart w:id="55" w:name="_Toc414781120"/>
      <w:bookmarkStart w:id="56" w:name="_Toc479518532"/>
      <w:bookmarkStart w:id="57" w:name="_Toc420526433"/>
      <w:r>
        <w:rPr>
          <w:rFonts w:hint="eastAsia" w:ascii="仿宋" w:hAnsi="仿宋" w:eastAsia="仿宋"/>
          <w:b/>
        </w:rPr>
        <w:t>组织实施</w:t>
      </w:r>
      <w:bookmarkEnd w:id="53"/>
      <w:bookmarkEnd w:id="54"/>
      <w:bookmarkEnd w:id="55"/>
      <w:bookmarkEnd w:id="56"/>
      <w:bookmarkEnd w:id="57"/>
    </w:p>
    <w:p>
      <w:pPr>
        <w:snapToGrid w:val="0"/>
        <w:spacing w:line="440" w:lineRule="exact"/>
        <w:ind w:firstLine="480"/>
        <w:rPr>
          <w:rFonts w:ascii="仿宋" w:hAnsi="仿宋" w:eastAsia="仿宋"/>
        </w:rPr>
      </w:pPr>
      <w:r>
        <w:rPr>
          <w:rFonts w:ascii="仿宋" w:hAnsi="仿宋" w:eastAsia="仿宋"/>
        </w:rPr>
        <w:t>（1）听取</w:t>
      </w:r>
      <w:r>
        <w:rPr>
          <w:rFonts w:hint="eastAsia" w:ascii="仿宋" w:hAnsi="仿宋" w:eastAsia="仿宋"/>
        </w:rPr>
        <w:t>武昌区教育局及电教中心</w:t>
      </w:r>
      <w:r>
        <w:rPr>
          <w:rFonts w:ascii="仿宋" w:hAnsi="仿宋" w:eastAsia="仿宋"/>
        </w:rPr>
        <w:t>关于201</w:t>
      </w:r>
      <w:r>
        <w:rPr>
          <w:rFonts w:hint="eastAsia" w:ascii="仿宋" w:hAnsi="仿宋" w:eastAsia="仿宋"/>
        </w:rPr>
        <w:t>7</w:t>
      </w:r>
      <w:r>
        <w:rPr>
          <w:rFonts w:ascii="仿宋" w:hAnsi="仿宋" w:eastAsia="仿宋"/>
        </w:rPr>
        <w:t>年</w:t>
      </w:r>
      <w:r>
        <w:rPr>
          <w:rFonts w:hint="eastAsia" w:ascii="仿宋" w:hAnsi="仿宋" w:eastAsia="仿宋"/>
        </w:rPr>
        <w:t>教育信息化建设经费</w:t>
      </w:r>
      <w:r>
        <w:rPr>
          <w:rFonts w:ascii="仿宋" w:hAnsi="仿宋" w:eastAsia="仿宋"/>
        </w:rPr>
        <w:t>资金使用情况、目标完成情况以及实施效果的介绍。</w:t>
      </w:r>
    </w:p>
    <w:p>
      <w:pPr>
        <w:snapToGrid w:val="0"/>
        <w:spacing w:line="440" w:lineRule="exact"/>
        <w:ind w:firstLine="480"/>
        <w:rPr>
          <w:rFonts w:ascii="仿宋" w:hAnsi="仿宋" w:eastAsia="仿宋"/>
        </w:rPr>
      </w:pPr>
      <w:r>
        <w:rPr>
          <w:rFonts w:ascii="仿宋" w:hAnsi="仿宋" w:eastAsia="仿宋"/>
        </w:rPr>
        <w:t>（2）按照《财政支出绩效评价管理暂行办法》（财预[2011]285号）、《湖北省省级财政项目资金绩效评价实施暂行办法》(鄂财绩发[2012]5号)</w:t>
      </w:r>
      <w:r>
        <w:rPr>
          <w:rFonts w:hint="eastAsia" w:ascii="仿宋" w:hAnsi="仿宋" w:eastAsia="仿宋"/>
        </w:rPr>
        <w:t>和武昌区财政局《武昌区财政支出绩效评价管理暂行办法》</w:t>
      </w:r>
      <w:r>
        <w:rPr>
          <w:rFonts w:ascii="仿宋" w:hAnsi="仿宋" w:eastAsia="仿宋"/>
        </w:rPr>
        <w:t>等相关规定，根据评价具体要求和制定的指标体系评价方法，形成详细资料清单及各类工作表格。</w:t>
      </w:r>
    </w:p>
    <w:p>
      <w:pPr>
        <w:snapToGrid w:val="0"/>
        <w:spacing w:line="440" w:lineRule="exact"/>
        <w:ind w:firstLine="480"/>
        <w:rPr>
          <w:rFonts w:ascii="仿宋" w:hAnsi="仿宋" w:eastAsia="仿宋"/>
        </w:rPr>
      </w:pPr>
      <w:r>
        <w:rPr>
          <w:rFonts w:ascii="仿宋" w:hAnsi="仿宋" w:eastAsia="仿宋"/>
        </w:rPr>
        <w:t>（3）开展现场评价工作，收集、核实相关资料，获取评价证据。绩效评价组深入项目执行单位以实地察看、面访、座谈、查阅相关资料、核查财务凭证等多种形式采集信息，复核基础数据和评价证据；完成现场评价工作各类表格的填报工作。</w:t>
      </w:r>
    </w:p>
    <w:p>
      <w:pPr>
        <w:snapToGrid w:val="0"/>
        <w:spacing w:line="440" w:lineRule="exact"/>
        <w:ind w:firstLine="480"/>
        <w:rPr>
          <w:rFonts w:ascii="仿宋" w:hAnsi="仿宋" w:eastAsia="仿宋"/>
        </w:rPr>
      </w:pPr>
      <w:r>
        <w:rPr>
          <w:rFonts w:ascii="仿宋" w:hAnsi="仿宋" w:eastAsia="仿宋"/>
        </w:rPr>
        <w:t>（4）对收集的资料进行分类、整理、筛选、汇总、分析，提出补充资料、修订完善项目绩效评价指标体系框架，优化评价指标。</w:t>
      </w:r>
    </w:p>
    <w:p>
      <w:pPr>
        <w:pStyle w:val="21"/>
        <w:numPr>
          <w:ilvl w:val="0"/>
          <w:numId w:val="9"/>
        </w:numPr>
        <w:spacing w:line="440" w:lineRule="exact"/>
        <w:ind w:firstLine="482"/>
        <w:outlineLvl w:val="2"/>
        <w:rPr>
          <w:rFonts w:ascii="仿宋" w:hAnsi="仿宋" w:eastAsia="仿宋"/>
          <w:b/>
        </w:rPr>
      </w:pPr>
      <w:bookmarkStart w:id="58" w:name="_Toc479518533"/>
      <w:bookmarkStart w:id="59" w:name="_Toc417753594"/>
      <w:bookmarkStart w:id="60" w:name="_Toc414781121"/>
      <w:bookmarkStart w:id="61" w:name="_Toc420526434"/>
      <w:bookmarkStart w:id="62" w:name="_Toc414444063"/>
      <w:r>
        <w:rPr>
          <w:rFonts w:hint="eastAsia" w:ascii="仿宋" w:hAnsi="仿宋" w:eastAsia="仿宋"/>
          <w:b/>
        </w:rPr>
        <w:t>分析评价工作内容</w:t>
      </w:r>
      <w:bookmarkEnd w:id="58"/>
      <w:bookmarkEnd w:id="59"/>
      <w:bookmarkEnd w:id="60"/>
      <w:bookmarkEnd w:id="61"/>
      <w:bookmarkEnd w:id="62"/>
    </w:p>
    <w:p>
      <w:pPr>
        <w:snapToGrid w:val="0"/>
        <w:spacing w:line="440" w:lineRule="exact"/>
        <w:ind w:firstLine="480"/>
        <w:rPr>
          <w:rFonts w:ascii="仿宋" w:hAnsi="仿宋" w:eastAsia="仿宋"/>
        </w:rPr>
      </w:pPr>
      <w:r>
        <w:rPr>
          <w:rFonts w:ascii="仿宋" w:hAnsi="仿宋" w:eastAsia="仿宋"/>
        </w:rPr>
        <w:t>（1）根据现场评价工作获得的信息、被评价单位提供的绩效评价资料，对该项目进行定性、定量的评价，计算各种评价指标，完成评价工作表格的整理，形成绩效评价工作底稿。</w:t>
      </w:r>
    </w:p>
    <w:p>
      <w:pPr>
        <w:snapToGrid w:val="0"/>
        <w:spacing w:line="440" w:lineRule="exact"/>
        <w:ind w:firstLine="480"/>
        <w:rPr>
          <w:rFonts w:ascii="仿宋" w:hAnsi="仿宋" w:eastAsia="仿宋"/>
        </w:rPr>
      </w:pPr>
      <w:r>
        <w:rPr>
          <w:rFonts w:ascii="仿宋" w:hAnsi="仿宋" w:eastAsia="仿宋"/>
        </w:rPr>
        <w:t>（2）编制</w:t>
      </w:r>
      <w:r>
        <w:rPr>
          <w:rFonts w:hint="eastAsia" w:ascii="仿宋" w:hAnsi="仿宋" w:eastAsia="仿宋"/>
        </w:rPr>
        <w:t>教育信息化建设经费项目</w:t>
      </w:r>
      <w:r>
        <w:rPr>
          <w:rFonts w:ascii="仿宋" w:hAnsi="仿宋" w:eastAsia="仿宋"/>
        </w:rPr>
        <w:t>年度绩效目标完成情况对比表，根据统计资料分析项目的实施效果。</w:t>
      </w:r>
    </w:p>
    <w:p>
      <w:pPr>
        <w:snapToGrid w:val="0"/>
        <w:spacing w:line="440" w:lineRule="exact"/>
        <w:ind w:firstLine="480"/>
        <w:rPr>
          <w:rFonts w:ascii="仿宋" w:hAnsi="仿宋" w:eastAsia="仿宋"/>
        </w:rPr>
      </w:pPr>
      <w:r>
        <w:rPr>
          <w:rFonts w:ascii="仿宋" w:hAnsi="仿宋" w:eastAsia="仿宋"/>
        </w:rPr>
        <w:t>（3）根据绩效评价指标体系与评分标准，得出绩效评价结论，撰写绩效评价报告初稿。</w:t>
      </w:r>
    </w:p>
    <w:p>
      <w:pPr>
        <w:snapToGrid w:val="0"/>
        <w:spacing w:line="440" w:lineRule="exact"/>
        <w:ind w:firstLine="480"/>
        <w:rPr>
          <w:rFonts w:ascii="仿宋" w:hAnsi="仿宋" w:eastAsia="仿宋"/>
        </w:rPr>
      </w:pPr>
      <w:r>
        <w:rPr>
          <w:rFonts w:ascii="仿宋" w:hAnsi="仿宋" w:eastAsia="仿宋"/>
        </w:rPr>
        <w:t>（4）将绩效评价报告初稿发送给</w:t>
      </w:r>
      <w:r>
        <w:rPr>
          <w:rFonts w:hint="eastAsia" w:ascii="仿宋" w:hAnsi="仿宋" w:eastAsia="仿宋"/>
        </w:rPr>
        <w:t>武昌区财政局审</w:t>
      </w:r>
      <w:r>
        <w:rPr>
          <w:rFonts w:ascii="仿宋" w:hAnsi="仿宋" w:eastAsia="仿宋"/>
        </w:rPr>
        <w:t>阅，根据反馈意见对评价报告初稿进行修改，形成正式报告文本。</w:t>
      </w:r>
    </w:p>
    <w:p>
      <w:pPr>
        <w:snapToGrid w:val="0"/>
        <w:spacing w:line="440" w:lineRule="exact"/>
        <w:ind w:firstLine="480"/>
        <w:rPr>
          <w:rFonts w:ascii="仿宋" w:hAnsi="仿宋" w:eastAsia="仿宋"/>
        </w:rPr>
      </w:pPr>
      <w:r>
        <w:rPr>
          <w:rFonts w:ascii="仿宋" w:hAnsi="仿宋" w:eastAsia="仿宋"/>
        </w:rPr>
        <w:t>（5）实施绩效评价</w:t>
      </w:r>
      <w:r>
        <w:rPr>
          <w:rFonts w:hint="eastAsia" w:ascii="仿宋" w:hAnsi="仿宋" w:eastAsia="仿宋"/>
        </w:rPr>
        <w:t>报告</w:t>
      </w:r>
      <w:r>
        <w:rPr>
          <w:rFonts w:ascii="仿宋" w:hAnsi="仿宋" w:eastAsia="仿宋"/>
        </w:rPr>
        <w:t>三级质量复核，最终完成并提交</w:t>
      </w:r>
      <w:r>
        <w:rPr>
          <w:rFonts w:hint="eastAsia" w:ascii="仿宋" w:hAnsi="仿宋" w:eastAsia="仿宋"/>
        </w:rPr>
        <w:t>正式</w:t>
      </w:r>
      <w:r>
        <w:rPr>
          <w:rFonts w:ascii="仿宋" w:hAnsi="仿宋" w:eastAsia="仿宋"/>
        </w:rPr>
        <w:t>绩效评价报告。</w:t>
      </w:r>
    </w:p>
    <w:p>
      <w:pPr>
        <w:pStyle w:val="21"/>
        <w:numPr>
          <w:ilvl w:val="0"/>
          <w:numId w:val="9"/>
        </w:numPr>
        <w:spacing w:line="440" w:lineRule="exact"/>
        <w:ind w:firstLine="482"/>
        <w:outlineLvl w:val="2"/>
        <w:rPr>
          <w:rFonts w:ascii="仿宋" w:hAnsi="仿宋" w:eastAsia="仿宋"/>
          <w:b/>
        </w:rPr>
      </w:pPr>
      <w:bookmarkStart w:id="63" w:name="_Toc420526435"/>
      <w:bookmarkStart w:id="64" w:name="_Toc414444064"/>
      <w:bookmarkStart w:id="65" w:name="_Toc414781122"/>
      <w:bookmarkStart w:id="66" w:name="_Toc417753595"/>
      <w:bookmarkStart w:id="67" w:name="_Toc479518534"/>
      <w:r>
        <w:rPr>
          <w:rFonts w:hint="eastAsia" w:ascii="仿宋" w:hAnsi="仿宋" w:eastAsia="仿宋"/>
          <w:b/>
        </w:rPr>
        <w:t>归档</w:t>
      </w:r>
      <w:bookmarkEnd w:id="63"/>
      <w:bookmarkEnd w:id="64"/>
      <w:bookmarkEnd w:id="65"/>
      <w:bookmarkEnd w:id="66"/>
      <w:bookmarkEnd w:id="67"/>
    </w:p>
    <w:p>
      <w:pPr>
        <w:snapToGrid w:val="0"/>
        <w:spacing w:line="440" w:lineRule="exact"/>
        <w:ind w:firstLine="480"/>
        <w:rPr>
          <w:rFonts w:ascii="仿宋" w:hAnsi="仿宋" w:eastAsia="仿宋"/>
        </w:rPr>
      </w:pPr>
      <w:r>
        <w:rPr>
          <w:rFonts w:ascii="仿宋" w:hAnsi="仿宋" w:eastAsia="仿宋"/>
        </w:rPr>
        <w:t>对绩效评价工作资料进行整理，完善绩效评价工作底稿并归档。</w:t>
      </w:r>
    </w:p>
    <w:p>
      <w:pPr>
        <w:pStyle w:val="3"/>
        <w:numPr>
          <w:ilvl w:val="0"/>
          <w:numId w:val="8"/>
        </w:numPr>
        <w:spacing w:line="440" w:lineRule="exact"/>
        <w:ind w:firstLine="482"/>
        <w:rPr>
          <w:rFonts w:ascii="仿宋" w:hAnsi="仿宋" w:eastAsia="仿宋"/>
          <w:sz w:val="24"/>
        </w:rPr>
      </w:pPr>
      <w:bookmarkStart w:id="68" w:name="_Toc479518535"/>
      <w:r>
        <w:rPr>
          <w:rFonts w:hint="eastAsia" w:ascii="仿宋" w:hAnsi="仿宋" w:eastAsia="仿宋"/>
          <w:sz w:val="24"/>
        </w:rPr>
        <w:t>绩效评价框架</w:t>
      </w:r>
      <w:bookmarkEnd w:id="68"/>
    </w:p>
    <w:p>
      <w:pPr>
        <w:pStyle w:val="21"/>
        <w:numPr>
          <w:ilvl w:val="0"/>
          <w:numId w:val="10"/>
        </w:numPr>
        <w:spacing w:line="440" w:lineRule="exact"/>
        <w:ind w:firstLine="482"/>
        <w:outlineLvl w:val="2"/>
        <w:rPr>
          <w:rFonts w:ascii="仿宋" w:hAnsi="仿宋" w:eastAsia="仿宋"/>
          <w:b/>
        </w:rPr>
      </w:pPr>
      <w:bookmarkStart w:id="69" w:name="_Toc479518536"/>
      <w:r>
        <w:rPr>
          <w:rFonts w:hint="eastAsia" w:ascii="仿宋" w:hAnsi="仿宋" w:eastAsia="仿宋"/>
          <w:b/>
        </w:rPr>
        <w:t>评价原则</w:t>
      </w:r>
      <w:bookmarkEnd w:id="69"/>
    </w:p>
    <w:p>
      <w:pPr>
        <w:snapToGrid w:val="0"/>
        <w:spacing w:line="440" w:lineRule="exact"/>
        <w:ind w:firstLine="480"/>
        <w:rPr>
          <w:rFonts w:ascii="仿宋" w:hAnsi="仿宋" w:eastAsia="仿宋"/>
        </w:rPr>
      </w:pPr>
      <w:r>
        <w:rPr>
          <w:rFonts w:ascii="仿宋" w:hAnsi="仿宋" w:eastAsia="仿宋"/>
        </w:rPr>
        <w:t>本次绩效评价遵循以下原则：</w:t>
      </w:r>
    </w:p>
    <w:p>
      <w:pPr>
        <w:snapToGrid w:val="0"/>
        <w:spacing w:line="440" w:lineRule="exact"/>
        <w:ind w:firstLine="360" w:firstLineChars="150"/>
        <w:rPr>
          <w:rFonts w:ascii="仿宋" w:hAnsi="仿宋" w:eastAsia="仿宋"/>
        </w:rPr>
      </w:pPr>
      <w:r>
        <w:rPr>
          <w:rFonts w:ascii="仿宋" w:hAnsi="仿宋" w:eastAsia="仿宋"/>
        </w:rPr>
        <w:t>（1）科学规范原则。绩效评价应当严格执行规定的程序和流程，按照科学可行的要求，采用目标比较法、定量与定性分析相结合的方法，进行绩效评价工作。</w:t>
      </w:r>
    </w:p>
    <w:p>
      <w:pPr>
        <w:snapToGrid w:val="0"/>
        <w:spacing w:line="440" w:lineRule="exact"/>
        <w:ind w:firstLine="360" w:firstLineChars="150"/>
        <w:rPr>
          <w:rFonts w:ascii="仿宋" w:hAnsi="仿宋" w:eastAsia="仿宋"/>
        </w:rPr>
      </w:pPr>
      <w:r>
        <w:rPr>
          <w:rFonts w:ascii="仿宋" w:hAnsi="仿宋" w:eastAsia="仿宋"/>
        </w:rPr>
        <w:t>（2）公正公开原则。绩效评价应当符合真实、客观、公正的要求，依法公开并接受监督。</w:t>
      </w:r>
    </w:p>
    <w:p>
      <w:pPr>
        <w:snapToGrid w:val="0"/>
        <w:spacing w:line="440" w:lineRule="exact"/>
        <w:ind w:firstLine="360" w:firstLineChars="150"/>
        <w:rPr>
          <w:rFonts w:ascii="仿宋" w:hAnsi="仿宋" w:eastAsia="仿宋"/>
        </w:rPr>
      </w:pPr>
      <w:r>
        <w:rPr>
          <w:rFonts w:ascii="仿宋" w:hAnsi="仿宋" w:eastAsia="仿宋"/>
        </w:rPr>
        <w:t>（3）客观性原则。客观性原则也就是真实性原则，实事求是是绩效评价活动的根本要求。客观、公正，避免个人情感等主观因素的影响。同时，也避免外界因素的制约，以事实为依据，做出准确的判断、真实的评价绩效水平。</w:t>
      </w:r>
    </w:p>
    <w:p>
      <w:pPr>
        <w:snapToGrid w:val="0"/>
        <w:spacing w:line="440" w:lineRule="exact"/>
        <w:ind w:firstLine="360" w:firstLineChars="150"/>
        <w:rPr>
          <w:rFonts w:ascii="仿宋" w:hAnsi="仿宋" w:eastAsia="仿宋"/>
        </w:rPr>
      </w:pPr>
      <w:r>
        <w:rPr>
          <w:rFonts w:ascii="仿宋" w:hAnsi="仿宋" w:eastAsia="仿宋"/>
        </w:rPr>
        <w:t>（4）相关性原则。绩效评价指标应当针对具体支出及产出进行，评价结果应当清晰反映支出与产出效能的紧密对应关系，反映绩效目标的实现程度。</w:t>
      </w:r>
    </w:p>
    <w:p>
      <w:pPr>
        <w:snapToGrid w:val="0"/>
        <w:spacing w:afterLines="50" w:line="440" w:lineRule="exact"/>
        <w:ind w:firstLine="360" w:firstLineChars="150"/>
        <w:rPr>
          <w:rFonts w:ascii="仿宋" w:hAnsi="仿宋" w:eastAsia="仿宋"/>
        </w:rPr>
      </w:pPr>
      <w:r>
        <w:rPr>
          <w:rFonts w:ascii="仿宋" w:hAnsi="仿宋" w:eastAsia="仿宋"/>
        </w:rPr>
        <w:t>（5）发展性原则。项目绩效评价检查的目的是为了完善管理</w:t>
      </w:r>
      <w:r>
        <w:rPr>
          <w:rFonts w:hint="eastAsia" w:ascii="仿宋" w:hAnsi="仿宋" w:eastAsia="仿宋"/>
        </w:rPr>
        <w:t>、引导资金正确使用</w:t>
      </w:r>
      <w:r>
        <w:rPr>
          <w:rFonts w:ascii="仿宋" w:hAnsi="仿宋" w:eastAsia="仿宋"/>
        </w:rPr>
        <w:t>，促进和提高绩效，发挥财政资金的最大价值。发展性原则要求在绩效评价的内容、方法、结果等方面都要有利于提高和发展财政支出资金绩效水平，这是绩效评价的出发点。发展性原则是贯穿绩效评价全过程的主线。</w:t>
      </w:r>
    </w:p>
    <w:p>
      <w:pPr>
        <w:pStyle w:val="21"/>
        <w:numPr>
          <w:ilvl w:val="0"/>
          <w:numId w:val="10"/>
        </w:numPr>
        <w:spacing w:line="440" w:lineRule="exact"/>
        <w:ind w:firstLine="482"/>
        <w:outlineLvl w:val="2"/>
        <w:rPr>
          <w:rFonts w:ascii="仿宋" w:hAnsi="仿宋" w:eastAsia="仿宋"/>
          <w:b/>
        </w:rPr>
      </w:pPr>
      <w:bookmarkStart w:id="70" w:name="_Toc479518537"/>
      <w:r>
        <w:rPr>
          <w:rFonts w:hint="eastAsia" w:ascii="仿宋" w:hAnsi="仿宋" w:eastAsia="仿宋"/>
          <w:b/>
        </w:rPr>
        <w:t>评价依据</w:t>
      </w:r>
      <w:bookmarkEnd w:id="70"/>
    </w:p>
    <w:p>
      <w:pPr>
        <w:snapToGrid w:val="0"/>
        <w:spacing w:line="440" w:lineRule="exact"/>
        <w:ind w:firstLine="480"/>
        <w:rPr>
          <w:rFonts w:ascii="仿宋" w:hAnsi="仿宋" w:eastAsia="仿宋"/>
        </w:rPr>
      </w:pPr>
      <w:r>
        <w:rPr>
          <w:rFonts w:ascii="仿宋" w:hAnsi="仿宋" w:eastAsia="仿宋"/>
        </w:rPr>
        <w:t>本次绩效评价的依据，主要包括；</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1</w:t>
      </w:r>
      <w:r>
        <w:rPr>
          <w:rFonts w:ascii="仿宋" w:hAnsi="仿宋" w:eastAsia="仿宋"/>
        </w:rPr>
        <w:t>）《省人民政府关于推进预算绩效管理的意见》（鄂政发〔2013〕9号）；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2</w:t>
      </w:r>
      <w:r>
        <w:rPr>
          <w:rFonts w:ascii="仿宋" w:hAnsi="仿宋" w:eastAsia="仿宋"/>
        </w:rPr>
        <w:t>）《湖北省第三方机构参与预算绩效管理工作暂行办法》（鄂财绩规〔2014〕3号）；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）《中华人民共和国预算法》（2011年修订版）；</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）《财政支出绩效评价管理暂行办法》（财预[2011]285号）；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）《关于推进预算绩效管理的指导意见》（财预[2011]416号）；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5</w:t>
      </w:r>
      <w:r>
        <w:rPr>
          <w:rFonts w:ascii="仿宋" w:hAnsi="仿宋" w:eastAsia="仿宋"/>
        </w:rPr>
        <w:t>）《预算绩效评价共性指标体系框架》（财预[2013]53号）；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6</w:t>
      </w:r>
      <w:r>
        <w:rPr>
          <w:rFonts w:ascii="仿宋" w:hAnsi="仿宋" w:eastAsia="仿宋"/>
        </w:rPr>
        <w:t>）《湖北省省级财政项目资金绩效评价实施暂行办法》（鄂财绩发[2012]5号）；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7</w:t>
      </w:r>
      <w:r>
        <w:rPr>
          <w:rFonts w:ascii="仿宋" w:hAnsi="仿宋" w:eastAsia="仿宋"/>
        </w:rPr>
        <w:t>）《湖北省财政项目资金绩效评价操作指南》（鄂财函[2014]376号）；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8</w:t>
      </w:r>
      <w:r>
        <w:rPr>
          <w:rFonts w:ascii="仿宋" w:hAnsi="仿宋" w:eastAsia="仿宋"/>
        </w:rPr>
        <w:t>）</w:t>
      </w:r>
      <w:r>
        <w:rPr>
          <w:rFonts w:hint="eastAsia" w:ascii="仿宋" w:hAnsi="仿宋" w:eastAsia="仿宋"/>
        </w:rPr>
        <w:t>武昌区财政局《武昌区财政支出绩效评价管理暂行办法》</w:t>
      </w:r>
      <w:r>
        <w:rPr>
          <w:rFonts w:ascii="仿宋" w:hAnsi="仿宋" w:eastAsia="仿宋"/>
        </w:rPr>
        <w:t>；</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9</w:t>
      </w:r>
      <w:r>
        <w:rPr>
          <w:rFonts w:ascii="仿宋" w:hAnsi="仿宋" w:eastAsia="仿宋"/>
        </w:rPr>
        <w:t>）部门职能职责、中长期发展规划、年度工作计划、年度绩效目标及《</w:t>
      </w:r>
      <w:r>
        <w:rPr>
          <w:rFonts w:hint="eastAsia" w:ascii="仿宋" w:hAnsi="仿宋" w:eastAsia="仿宋"/>
        </w:rPr>
        <w:t>武昌区</w:t>
      </w:r>
      <w:r>
        <w:rPr>
          <w:rFonts w:ascii="仿宋" w:hAnsi="仿宋" w:eastAsia="仿宋"/>
        </w:rPr>
        <w:t>财政专项资金绩效目标申报表》；</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10</w:t>
      </w:r>
      <w:r>
        <w:rPr>
          <w:rFonts w:ascii="仿宋" w:hAnsi="仿宋" w:eastAsia="仿宋"/>
        </w:rPr>
        <w:t>）其他与绩效评价工作有关的政策、制度性文件及项目预算批准文件、项目规划、年度财务报告或决算报告、项目自评报告等；</w:t>
      </w:r>
    </w:p>
    <w:p>
      <w:pPr>
        <w:snapToGrid w:val="0"/>
        <w:spacing w:line="440" w:lineRule="exact"/>
        <w:ind w:firstLine="436" w:firstLineChars="182"/>
        <w:jc w:val="left"/>
        <w:rPr>
          <w:rFonts w:ascii="仿宋" w:hAnsi="仿宋" w:eastAsia="仿宋" w:cs="Arial Narrow"/>
        </w:rPr>
      </w:pPr>
      <w:r>
        <w:rPr>
          <w:rFonts w:ascii="仿宋" w:hAnsi="仿宋" w:eastAsia="仿宋"/>
        </w:rPr>
        <w:t>（</w:t>
      </w:r>
      <w:r>
        <w:rPr>
          <w:rFonts w:hint="eastAsia" w:ascii="仿宋" w:hAnsi="仿宋" w:eastAsia="仿宋"/>
        </w:rPr>
        <w:t>11</w:t>
      </w:r>
      <w:r>
        <w:rPr>
          <w:rFonts w:ascii="仿宋" w:hAnsi="仿宋" w:eastAsia="仿宋"/>
        </w:rPr>
        <w:t>）评价工作人员取得的其他资料。</w:t>
      </w:r>
    </w:p>
    <w:p>
      <w:pPr>
        <w:pStyle w:val="21"/>
        <w:numPr>
          <w:ilvl w:val="0"/>
          <w:numId w:val="10"/>
        </w:numPr>
        <w:spacing w:line="440" w:lineRule="exact"/>
        <w:ind w:firstLine="480"/>
        <w:outlineLvl w:val="2"/>
        <w:rPr>
          <w:rFonts w:ascii="仿宋" w:hAnsi="仿宋" w:eastAsia="仿宋"/>
          <w:bCs w:val="0"/>
          <w:szCs w:val="24"/>
        </w:rPr>
      </w:pPr>
      <w:bookmarkStart w:id="71" w:name="_Toc479518538"/>
      <w:r>
        <w:rPr>
          <w:rFonts w:hint="eastAsia" w:ascii="仿宋" w:hAnsi="仿宋" w:eastAsia="仿宋"/>
          <w:bCs w:val="0"/>
          <w:szCs w:val="24"/>
        </w:rPr>
        <w:t>评价指标体系</w:t>
      </w:r>
      <w:bookmarkEnd w:id="71"/>
    </w:p>
    <w:p>
      <w:pPr>
        <w:snapToGrid w:val="0"/>
        <w:spacing w:line="440" w:lineRule="exact"/>
        <w:ind w:firstLine="480"/>
        <w:rPr>
          <w:rFonts w:ascii="仿宋" w:hAnsi="仿宋" w:eastAsia="仿宋"/>
        </w:rPr>
      </w:pPr>
      <w:r>
        <w:rPr>
          <w:rFonts w:ascii="仿宋" w:hAnsi="仿宋" w:eastAsia="仿宋"/>
        </w:rPr>
        <w:t>根据《财政支出绩效评价管理暂行办法》（财预[2011]285号）、《湖北省省级财政项目资金绩效评价实施暂行办法》（鄂财绩发〔2012〕5号）、《预算绩效评价共性指标体系框架》（财预[2013]53号）</w:t>
      </w:r>
      <w:r>
        <w:rPr>
          <w:rFonts w:hint="eastAsia" w:ascii="仿宋" w:hAnsi="仿宋" w:eastAsia="仿宋"/>
        </w:rPr>
        <w:t>及武昌区财政局《武昌区财政支出绩效评价管理暂行办法》</w:t>
      </w:r>
      <w:r>
        <w:rPr>
          <w:rFonts w:ascii="仿宋" w:hAnsi="仿宋" w:eastAsia="仿宋"/>
        </w:rPr>
        <w:t>等文件、制度中有关财政支出绩效评价指标体系指导框架，并结合本项目的具体情况，设计了201</w:t>
      </w:r>
      <w:r>
        <w:rPr>
          <w:rFonts w:hint="eastAsia" w:ascii="仿宋" w:hAnsi="仿宋" w:eastAsia="仿宋"/>
        </w:rPr>
        <w:t>7</w:t>
      </w:r>
      <w:r>
        <w:rPr>
          <w:rFonts w:ascii="仿宋" w:hAnsi="仿宋" w:eastAsia="仿宋"/>
        </w:rPr>
        <w:t>年</w:t>
      </w:r>
      <w:r>
        <w:rPr>
          <w:rFonts w:hint="eastAsia" w:ascii="仿宋" w:hAnsi="仿宋" w:eastAsia="仿宋"/>
        </w:rPr>
        <w:t>教育信息化建设经费</w:t>
      </w:r>
      <w:r>
        <w:rPr>
          <w:rFonts w:ascii="仿宋" w:hAnsi="仿宋" w:eastAsia="仿宋"/>
        </w:rPr>
        <w:t>项目支出评价指标体系框架，从业务项目涉及的</w:t>
      </w:r>
      <w:r>
        <w:rPr>
          <w:rFonts w:hint="eastAsia" w:ascii="仿宋" w:hAnsi="仿宋" w:eastAsia="仿宋"/>
        </w:rPr>
        <w:t>项目投入、项目过程、项目产出和项目效果四</w:t>
      </w:r>
      <w:r>
        <w:rPr>
          <w:rFonts w:ascii="仿宋" w:hAnsi="仿宋" w:eastAsia="仿宋"/>
        </w:rPr>
        <w:t>个维度，采用了</w:t>
      </w:r>
      <w:r>
        <w:rPr>
          <w:rFonts w:hint="eastAsia" w:ascii="仿宋" w:hAnsi="仿宋" w:eastAsia="仿宋"/>
        </w:rPr>
        <w:t>6</w:t>
      </w:r>
      <w:r>
        <w:rPr>
          <w:rFonts w:ascii="仿宋" w:hAnsi="仿宋" w:eastAsia="仿宋"/>
        </w:rPr>
        <w:t>个二级指标，设计了</w:t>
      </w:r>
      <w:r>
        <w:rPr>
          <w:rFonts w:hint="eastAsia" w:ascii="仿宋" w:hAnsi="仿宋" w:eastAsia="仿宋"/>
        </w:rPr>
        <w:t>18</w:t>
      </w:r>
      <w:r>
        <w:rPr>
          <w:rFonts w:ascii="仿宋" w:hAnsi="仿宋" w:eastAsia="仿宋"/>
        </w:rPr>
        <w:t>个三级指标，精细化</w:t>
      </w:r>
      <w:r>
        <w:rPr>
          <w:rFonts w:hint="eastAsia" w:ascii="仿宋" w:hAnsi="仿宋" w:eastAsia="仿宋"/>
        </w:rPr>
        <w:t>46</w:t>
      </w:r>
      <w:r>
        <w:rPr>
          <w:rFonts w:ascii="仿宋" w:hAnsi="仿宋" w:eastAsia="仿宋"/>
        </w:rPr>
        <w:t>个具体评价标准，对201</w:t>
      </w:r>
      <w:r>
        <w:rPr>
          <w:rFonts w:hint="eastAsia" w:ascii="仿宋" w:hAnsi="仿宋" w:eastAsia="仿宋"/>
        </w:rPr>
        <w:t>7</w:t>
      </w:r>
      <w:r>
        <w:rPr>
          <w:rFonts w:ascii="仿宋" w:hAnsi="仿宋" w:eastAsia="仿宋"/>
        </w:rPr>
        <w:t>年</w:t>
      </w:r>
      <w:r>
        <w:rPr>
          <w:rFonts w:hint="eastAsia" w:ascii="仿宋" w:hAnsi="仿宋" w:eastAsia="仿宋"/>
        </w:rPr>
        <w:t>教育信息化建设经费资金项目</w:t>
      </w:r>
      <w:r>
        <w:rPr>
          <w:rFonts w:ascii="仿宋" w:hAnsi="仿宋" w:eastAsia="仿宋"/>
        </w:rPr>
        <w:t>财政支出绩效进行综合评价。</w:t>
      </w:r>
    </w:p>
    <w:p>
      <w:pPr>
        <w:snapToGrid w:val="0"/>
        <w:spacing w:line="440" w:lineRule="exact"/>
        <w:ind w:firstLine="480"/>
        <w:rPr>
          <w:rFonts w:ascii="仿宋" w:hAnsi="仿宋" w:eastAsia="仿宋"/>
        </w:rPr>
      </w:pPr>
      <w:r>
        <w:rPr>
          <w:rFonts w:ascii="仿宋" w:hAnsi="仿宋" w:eastAsia="仿宋"/>
        </w:rPr>
        <w:t>（1）项目</w:t>
      </w:r>
      <w:r>
        <w:rPr>
          <w:rFonts w:hint="eastAsia" w:ascii="仿宋" w:hAnsi="仿宋" w:eastAsia="仿宋"/>
        </w:rPr>
        <w:t>投入</w:t>
      </w:r>
      <w:r>
        <w:rPr>
          <w:rFonts w:ascii="仿宋" w:hAnsi="仿宋" w:eastAsia="仿宋"/>
        </w:rPr>
        <w:t>评价指标体系</w:t>
      </w:r>
    </w:p>
    <w:p>
      <w:pPr>
        <w:snapToGrid w:val="0"/>
        <w:spacing w:afterLines="50" w:line="440" w:lineRule="exact"/>
        <w:ind w:firstLine="480"/>
        <w:rPr>
          <w:rFonts w:ascii="仿宋" w:hAnsi="仿宋" w:eastAsia="仿宋"/>
        </w:rPr>
      </w:pPr>
      <w:r>
        <w:rPr>
          <w:rFonts w:ascii="仿宋" w:hAnsi="仿宋" w:eastAsia="仿宋"/>
        </w:rPr>
        <w:t>该指标重点评价项目的</w:t>
      </w:r>
      <w:r>
        <w:rPr>
          <w:rFonts w:hint="eastAsia" w:ascii="仿宋" w:hAnsi="仿宋" w:eastAsia="仿宋"/>
        </w:rPr>
        <w:t>立项</w:t>
      </w:r>
      <w:r>
        <w:rPr>
          <w:rFonts w:ascii="仿宋" w:hAnsi="仿宋" w:eastAsia="仿宋"/>
        </w:rPr>
        <w:t>、</w:t>
      </w:r>
      <w:r>
        <w:rPr>
          <w:rFonts w:hint="eastAsia" w:ascii="仿宋" w:hAnsi="仿宋" w:eastAsia="仿宋"/>
        </w:rPr>
        <w:t>绩效目标</w:t>
      </w:r>
      <w:r>
        <w:rPr>
          <w:rFonts w:ascii="仿宋" w:hAnsi="仿宋" w:eastAsia="仿宋"/>
        </w:rPr>
        <w:t>、</w:t>
      </w:r>
      <w:r>
        <w:rPr>
          <w:rFonts w:hint="eastAsia" w:ascii="仿宋" w:hAnsi="仿宋" w:eastAsia="仿宋"/>
        </w:rPr>
        <w:t>绩效指标和资金落实</w:t>
      </w:r>
      <w:r>
        <w:rPr>
          <w:rFonts w:ascii="仿宋" w:hAnsi="仿宋" w:eastAsia="仿宋"/>
        </w:rPr>
        <w:t>等，由</w:t>
      </w:r>
      <w:r>
        <w:rPr>
          <w:rFonts w:hint="eastAsia" w:ascii="仿宋" w:hAnsi="仿宋" w:eastAsia="仿宋"/>
        </w:rPr>
        <w:t>2</w:t>
      </w:r>
      <w:r>
        <w:rPr>
          <w:rFonts w:ascii="仿宋" w:hAnsi="仿宋" w:eastAsia="仿宋"/>
        </w:rPr>
        <w:t>个二级指标、5个三级指标、</w:t>
      </w:r>
      <w:r>
        <w:rPr>
          <w:rFonts w:hint="eastAsia" w:ascii="仿宋" w:hAnsi="仿宋" w:eastAsia="仿宋"/>
        </w:rPr>
        <w:t>13</w:t>
      </w:r>
      <w:r>
        <w:rPr>
          <w:rFonts w:ascii="仿宋" w:hAnsi="仿宋" w:eastAsia="仿宋"/>
        </w:rPr>
        <w:t>个细化评价标准组成，分值权重为</w:t>
      </w:r>
      <w:r>
        <w:rPr>
          <w:rFonts w:hint="eastAsia" w:ascii="仿宋" w:hAnsi="仿宋" w:eastAsia="仿宋"/>
        </w:rPr>
        <w:t>15</w:t>
      </w:r>
      <w:r>
        <w:rPr>
          <w:rFonts w:ascii="仿宋" w:hAnsi="仿宋" w:eastAsia="仿宋"/>
        </w:rPr>
        <w:t>分，各指标的含义、评分标准、分值分布详见表1。</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6"/>
        <w:gridCol w:w="1055"/>
        <w:gridCol w:w="1416"/>
        <w:gridCol w:w="2128"/>
        <w:gridCol w:w="2271"/>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640"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627"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841"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1264"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1349"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280"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40" w:type="pct"/>
            <w:vMerge w:val="restart"/>
            <w:shd w:val="clear" w:color="auto" w:fill="auto"/>
            <w:textDirection w:val="tbRlV"/>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投   入（15分）</w:t>
            </w:r>
          </w:p>
        </w:tc>
        <w:tc>
          <w:tcPr>
            <w:tcW w:w="627"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项目立项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（11分）</w:t>
            </w:r>
          </w:p>
        </w:tc>
        <w:tc>
          <w:tcPr>
            <w:tcW w:w="841"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项目立项规范性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（3分）</w:t>
            </w:r>
          </w:p>
        </w:tc>
        <w:tc>
          <w:tcPr>
            <w:tcW w:w="1264"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项目的申请、设立过程是否符合相关要求，用以反映和考核项目立项的规范情况</w:t>
            </w: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①项目按照规定的程序申请设立</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8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64"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②所提交的文件、材料符合相关要求</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8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64"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③事前已经过集体决策等</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841"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绩效目标合理性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1264"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项目所设定的绩效目标是否依据充分，是否符合客观实际，是否与单位规划及相关年度工作计划的相符合，用以反映和考核项目绩效目标与项目实施的相符情况</w:t>
            </w: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①符合教育信息化发展相关规定</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8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64"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②与项目实施单位职责密切相关</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8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64"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③项目为促进教育事业发展所必需</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8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64"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④项目预期产出效益和效果符合正常的业绩水平</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841"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绩效指标明确性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1264"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依据绩效目标设定的绩效指标是否清晰、细化、可衡量等，用以反映和考核项目绩效目标的明细化情况</w:t>
            </w: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①项目绩效目标细化、具体</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8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64"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②项目绩效目标清晰、可衡量</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8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64"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③与项目年度任务数或计划数相对应</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8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64"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④与预算确定的项目投资额或资金量相匹配</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资金落实</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841"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资金到位率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1264"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实际到位资金与计划投入资金的比率，用以反映和考核资金落实情况对项目实施的总体保障程度</w:t>
            </w: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资金到位率=（实际到位资金/计划投入资金）×100%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实际得分= 资金到位率 × 标准分值</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实际到位资金：一定时期（本年度或项目期）内实际落实到具体项目的资金</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计划投入资金：一定时期（本年度或项目期）内计划投入到具体项目的资金</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trPr>
        <w:tc>
          <w:tcPr>
            <w:tcW w:w="640"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27"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841"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到位及时率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1264"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及时到位资金与应到位资金的比率，用以反映和考核项目资金落实的及时性程度</w:t>
            </w:r>
          </w:p>
        </w:tc>
        <w:tc>
          <w:tcPr>
            <w:tcW w:w="1349"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到位及时率=（及时到位资金/应到位资金）×100%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实际得分=  到位及时率 × 标准分值</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及时到位资金：截至规定时点实际落实到具体项目的资金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应到位资金：按照合同或项目进度要求截至规定时点应落实到具体项目的资金</w:t>
            </w:r>
          </w:p>
        </w:tc>
        <w:tc>
          <w:tcPr>
            <w:tcW w:w="280"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bl>
    <w:p>
      <w:pPr>
        <w:snapToGrid w:val="0"/>
        <w:spacing w:beforeLines="50" w:line="440" w:lineRule="exact"/>
        <w:ind w:firstLine="480"/>
        <w:rPr>
          <w:rFonts w:ascii="仿宋" w:hAnsi="仿宋" w:eastAsia="仿宋"/>
        </w:rPr>
      </w:pPr>
      <w:r>
        <w:rPr>
          <w:rFonts w:ascii="仿宋" w:hAnsi="仿宋" w:eastAsia="仿宋"/>
        </w:rPr>
        <w:t>（2）项目</w:t>
      </w:r>
      <w:r>
        <w:rPr>
          <w:rFonts w:hint="eastAsia" w:ascii="仿宋" w:hAnsi="仿宋" w:eastAsia="仿宋"/>
        </w:rPr>
        <w:t>过程</w:t>
      </w:r>
      <w:r>
        <w:rPr>
          <w:rFonts w:ascii="仿宋" w:hAnsi="仿宋" w:eastAsia="仿宋"/>
        </w:rPr>
        <w:t>评价指标体系</w:t>
      </w:r>
    </w:p>
    <w:p>
      <w:pPr>
        <w:snapToGrid w:val="0"/>
        <w:spacing w:afterLines="50" w:line="440" w:lineRule="exact"/>
        <w:ind w:firstLine="480"/>
        <w:jc w:val="left"/>
        <w:rPr>
          <w:rFonts w:ascii="仿宋" w:hAnsi="仿宋" w:eastAsia="仿宋"/>
        </w:rPr>
      </w:pPr>
      <w:r>
        <w:rPr>
          <w:rFonts w:ascii="仿宋" w:hAnsi="仿宋" w:eastAsia="仿宋"/>
        </w:rPr>
        <w:t>该指标重点评价项目</w:t>
      </w:r>
      <w:r>
        <w:rPr>
          <w:rFonts w:hint="eastAsia" w:ascii="仿宋" w:hAnsi="仿宋" w:eastAsia="仿宋"/>
        </w:rPr>
        <w:t>的业务管理、财务管理</w:t>
      </w:r>
      <w:r>
        <w:rPr>
          <w:rFonts w:ascii="仿宋" w:hAnsi="仿宋" w:eastAsia="仿宋"/>
        </w:rPr>
        <w:t>等，由</w:t>
      </w:r>
      <w:r>
        <w:rPr>
          <w:rFonts w:hint="eastAsia" w:ascii="仿宋" w:hAnsi="仿宋" w:eastAsia="仿宋"/>
        </w:rPr>
        <w:t>2</w:t>
      </w:r>
      <w:r>
        <w:rPr>
          <w:rFonts w:ascii="仿宋" w:hAnsi="仿宋" w:eastAsia="仿宋"/>
        </w:rPr>
        <w:t>个二级指标、6个三级指标、</w:t>
      </w:r>
      <w:r>
        <w:rPr>
          <w:rFonts w:hint="eastAsia" w:ascii="仿宋" w:hAnsi="仿宋" w:eastAsia="仿宋"/>
        </w:rPr>
        <w:t>19</w:t>
      </w:r>
      <w:r>
        <w:rPr>
          <w:rFonts w:ascii="仿宋" w:hAnsi="仿宋" w:eastAsia="仿宋"/>
        </w:rPr>
        <w:t>个细化评价标准组成，分值权重为</w:t>
      </w:r>
      <w:r>
        <w:rPr>
          <w:rFonts w:hint="eastAsia" w:ascii="仿宋" w:hAnsi="仿宋" w:eastAsia="仿宋"/>
        </w:rPr>
        <w:t>25</w:t>
      </w:r>
      <w:r>
        <w:rPr>
          <w:rFonts w:ascii="仿宋" w:hAnsi="仿宋" w:eastAsia="仿宋"/>
        </w:rPr>
        <w:t>分,各指标的含义、评分标准、分值分布详见表2。</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274"/>
        <w:gridCol w:w="1278"/>
        <w:gridCol w:w="2126"/>
        <w:gridCol w:w="2126"/>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38"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739"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741"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1233"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1233"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416" w:type="pct"/>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8" w:type="pct"/>
            <w:vMerge w:val="restart"/>
            <w:shd w:val="clear" w:color="auto" w:fill="auto"/>
            <w:noWrap/>
            <w:textDirection w:val="tbRlV"/>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过   程（25分）</w:t>
            </w:r>
          </w:p>
        </w:tc>
        <w:tc>
          <w:tcPr>
            <w:tcW w:w="739"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业务管理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（10分）</w:t>
            </w:r>
          </w:p>
        </w:tc>
        <w:tc>
          <w:tcPr>
            <w:tcW w:w="741"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管理制度健全性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1233"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项目实施单位的业务管理制度是否健全，用以反映和考核业务管理制度对项目顺利实施的保障情况</w:t>
            </w: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①已制定或具有相应的业务管理制度</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②业务管理制度合法、合规、完整</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制度执行</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1233"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项目实施是否符合相关业务管理规定，用以反映和考核业务管理制度的有效执行情况</w:t>
            </w: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①遵守相关法律法规和业务管理规定</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②项目调整及支出调整手续完备</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③项目资料、业务信息、会议纪要等资料齐全并及时归档</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④项目实施的人员条件、场地设备、信息支撑等落实到位</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项目质量</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可控性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1233"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项目实施单位是否为达到项目质量要求而采取了必需的措施,用以反映和考核项目实施单位对项目质量的控制情况</w:t>
            </w: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①制定或具有相应的项目质量要求或标准</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②采取了相应的检查、调研等必需的控制措施或手段</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财务管理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（15分）</w:t>
            </w:r>
          </w:p>
        </w:tc>
        <w:tc>
          <w:tcPr>
            <w:tcW w:w="741"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管理制度</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健全性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1233"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项目实施单位的财务制度是否健全，用以反映和考核财务管理制度对资金规范、安全运行的保障情况</w:t>
            </w: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①已制定或具有相应的项目资金管理办法</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②项目资金管理办法符合相关财务会计制度的规定</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资金使用</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合规性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（6分）</w:t>
            </w:r>
          </w:p>
        </w:tc>
        <w:tc>
          <w:tcPr>
            <w:tcW w:w="1233"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项目资金使用是否符合相关的财务管理制度规定，用以反映和考核项目资金的规范运行情况</w:t>
            </w: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①符合国家财经法规和财务管理制度以及有关专项资金管理办法的规定</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②资金的拨付有完整的审批程序和手续</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③项目的重大开支经过评估认证</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④符合项目预算批复或合同规定的用途</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⑤不存在超标准、超计划支出等情况</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⑥不存在截留、挤占、挪用、虚列支出等情况</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财务监控</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（7分）</w:t>
            </w:r>
          </w:p>
        </w:tc>
        <w:tc>
          <w:tcPr>
            <w:tcW w:w="1233" w:type="pct"/>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项目实施单位是否为保障资金的安全、规范运行而采取了必要的监控措施，用以反映和考核项目实施单位对资金运行的控制情况</w:t>
            </w: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①会计核算规范，信息完整</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②已制定或具有相应的监控机制</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38"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③采取了相应的财务检查等必要的监控措施或手段</w:t>
            </w:r>
          </w:p>
        </w:tc>
        <w:tc>
          <w:tcPr>
            <w:tcW w:w="416" w:type="pct"/>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bl>
    <w:p>
      <w:pPr>
        <w:snapToGrid w:val="0"/>
        <w:spacing w:line="120" w:lineRule="atLeast"/>
        <w:ind w:firstLine="480"/>
        <w:jc w:val="left"/>
        <w:rPr>
          <w:rFonts w:ascii="仿宋" w:hAnsi="仿宋" w:eastAsia="仿宋"/>
        </w:rPr>
      </w:pPr>
    </w:p>
    <w:p>
      <w:pPr>
        <w:spacing w:line="400" w:lineRule="exact"/>
        <w:ind w:firstLine="480"/>
        <w:rPr>
          <w:rFonts w:ascii="仿宋" w:hAnsi="仿宋" w:eastAsia="仿宋"/>
        </w:rPr>
      </w:pPr>
      <w:r>
        <w:rPr>
          <w:rFonts w:ascii="仿宋" w:hAnsi="仿宋" w:eastAsia="仿宋"/>
        </w:rPr>
        <w:t>（3）</w:t>
      </w:r>
      <w:r>
        <w:rPr>
          <w:rFonts w:hint="eastAsia" w:ascii="仿宋" w:hAnsi="仿宋" w:eastAsia="仿宋"/>
        </w:rPr>
        <w:t>项目产出</w:t>
      </w:r>
      <w:r>
        <w:rPr>
          <w:rFonts w:ascii="仿宋" w:hAnsi="仿宋" w:eastAsia="仿宋"/>
        </w:rPr>
        <w:t>评价指标体系</w:t>
      </w:r>
    </w:p>
    <w:p>
      <w:pPr>
        <w:snapToGrid w:val="0"/>
        <w:spacing w:afterLines="50" w:line="440" w:lineRule="exact"/>
        <w:ind w:firstLine="480"/>
        <w:jc w:val="left"/>
        <w:rPr>
          <w:rFonts w:ascii="仿宋" w:hAnsi="仿宋" w:eastAsia="仿宋"/>
        </w:rPr>
      </w:pPr>
      <w:r>
        <w:rPr>
          <w:rFonts w:ascii="仿宋" w:hAnsi="仿宋" w:eastAsia="仿宋"/>
        </w:rPr>
        <w:t>该指标重点评价</w:t>
      </w:r>
      <w:r>
        <w:rPr>
          <w:rFonts w:hint="eastAsia" w:ascii="仿宋" w:hAnsi="仿宋" w:eastAsia="仿宋"/>
        </w:rPr>
        <w:t>项目产出</w:t>
      </w:r>
      <w:r>
        <w:rPr>
          <w:rFonts w:ascii="仿宋" w:hAnsi="仿宋" w:eastAsia="仿宋"/>
        </w:rPr>
        <w:t>，由</w:t>
      </w:r>
      <w:r>
        <w:rPr>
          <w:rFonts w:hint="eastAsia" w:ascii="仿宋" w:hAnsi="仿宋" w:eastAsia="仿宋"/>
        </w:rPr>
        <w:t>1</w:t>
      </w:r>
      <w:r>
        <w:rPr>
          <w:rFonts w:ascii="仿宋" w:hAnsi="仿宋" w:eastAsia="仿宋"/>
        </w:rPr>
        <w:t>个二级指标、</w:t>
      </w:r>
      <w:r>
        <w:rPr>
          <w:rFonts w:hint="eastAsia" w:ascii="仿宋" w:hAnsi="仿宋" w:eastAsia="仿宋"/>
        </w:rPr>
        <w:t>4</w:t>
      </w:r>
      <w:r>
        <w:rPr>
          <w:rFonts w:ascii="仿宋" w:hAnsi="仿宋" w:eastAsia="仿宋"/>
        </w:rPr>
        <w:t>个三级指标、</w:t>
      </w:r>
      <w:r>
        <w:rPr>
          <w:rFonts w:hint="eastAsia" w:ascii="仿宋" w:hAnsi="仿宋" w:eastAsia="仿宋"/>
        </w:rPr>
        <w:t>10</w:t>
      </w:r>
      <w:r>
        <w:rPr>
          <w:rFonts w:ascii="仿宋" w:hAnsi="仿宋" w:eastAsia="仿宋"/>
        </w:rPr>
        <w:t>个细化评价标准组成，分值权重为</w:t>
      </w:r>
      <w:r>
        <w:rPr>
          <w:rFonts w:hint="eastAsia" w:ascii="仿宋" w:hAnsi="仿宋" w:eastAsia="仿宋"/>
        </w:rPr>
        <w:t>25</w:t>
      </w:r>
      <w:r>
        <w:rPr>
          <w:rFonts w:ascii="仿宋" w:hAnsi="仿宋" w:eastAsia="仿宋"/>
        </w:rPr>
        <w:t>分,各指标的含义、评分标准、分值分布详见表3。</w:t>
      </w:r>
    </w:p>
    <w:tbl>
      <w:tblPr>
        <w:tblStyle w:val="23"/>
        <w:tblW w:w="5000" w:type="pct"/>
        <w:tblInd w:w="0" w:type="dxa"/>
        <w:tblLayout w:type="autofit"/>
        <w:tblCellMar>
          <w:top w:w="0" w:type="dxa"/>
          <w:left w:w="108" w:type="dxa"/>
          <w:bottom w:w="0" w:type="dxa"/>
          <w:right w:w="108" w:type="dxa"/>
        </w:tblCellMar>
      </w:tblPr>
      <w:tblGrid>
        <w:gridCol w:w="1100"/>
        <w:gridCol w:w="1274"/>
        <w:gridCol w:w="1278"/>
        <w:gridCol w:w="2126"/>
        <w:gridCol w:w="2126"/>
        <w:gridCol w:w="718"/>
      </w:tblGrid>
      <w:tr>
        <w:tblPrEx>
          <w:tblCellMar>
            <w:top w:w="0" w:type="dxa"/>
            <w:left w:w="108" w:type="dxa"/>
            <w:bottom w:w="0" w:type="dxa"/>
            <w:right w:w="108" w:type="dxa"/>
          </w:tblCellMar>
        </w:tblPrEx>
        <w:trPr>
          <w:trHeight w:val="240" w:hRule="atLeast"/>
        </w:trPr>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74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123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123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41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CellMar>
            <w:top w:w="0" w:type="dxa"/>
            <w:left w:w="108" w:type="dxa"/>
            <w:bottom w:w="0" w:type="dxa"/>
            <w:right w:w="108" w:type="dxa"/>
          </w:tblCellMar>
        </w:tblPrEx>
        <w:trPr>
          <w:trHeight w:val="1579" w:hRule="atLeast"/>
        </w:trPr>
        <w:tc>
          <w:tcPr>
            <w:tcW w:w="638" w:type="pct"/>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产   出（25分）</w:t>
            </w:r>
          </w:p>
        </w:tc>
        <w:tc>
          <w:tcPr>
            <w:tcW w:w="739"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项目产出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（25分）</w:t>
            </w:r>
          </w:p>
        </w:tc>
        <w:tc>
          <w:tcPr>
            <w:tcW w:w="74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实际完成率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（15分）</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项目执行率</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项目执行率=（项目预算支出完成数/项目预算数）×100%；实际得分=项目执行率 × 标准分值</w:t>
            </w:r>
          </w:p>
        </w:tc>
        <w:tc>
          <w:tcPr>
            <w:tcW w:w="4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r>
      <w:tr>
        <w:tblPrEx>
          <w:tblCellMar>
            <w:top w:w="0" w:type="dxa"/>
            <w:left w:w="108" w:type="dxa"/>
            <w:bottom w:w="0" w:type="dxa"/>
            <w:right w:w="108" w:type="dxa"/>
          </w:tblCellMar>
        </w:tblPrEx>
        <w:trPr>
          <w:trHeight w:val="1792" w:hRule="atLeast"/>
        </w:trPr>
        <w:tc>
          <w:tcPr>
            <w:tcW w:w="63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学生机配置台数</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①实际配置790台（含）以上，得满分；②配置770-790台，得一半分值；③配置770台以下，不得分。</w:t>
            </w:r>
          </w:p>
        </w:tc>
        <w:tc>
          <w:tcPr>
            <w:tcW w:w="4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1680" w:hRule="atLeast"/>
        </w:trPr>
        <w:tc>
          <w:tcPr>
            <w:tcW w:w="63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电子白板班班通</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①实际配置320套（含）以上，得满分；②配置300-320套，得一半分值；③配置300套以下，不得分。</w:t>
            </w:r>
          </w:p>
        </w:tc>
        <w:tc>
          <w:tcPr>
            <w:tcW w:w="4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1200" w:hRule="atLeast"/>
        </w:trPr>
        <w:tc>
          <w:tcPr>
            <w:tcW w:w="63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机房改造间数</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①完成15间（含）以上，得满分；②完成13-15间，得一半分值；③完成13以下，不得分。</w:t>
            </w:r>
          </w:p>
        </w:tc>
        <w:tc>
          <w:tcPr>
            <w:tcW w:w="4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1440" w:hRule="atLeast"/>
        </w:trPr>
        <w:tc>
          <w:tcPr>
            <w:tcW w:w="63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平板电脑购置台数</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①完成950台（含）以上，得满分；②完成900-950台，得一半分值；③完成900台以下，不得分。</w:t>
            </w:r>
          </w:p>
        </w:tc>
        <w:tc>
          <w:tcPr>
            <w:tcW w:w="4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1440" w:hRule="atLeast"/>
        </w:trPr>
        <w:tc>
          <w:tcPr>
            <w:tcW w:w="63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无线网改造学校</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①完成7所（含）以上，得满分；②完成5-7所，得一半分值；③完成5所以下，不得分。</w:t>
            </w:r>
          </w:p>
        </w:tc>
        <w:tc>
          <w:tcPr>
            <w:tcW w:w="4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1440" w:hRule="atLeast"/>
        </w:trPr>
        <w:tc>
          <w:tcPr>
            <w:tcW w:w="63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20"/>
                <w:szCs w:val="20"/>
              </w:rPr>
              <w:t>配置LED屏</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①完成2个，得满分；②完成1个，得一半分值；③未实施，不得分。</w:t>
            </w:r>
          </w:p>
        </w:tc>
        <w:tc>
          <w:tcPr>
            <w:tcW w:w="4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1200" w:hRule="atLeast"/>
        </w:trPr>
        <w:tc>
          <w:tcPr>
            <w:tcW w:w="63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完成及时率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及时完成设备安装验收</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①项目按照规划如期完成安装验收，得满分；②未能完成，按项目完成比率得分。</w:t>
            </w:r>
          </w:p>
        </w:tc>
        <w:tc>
          <w:tcPr>
            <w:tcW w:w="4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4.0</w:t>
            </w:r>
          </w:p>
        </w:tc>
      </w:tr>
      <w:tr>
        <w:tblPrEx>
          <w:tblCellMar>
            <w:top w:w="0" w:type="dxa"/>
            <w:left w:w="108" w:type="dxa"/>
            <w:bottom w:w="0" w:type="dxa"/>
            <w:right w:w="108" w:type="dxa"/>
          </w:tblCellMar>
        </w:tblPrEx>
        <w:trPr>
          <w:trHeight w:val="1680" w:hRule="atLeast"/>
        </w:trPr>
        <w:tc>
          <w:tcPr>
            <w:tcW w:w="63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质量达标率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（3分）</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终端设备达到规定标准</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①当年验收合格率95-100%，得满分；②当年验收合格率90-95%，得一半分值；③其余均不得分。</w:t>
            </w:r>
          </w:p>
        </w:tc>
        <w:tc>
          <w:tcPr>
            <w:tcW w:w="4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r>
      <w:tr>
        <w:tblPrEx>
          <w:tblCellMar>
            <w:top w:w="0" w:type="dxa"/>
            <w:left w:w="108" w:type="dxa"/>
            <w:bottom w:w="0" w:type="dxa"/>
            <w:right w:w="108" w:type="dxa"/>
          </w:tblCellMar>
        </w:tblPrEx>
        <w:trPr>
          <w:trHeight w:val="1200" w:hRule="atLeast"/>
        </w:trPr>
        <w:tc>
          <w:tcPr>
            <w:tcW w:w="63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74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（3分）</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w:t>
            </w:r>
          </w:p>
        </w:tc>
        <w:tc>
          <w:tcPr>
            <w:tcW w:w="12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成本节约率=[（计划成本-实际成本）/计划成本]×100%。</w:t>
            </w:r>
          </w:p>
        </w:tc>
        <w:tc>
          <w:tcPr>
            <w:tcW w:w="4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r>
    </w:tbl>
    <w:p>
      <w:pPr>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w:t>
      </w:r>
      <w:r>
        <w:rPr>
          <w:rFonts w:hint="eastAsia" w:ascii="仿宋" w:hAnsi="仿宋" w:eastAsia="仿宋"/>
        </w:rPr>
        <w:t>项目效果</w:t>
      </w:r>
      <w:r>
        <w:rPr>
          <w:rFonts w:ascii="仿宋" w:hAnsi="仿宋" w:eastAsia="仿宋"/>
        </w:rPr>
        <w:t>评价指标体系</w:t>
      </w:r>
    </w:p>
    <w:p>
      <w:pPr>
        <w:snapToGrid w:val="0"/>
        <w:spacing w:line="440" w:lineRule="exact"/>
        <w:ind w:firstLine="480"/>
        <w:jc w:val="left"/>
        <w:rPr>
          <w:rFonts w:ascii="仿宋" w:hAnsi="仿宋" w:eastAsia="仿宋"/>
        </w:rPr>
      </w:pPr>
      <w:r>
        <w:rPr>
          <w:rFonts w:ascii="仿宋" w:hAnsi="仿宋" w:eastAsia="仿宋"/>
        </w:rPr>
        <w:t>该指标重点评价</w:t>
      </w:r>
      <w:r>
        <w:rPr>
          <w:rFonts w:hint="eastAsia" w:ascii="仿宋" w:hAnsi="仿宋" w:eastAsia="仿宋"/>
        </w:rPr>
        <w:t>项目效果</w:t>
      </w:r>
      <w:r>
        <w:rPr>
          <w:rFonts w:ascii="仿宋" w:hAnsi="仿宋" w:eastAsia="仿宋"/>
        </w:rPr>
        <w:t>，由</w:t>
      </w:r>
      <w:r>
        <w:rPr>
          <w:rFonts w:hint="eastAsia" w:ascii="仿宋" w:hAnsi="仿宋" w:eastAsia="仿宋"/>
        </w:rPr>
        <w:t>1</w:t>
      </w:r>
      <w:r>
        <w:rPr>
          <w:rFonts w:ascii="仿宋" w:hAnsi="仿宋" w:eastAsia="仿宋"/>
        </w:rPr>
        <w:t>个二级指标、</w:t>
      </w:r>
      <w:r>
        <w:rPr>
          <w:rFonts w:hint="eastAsia" w:ascii="仿宋" w:hAnsi="仿宋" w:eastAsia="仿宋"/>
        </w:rPr>
        <w:t>2</w:t>
      </w:r>
      <w:r>
        <w:rPr>
          <w:rFonts w:ascii="仿宋" w:hAnsi="仿宋" w:eastAsia="仿宋"/>
        </w:rPr>
        <w:t>个三级指标、</w:t>
      </w:r>
      <w:r>
        <w:rPr>
          <w:rFonts w:hint="eastAsia" w:ascii="仿宋" w:hAnsi="仿宋" w:eastAsia="仿宋"/>
        </w:rPr>
        <w:t>4</w:t>
      </w:r>
      <w:r>
        <w:rPr>
          <w:rFonts w:ascii="仿宋" w:hAnsi="仿宋" w:eastAsia="仿宋"/>
        </w:rPr>
        <w:t>个细化评价标准组成，分值权重为</w:t>
      </w:r>
      <w:r>
        <w:rPr>
          <w:rFonts w:hint="eastAsia" w:ascii="仿宋" w:hAnsi="仿宋" w:eastAsia="仿宋"/>
        </w:rPr>
        <w:t>35</w:t>
      </w:r>
      <w:r>
        <w:rPr>
          <w:rFonts w:ascii="仿宋" w:hAnsi="仿宋" w:eastAsia="仿宋"/>
        </w:rPr>
        <w:t>分,各指标的含义、评分标准、分值分布详见表</w:t>
      </w:r>
      <w:r>
        <w:rPr>
          <w:rFonts w:hint="eastAsia" w:ascii="仿宋" w:hAnsi="仿宋" w:eastAsia="仿宋"/>
        </w:rPr>
        <w:t>4</w:t>
      </w:r>
      <w:r>
        <w:rPr>
          <w:rFonts w:ascii="仿宋" w:hAnsi="仿宋" w:eastAsia="仿宋"/>
        </w:rPr>
        <w:t>。</w:t>
      </w:r>
    </w:p>
    <w:tbl>
      <w:tblPr>
        <w:tblStyle w:val="23"/>
        <w:tblW w:w="4998" w:type="pct"/>
        <w:tblInd w:w="0" w:type="dxa"/>
        <w:tblLayout w:type="autofit"/>
        <w:tblCellMar>
          <w:top w:w="0" w:type="dxa"/>
          <w:left w:w="108" w:type="dxa"/>
          <w:bottom w:w="0" w:type="dxa"/>
          <w:right w:w="108" w:type="dxa"/>
        </w:tblCellMar>
      </w:tblPr>
      <w:tblGrid>
        <w:gridCol w:w="1102"/>
        <w:gridCol w:w="1134"/>
        <w:gridCol w:w="1134"/>
        <w:gridCol w:w="1984"/>
        <w:gridCol w:w="2551"/>
        <w:gridCol w:w="714"/>
      </w:tblGrid>
      <w:tr>
        <w:tblPrEx>
          <w:tblCellMar>
            <w:top w:w="0" w:type="dxa"/>
            <w:left w:w="108" w:type="dxa"/>
            <w:bottom w:w="0" w:type="dxa"/>
            <w:right w:w="108" w:type="dxa"/>
          </w:tblCellMar>
        </w:tblPrEx>
        <w:trPr>
          <w:trHeight w:val="240" w:hRule="atLeast"/>
        </w:trPr>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65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65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115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148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414"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CellMar>
            <w:top w:w="0" w:type="dxa"/>
            <w:left w:w="108" w:type="dxa"/>
            <w:bottom w:w="0" w:type="dxa"/>
            <w:right w:w="108" w:type="dxa"/>
          </w:tblCellMar>
        </w:tblPrEx>
        <w:trPr>
          <w:trHeight w:val="1440" w:hRule="atLeast"/>
        </w:trPr>
        <w:tc>
          <w:tcPr>
            <w:tcW w:w="639" w:type="pct"/>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效 果（35分）</w:t>
            </w:r>
          </w:p>
        </w:tc>
        <w:tc>
          <w:tcPr>
            <w:tcW w:w="65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项目效果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（35分）</w:t>
            </w:r>
          </w:p>
        </w:tc>
        <w:tc>
          <w:tcPr>
            <w:tcW w:w="658" w:type="pc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社会效益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（15分）</w:t>
            </w:r>
          </w:p>
        </w:tc>
        <w:tc>
          <w:tcPr>
            <w:tcW w:w="11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师生信息终端设备利用率</w:t>
            </w:r>
          </w:p>
        </w:tc>
        <w:tc>
          <w:tcPr>
            <w:tcW w:w="148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①利用率95%（不含）以上，得满分；②利用率85%-95%，得一半分值；③其余均不得分。</w:t>
            </w:r>
          </w:p>
        </w:tc>
        <w:tc>
          <w:tcPr>
            <w:tcW w:w="41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15.0</w:t>
            </w:r>
          </w:p>
        </w:tc>
      </w:tr>
      <w:tr>
        <w:tblPrEx>
          <w:tblCellMar>
            <w:top w:w="0" w:type="dxa"/>
            <w:left w:w="108" w:type="dxa"/>
            <w:bottom w:w="0" w:type="dxa"/>
            <w:right w:w="108" w:type="dxa"/>
          </w:tblCellMar>
        </w:tblPrEx>
        <w:trPr>
          <w:trHeight w:val="480" w:hRule="atLeast"/>
        </w:trPr>
        <w:tc>
          <w:tcPr>
            <w:tcW w:w="6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5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5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可持续发展影响 （10分）</w:t>
            </w:r>
          </w:p>
        </w:tc>
        <w:tc>
          <w:tcPr>
            <w:tcW w:w="11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后续经费持续保障</w:t>
            </w:r>
          </w:p>
        </w:tc>
        <w:tc>
          <w:tcPr>
            <w:tcW w:w="148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工作经费能得到有效保障</w:t>
            </w:r>
          </w:p>
        </w:tc>
        <w:tc>
          <w:tcPr>
            <w:tcW w:w="41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CellMar>
            <w:top w:w="0" w:type="dxa"/>
            <w:left w:w="108" w:type="dxa"/>
            <w:bottom w:w="0" w:type="dxa"/>
            <w:right w:w="108" w:type="dxa"/>
          </w:tblCellMar>
        </w:tblPrEx>
        <w:trPr>
          <w:trHeight w:val="720" w:hRule="atLeast"/>
        </w:trPr>
        <w:tc>
          <w:tcPr>
            <w:tcW w:w="6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5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58"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1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内部机构、人员、制度满足需要</w:t>
            </w:r>
          </w:p>
        </w:tc>
        <w:tc>
          <w:tcPr>
            <w:tcW w:w="148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内部组织机构健全，管理制度完备</w:t>
            </w:r>
          </w:p>
        </w:tc>
        <w:tc>
          <w:tcPr>
            <w:tcW w:w="41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CellMar>
            <w:top w:w="0" w:type="dxa"/>
            <w:left w:w="108" w:type="dxa"/>
            <w:bottom w:w="0" w:type="dxa"/>
            <w:right w:w="108" w:type="dxa"/>
          </w:tblCellMar>
        </w:tblPrEx>
        <w:trPr>
          <w:trHeight w:val="1200" w:hRule="atLeast"/>
        </w:trPr>
        <w:tc>
          <w:tcPr>
            <w:tcW w:w="639"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58"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65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服务对象满意度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（10分）</w:t>
            </w:r>
          </w:p>
        </w:tc>
        <w:tc>
          <w:tcPr>
            <w:tcW w:w="11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师生满意度</w:t>
            </w:r>
          </w:p>
        </w:tc>
        <w:tc>
          <w:tcPr>
            <w:tcW w:w="148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①满意度90%得满分；②85%-90%得8分；③80%-85%得一半分值;④其余不得分。</w:t>
            </w:r>
          </w:p>
        </w:tc>
        <w:tc>
          <w:tcPr>
            <w:tcW w:w="41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r>
    </w:tbl>
    <w:p>
      <w:pPr>
        <w:adjustRightInd w:val="0"/>
        <w:snapToGrid w:val="0"/>
        <w:spacing w:line="140" w:lineRule="atLeast"/>
        <w:ind w:firstLine="480"/>
        <w:jc w:val="left"/>
        <w:rPr>
          <w:rFonts w:ascii="仿宋" w:hAnsi="仿宋" w:eastAsia="仿宋"/>
        </w:rPr>
      </w:pPr>
    </w:p>
    <w:p>
      <w:pPr>
        <w:pStyle w:val="21"/>
        <w:numPr>
          <w:ilvl w:val="0"/>
          <w:numId w:val="10"/>
        </w:numPr>
        <w:spacing w:line="440" w:lineRule="exact"/>
        <w:ind w:firstLine="482"/>
        <w:outlineLvl w:val="2"/>
        <w:rPr>
          <w:rFonts w:ascii="仿宋" w:hAnsi="仿宋" w:eastAsia="仿宋"/>
          <w:b/>
        </w:rPr>
      </w:pPr>
      <w:bookmarkStart w:id="72" w:name="_Toc479518539"/>
      <w:r>
        <w:rPr>
          <w:rFonts w:hint="eastAsia" w:ascii="仿宋" w:hAnsi="仿宋" w:eastAsia="仿宋"/>
          <w:b/>
        </w:rPr>
        <w:t>评价方法</w:t>
      </w:r>
      <w:bookmarkEnd w:id="72"/>
    </w:p>
    <w:p>
      <w:pPr>
        <w:snapToGrid w:val="0"/>
        <w:spacing w:line="440" w:lineRule="exact"/>
        <w:ind w:firstLine="480"/>
        <w:rPr>
          <w:rFonts w:ascii="仿宋" w:hAnsi="仿宋" w:eastAsia="仿宋"/>
        </w:rPr>
      </w:pPr>
      <w:r>
        <w:rPr>
          <w:rFonts w:ascii="仿宋" w:hAnsi="仿宋" w:eastAsia="仿宋"/>
        </w:rPr>
        <w:t>本次绩效评价采用目标比较法、</w:t>
      </w:r>
      <w:r>
        <w:rPr>
          <w:rFonts w:hint="eastAsia" w:ascii="仿宋" w:hAnsi="仿宋" w:eastAsia="仿宋"/>
        </w:rPr>
        <w:t>统计计算法、实地考察、</w:t>
      </w:r>
      <w:r>
        <w:rPr>
          <w:rFonts w:ascii="仿宋" w:hAnsi="仿宋" w:eastAsia="仿宋"/>
        </w:rPr>
        <w:t>定性与定量相结合的方法。</w:t>
      </w:r>
    </w:p>
    <w:p>
      <w:pPr>
        <w:snapToGrid w:val="0"/>
        <w:spacing w:line="440" w:lineRule="exact"/>
        <w:ind w:firstLine="480" w:firstLineChars="0"/>
        <w:rPr>
          <w:rFonts w:ascii="仿宋" w:hAnsi="仿宋" w:eastAsia="仿宋"/>
        </w:rPr>
      </w:pPr>
      <w:r>
        <w:rPr>
          <w:rFonts w:ascii="仿宋" w:hAnsi="仿宋" w:eastAsia="仿宋"/>
        </w:rPr>
        <w:t>（1）目标比较法。目标比较法是指通过对</w:t>
      </w:r>
      <w:r>
        <w:rPr>
          <w:rFonts w:hint="eastAsia" w:ascii="仿宋" w:hAnsi="仿宋" w:eastAsia="仿宋"/>
        </w:rPr>
        <w:t>教育信息化建设经费</w:t>
      </w:r>
      <w:r>
        <w:rPr>
          <w:rFonts w:ascii="仿宋" w:hAnsi="仿宋" w:eastAsia="仿宋"/>
        </w:rPr>
        <w:t>项目绩效的实际产出与预定目标的比较，分析完成目标或未完成目标的原因，从而评价绩效状况的方法。</w:t>
      </w:r>
    </w:p>
    <w:p>
      <w:pPr>
        <w:snapToGrid w:val="0"/>
        <w:spacing w:line="440" w:lineRule="exact"/>
        <w:ind w:firstLine="480" w:firstLineChars="0"/>
        <w:rPr>
          <w:rFonts w:ascii="仿宋" w:hAnsi="仿宋" w:eastAsia="仿宋"/>
        </w:rPr>
      </w:pPr>
      <w:r>
        <w:rPr>
          <w:rFonts w:ascii="仿宋" w:hAnsi="仿宋" w:eastAsia="仿宋"/>
        </w:rPr>
        <w:t>（</w:t>
      </w:r>
      <w:r>
        <w:rPr>
          <w:rFonts w:hint="eastAsia" w:ascii="仿宋" w:hAnsi="仿宋" w:eastAsia="仿宋"/>
        </w:rPr>
        <w:t>2</w:t>
      </w:r>
      <w:r>
        <w:rPr>
          <w:rFonts w:ascii="仿宋" w:hAnsi="仿宋" w:eastAsia="仿宋"/>
        </w:rPr>
        <w:t>）</w:t>
      </w:r>
      <w:r>
        <w:rPr>
          <w:rFonts w:hint="eastAsia" w:ascii="仿宋" w:hAnsi="仿宋" w:eastAsia="仿宋"/>
        </w:rPr>
        <w:t>统计计算法。</w:t>
      </w:r>
      <w:r>
        <w:rPr>
          <w:rFonts w:ascii="仿宋" w:hAnsi="仿宋" w:eastAsia="仿宋"/>
        </w:rPr>
        <w:t>采用各种专业（或专门）指标的计算方法，通过收集项目实施的相关数据，采用统计或</w:t>
      </w:r>
      <w:r>
        <w:rPr>
          <w:rFonts w:hint="eastAsia" w:ascii="仿宋" w:hAnsi="仿宋" w:eastAsia="仿宋"/>
        </w:rPr>
        <w:t>核</w:t>
      </w:r>
      <w:r>
        <w:rPr>
          <w:rFonts w:ascii="仿宋" w:hAnsi="仿宋" w:eastAsia="仿宋"/>
        </w:rPr>
        <w:t>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pPr>
        <w:snapToGrid w:val="0"/>
        <w:spacing w:line="440" w:lineRule="exact"/>
        <w:ind w:firstLine="480" w:firstLineChars="0"/>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w:t>
      </w:r>
      <w:r>
        <w:rPr>
          <w:rFonts w:ascii="仿宋" w:hAnsi="仿宋" w:eastAsia="仿宋" w:cs="Arial Narrow"/>
        </w:rPr>
        <w:t>实地考察。</w:t>
      </w:r>
      <w:r>
        <w:rPr>
          <w:rFonts w:hint="eastAsia" w:ascii="仿宋" w:hAnsi="仿宋" w:eastAsia="仿宋" w:cs="Arial Narrow"/>
        </w:rPr>
        <w:t>绩效评价项目组</w:t>
      </w:r>
      <w:r>
        <w:rPr>
          <w:rFonts w:ascii="仿宋" w:hAnsi="仿宋" w:eastAsia="仿宋" w:cs="Arial Narrow"/>
        </w:rPr>
        <w:t>前往项目具体实施地进行考察，了解项目的实施情况，评价项目绩效目标实现程度，核实项目实际实施情况，与收集的资料进行验证核对，并拍照留痕。</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）定性和定量相结合的方法。分值确定方面，一级指标采用《湖北省省级财政项目资金绩效评价实施暂行办法》（鄂财绩发〔2012〕5号）、）</w:t>
      </w:r>
      <w:r>
        <w:rPr>
          <w:rFonts w:hint="eastAsia" w:ascii="仿宋" w:hAnsi="仿宋" w:eastAsia="仿宋"/>
        </w:rPr>
        <w:t>、武昌区财政局《武昌区财政支出绩效评价管理暂行办法》</w:t>
      </w:r>
      <w:r>
        <w:rPr>
          <w:rFonts w:ascii="仿宋" w:hAnsi="仿宋" w:eastAsia="仿宋"/>
        </w:rPr>
        <w:t>中确定的共性指标体系框架，结合专项工作经费支出项目绩效评价特点，一级指标</w:t>
      </w:r>
      <w:r>
        <w:rPr>
          <w:rFonts w:hint="eastAsia" w:ascii="仿宋" w:hAnsi="仿宋" w:eastAsia="仿宋"/>
        </w:rPr>
        <w:t>项目投入、项目过程、项目产出和项目效果</w:t>
      </w:r>
      <w:r>
        <w:rPr>
          <w:rFonts w:ascii="仿宋" w:hAnsi="仿宋" w:eastAsia="仿宋"/>
        </w:rPr>
        <w:t>的分值分别</w:t>
      </w:r>
      <w:r>
        <w:rPr>
          <w:rFonts w:hint="eastAsia" w:ascii="仿宋" w:hAnsi="仿宋" w:eastAsia="仿宋"/>
        </w:rPr>
        <w:t>15分、25分、25分和35分</w:t>
      </w:r>
      <w:r>
        <w:rPr>
          <w:rFonts w:ascii="仿宋" w:hAnsi="仿宋" w:eastAsia="仿宋"/>
        </w:rPr>
        <w:t>；二、三级指标分值由绩效评价工作组依据各指标的重要性集体研究确定，具体评分根据评分标准确定具体分值。依据</w:t>
      </w:r>
      <w:r>
        <w:rPr>
          <w:rFonts w:hint="eastAsia" w:ascii="仿宋" w:hAnsi="仿宋" w:eastAsia="仿宋"/>
        </w:rPr>
        <w:t>《武昌区财政支出绩效评价管理暂行办法》</w:t>
      </w:r>
      <w:r>
        <w:rPr>
          <w:rFonts w:ascii="仿宋" w:hAnsi="仿宋" w:eastAsia="仿宋"/>
        </w:rPr>
        <w:t>，将评分结果类型分为</w:t>
      </w:r>
      <w:r>
        <w:rPr>
          <w:rFonts w:hint="eastAsia" w:ascii="仿宋" w:hAnsi="仿宋" w:eastAsia="仿宋"/>
        </w:rPr>
        <w:t>优（A）、良(B)、中(C)、差(D)4个评价等级，其中优（A）：评价总分≥90分，良（B）: 90分&gt;评价总分≥80分，中（C）: 80分 &gt;评价总分≥60分，差（D）: 评价总分&lt;60分。</w:t>
      </w:r>
    </w:p>
    <w:p>
      <w:pPr>
        <w:pStyle w:val="3"/>
        <w:numPr>
          <w:ilvl w:val="0"/>
          <w:numId w:val="8"/>
        </w:numPr>
        <w:spacing w:line="440" w:lineRule="exact"/>
        <w:ind w:firstLine="482"/>
        <w:rPr>
          <w:rFonts w:ascii="仿宋" w:hAnsi="仿宋" w:eastAsia="仿宋"/>
          <w:sz w:val="24"/>
        </w:rPr>
      </w:pPr>
      <w:bookmarkStart w:id="73" w:name="_Toc479518540"/>
      <w:r>
        <w:rPr>
          <w:rFonts w:hint="eastAsia" w:ascii="仿宋" w:hAnsi="仿宋" w:eastAsia="仿宋"/>
          <w:sz w:val="24"/>
        </w:rPr>
        <w:t>证据收集方式</w:t>
      </w:r>
      <w:bookmarkEnd w:id="73"/>
    </w:p>
    <w:bookmarkEnd w:id="47"/>
    <w:bookmarkEnd w:id="48"/>
    <w:bookmarkEnd w:id="49"/>
    <w:bookmarkEnd w:id="50"/>
    <w:bookmarkEnd w:id="51"/>
    <w:p>
      <w:pPr>
        <w:snapToGrid w:val="0"/>
        <w:spacing w:line="440" w:lineRule="exact"/>
        <w:ind w:firstLine="480"/>
        <w:rPr>
          <w:rFonts w:ascii="仿宋" w:hAnsi="仿宋" w:eastAsia="仿宋"/>
        </w:rPr>
      </w:pPr>
      <w:bookmarkStart w:id="74" w:name="_Toc387957819"/>
      <w:bookmarkStart w:id="75" w:name="_Toc361304693"/>
      <w:bookmarkStart w:id="76" w:name="_Toc406666370"/>
      <w:bookmarkStart w:id="77" w:name="_Toc18443"/>
      <w:bookmarkStart w:id="78" w:name="_Toc406668044"/>
      <w:r>
        <w:rPr>
          <w:rFonts w:ascii="仿宋" w:hAnsi="仿宋" w:eastAsia="仿宋"/>
        </w:rPr>
        <w:t>绩效评价工作组首先从</w:t>
      </w:r>
      <w:r>
        <w:rPr>
          <w:rFonts w:hint="eastAsia" w:ascii="仿宋" w:hAnsi="仿宋" w:eastAsia="仿宋"/>
        </w:rPr>
        <w:t>武昌区教育局</w:t>
      </w:r>
      <w:r>
        <w:rPr>
          <w:rFonts w:ascii="仿宋" w:hAnsi="仿宋" w:eastAsia="仿宋"/>
        </w:rPr>
        <w:t>及其</w:t>
      </w:r>
      <w:r>
        <w:rPr>
          <w:rFonts w:hint="eastAsia" w:ascii="仿宋" w:hAnsi="仿宋" w:eastAsia="仿宋"/>
        </w:rPr>
        <w:t>电教中心</w:t>
      </w:r>
      <w:r>
        <w:rPr>
          <w:rFonts w:ascii="仿宋" w:hAnsi="仿宋" w:eastAsia="仿宋"/>
        </w:rPr>
        <w:t>调取项目文件资料，从会计核算系统、记录搜集了部分资料，将所有文件资料汇集整理后，进行了案卷研究。然后将所有从案卷研究中获得的证据与从实地调研、问卷调查、会计核算系统和</w:t>
      </w:r>
      <w:r>
        <w:rPr>
          <w:rFonts w:hint="eastAsia" w:ascii="仿宋" w:hAnsi="仿宋" w:eastAsia="仿宋"/>
        </w:rPr>
        <w:t>武昌区教育局电教中心</w:t>
      </w:r>
      <w:r>
        <w:rPr>
          <w:rFonts w:ascii="仿宋" w:hAnsi="仿宋" w:eastAsia="仿宋"/>
        </w:rPr>
        <w:t>中获得的证据汇集起来，对同一指标在不同文件资料中的证据进行对比、印证、核实和补充，经过验证和确定后得到了准确、可靠和有效的证据。最后，绩效评价工作组对证据进行了判断分析，形成评价依据。</w:t>
      </w:r>
    </w:p>
    <w:p>
      <w:pPr>
        <w:spacing w:line="440" w:lineRule="exact"/>
        <w:ind w:left="480" w:leftChars="200" w:firstLine="0" w:firstLineChars="0"/>
        <w:rPr>
          <w:rFonts w:ascii="仿宋" w:hAnsi="仿宋" w:eastAsia="仿宋"/>
        </w:rPr>
      </w:pPr>
    </w:p>
    <w:p>
      <w:pPr>
        <w:pStyle w:val="2"/>
        <w:numPr>
          <w:ilvl w:val="0"/>
          <w:numId w:val="2"/>
        </w:numPr>
        <w:spacing w:line="440" w:lineRule="exact"/>
        <w:ind w:firstLine="562" w:firstLineChars="200"/>
        <w:rPr>
          <w:rFonts w:ascii="仿宋" w:hAnsi="仿宋" w:eastAsia="仿宋"/>
        </w:rPr>
      </w:pPr>
      <w:bookmarkStart w:id="79" w:name="_Toc479518541"/>
      <w:r>
        <w:rPr>
          <w:rFonts w:hint="eastAsia" w:ascii="仿宋" w:hAnsi="仿宋" w:eastAsia="仿宋"/>
        </w:rPr>
        <w:t>绩效分析</w:t>
      </w:r>
      <w:bookmarkEnd w:id="74"/>
      <w:bookmarkEnd w:id="75"/>
      <w:bookmarkEnd w:id="76"/>
      <w:bookmarkEnd w:id="77"/>
      <w:bookmarkEnd w:id="78"/>
      <w:bookmarkEnd w:id="79"/>
    </w:p>
    <w:p>
      <w:pPr>
        <w:pStyle w:val="3"/>
        <w:numPr>
          <w:ilvl w:val="0"/>
          <w:numId w:val="11"/>
        </w:numPr>
        <w:spacing w:line="440" w:lineRule="exact"/>
        <w:ind w:firstLine="482"/>
        <w:rPr>
          <w:rFonts w:ascii="仿宋" w:hAnsi="仿宋" w:eastAsia="仿宋"/>
          <w:sz w:val="24"/>
        </w:rPr>
      </w:pPr>
      <w:bookmarkStart w:id="80" w:name="_Toc2992"/>
      <w:bookmarkStart w:id="81" w:name="_Toc479518542"/>
      <w:bookmarkStart w:id="82" w:name="_Toc361304697"/>
      <w:bookmarkStart w:id="83" w:name="_Toc361302034"/>
      <w:bookmarkStart w:id="84" w:name="_Toc406668047"/>
      <w:bookmarkStart w:id="85" w:name="_Toc406666373"/>
      <w:bookmarkStart w:id="86" w:name="_Toc387957822"/>
      <w:r>
        <w:rPr>
          <w:rFonts w:ascii="仿宋" w:hAnsi="仿宋" w:eastAsia="仿宋"/>
          <w:sz w:val="24"/>
        </w:rPr>
        <w:t>项目</w:t>
      </w:r>
      <w:bookmarkStart w:id="87" w:name="_Toc394181010"/>
      <w:r>
        <w:rPr>
          <w:rFonts w:hint="eastAsia" w:ascii="仿宋" w:hAnsi="仿宋" w:eastAsia="仿宋"/>
          <w:sz w:val="24"/>
        </w:rPr>
        <w:t>投入</w:t>
      </w:r>
      <w:r>
        <w:rPr>
          <w:rFonts w:ascii="仿宋" w:hAnsi="仿宋" w:eastAsia="仿宋"/>
          <w:sz w:val="24"/>
        </w:rPr>
        <w:t>（</w:t>
      </w:r>
      <w:r>
        <w:rPr>
          <w:rFonts w:hint="eastAsia" w:ascii="仿宋" w:hAnsi="仿宋" w:eastAsia="仿宋"/>
          <w:sz w:val="24"/>
        </w:rPr>
        <w:t>15</w:t>
      </w:r>
      <w:r>
        <w:rPr>
          <w:rFonts w:ascii="仿宋" w:hAnsi="仿宋" w:eastAsia="仿宋"/>
          <w:sz w:val="24"/>
        </w:rPr>
        <w:t>分）</w:t>
      </w:r>
      <w:bookmarkEnd w:id="80"/>
      <w:bookmarkEnd w:id="81"/>
      <w:bookmarkEnd w:id="87"/>
    </w:p>
    <w:p>
      <w:pPr>
        <w:snapToGrid w:val="0"/>
        <w:spacing w:line="440" w:lineRule="exact"/>
        <w:ind w:firstLine="480"/>
        <w:rPr>
          <w:rFonts w:ascii="仿宋" w:hAnsi="仿宋" w:eastAsia="仿宋" w:cs="Arial Narrow"/>
        </w:rPr>
      </w:pPr>
      <w:bookmarkStart w:id="88" w:name="_Toc394490596"/>
      <w:bookmarkStart w:id="89" w:name="_Toc394181009"/>
      <w:r>
        <w:rPr>
          <w:rFonts w:ascii="仿宋" w:hAnsi="仿宋" w:eastAsia="仿宋" w:cs="Arial Narrow"/>
        </w:rPr>
        <w:t>根据评价原则，项目决策评价得分为</w:t>
      </w:r>
      <w:r>
        <w:rPr>
          <w:rFonts w:hint="eastAsia" w:ascii="仿宋" w:hAnsi="仿宋" w:eastAsia="仿宋" w:cs="Arial Narrow"/>
        </w:rPr>
        <w:t>13</w:t>
      </w:r>
      <w:r>
        <w:rPr>
          <w:rFonts w:ascii="仿宋" w:hAnsi="仿宋" w:eastAsia="仿宋" w:cs="Arial Narrow"/>
        </w:rPr>
        <w:t>分，评价结果为</w:t>
      </w:r>
      <w:r>
        <w:rPr>
          <w:rFonts w:hint="eastAsia" w:ascii="仿宋" w:hAnsi="仿宋" w:eastAsia="仿宋" w:cs="Arial Narrow"/>
        </w:rPr>
        <w:t>良</w:t>
      </w:r>
      <w:r>
        <w:rPr>
          <w:rFonts w:ascii="仿宋" w:hAnsi="仿宋" w:eastAsia="仿宋" w:cs="Arial Narrow"/>
        </w:rPr>
        <w:t>。</w:t>
      </w:r>
      <w:bookmarkEnd w:id="88"/>
      <w:bookmarkEnd w:id="89"/>
      <w:bookmarkStart w:id="90" w:name="_Toc394490597"/>
    </w:p>
    <w:bookmarkEnd w:id="82"/>
    <w:bookmarkEnd w:id="83"/>
    <w:bookmarkEnd w:id="84"/>
    <w:bookmarkEnd w:id="85"/>
    <w:bookmarkEnd w:id="86"/>
    <w:bookmarkEnd w:id="90"/>
    <w:p>
      <w:pPr>
        <w:pStyle w:val="21"/>
        <w:numPr>
          <w:ilvl w:val="0"/>
          <w:numId w:val="12"/>
        </w:numPr>
        <w:ind w:firstLine="482"/>
        <w:outlineLvl w:val="2"/>
        <w:rPr>
          <w:rFonts w:ascii="仿宋" w:hAnsi="仿宋" w:eastAsia="仿宋"/>
          <w:b/>
        </w:rPr>
      </w:pPr>
      <w:bookmarkStart w:id="91" w:name="_Toc417753598"/>
      <w:bookmarkStart w:id="92" w:name="_Toc419044542"/>
      <w:bookmarkStart w:id="93" w:name="_Toc479518543"/>
      <w:bookmarkStart w:id="94" w:name="_Toc11787"/>
      <w:bookmarkStart w:id="95" w:name="_Toc406668048"/>
      <w:bookmarkStart w:id="96" w:name="_Toc361302036"/>
      <w:bookmarkStart w:id="97" w:name="_Toc361304699"/>
      <w:bookmarkStart w:id="98" w:name="_Toc406666374"/>
      <w:bookmarkStart w:id="99" w:name="_Toc387957823"/>
      <w:r>
        <w:rPr>
          <w:rFonts w:hint="eastAsia" w:ascii="仿宋" w:hAnsi="仿宋" w:eastAsia="仿宋"/>
          <w:b/>
        </w:rPr>
        <w:t>项目立项</w:t>
      </w:r>
      <w:bookmarkEnd w:id="91"/>
      <w:bookmarkEnd w:id="92"/>
      <w:r>
        <w:rPr>
          <w:rFonts w:hint="eastAsia" w:ascii="仿宋" w:hAnsi="仿宋" w:eastAsia="仿宋"/>
          <w:b/>
        </w:rPr>
        <w:t>（11分）</w:t>
      </w:r>
      <w:bookmarkEnd w:id="93"/>
    </w:p>
    <w:p>
      <w:pPr>
        <w:snapToGrid w:val="0"/>
        <w:ind w:firstLine="480"/>
        <w:rPr>
          <w:rFonts w:ascii="仿宋" w:hAnsi="仿宋" w:eastAsia="仿宋"/>
        </w:rPr>
      </w:pPr>
      <w:r>
        <w:rPr>
          <w:rFonts w:ascii="仿宋" w:hAnsi="仿宋" w:eastAsia="仿宋"/>
        </w:rPr>
        <w:t xml:space="preserve">(1) </w:t>
      </w:r>
      <w:r>
        <w:rPr>
          <w:rFonts w:hint="eastAsia" w:ascii="仿宋" w:hAnsi="仿宋" w:eastAsia="仿宋"/>
        </w:rPr>
        <w:t>项目立项规范。项目按照规定的程序申请设立；事前已经过必要的可行性研究、专家论证、风险评估、集体决策。</w:t>
      </w:r>
    </w:p>
    <w:p>
      <w:pPr>
        <w:snapToGrid w:val="0"/>
        <w:ind w:firstLine="480"/>
        <w:rPr>
          <w:rFonts w:ascii="仿宋" w:hAnsi="仿宋" w:eastAsia="仿宋"/>
        </w:rPr>
      </w:pPr>
      <w:r>
        <w:rPr>
          <w:rFonts w:ascii="仿宋" w:hAnsi="仿宋" w:eastAsia="仿宋"/>
        </w:rPr>
        <w:t xml:space="preserve">(2) </w:t>
      </w:r>
      <w:r>
        <w:rPr>
          <w:rFonts w:hint="eastAsia" w:ascii="仿宋" w:hAnsi="仿宋" w:eastAsia="仿宋"/>
        </w:rPr>
        <w:t>绩效目标合理。符合国家相关法律法规、国民经济发展规划，与项目实施单位职责密切相关；项目为促进教育事业发展所必需；项目预期产出效益和效果符合正常的业绩水平。</w:t>
      </w:r>
    </w:p>
    <w:p>
      <w:pPr>
        <w:snapToGrid w:val="0"/>
        <w:ind w:firstLine="480"/>
        <w:rPr>
          <w:rFonts w:ascii="仿宋" w:hAnsi="仿宋" w:eastAsia="仿宋"/>
          <w:highlight w:val="yellow"/>
        </w:rPr>
      </w:pPr>
      <w:r>
        <w:rPr>
          <w:rFonts w:ascii="仿宋" w:hAnsi="仿宋" w:eastAsia="仿宋"/>
        </w:rPr>
        <w:t xml:space="preserve">(3) </w:t>
      </w:r>
      <w:r>
        <w:rPr>
          <w:rFonts w:hint="eastAsia" w:ascii="仿宋" w:hAnsi="仿宋" w:eastAsia="仿宋"/>
        </w:rPr>
        <w:t>绩效指标明确性。项目绩效目标细化分解为具体的绩效指标，与项目单位年度工作计划数相对应、衔接，与预算确定的项目资金量相匹配。但目标细化、量化有待改善，预算项目安排的前瞻性有待提升，项目资金预算的针对性有待加强。根据评分规定，扣2分。</w:t>
      </w:r>
    </w:p>
    <w:p>
      <w:pPr>
        <w:ind w:left="420" w:firstLine="0" w:firstLineChars="0"/>
        <w:outlineLvl w:val="0"/>
        <w:rPr>
          <w:rFonts w:ascii="仿宋" w:hAnsi="仿宋" w:eastAsia="仿宋"/>
          <w:b/>
        </w:rPr>
      </w:pPr>
      <w:bookmarkStart w:id="100" w:name="_Toc417753600"/>
      <w:bookmarkStart w:id="101" w:name="_Toc419044543"/>
      <w:bookmarkStart w:id="102" w:name="_Toc479518544"/>
      <w:r>
        <w:rPr>
          <w:rFonts w:ascii="仿宋" w:hAnsi="仿宋" w:eastAsia="仿宋"/>
          <w:b/>
        </w:rPr>
        <w:t xml:space="preserve">2. </w:t>
      </w:r>
      <w:r>
        <w:rPr>
          <w:rFonts w:hint="eastAsia" w:ascii="仿宋" w:hAnsi="仿宋" w:eastAsia="仿宋"/>
          <w:b/>
        </w:rPr>
        <w:t>资金落实</w:t>
      </w:r>
      <w:bookmarkEnd w:id="100"/>
      <w:bookmarkEnd w:id="101"/>
      <w:r>
        <w:rPr>
          <w:rFonts w:hint="eastAsia" w:ascii="仿宋" w:hAnsi="仿宋" w:eastAsia="仿宋"/>
          <w:b/>
        </w:rPr>
        <w:t>（4分）</w:t>
      </w:r>
      <w:bookmarkEnd w:id="102"/>
    </w:p>
    <w:p>
      <w:pPr>
        <w:snapToGrid w:val="0"/>
        <w:ind w:left="420" w:firstLine="0" w:firstLineChars="0"/>
        <w:rPr>
          <w:rFonts w:ascii="仿宋" w:hAnsi="仿宋" w:eastAsia="仿宋"/>
        </w:rPr>
      </w:pPr>
      <w:r>
        <w:rPr>
          <w:rFonts w:ascii="仿宋" w:hAnsi="仿宋" w:eastAsia="仿宋"/>
        </w:rPr>
        <w:t xml:space="preserve">(1) </w:t>
      </w:r>
      <w:r>
        <w:rPr>
          <w:rFonts w:hint="eastAsia" w:ascii="仿宋" w:hAnsi="仿宋" w:eastAsia="仿宋"/>
        </w:rPr>
        <w:t>资金到位率。预算资金到位率</w:t>
      </w:r>
      <w:r>
        <w:rPr>
          <w:rFonts w:ascii="仿宋" w:hAnsi="仿宋" w:eastAsia="仿宋"/>
        </w:rPr>
        <w:t>100%</w:t>
      </w:r>
      <w:r>
        <w:rPr>
          <w:rFonts w:hint="eastAsia" w:ascii="仿宋" w:hAnsi="仿宋" w:eastAsia="仿宋"/>
        </w:rPr>
        <w:t>，满足了项目正常开展的资金需求。</w:t>
      </w:r>
    </w:p>
    <w:p>
      <w:pPr>
        <w:snapToGrid w:val="0"/>
        <w:ind w:firstLine="480"/>
        <w:rPr>
          <w:rFonts w:ascii="仿宋" w:hAnsi="仿宋" w:eastAsia="仿宋"/>
        </w:rPr>
      </w:pPr>
      <w:r>
        <w:rPr>
          <w:rFonts w:ascii="仿宋" w:hAnsi="仿宋" w:eastAsia="仿宋"/>
        </w:rPr>
        <w:t xml:space="preserve">(2) </w:t>
      </w:r>
      <w:r>
        <w:rPr>
          <w:rFonts w:hint="eastAsia" w:ascii="仿宋" w:hAnsi="仿宋" w:eastAsia="仿宋"/>
        </w:rPr>
        <w:t>到位及时率。所拨付款项的资金及时到位率</w:t>
      </w:r>
      <w:r>
        <w:rPr>
          <w:rFonts w:ascii="仿宋" w:hAnsi="仿宋" w:eastAsia="仿宋"/>
        </w:rPr>
        <w:t>100%</w:t>
      </w:r>
      <w:r>
        <w:rPr>
          <w:rFonts w:hint="eastAsia" w:ascii="仿宋" w:hAnsi="仿宋" w:eastAsia="仿宋"/>
        </w:rPr>
        <w:t>，保证了本项目按进度实施。</w:t>
      </w:r>
    </w:p>
    <w:p>
      <w:pPr>
        <w:pStyle w:val="3"/>
        <w:numPr>
          <w:ilvl w:val="0"/>
          <w:numId w:val="11"/>
        </w:numPr>
        <w:spacing w:line="440" w:lineRule="exact"/>
        <w:ind w:firstLine="482"/>
        <w:rPr>
          <w:rFonts w:ascii="仿宋" w:hAnsi="仿宋" w:eastAsia="仿宋"/>
          <w:sz w:val="24"/>
        </w:rPr>
      </w:pPr>
      <w:bookmarkStart w:id="103" w:name="_Toc479518545"/>
      <w:r>
        <w:rPr>
          <w:rFonts w:ascii="仿宋" w:hAnsi="仿宋" w:eastAsia="仿宋"/>
          <w:sz w:val="24"/>
        </w:rPr>
        <w:t>项目</w:t>
      </w:r>
      <w:r>
        <w:rPr>
          <w:rFonts w:hint="eastAsia" w:ascii="仿宋" w:hAnsi="仿宋" w:eastAsia="仿宋"/>
          <w:sz w:val="24"/>
        </w:rPr>
        <w:t>过程</w:t>
      </w:r>
      <w:r>
        <w:rPr>
          <w:rFonts w:ascii="仿宋" w:hAnsi="仿宋" w:eastAsia="仿宋"/>
          <w:sz w:val="24"/>
        </w:rPr>
        <w:t>（2</w:t>
      </w:r>
      <w:r>
        <w:rPr>
          <w:rFonts w:hint="eastAsia" w:ascii="仿宋" w:hAnsi="仿宋" w:eastAsia="仿宋"/>
          <w:sz w:val="24"/>
        </w:rPr>
        <w:t>5</w:t>
      </w:r>
      <w:r>
        <w:rPr>
          <w:rFonts w:ascii="仿宋" w:hAnsi="仿宋" w:eastAsia="仿宋"/>
          <w:sz w:val="24"/>
        </w:rPr>
        <w:t>分）</w:t>
      </w:r>
      <w:bookmarkEnd w:id="94"/>
      <w:bookmarkEnd w:id="103"/>
    </w:p>
    <w:p>
      <w:pPr>
        <w:snapToGrid w:val="0"/>
        <w:spacing w:line="440" w:lineRule="exact"/>
        <w:ind w:firstLine="480"/>
        <w:rPr>
          <w:rFonts w:ascii="仿宋" w:hAnsi="仿宋" w:eastAsia="仿宋" w:cs="Arial Narrow"/>
        </w:rPr>
      </w:pPr>
      <w:bookmarkStart w:id="104" w:name="_Toc394181012"/>
      <w:bookmarkStart w:id="105" w:name="_Toc394490599"/>
      <w:r>
        <w:rPr>
          <w:rFonts w:ascii="仿宋" w:hAnsi="仿宋" w:eastAsia="仿宋" w:cs="Arial Narrow"/>
        </w:rPr>
        <w:t>根据评价原则，</w:t>
      </w:r>
      <w:r>
        <w:rPr>
          <w:rFonts w:hint="eastAsia" w:ascii="仿宋" w:hAnsi="仿宋" w:eastAsia="仿宋" w:cs="Arial Narrow"/>
        </w:rPr>
        <w:t>项目</w:t>
      </w:r>
      <w:r>
        <w:rPr>
          <w:rFonts w:ascii="仿宋" w:hAnsi="仿宋" w:eastAsia="仿宋" w:cs="Arial Narrow"/>
        </w:rPr>
        <w:t>管理评价得分为</w:t>
      </w:r>
      <w:r>
        <w:rPr>
          <w:rFonts w:hint="eastAsia" w:ascii="仿宋" w:hAnsi="仿宋" w:eastAsia="仿宋" w:cs="Arial Narrow"/>
        </w:rPr>
        <w:t>21</w:t>
      </w:r>
      <w:r>
        <w:rPr>
          <w:rFonts w:ascii="仿宋" w:hAnsi="仿宋" w:eastAsia="仿宋" w:cs="Arial Narrow"/>
        </w:rPr>
        <w:t>分，评价结果为</w:t>
      </w:r>
      <w:r>
        <w:rPr>
          <w:rFonts w:hint="eastAsia" w:ascii="仿宋" w:hAnsi="仿宋" w:eastAsia="仿宋" w:cs="Arial Narrow"/>
        </w:rPr>
        <w:t>良</w:t>
      </w:r>
      <w:r>
        <w:rPr>
          <w:rFonts w:ascii="仿宋" w:hAnsi="仿宋" w:eastAsia="仿宋" w:cs="Arial Narrow"/>
        </w:rPr>
        <w:t>。</w:t>
      </w:r>
      <w:bookmarkEnd w:id="104"/>
      <w:bookmarkEnd w:id="105"/>
    </w:p>
    <w:p>
      <w:pPr>
        <w:pStyle w:val="21"/>
        <w:spacing w:line="440" w:lineRule="exact"/>
        <w:ind w:left="401" w:leftChars="167" w:firstLine="118" w:firstLineChars="49"/>
        <w:outlineLvl w:val="2"/>
        <w:rPr>
          <w:rFonts w:ascii="仿宋" w:hAnsi="仿宋" w:eastAsia="仿宋"/>
          <w:b/>
        </w:rPr>
      </w:pPr>
      <w:bookmarkStart w:id="106" w:name="_Toc479518546"/>
      <w:r>
        <w:rPr>
          <w:rFonts w:hint="eastAsia" w:ascii="仿宋" w:hAnsi="仿宋" w:eastAsia="仿宋"/>
          <w:b/>
        </w:rPr>
        <w:t>1.业务管理（10分）</w:t>
      </w:r>
      <w:bookmarkEnd w:id="106"/>
    </w:p>
    <w:p>
      <w:pPr>
        <w:snapToGrid w:val="0"/>
        <w:spacing w:line="440" w:lineRule="exact"/>
        <w:ind w:firstLine="480"/>
        <w:rPr>
          <w:rFonts w:ascii="仿宋" w:hAnsi="仿宋" w:eastAsia="仿宋"/>
          <w:color w:val="000000"/>
        </w:rPr>
      </w:pPr>
      <w:r>
        <w:rPr>
          <w:rFonts w:hint="eastAsia" w:ascii="仿宋" w:hAnsi="仿宋" w:eastAsia="仿宋"/>
          <w:color w:val="000000"/>
        </w:rPr>
        <w:t>业务</w:t>
      </w:r>
      <w:r>
        <w:rPr>
          <w:rFonts w:ascii="仿宋" w:hAnsi="仿宋" w:eastAsia="仿宋"/>
          <w:color w:val="000000"/>
        </w:rPr>
        <w:t>管理主要评价评价</w:t>
      </w:r>
      <w:r>
        <w:rPr>
          <w:rFonts w:hint="eastAsia" w:ascii="仿宋" w:hAnsi="仿宋" w:eastAsia="仿宋"/>
          <w:color w:val="000000"/>
        </w:rPr>
        <w:t>管理制度是否健全、执行是否有效和项目质量可控性</w:t>
      </w:r>
      <w:r>
        <w:rPr>
          <w:rFonts w:ascii="仿宋" w:hAnsi="仿宋" w:eastAsia="仿宋"/>
          <w:color w:val="000000"/>
        </w:rPr>
        <w:t>。该指标主要由</w:t>
      </w:r>
      <w:r>
        <w:rPr>
          <w:rFonts w:hint="eastAsia" w:ascii="仿宋" w:hAnsi="仿宋" w:eastAsia="仿宋"/>
          <w:color w:val="000000"/>
        </w:rPr>
        <w:t>管理制度健全性、制度执行有效性和项目质量可控性三</w:t>
      </w:r>
      <w:r>
        <w:rPr>
          <w:rFonts w:ascii="仿宋" w:hAnsi="仿宋" w:eastAsia="仿宋"/>
          <w:color w:val="000000"/>
        </w:rPr>
        <w:t>个指标来反映。该项指标评价得分为</w:t>
      </w:r>
      <w:r>
        <w:rPr>
          <w:rFonts w:hint="eastAsia" w:ascii="仿宋" w:hAnsi="仿宋" w:eastAsia="仿宋"/>
          <w:color w:val="000000"/>
        </w:rPr>
        <w:t>7</w:t>
      </w:r>
      <w:r>
        <w:rPr>
          <w:rFonts w:ascii="仿宋" w:hAnsi="仿宋" w:eastAsia="仿宋"/>
          <w:color w:val="000000"/>
        </w:rPr>
        <w:t>分。</w:t>
      </w:r>
    </w:p>
    <w:p>
      <w:pPr>
        <w:snapToGrid w:val="0"/>
        <w:spacing w:line="440" w:lineRule="exact"/>
        <w:ind w:firstLine="480"/>
        <w:rPr>
          <w:rFonts w:ascii="仿宋" w:hAnsi="仿宋" w:eastAsia="仿宋"/>
          <w:color w:val="000000"/>
        </w:rPr>
      </w:pPr>
      <w:r>
        <w:rPr>
          <w:rFonts w:ascii="仿宋" w:hAnsi="仿宋" w:eastAsia="仿宋"/>
          <w:color w:val="000000"/>
        </w:rPr>
        <w:t>（1）</w:t>
      </w:r>
      <w:r>
        <w:rPr>
          <w:rFonts w:hint="eastAsia" w:ascii="仿宋" w:hAnsi="仿宋" w:eastAsia="仿宋"/>
          <w:color w:val="000000"/>
        </w:rPr>
        <w:t>管理制度健全</w:t>
      </w:r>
      <w:r>
        <w:rPr>
          <w:rFonts w:ascii="仿宋" w:hAnsi="仿宋" w:eastAsia="仿宋"/>
          <w:color w:val="000000"/>
        </w:rPr>
        <w:t>。</w:t>
      </w:r>
      <w:r>
        <w:rPr>
          <w:rFonts w:hint="eastAsia" w:ascii="仿宋" w:hAnsi="仿宋" w:eastAsia="仿宋"/>
          <w:color w:val="000000"/>
        </w:rPr>
        <w:t>武昌区教育局电教中心结合本单位的特点，以及上级主管部门的要求制定了《电教中心信息化设备采购管理办法》。</w:t>
      </w:r>
    </w:p>
    <w:p>
      <w:pPr>
        <w:snapToGrid w:val="0"/>
        <w:spacing w:line="440" w:lineRule="exact"/>
        <w:ind w:firstLine="480"/>
        <w:rPr>
          <w:rFonts w:ascii="仿宋" w:hAnsi="仿宋" w:eastAsia="仿宋"/>
          <w:color w:val="000000"/>
        </w:rPr>
      </w:pPr>
      <w:r>
        <w:rPr>
          <w:rFonts w:ascii="仿宋" w:hAnsi="仿宋" w:eastAsia="仿宋"/>
          <w:color w:val="000000"/>
        </w:rPr>
        <w:t>（2）</w:t>
      </w:r>
      <w:r>
        <w:rPr>
          <w:rFonts w:hint="eastAsia" w:ascii="仿宋" w:hAnsi="仿宋" w:eastAsia="仿宋"/>
          <w:color w:val="000000"/>
        </w:rPr>
        <w:t>制度执行有效性</w:t>
      </w:r>
      <w:r>
        <w:rPr>
          <w:rFonts w:ascii="仿宋" w:hAnsi="仿宋" w:eastAsia="仿宋"/>
          <w:color w:val="000000"/>
        </w:rPr>
        <w:t>。</w:t>
      </w:r>
      <w:r>
        <w:rPr>
          <w:rFonts w:hint="eastAsia" w:ascii="仿宋" w:hAnsi="仿宋" w:eastAsia="仿宋"/>
          <w:color w:val="000000"/>
        </w:rPr>
        <w:t>项目验收资料中包括质量及服务验收单和装备验收单，其中质量及服务验收单只有学校公章，无校长签字及签署意见，部分学校（如武汉市第十五中学液晶一体机成套设备）质量及服务验收单无学校项目负责人签字及验收日期；LED屏采购数量的增加，未对预算进行调整，扣2分。</w:t>
      </w:r>
    </w:p>
    <w:p>
      <w:pPr>
        <w:snapToGrid w:val="0"/>
        <w:spacing w:line="440" w:lineRule="exact"/>
        <w:ind w:firstLine="480"/>
        <w:rPr>
          <w:rFonts w:ascii="仿宋" w:hAnsi="仿宋" w:eastAsia="仿宋"/>
          <w:color w:val="000000"/>
        </w:rPr>
      </w:pPr>
      <w:r>
        <w:rPr>
          <w:rFonts w:hint="eastAsia" w:ascii="仿宋" w:hAnsi="仿宋" w:eastAsia="仿宋"/>
          <w:color w:val="000000"/>
        </w:rPr>
        <w:t>（3）项目质量可控。教育信息化设备采购按照政府采购程序的规定履行相关的招投标程序，合同中约定了质保期和售后服务方式，但项目验收资料中质量及服务验收单无电教中心采购负责人意见，扣1分。</w:t>
      </w:r>
    </w:p>
    <w:p>
      <w:pPr>
        <w:pStyle w:val="21"/>
        <w:numPr>
          <w:ilvl w:val="0"/>
          <w:numId w:val="12"/>
        </w:numPr>
        <w:spacing w:line="440" w:lineRule="exact"/>
        <w:ind w:firstLine="482"/>
        <w:outlineLvl w:val="2"/>
        <w:rPr>
          <w:rFonts w:ascii="仿宋" w:hAnsi="仿宋" w:eastAsia="仿宋"/>
          <w:b/>
        </w:rPr>
      </w:pPr>
      <w:bookmarkStart w:id="107" w:name="_Toc479518547"/>
      <w:r>
        <w:rPr>
          <w:rFonts w:hint="eastAsia" w:ascii="仿宋" w:hAnsi="仿宋" w:eastAsia="仿宋"/>
          <w:b/>
        </w:rPr>
        <w:t>财务管理（15分）</w:t>
      </w:r>
      <w:bookmarkEnd w:id="107"/>
    </w:p>
    <w:p>
      <w:pPr>
        <w:snapToGrid w:val="0"/>
        <w:spacing w:line="440" w:lineRule="exact"/>
        <w:ind w:firstLine="480"/>
        <w:rPr>
          <w:rFonts w:ascii="仿宋" w:hAnsi="仿宋" w:eastAsia="仿宋" w:cs="Arial Narrow"/>
        </w:rPr>
      </w:pPr>
      <w:r>
        <w:rPr>
          <w:rFonts w:hint="eastAsia" w:ascii="仿宋" w:hAnsi="仿宋" w:eastAsia="仿宋" w:cs="Arial Narrow"/>
        </w:rPr>
        <w:t>财务</w:t>
      </w:r>
      <w:r>
        <w:rPr>
          <w:rFonts w:ascii="仿宋" w:hAnsi="仿宋" w:eastAsia="仿宋" w:cs="Arial Narrow"/>
        </w:rPr>
        <w:t>管理指标主要评价项目实施单位的财务制度情况，资金使用以及财务监控措施的实施情况。该指标主要由</w:t>
      </w:r>
      <w:r>
        <w:rPr>
          <w:rFonts w:hint="eastAsia" w:ascii="仿宋" w:hAnsi="仿宋" w:eastAsia="仿宋" w:cs="Arial Narrow"/>
        </w:rPr>
        <w:t>管理制度健全</w:t>
      </w:r>
      <w:r>
        <w:rPr>
          <w:rFonts w:ascii="仿宋" w:hAnsi="仿宋" w:eastAsia="仿宋" w:cs="Arial Narrow"/>
        </w:rPr>
        <w:t>、</w:t>
      </w:r>
      <w:r>
        <w:rPr>
          <w:rFonts w:hint="eastAsia" w:ascii="仿宋" w:hAnsi="仿宋" w:eastAsia="仿宋" w:cs="Arial Narrow"/>
        </w:rPr>
        <w:t>资金使用合规和财务监控有效三</w:t>
      </w:r>
      <w:r>
        <w:rPr>
          <w:rFonts w:ascii="仿宋" w:hAnsi="仿宋" w:eastAsia="仿宋" w:cs="Arial Narrow"/>
        </w:rPr>
        <w:t>个</w:t>
      </w:r>
      <w:r>
        <w:rPr>
          <w:rFonts w:hint="eastAsia" w:ascii="仿宋" w:hAnsi="仿宋" w:eastAsia="仿宋" w:cs="Arial Narrow"/>
        </w:rPr>
        <w:t>三</w:t>
      </w:r>
      <w:r>
        <w:rPr>
          <w:rFonts w:ascii="仿宋" w:hAnsi="仿宋" w:eastAsia="仿宋" w:cs="Arial Narrow"/>
        </w:rPr>
        <w:t>级指标反映。该项指标评价得分为</w:t>
      </w:r>
      <w:r>
        <w:rPr>
          <w:rFonts w:hint="eastAsia" w:ascii="仿宋" w:hAnsi="仿宋" w:eastAsia="仿宋" w:cs="Arial Narrow"/>
        </w:rPr>
        <w:t>14</w:t>
      </w:r>
      <w:r>
        <w:rPr>
          <w:rFonts w:ascii="仿宋" w:hAnsi="仿宋" w:eastAsia="仿宋" w:cs="Arial Narrow"/>
        </w:rPr>
        <w:t>分。</w:t>
      </w:r>
    </w:p>
    <w:p>
      <w:pPr>
        <w:snapToGrid w:val="0"/>
        <w:spacing w:line="440" w:lineRule="exact"/>
        <w:ind w:firstLine="480"/>
        <w:rPr>
          <w:rFonts w:ascii="仿宋" w:hAnsi="仿宋" w:eastAsia="仿宋"/>
        </w:rPr>
      </w:pPr>
      <w:r>
        <w:rPr>
          <w:rFonts w:hint="eastAsia" w:ascii="仿宋" w:hAnsi="仿宋" w:eastAsia="仿宋" w:cs="Arial Narrow"/>
        </w:rPr>
        <w:t>（1）管理制度健全。项目实施单位已经制定单位财务管理制度和武昌区教育局常用政府采购管理办法，教育信息化项目采购依据此办法执行。</w:t>
      </w:r>
    </w:p>
    <w:p>
      <w:pPr>
        <w:snapToGrid w:val="0"/>
        <w:spacing w:line="440" w:lineRule="exact"/>
        <w:ind w:firstLine="480"/>
        <w:rPr>
          <w:rFonts w:ascii="仿宋" w:hAnsi="仿宋" w:eastAsia="仿宋"/>
          <w:color w:val="000000"/>
        </w:rPr>
      </w:pPr>
      <w:r>
        <w:rPr>
          <w:rFonts w:hint="eastAsia" w:ascii="仿宋" w:hAnsi="仿宋" w:eastAsia="仿宋"/>
        </w:rPr>
        <w:t>（2）资金使用。</w:t>
      </w:r>
      <w:r>
        <w:rPr>
          <w:rFonts w:hint="eastAsia" w:ascii="仿宋" w:hAnsi="仿宋" w:eastAsia="仿宋"/>
          <w:color w:val="000000"/>
        </w:rPr>
        <w:t>资金使用合规，支出均经过审批、依据规范，无虚列支出，无截留、挤占、挪用。本项目资金仅限于支付2017年教育信息化设备配置和网络服务有关的款项，但未严格做到专款专用。2017年专项资金中支付了</w:t>
      </w:r>
      <w:r>
        <w:rPr>
          <w:rFonts w:hint="eastAsia" w:ascii="仿宋" w:hAnsi="仿宋" w:eastAsia="仿宋" w:cs="Arial Narrow"/>
        </w:rPr>
        <w:t>2016年已经采购尚未付款项目，扣1分。</w:t>
      </w:r>
    </w:p>
    <w:p>
      <w:pPr>
        <w:snapToGrid w:val="0"/>
        <w:spacing w:line="440" w:lineRule="exact"/>
        <w:ind w:firstLine="480"/>
        <w:rPr>
          <w:rFonts w:ascii="仿宋" w:hAnsi="仿宋" w:eastAsia="仿宋"/>
        </w:rPr>
      </w:pPr>
      <w:r>
        <w:rPr>
          <w:rFonts w:hint="eastAsia" w:ascii="仿宋" w:hAnsi="仿宋" w:eastAsia="仿宋"/>
          <w:color w:val="000000"/>
        </w:rPr>
        <w:t>（2）财务监控有效。已制定相应的监控机制，采取了相应的财务检查、复核等必要的监控措施，财务及资产管理制度健全且能有效执行，会计核算规范。</w:t>
      </w:r>
    </w:p>
    <w:bookmarkEnd w:id="95"/>
    <w:bookmarkEnd w:id="96"/>
    <w:bookmarkEnd w:id="97"/>
    <w:bookmarkEnd w:id="98"/>
    <w:bookmarkEnd w:id="99"/>
    <w:p>
      <w:pPr>
        <w:pStyle w:val="3"/>
        <w:numPr>
          <w:ilvl w:val="0"/>
          <w:numId w:val="11"/>
        </w:numPr>
        <w:spacing w:line="440" w:lineRule="exact"/>
        <w:ind w:firstLine="482"/>
        <w:rPr>
          <w:rFonts w:ascii="仿宋" w:hAnsi="仿宋" w:eastAsia="仿宋"/>
          <w:sz w:val="24"/>
        </w:rPr>
      </w:pPr>
      <w:bookmarkStart w:id="108" w:name="_Toc479518548"/>
      <w:bookmarkStart w:id="109" w:name="_Toc5732"/>
      <w:bookmarkStart w:id="110" w:name="_Toc406668049"/>
      <w:bookmarkStart w:id="111" w:name="_Toc387957824"/>
      <w:bookmarkStart w:id="112" w:name="_Toc406666375"/>
      <w:r>
        <w:rPr>
          <w:rFonts w:ascii="仿宋" w:hAnsi="仿宋" w:eastAsia="仿宋"/>
          <w:sz w:val="24"/>
        </w:rPr>
        <w:t>项目</w:t>
      </w:r>
      <w:r>
        <w:rPr>
          <w:rFonts w:hint="eastAsia" w:ascii="仿宋" w:hAnsi="仿宋" w:eastAsia="仿宋"/>
          <w:sz w:val="24"/>
        </w:rPr>
        <w:t>产出</w:t>
      </w:r>
      <w:r>
        <w:rPr>
          <w:rFonts w:ascii="仿宋" w:hAnsi="仿宋" w:eastAsia="仿宋"/>
          <w:sz w:val="24"/>
        </w:rPr>
        <w:t>（</w:t>
      </w:r>
      <w:r>
        <w:rPr>
          <w:rFonts w:hint="eastAsia" w:ascii="仿宋" w:hAnsi="仿宋" w:eastAsia="仿宋"/>
          <w:sz w:val="24"/>
        </w:rPr>
        <w:t>2</w:t>
      </w:r>
      <w:r>
        <w:rPr>
          <w:rFonts w:ascii="仿宋" w:hAnsi="仿宋" w:eastAsia="仿宋"/>
          <w:sz w:val="24"/>
        </w:rPr>
        <w:t>5分）</w:t>
      </w:r>
      <w:bookmarkEnd w:id="108"/>
      <w:bookmarkEnd w:id="109"/>
    </w:p>
    <w:p>
      <w:pPr>
        <w:snapToGrid w:val="0"/>
        <w:spacing w:line="440" w:lineRule="exact"/>
        <w:ind w:firstLine="436" w:firstLineChars="182"/>
        <w:rPr>
          <w:rFonts w:ascii="仿宋" w:hAnsi="仿宋" w:eastAsia="仿宋" w:cs="Arial Narrow"/>
        </w:rPr>
      </w:pPr>
      <w:bookmarkStart w:id="113" w:name="_Toc394181015"/>
      <w:bookmarkStart w:id="114" w:name="_Toc394490602"/>
      <w:r>
        <w:rPr>
          <w:rFonts w:ascii="仿宋" w:hAnsi="仿宋" w:eastAsia="仿宋" w:cs="Arial Narrow"/>
        </w:rPr>
        <w:t>根据评价原则，</w:t>
      </w:r>
      <w:r>
        <w:rPr>
          <w:rFonts w:hint="eastAsia" w:ascii="仿宋" w:hAnsi="仿宋" w:eastAsia="仿宋" w:cs="Arial Narrow"/>
        </w:rPr>
        <w:t>项目产出</w:t>
      </w:r>
      <w:r>
        <w:rPr>
          <w:rFonts w:ascii="仿宋" w:hAnsi="仿宋" w:eastAsia="仿宋" w:cs="Arial Narrow"/>
        </w:rPr>
        <w:t>评价得分为</w:t>
      </w:r>
      <w:r>
        <w:rPr>
          <w:rFonts w:hint="eastAsia" w:ascii="仿宋" w:hAnsi="仿宋" w:eastAsia="仿宋" w:cs="Arial Narrow"/>
        </w:rPr>
        <w:t>18.6</w:t>
      </w:r>
      <w:r>
        <w:rPr>
          <w:rFonts w:ascii="仿宋" w:hAnsi="仿宋" w:eastAsia="仿宋" w:cs="Arial Narrow"/>
        </w:rPr>
        <w:t>分，评价结果为</w:t>
      </w:r>
      <w:r>
        <w:rPr>
          <w:rFonts w:hint="eastAsia" w:ascii="仿宋" w:hAnsi="仿宋" w:eastAsia="仿宋" w:cs="Arial Narrow"/>
        </w:rPr>
        <w:t>良</w:t>
      </w:r>
      <w:r>
        <w:rPr>
          <w:rFonts w:ascii="仿宋" w:hAnsi="仿宋" w:eastAsia="仿宋" w:cs="Arial Narrow"/>
        </w:rPr>
        <w:t>。</w:t>
      </w:r>
      <w:bookmarkEnd w:id="113"/>
      <w:bookmarkEnd w:id="114"/>
    </w:p>
    <w:p>
      <w:pPr>
        <w:pStyle w:val="21"/>
        <w:numPr>
          <w:ilvl w:val="0"/>
          <w:numId w:val="13"/>
        </w:numPr>
        <w:spacing w:line="440" w:lineRule="exact"/>
        <w:ind w:firstLine="482"/>
        <w:outlineLvl w:val="2"/>
        <w:rPr>
          <w:rFonts w:ascii="仿宋" w:hAnsi="仿宋" w:eastAsia="仿宋"/>
          <w:b/>
        </w:rPr>
      </w:pPr>
      <w:bookmarkStart w:id="115" w:name="_Toc479518549"/>
      <w:bookmarkStart w:id="116" w:name="_Toc394181016"/>
      <w:bookmarkStart w:id="117" w:name="_Toc394490603"/>
      <w:r>
        <w:rPr>
          <w:rFonts w:hint="eastAsia" w:ascii="仿宋" w:hAnsi="仿宋" w:eastAsia="仿宋"/>
          <w:b/>
        </w:rPr>
        <w:t>项目实际完成率（14分）</w:t>
      </w:r>
      <w:bookmarkEnd w:id="115"/>
    </w:p>
    <w:bookmarkEnd w:id="110"/>
    <w:bookmarkEnd w:id="111"/>
    <w:bookmarkEnd w:id="112"/>
    <w:bookmarkEnd w:id="116"/>
    <w:bookmarkEnd w:id="117"/>
    <w:p>
      <w:pPr>
        <w:snapToGrid w:val="0"/>
        <w:spacing w:line="440" w:lineRule="exact"/>
        <w:ind w:firstLine="480"/>
        <w:rPr>
          <w:rFonts w:ascii="仿宋" w:hAnsi="仿宋" w:eastAsia="仿宋" w:cs="Arial Narrow"/>
        </w:rPr>
      </w:pPr>
      <w:bookmarkStart w:id="118" w:name="_Toc394181022"/>
      <w:bookmarkStart w:id="119" w:name="_Toc361304701"/>
      <w:bookmarkStart w:id="120" w:name="_Toc361302038"/>
      <w:bookmarkStart w:id="121" w:name="_Toc406666377"/>
      <w:bookmarkStart w:id="122" w:name="_Toc387957826"/>
      <w:bookmarkStart w:id="123" w:name="_Toc406668051"/>
      <w:r>
        <w:rPr>
          <w:rFonts w:ascii="仿宋" w:hAnsi="仿宋" w:eastAsia="仿宋" w:cs="Arial Narrow"/>
        </w:rPr>
        <w:t>项目</w:t>
      </w:r>
      <w:r>
        <w:rPr>
          <w:rFonts w:hint="eastAsia" w:ascii="仿宋" w:hAnsi="仿宋" w:eastAsia="仿宋" w:cs="Arial Narrow"/>
        </w:rPr>
        <w:t>实际完成</w:t>
      </w:r>
      <w:r>
        <w:rPr>
          <w:rFonts w:ascii="仿宋" w:hAnsi="仿宋" w:eastAsia="仿宋" w:cs="Arial Narrow"/>
        </w:rPr>
        <w:t>方面，绩效评价得分为</w:t>
      </w:r>
      <w:r>
        <w:rPr>
          <w:rFonts w:hint="eastAsia" w:ascii="仿宋" w:hAnsi="仿宋" w:eastAsia="仿宋" w:cs="Arial Narrow"/>
        </w:rPr>
        <w:t>11.60</w:t>
      </w:r>
      <w:r>
        <w:rPr>
          <w:rFonts w:ascii="仿宋" w:hAnsi="仿宋" w:eastAsia="仿宋" w:cs="Arial Narrow"/>
        </w:rPr>
        <w:t>分。主要评价</w:t>
      </w:r>
      <w:r>
        <w:rPr>
          <w:rFonts w:hint="eastAsia" w:ascii="仿宋" w:hAnsi="仿宋" w:eastAsia="仿宋" w:cs="Arial Narrow"/>
        </w:rPr>
        <w:t>项目执行率、完成学生电脑配置数量、完成机房改造数量、完成平板电脑购置数量、无线网改造学校数量、及LED屏购置安装数量完成班班通设备配置数量、学校外接总带宽、高清数字化平安校园覆盖率和创客中心筹建数量</w:t>
      </w:r>
      <w:r>
        <w:rPr>
          <w:rFonts w:ascii="仿宋" w:hAnsi="仿宋" w:eastAsia="仿宋" w:cs="Arial Narrow"/>
        </w:rPr>
        <w:t>。</w:t>
      </w:r>
    </w:p>
    <w:p>
      <w:pPr>
        <w:snapToGrid w:val="0"/>
        <w:spacing w:line="440" w:lineRule="exact"/>
        <w:ind w:firstLine="436" w:firstLineChars="182"/>
        <w:rPr>
          <w:rFonts w:ascii="仿宋" w:hAnsi="仿宋" w:eastAsia="仿宋" w:cs="Arial Narrow"/>
        </w:rPr>
      </w:pPr>
      <w:r>
        <w:rPr>
          <w:rFonts w:ascii="仿宋" w:hAnsi="仿宋" w:eastAsia="仿宋" w:cs="Arial Narrow"/>
        </w:rPr>
        <w:t>（1）</w:t>
      </w:r>
      <w:r>
        <w:rPr>
          <w:rFonts w:hint="eastAsia" w:ascii="仿宋" w:hAnsi="仿宋" w:eastAsia="仿宋" w:cs="Arial Narrow"/>
        </w:rPr>
        <w:t>项目执行率。教育信息化建设经费项目年度预算为1,500万元，实际执行</w:t>
      </w:r>
      <w:r>
        <w:rPr>
          <w:rFonts w:ascii="仿宋" w:hAnsi="仿宋" w:eastAsia="仿宋" w:cs="Arial Narrow"/>
        </w:rPr>
        <w:t>1,294.47</w:t>
      </w:r>
      <w:r>
        <w:rPr>
          <w:rFonts w:hint="eastAsia" w:ascii="仿宋" w:hAnsi="仿宋" w:eastAsia="仿宋" w:cs="Arial Narrow"/>
        </w:rPr>
        <w:t>万元，执行率86.30%，扣0.4分。</w:t>
      </w:r>
    </w:p>
    <w:p>
      <w:pPr>
        <w:snapToGrid w:val="0"/>
        <w:spacing w:line="440" w:lineRule="exact"/>
        <w:ind w:firstLine="436" w:firstLineChars="182"/>
        <w:rPr>
          <w:rFonts w:ascii="仿宋" w:hAnsi="仿宋" w:eastAsia="仿宋" w:cs="Arial Narrow"/>
        </w:rPr>
      </w:pPr>
      <w:r>
        <w:rPr>
          <w:rFonts w:ascii="仿宋" w:hAnsi="仿宋" w:eastAsia="仿宋" w:cs="Arial Narrow"/>
        </w:rPr>
        <w:t>（2）</w:t>
      </w:r>
      <w:r>
        <w:rPr>
          <w:rFonts w:hint="eastAsia" w:ascii="仿宋" w:hAnsi="仿宋" w:eastAsia="仿宋" w:cs="Arial Narrow"/>
        </w:rPr>
        <w:t>学生电脑配置台数。截止2017年底，武昌区教育局电教中心已经完成学生机配置811台，完成预期目标。</w:t>
      </w:r>
    </w:p>
    <w:p>
      <w:pPr>
        <w:snapToGrid w:val="0"/>
        <w:spacing w:line="400" w:lineRule="exact"/>
        <w:ind w:firstLine="436" w:firstLineChars="182"/>
        <w:rPr>
          <w:rFonts w:ascii="仿宋" w:hAnsi="仿宋" w:eastAsia="仿宋" w:cs="Arial Narrow"/>
        </w:rPr>
      </w:pPr>
      <w:r>
        <w:rPr>
          <w:rFonts w:ascii="仿宋" w:hAnsi="仿宋" w:eastAsia="仿宋" w:cs="Arial Narrow"/>
        </w:rPr>
        <w:t>（3）</w:t>
      </w:r>
      <w:r>
        <w:rPr>
          <w:rFonts w:hint="eastAsia" w:ascii="仿宋" w:hAnsi="仿宋" w:eastAsia="仿宋" w:cs="Arial Narrow"/>
        </w:rPr>
        <w:t>电子白板班班通配置套数。截止2017年底，武昌区教育局电教中心已经完成电子白板班班通配置338套，基本完成预期目标。</w:t>
      </w:r>
    </w:p>
    <w:p>
      <w:pPr>
        <w:snapToGrid w:val="0"/>
        <w:spacing w:line="400" w:lineRule="exact"/>
        <w:ind w:firstLine="436" w:firstLineChars="182"/>
        <w:rPr>
          <w:rFonts w:ascii="仿宋" w:hAnsi="仿宋" w:eastAsia="仿宋" w:cs="Arial Narrow"/>
        </w:rPr>
      </w:pPr>
      <w:r>
        <w:rPr>
          <w:rFonts w:hint="eastAsia" w:ascii="仿宋" w:hAnsi="仿宋" w:eastAsia="仿宋" w:cs="Arial Narrow"/>
        </w:rPr>
        <w:t>（4）</w:t>
      </w:r>
      <w:r>
        <w:rPr>
          <w:rFonts w:ascii="仿宋" w:hAnsi="仿宋" w:eastAsia="仿宋" w:cs="Arial Narrow"/>
        </w:rPr>
        <w:t>机房改造数量</w:t>
      </w:r>
      <w:r>
        <w:rPr>
          <w:rFonts w:hint="eastAsia" w:ascii="仿宋" w:hAnsi="仿宋" w:eastAsia="仿宋" w:cs="Arial Narrow"/>
        </w:rPr>
        <w:t>。</w:t>
      </w:r>
      <w:r>
        <w:rPr>
          <w:rFonts w:ascii="仿宋" w:hAnsi="仿宋" w:eastAsia="仿宋" w:cs="Arial Narrow"/>
        </w:rPr>
        <w:t>截止</w:t>
      </w:r>
      <w:r>
        <w:rPr>
          <w:rFonts w:hint="eastAsia" w:ascii="仿宋" w:hAnsi="仿宋" w:eastAsia="仿宋" w:cs="Arial Narrow"/>
        </w:rPr>
        <w:t>2017年底，武昌区教育局电教中心已经完成17间机房改造，完成了预期目标。</w:t>
      </w:r>
    </w:p>
    <w:p>
      <w:pPr>
        <w:snapToGrid w:val="0"/>
        <w:spacing w:line="400" w:lineRule="exact"/>
        <w:ind w:firstLine="436" w:firstLineChars="182"/>
        <w:rPr>
          <w:rFonts w:ascii="仿宋" w:hAnsi="仿宋" w:eastAsia="仿宋" w:cs="Arial Narrow"/>
        </w:rPr>
      </w:pPr>
      <w:r>
        <w:rPr>
          <w:rFonts w:hint="eastAsia" w:ascii="仿宋" w:hAnsi="仿宋" w:eastAsia="仿宋" w:cs="Arial Narrow"/>
        </w:rPr>
        <w:t>（5）平板电脑购置台数。截止2017年底，武昌区教育局电教中心已经完成平板电脑配置945台，未完成预期目标，扣1分。</w:t>
      </w:r>
    </w:p>
    <w:p>
      <w:pPr>
        <w:snapToGrid w:val="0"/>
        <w:spacing w:line="400" w:lineRule="exact"/>
        <w:ind w:firstLine="436" w:firstLineChars="182"/>
        <w:rPr>
          <w:rFonts w:ascii="仿宋" w:hAnsi="仿宋" w:eastAsia="仿宋" w:cs="Arial Narrow"/>
        </w:rPr>
      </w:pPr>
      <w:r>
        <w:rPr>
          <w:rFonts w:hint="eastAsia" w:ascii="仿宋" w:hAnsi="仿宋" w:eastAsia="仿宋" w:cs="Arial Narrow"/>
        </w:rPr>
        <w:t>（6）无线网改造学校数量。截止2017年底，武昌区教育局电教中心无线网改造学校尚未实施，扣2分。</w:t>
      </w:r>
    </w:p>
    <w:p>
      <w:pPr>
        <w:snapToGrid w:val="0"/>
        <w:spacing w:line="400" w:lineRule="exact"/>
        <w:ind w:firstLine="436" w:firstLineChars="182"/>
        <w:rPr>
          <w:rFonts w:ascii="仿宋" w:hAnsi="仿宋" w:eastAsia="仿宋" w:cs="Arial Narrow"/>
        </w:rPr>
      </w:pPr>
      <w:r>
        <w:rPr>
          <w:rFonts w:hint="eastAsia" w:ascii="仿宋" w:hAnsi="仿宋" w:eastAsia="仿宋" w:cs="Arial Narrow"/>
        </w:rPr>
        <w:t>（7）LED屏购置安装数量。</w:t>
      </w:r>
      <w:r>
        <w:rPr>
          <w:rFonts w:ascii="仿宋" w:hAnsi="仿宋" w:eastAsia="仿宋" w:cs="Arial Narrow"/>
        </w:rPr>
        <w:t>截止</w:t>
      </w:r>
      <w:r>
        <w:rPr>
          <w:rFonts w:hint="eastAsia" w:ascii="仿宋" w:hAnsi="仿宋" w:eastAsia="仿宋" w:cs="Arial Narrow"/>
        </w:rPr>
        <w:t>2017年底，武昌区教育局电教中心已经完成6个学校的LED屏购置安装，完成了预期目标。</w:t>
      </w:r>
    </w:p>
    <w:p>
      <w:pPr>
        <w:pStyle w:val="21"/>
        <w:numPr>
          <w:ilvl w:val="0"/>
          <w:numId w:val="13"/>
        </w:numPr>
        <w:spacing w:line="440" w:lineRule="exact"/>
        <w:ind w:firstLine="482"/>
        <w:outlineLvl w:val="2"/>
        <w:rPr>
          <w:rFonts w:ascii="仿宋" w:hAnsi="仿宋" w:eastAsia="仿宋"/>
          <w:b/>
        </w:rPr>
      </w:pPr>
      <w:bookmarkStart w:id="124" w:name="_Toc479518550"/>
      <w:r>
        <w:rPr>
          <w:rFonts w:hint="eastAsia" w:ascii="仿宋" w:hAnsi="仿宋" w:eastAsia="仿宋"/>
          <w:b/>
        </w:rPr>
        <w:t>完成及时率（4分）</w:t>
      </w:r>
      <w:bookmarkEnd w:id="124"/>
    </w:p>
    <w:p>
      <w:pPr>
        <w:snapToGrid w:val="0"/>
        <w:spacing w:line="440" w:lineRule="exact"/>
        <w:ind w:firstLine="480"/>
        <w:rPr>
          <w:rFonts w:ascii="仿宋" w:hAnsi="仿宋" w:eastAsia="仿宋" w:cs="Arial Narrow"/>
          <w:b/>
          <w:bCs/>
        </w:rPr>
      </w:pPr>
      <w:r>
        <w:rPr>
          <w:rFonts w:ascii="仿宋" w:hAnsi="仿宋" w:eastAsia="仿宋" w:cs="Arial Narrow"/>
        </w:rPr>
        <w:t>项目</w:t>
      </w:r>
      <w:r>
        <w:rPr>
          <w:rFonts w:hint="eastAsia" w:ascii="仿宋" w:hAnsi="仿宋" w:eastAsia="仿宋" w:cs="Arial Narrow"/>
        </w:rPr>
        <w:t>完成及时</w:t>
      </w:r>
      <w:r>
        <w:rPr>
          <w:rFonts w:ascii="仿宋" w:hAnsi="仿宋" w:eastAsia="仿宋" w:cs="Arial Narrow"/>
        </w:rPr>
        <w:t>方面，绩效评价得分为</w:t>
      </w:r>
      <w:r>
        <w:rPr>
          <w:rFonts w:hint="eastAsia" w:ascii="仿宋" w:hAnsi="仿宋" w:eastAsia="仿宋" w:cs="Arial Narrow"/>
        </w:rPr>
        <w:t>3</w:t>
      </w:r>
      <w:r>
        <w:rPr>
          <w:rFonts w:ascii="仿宋" w:hAnsi="仿宋" w:eastAsia="仿宋" w:cs="Arial Narrow"/>
        </w:rPr>
        <w:t>分。主要评价项目</w:t>
      </w:r>
      <w:r>
        <w:rPr>
          <w:rFonts w:hint="eastAsia" w:ascii="仿宋" w:hAnsi="仿宋" w:eastAsia="仿宋" w:cs="Arial Narrow"/>
        </w:rPr>
        <w:t>完成是否及时</w:t>
      </w:r>
      <w:r>
        <w:rPr>
          <w:rFonts w:ascii="仿宋" w:hAnsi="仿宋" w:eastAsia="仿宋" w:cs="Arial Narrow"/>
        </w:rPr>
        <w:t>，反映项目</w:t>
      </w:r>
      <w:r>
        <w:rPr>
          <w:rFonts w:hint="eastAsia" w:ascii="仿宋" w:hAnsi="仿宋" w:eastAsia="仿宋" w:cs="Arial Narrow"/>
        </w:rPr>
        <w:t>的效率</w:t>
      </w:r>
      <w:r>
        <w:rPr>
          <w:rFonts w:ascii="仿宋" w:hAnsi="仿宋" w:eastAsia="仿宋" w:cs="Arial Narrow"/>
        </w:rPr>
        <w:t>情况。</w:t>
      </w:r>
    </w:p>
    <w:p>
      <w:pPr>
        <w:snapToGrid w:val="0"/>
        <w:spacing w:line="440" w:lineRule="exact"/>
        <w:ind w:firstLine="437" w:firstLineChars="0"/>
        <w:rPr>
          <w:rFonts w:ascii="仿宋" w:hAnsi="仿宋" w:eastAsia="仿宋"/>
        </w:rPr>
      </w:pPr>
      <w:r>
        <w:rPr>
          <w:rFonts w:hint="eastAsia" w:ascii="仿宋" w:hAnsi="仿宋" w:eastAsia="仿宋"/>
        </w:rPr>
        <w:t>及时完成安装。虽然项目实施单位完成已采购设备的安装、调试、验收，但是无线网改造未完成年初计划，扣1分。</w:t>
      </w:r>
    </w:p>
    <w:p>
      <w:pPr>
        <w:pStyle w:val="21"/>
        <w:spacing w:line="440" w:lineRule="exact"/>
        <w:ind w:left="401" w:leftChars="167" w:firstLine="118" w:firstLineChars="49"/>
        <w:outlineLvl w:val="2"/>
        <w:rPr>
          <w:rFonts w:ascii="仿宋" w:hAnsi="仿宋" w:eastAsia="仿宋"/>
          <w:b/>
        </w:rPr>
      </w:pPr>
      <w:bookmarkStart w:id="125" w:name="_Toc479518551"/>
      <w:r>
        <w:rPr>
          <w:rFonts w:hint="eastAsia" w:ascii="仿宋" w:hAnsi="仿宋" w:eastAsia="仿宋"/>
          <w:b/>
        </w:rPr>
        <w:t>3.质量达标率（4分）</w:t>
      </w:r>
      <w:bookmarkEnd w:id="125"/>
    </w:p>
    <w:p>
      <w:pPr>
        <w:snapToGrid w:val="0"/>
        <w:spacing w:line="440" w:lineRule="exact"/>
        <w:ind w:firstLine="480"/>
        <w:rPr>
          <w:rFonts w:ascii="仿宋" w:hAnsi="仿宋" w:eastAsia="仿宋" w:cs="Arial Narrow"/>
          <w:bCs/>
        </w:rPr>
      </w:pPr>
      <w:r>
        <w:rPr>
          <w:rFonts w:hint="eastAsia" w:ascii="仿宋" w:hAnsi="仿宋" w:eastAsia="仿宋" w:cs="Arial Narrow"/>
          <w:bCs/>
        </w:rPr>
        <w:t>项目质量达标率方面，绩效评价得分为3分。主要评价设备是否达到验收标准。</w:t>
      </w:r>
    </w:p>
    <w:p>
      <w:pPr>
        <w:snapToGrid w:val="0"/>
        <w:spacing w:line="440" w:lineRule="exact"/>
        <w:ind w:firstLine="437" w:firstLineChars="0"/>
        <w:rPr>
          <w:rFonts w:ascii="仿宋" w:hAnsi="仿宋" w:eastAsia="仿宋"/>
        </w:rPr>
      </w:pPr>
      <w:r>
        <w:rPr>
          <w:rFonts w:hint="eastAsia" w:ascii="仿宋" w:hAnsi="仿宋" w:eastAsia="仿宋"/>
        </w:rPr>
        <w:t>设备达到验收标准。学校对已经安装调试完成的设备组织了专管人员进行检测和验收，确保满足教学的需要，并派设专人负责跟踪设备使用情况。但从问卷调查情况来看，部分学校反映部分设备返修率高，维修速度慢，质量不稳定，扣1分。</w:t>
      </w:r>
    </w:p>
    <w:p>
      <w:pPr>
        <w:pStyle w:val="21"/>
        <w:spacing w:line="440" w:lineRule="exact"/>
        <w:ind w:left="401" w:leftChars="167" w:firstLine="118" w:firstLineChars="49"/>
        <w:outlineLvl w:val="2"/>
        <w:rPr>
          <w:rFonts w:ascii="仿宋" w:hAnsi="仿宋" w:eastAsia="仿宋"/>
          <w:b/>
        </w:rPr>
      </w:pPr>
      <w:bookmarkStart w:id="126" w:name="_Toc419044551"/>
      <w:bookmarkStart w:id="127" w:name="_Toc479518552"/>
      <w:r>
        <w:rPr>
          <w:rFonts w:ascii="仿宋" w:hAnsi="仿宋" w:eastAsia="仿宋"/>
          <w:b/>
        </w:rPr>
        <w:t xml:space="preserve">4. </w:t>
      </w:r>
      <w:r>
        <w:rPr>
          <w:rFonts w:hint="eastAsia" w:ascii="仿宋" w:hAnsi="仿宋" w:eastAsia="仿宋"/>
          <w:b/>
        </w:rPr>
        <w:t>成本节约率</w:t>
      </w:r>
      <w:bookmarkEnd w:id="126"/>
      <w:r>
        <w:rPr>
          <w:rFonts w:hint="eastAsia" w:ascii="仿宋" w:hAnsi="仿宋" w:eastAsia="仿宋"/>
          <w:b/>
        </w:rPr>
        <w:t>（3分）</w:t>
      </w:r>
      <w:bookmarkEnd w:id="127"/>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成本节约率方面，绩效评价得分为3分。主要评价有无超出预算范围。2017年教育信息化建设经费项目预算为1,500万元，实际使用1,294.47万元，支出未超出年度预算。</w:t>
      </w:r>
    </w:p>
    <w:p>
      <w:pPr>
        <w:pStyle w:val="3"/>
        <w:numPr>
          <w:ilvl w:val="0"/>
          <w:numId w:val="11"/>
        </w:numPr>
        <w:spacing w:line="440" w:lineRule="exact"/>
        <w:ind w:firstLine="482"/>
        <w:rPr>
          <w:rFonts w:ascii="仿宋" w:hAnsi="仿宋" w:eastAsia="仿宋"/>
          <w:sz w:val="24"/>
        </w:rPr>
      </w:pPr>
      <w:bookmarkStart w:id="128" w:name="_Toc417753609"/>
      <w:bookmarkStart w:id="129" w:name="_Toc419044552"/>
      <w:bookmarkStart w:id="130" w:name="_Toc479518553"/>
      <w:r>
        <w:rPr>
          <w:rFonts w:hint="eastAsia" w:ascii="仿宋" w:hAnsi="仿宋" w:eastAsia="仿宋"/>
          <w:sz w:val="24"/>
        </w:rPr>
        <w:t>项目效果</w:t>
      </w:r>
      <w:bookmarkEnd w:id="128"/>
      <w:bookmarkEnd w:id="129"/>
      <w:r>
        <w:rPr>
          <w:rFonts w:hint="eastAsia" w:ascii="仿宋" w:hAnsi="仿宋" w:eastAsia="仿宋"/>
          <w:sz w:val="24"/>
        </w:rPr>
        <w:t>（35分）</w:t>
      </w:r>
      <w:bookmarkEnd w:id="130"/>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根据评价原则，项目效果评价得分为35分，评价结果为优。</w:t>
      </w:r>
    </w:p>
    <w:p>
      <w:pPr>
        <w:pStyle w:val="21"/>
        <w:adjustRightInd w:val="0"/>
        <w:snapToGrid w:val="0"/>
        <w:spacing w:line="440" w:lineRule="exact"/>
        <w:ind w:left="401" w:leftChars="167" w:firstLine="118" w:firstLineChars="49"/>
        <w:outlineLvl w:val="2"/>
        <w:rPr>
          <w:rFonts w:ascii="仿宋" w:hAnsi="仿宋" w:eastAsia="仿宋"/>
          <w:b/>
        </w:rPr>
      </w:pPr>
      <w:bookmarkStart w:id="131" w:name="_Toc479518554"/>
      <w:r>
        <w:rPr>
          <w:rFonts w:hint="eastAsia" w:ascii="仿宋" w:hAnsi="仿宋" w:eastAsia="仿宋"/>
          <w:b/>
        </w:rPr>
        <w:t>1</w:t>
      </w:r>
      <w:r>
        <w:rPr>
          <w:rFonts w:ascii="仿宋" w:hAnsi="仿宋" w:eastAsia="仿宋"/>
          <w:b/>
        </w:rPr>
        <w:t xml:space="preserve">. </w:t>
      </w:r>
      <w:r>
        <w:rPr>
          <w:rFonts w:hint="eastAsia" w:ascii="仿宋" w:hAnsi="仿宋" w:eastAsia="仿宋"/>
          <w:b/>
        </w:rPr>
        <w:t>社会效益（15分）</w:t>
      </w:r>
      <w:bookmarkEnd w:id="131"/>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项目社会效益显著，评价得分15分。</w:t>
      </w:r>
    </w:p>
    <w:p>
      <w:pPr>
        <w:pStyle w:val="21"/>
        <w:adjustRightInd w:val="0"/>
        <w:snapToGrid w:val="0"/>
        <w:spacing w:line="440" w:lineRule="exact"/>
        <w:ind w:firstLine="424" w:firstLineChars="177"/>
        <w:outlineLvl w:val="2"/>
        <w:rPr>
          <w:rFonts w:ascii="仿宋" w:hAnsi="仿宋" w:eastAsia="仿宋" w:cs="Arial Narrow"/>
          <w:szCs w:val="24"/>
        </w:rPr>
      </w:pPr>
      <w:bookmarkStart w:id="132" w:name="_Toc479518555"/>
      <w:r>
        <w:rPr>
          <w:rFonts w:hint="eastAsia" w:ascii="仿宋" w:hAnsi="仿宋" w:eastAsia="仿宋" w:cs="Arial Narrow"/>
          <w:szCs w:val="24"/>
        </w:rPr>
        <w:t>师生信息终端设备利用率。武昌教育信息化基础设施的不断完善，教育云“三通两平台”已初具规模，在全区所有学校建成千兆校园网，实现了区内专网高速互通，全区校园网信息点覆盖率100%，电子白板液晶触摸屏一体机终端设备覆盖率100%，全区学校生机比达到7：1。在2017年湖北省教育教学信息化交流展示暨湖北省中小学教师信息技术应运能力提升工程应用成果评比活动中，组织工作突出、成绩显著，被评为团体优胜奖。</w:t>
      </w:r>
    </w:p>
    <w:p>
      <w:pPr>
        <w:pStyle w:val="21"/>
        <w:adjustRightInd w:val="0"/>
        <w:snapToGrid w:val="0"/>
        <w:spacing w:line="440" w:lineRule="exact"/>
        <w:ind w:left="401" w:leftChars="167" w:firstLine="118" w:firstLineChars="49"/>
        <w:outlineLvl w:val="2"/>
        <w:rPr>
          <w:rFonts w:ascii="仿宋" w:hAnsi="仿宋" w:eastAsia="仿宋"/>
          <w:b/>
        </w:rPr>
      </w:pPr>
      <w:r>
        <w:rPr>
          <w:rFonts w:hint="eastAsia" w:ascii="仿宋" w:hAnsi="仿宋" w:eastAsia="仿宋"/>
          <w:b/>
        </w:rPr>
        <w:t>2</w:t>
      </w:r>
      <w:r>
        <w:rPr>
          <w:rFonts w:ascii="仿宋" w:hAnsi="仿宋" w:eastAsia="仿宋"/>
          <w:b/>
        </w:rPr>
        <w:t xml:space="preserve">. </w:t>
      </w:r>
      <w:r>
        <w:rPr>
          <w:rFonts w:hint="eastAsia" w:ascii="仿宋" w:hAnsi="仿宋" w:eastAsia="仿宋"/>
          <w:b/>
        </w:rPr>
        <w:t>可持续发展影响（10分）</w:t>
      </w:r>
      <w:bookmarkEnd w:id="132"/>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项目可持续性较强，评价得分10分。武昌区教育局以及电教中心通过完善内部治理结构、规范部门管理职能和人员岗位职责，营造良好的系统运营环境，规范工作流程，保障项目后期运维经费，有效地保证了教育信息化工作的有序、高效开展，为教育信息化推进和持续稳定发展打下基础。</w:t>
      </w:r>
    </w:p>
    <w:p>
      <w:pPr>
        <w:pStyle w:val="21"/>
        <w:adjustRightInd w:val="0"/>
        <w:snapToGrid w:val="0"/>
        <w:spacing w:line="440" w:lineRule="exact"/>
        <w:ind w:left="401" w:leftChars="167" w:firstLine="118" w:firstLineChars="49"/>
        <w:outlineLvl w:val="2"/>
        <w:rPr>
          <w:rFonts w:ascii="仿宋" w:hAnsi="仿宋" w:eastAsia="仿宋"/>
          <w:b/>
        </w:rPr>
      </w:pPr>
      <w:bookmarkStart w:id="133" w:name="_Toc479518556"/>
      <w:r>
        <w:rPr>
          <w:rFonts w:hint="eastAsia" w:ascii="仿宋" w:hAnsi="仿宋" w:eastAsia="仿宋"/>
          <w:b/>
        </w:rPr>
        <w:t>3</w:t>
      </w:r>
      <w:r>
        <w:rPr>
          <w:rFonts w:ascii="仿宋" w:hAnsi="仿宋" w:eastAsia="仿宋"/>
          <w:b/>
        </w:rPr>
        <w:t xml:space="preserve">. </w:t>
      </w:r>
      <w:r>
        <w:rPr>
          <w:rFonts w:hint="eastAsia" w:ascii="仿宋" w:hAnsi="仿宋" w:eastAsia="仿宋"/>
          <w:b/>
        </w:rPr>
        <w:t>服务对象满意度（10分）</w:t>
      </w:r>
      <w:bookmarkEnd w:id="133"/>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评价得分10分。通过武昌区各学校随机抽取80名师生进行该项目满意度问卷调查，了解到了93.31%的师生对该项目表述满意，认为教育信息化建设在现代教育过程中发挥越来越重要的作用，对于提高教育信息传递的效率和学习资料的广泛获得必不可少。</w:t>
      </w:r>
    </w:p>
    <w:bookmarkEnd w:id="118"/>
    <w:p>
      <w:pPr>
        <w:pStyle w:val="2"/>
        <w:numPr>
          <w:ilvl w:val="0"/>
          <w:numId w:val="2"/>
        </w:numPr>
        <w:spacing w:beforeLines="50" w:line="440" w:lineRule="exact"/>
        <w:ind w:firstLine="562" w:firstLineChars="200"/>
        <w:rPr>
          <w:rFonts w:ascii="仿宋" w:hAnsi="仿宋" w:eastAsia="仿宋"/>
        </w:rPr>
      </w:pPr>
      <w:bookmarkStart w:id="134" w:name="_Toc17932"/>
      <w:bookmarkStart w:id="135" w:name="_Toc479518557"/>
      <w:r>
        <w:rPr>
          <w:rFonts w:hint="eastAsia" w:ascii="仿宋" w:hAnsi="仿宋" w:eastAsia="仿宋"/>
        </w:rPr>
        <w:t>评价结论</w:t>
      </w:r>
      <w:bookmarkEnd w:id="119"/>
      <w:bookmarkEnd w:id="120"/>
      <w:bookmarkEnd w:id="121"/>
      <w:bookmarkEnd w:id="122"/>
      <w:bookmarkEnd w:id="123"/>
      <w:bookmarkEnd w:id="134"/>
      <w:bookmarkEnd w:id="135"/>
      <w:bookmarkStart w:id="136" w:name="_Toc361302039"/>
      <w:bookmarkStart w:id="137" w:name="_Toc361304702"/>
    </w:p>
    <w:bookmarkEnd w:id="136"/>
    <w:bookmarkEnd w:id="137"/>
    <w:p>
      <w:pPr>
        <w:pStyle w:val="3"/>
        <w:numPr>
          <w:ilvl w:val="0"/>
          <w:numId w:val="14"/>
        </w:numPr>
        <w:spacing w:line="440" w:lineRule="exact"/>
        <w:ind w:firstLine="482"/>
        <w:rPr>
          <w:rFonts w:ascii="仿宋" w:hAnsi="仿宋" w:eastAsia="仿宋"/>
          <w:sz w:val="24"/>
        </w:rPr>
      </w:pPr>
      <w:bookmarkStart w:id="138" w:name="_Toc479518558"/>
      <w:r>
        <w:rPr>
          <w:rFonts w:ascii="仿宋" w:hAnsi="仿宋" w:eastAsia="仿宋"/>
          <w:sz w:val="24"/>
        </w:rPr>
        <w:t>评分结果</w:t>
      </w:r>
      <w:bookmarkEnd w:id="138"/>
    </w:p>
    <w:p>
      <w:pPr>
        <w:snapToGrid w:val="0"/>
        <w:spacing w:line="440" w:lineRule="exact"/>
        <w:ind w:firstLine="480"/>
        <w:rPr>
          <w:rFonts w:ascii="仿宋" w:hAnsi="仿宋" w:eastAsia="仿宋"/>
          <w:color w:val="000000"/>
        </w:rPr>
      </w:pPr>
      <w:bookmarkStart w:id="139" w:name="_Toc361304705"/>
      <w:bookmarkStart w:id="140" w:name="_Toc406666380"/>
      <w:bookmarkStart w:id="141" w:name="_Toc406668054"/>
      <w:bookmarkStart w:id="142" w:name="_Toc387957829"/>
      <w:r>
        <w:rPr>
          <w:rFonts w:hint="eastAsia" w:ascii="仿宋" w:hAnsi="仿宋" w:eastAsia="仿宋" w:cs="Arial Narrow"/>
        </w:rPr>
        <w:t>①</w:t>
      </w:r>
      <w:r>
        <w:rPr>
          <w:rFonts w:ascii="仿宋" w:hAnsi="仿宋" w:eastAsia="仿宋"/>
          <w:color w:val="000000"/>
        </w:rPr>
        <w:t>项目</w:t>
      </w:r>
      <w:r>
        <w:rPr>
          <w:rFonts w:hint="eastAsia" w:ascii="仿宋" w:hAnsi="仿宋" w:eastAsia="仿宋"/>
          <w:color w:val="000000"/>
        </w:rPr>
        <w:t>投入</w:t>
      </w:r>
      <w:r>
        <w:rPr>
          <w:rFonts w:ascii="仿宋" w:hAnsi="仿宋" w:eastAsia="仿宋"/>
          <w:color w:val="000000"/>
        </w:rPr>
        <w:t>设定分值</w:t>
      </w:r>
      <w:r>
        <w:rPr>
          <w:rFonts w:hint="eastAsia" w:ascii="仿宋" w:hAnsi="仿宋" w:eastAsia="仿宋"/>
          <w:color w:val="000000"/>
        </w:rPr>
        <w:t>15</w:t>
      </w:r>
      <w:r>
        <w:rPr>
          <w:rFonts w:ascii="仿宋" w:hAnsi="仿宋" w:eastAsia="仿宋"/>
          <w:color w:val="000000"/>
        </w:rPr>
        <w:t>分，</w:t>
      </w:r>
      <w:r>
        <w:rPr>
          <w:rFonts w:hint="eastAsia" w:ascii="仿宋" w:hAnsi="仿宋" w:eastAsia="仿宋"/>
          <w:color w:val="000000"/>
        </w:rPr>
        <w:t>绩效目标不够细化</w:t>
      </w:r>
      <w:r>
        <w:rPr>
          <w:rFonts w:ascii="仿宋" w:hAnsi="仿宋" w:eastAsia="仿宋"/>
          <w:color w:val="000000"/>
        </w:rPr>
        <w:t>扣</w:t>
      </w:r>
      <w:r>
        <w:rPr>
          <w:rFonts w:hint="eastAsia" w:ascii="仿宋" w:hAnsi="仿宋" w:eastAsia="仿宋"/>
          <w:color w:val="000000"/>
        </w:rPr>
        <w:t>1</w:t>
      </w:r>
      <w:r>
        <w:rPr>
          <w:rFonts w:ascii="仿宋" w:hAnsi="仿宋" w:eastAsia="仿宋"/>
          <w:color w:val="000000"/>
        </w:rPr>
        <w:t>分；</w:t>
      </w:r>
      <w:r>
        <w:rPr>
          <w:rFonts w:hint="eastAsia" w:ascii="仿宋" w:hAnsi="仿宋" w:eastAsia="仿宋"/>
          <w:color w:val="000000"/>
        </w:rPr>
        <w:t>绩效目标量化不够扣1分；</w:t>
      </w:r>
      <w:r>
        <w:rPr>
          <w:rFonts w:ascii="仿宋" w:hAnsi="仿宋" w:eastAsia="仿宋"/>
          <w:color w:val="000000"/>
        </w:rPr>
        <w:t>评价实得分</w:t>
      </w:r>
      <w:r>
        <w:rPr>
          <w:rFonts w:hint="eastAsia" w:ascii="仿宋" w:hAnsi="仿宋" w:eastAsia="仿宋"/>
          <w:color w:val="000000"/>
        </w:rPr>
        <w:t>13</w:t>
      </w:r>
      <w:r>
        <w:rPr>
          <w:rFonts w:ascii="仿宋" w:hAnsi="仿宋" w:eastAsia="仿宋"/>
          <w:color w:val="000000"/>
        </w:rPr>
        <w:t>分。</w:t>
      </w:r>
    </w:p>
    <w:p>
      <w:pPr>
        <w:snapToGrid w:val="0"/>
        <w:spacing w:line="440" w:lineRule="exact"/>
        <w:ind w:firstLine="480"/>
        <w:rPr>
          <w:rFonts w:ascii="仿宋" w:hAnsi="仿宋" w:eastAsia="仿宋"/>
          <w:color w:val="000000"/>
        </w:rPr>
      </w:pPr>
      <w:r>
        <w:rPr>
          <w:rFonts w:hint="eastAsia" w:ascii="仿宋" w:hAnsi="仿宋" w:eastAsia="仿宋" w:cs="Arial Narrow"/>
        </w:rPr>
        <w:t xml:space="preserve">② </w:t>
      </w:r>
      <w:r>
        <w:rPr>
          <w:rFonts w:ascii="仿宋" w:hAnsi="仿宋" w:eastAsia="仿宋"/>
          <w:color w:val="000000"/>
        </w:rPr>
        <w:t>项目</w:t>
      </w:r>
      <w:r>
        <w:rPr>
          <w:rFonts w:hint="eastAsia" w:ascii="仿宋" w:hAnsi="仿宋" w:eastAsia="仿宋"/>
          <w:color w:val="000000"/>
        </w:rPr>
        <w:t>过程</w:t>
      </w:r>
      <w:r>
        <w:rPr>
          <w:rFonts w:ascii="仿宋" w:hAnsi="仿宋" w:eastAsia="仿宋"/>
          <w:color w:val="000000"/>
        </w:rPr>
        <w:t>设定分值2</w:t>
      </w:r>
      <w:r>
        <w:rPr>
          <w:rFonts w:hint="eastAsia" w:ascii="仿宋" w:hAnsi="仿宋" w:eastAsia="仿宋"/>
          <w:color w:val="000000"/>
        </w:rPr>
        <w:t>5</w:t>
      </w:r>
      <w:r>
        <w:rPr>
          <w:rFonts w:ascii="仿宋" w:hAnsi="仿宋" w:eastAsia="仿宋"/>
          <w:color w:val="000000"/>
        </w:rPr>
        <w:t>分，</w:t>
      </w:r>
      <w:r>
        <w:rPr>
          <w:rFonts w:hint="eastAsia" w:ascii="仿宋" w:hAnsi="仿宋" w:eastAsia="仿宋"/>
          <w:color w:val="000000"/>
        </w:rPr>
        <w:t>学校验收资料内容填写不全面，扣1分；电教中心验收无相关负责人签字，扣1分；支付2016年采购支出，扣1分，项目支出变动未对预算进行调整，扣1分，</w:t>
      </w:r>
      <w:r>
        <w:rPr>
          <w:rFonts w:ascii="仿宋" w:hAnsi="仿宋" w:eastAsia="仿宋"/>
          <w:color w:val="000000"/>
        </w:rPr>
        <w:t>评价实得分</w:t>
      </w:r>
      <w:r>
        <w:rPr>
          <w:rFonts w:hint="eastAsia" w:ascii="仿宋" w:hAnsi="仿宋" w:eastAsia="仿宋"/>
          <w:color w:val="000000"/>
        </w:rPr>
        <w:t>21</w:t>
      </w:r>
      <w:r>
        <w:rPr>
          <w:rFonts w:ascii="仿宋" w:hAnsi="仿宋" w:eastAsia="仿宋"/>
          <w:color w:val="000000"/>
        </w:rPr>
        <w:t>分。</w:t>
      </w:r>
    </w:p>
    <w:p>
      <w:pPr>
        <w:snapToGrid w:val="0"/>
        <w:spacing w:line="440" w:lineRule="exact"/>
        <w:ind w:firstLine="480"/>
        <w:rPr>
          <w:rFonts w:ascii="仿宋" w:hAnsi="仿宋" w:eastAsia="仿宋"/>
          <w:color w:val="000000"/>
        </w:rPr>
      </w:pPr>
      <w:r>
        <w:rPr>
          <w:rFonts w:hint="eastAsia" w:ascii="仿宋" w:hAnsi="仿宋" w:eastAsia="仿宋" w:cs="Arial Narrow"/>
        </w:rPr>
        <w:t xml:space="preserve">③ </w:t>
      </w:r>
      <w:r>
        <w:rPr>
          <w:rFonts w:ascii="仿宋" w:hAnsi="仿宋" w:eastAsia="仿宋"/>
          <w:color w:val="000000"/>
        </w:rPr>
        <w:t>项目</w:t>
      </w:r>
      <w:r>
        <w:rPr>
          <w:rFonts w:hint="eastAsia" w:ascii="仿宋" w:hAnsi="仿宋" w:eastAsia="仿宋"/>
          <w:color w:val="000000"/>
        </w:rPr>
        <w:t>产出</w:t>
      </w:r>
      <w:r>
        <w:rPr>
          <w:rFonts w:ascii="仿宋" w:hAnsi="仿宋" w:eastAsia="仿宋"/>
          <w:color w:val="000000"/>
        </w:rPr>
        <w:t>设定分值</w:t>
      </w:r>
      <w:r>
        <w:rPr>
          <w:rFonts w:hint="eastAsia" w:ascii="仿宋" w:hAnsi="仿宋" w:eastAsia="仿宋"/>
          <w:color w:val="000000"/>
        </w:rPr>
        <w:t>25</w:t>
      </w:r>
      <w:r>
        <w:rPr>
          <w:rFonts w:ascii="仿宋" w:hAnsi="仿宋" w:eastAsia="仿宋"/>
          <w:color w:val="000000"/>
        </w:rPr>
        <w:t>分，项目执行率</w:t>
      </w:r>
      <w:r>
        <w:rPr>
          <w:rFonts w:hint="eastAsia" w:ascii="仿宋" w:hAnsi="仿宋" w:eastAsia="仿宋"/>
          <w:color w:val="000000"/>
        </w:rPr>
        <w:t>86.30%，扣0.4分；平板电脑购置未完成目标，扣1分；无线网改造未实施，扣2分；问卷调查中有部分师生反映质量不稳定，扣1分，部分设备安装未达到年初目标，扣2分，</w:t>
      </w:r>
      <w:r>
        <w:rPr>
          <w:rFonts w:ascii="仿宋" w:hAnsi="仿宋" w:eastAsia="仿宋"/>
          <w:color w:val="000000"/>
        </w:rPr>
        <w:t>评价实得分</w:t>
      </w:r>
      <w:r>
        <w:rPr>
          <w:rFonts w:hint="eastAsia" w:ascii="仿宋" w:hAnsi="仿宋" w:eastAsia="仿宋"/>
          <w:color w:val="000000"/>
        </w:rPr>
        <w:t>18.6</w:t>
      </w:r>
      <w:r>
        <w:rPr>
          <w:rFonts w:ascii="仿宋" w:hAnsi="仿宋" w:eastAsia="仿宋"/>
          <w:color w:val="000000"/>
        </w:rPr>
        <w:t>分。</w:t>
      </w:r>
    </w:p>
    <w:p>
      <w:pPr>
        <w:snapToGrid w:val="0"/>
        <w:spacing w:line="440" w:lineRule="exact"/>
        <w:ind w:firstLine="480"/>
        <w:rPr>
          <w:rFonts w:ascii="仿宋" w:hAnsi="仿宋" w:eastAsia="仿宋"/>
          <w:color w:val="000000"/>
        </w:rPr>
      </w:pPr>
      <w:r>
        <w:rPr>
          <w:rFonts w:hint="eastAsia" w:ascii="仿宋" w:hAnsi="仿宋" w:eastAsia="仿宋"/>
          <w:color w:val="000000"/>
        </w:rPr>
        <w:t>④ 项目效果设定分值35分，效果好，评价得分35分。</w:t>
      </w:r>
    </w:p>
    <w:p>
      <w:pPr>
        <w:snapToGrid w:val="0"/>
        <w:spacing w:line="440" w:lineRule="exact"/>
        <w:ind w:firstLine="480"/>
        <w:rPr>
          <w:rFonts w:ascii="仿宋" w:hAnsi="仿宋" w:eastAsia="仿宋"/>
          <w:color w:val="000000"/>
        </w:rPr>
      </w:pPr>
      <w:r>
        <w:rPr>
          <w:rFonts w:ascii="仿宋" w:hAnsi="仿宋" w:eastAsia="仿宋"/>
          <w:color w:val="000000"/>
        </w:rPr>
        <w:t>项目的综合评分结果</w:t>
      </w:r>
      <w:r>
        <w:rPr>
          <w:rFonts w:hint="eastAsia" w:ascii="仿宋" w:hAnsi="仿宋" w:eastAsia="仿宋"/>
          <w:color w:val="000000"/>
        </w:rPr>
        <w:t>87.60</w:t>
      </w:r>
      <w:r>
        <w:rPr>
          <w:rFonts w:ascii="仿宋" w:hAnsi="仿宋" w:eastAsia="仿宋"/>
          <w:color w:val="000000"/>
        </w:rPr>
        <w:t>分，评价结果类型为</w:t>
      </w:r>
      <w:r>
        <w:rPr>
          <w:rFonts w:hint="eastAsia" w:ascii="仿宋" w:hAnsi="仿宋" w:eastAsia="仿宋"/>
          <w:color w:val="000000"/>
        </w:rPr>
        <w:t>B</w:t>
      </w:r>
      <w:r>
        <w:rPr>
          <w:rFonts w:ascii="仿宋" w:hAnsi="仿宋" w:eastAsia="仿宋"/>
          <w:color w:val="000000"/>
        </w:rPr>
        <w:t>，对应的评价结果级别为</w:t>
      </w:r>
      <w:r>
        <w:rPr>
          <w:rFonts w:hint="eastAsia" w:ascii="仿宋" w:hAnsi="仿宋" w:eastAsia="仿宋"/>
          <w:color w:val="000000"/>
        </w:rPr>
        <w:t>良</w:t>
      </w:r>
      <w:r>
        <w:rPr>
          <w:rFonts w:ascii="仿宋" w:hAnsi="仿宋" w:eastAsia="仿宋"/>
          <w:color w:val="000000"/>
        </w:rPr>
        <w:t>。</w:t>
      </w:r>
    </w:p>
    <w:p>
      <w:pPr>
        <w:pStyle w:val="3"/>
        <w:numPr>
          <w:ilvl w:val="0"/>
          <w:numId w:val="14"/>
        </w:numPr>
        <w:spacing w:line="440" w:lineRule="exact"/>
        <w:ind w:firstLine="482"/>
        <w:rPr>
          <w:rFonts w:ascii="仿宋" w:hAnsi="仿宋" w:eastAsia="仿宋"/>
          <w:sz w:val="24"/>
        </w:rPr>
      </w:pPr>
      <w:bookmarkStart w:id="143" w:name="_Toc479518559"/>
      <w:r>
        <w:rPr>
          <w:rFonts w:hint="eastAsia" w:ascii="仿宋" w:hAnsi="仿宋" w:eastAsia="仿宋"/>
          <w:sz w:val="24"/>
        </w:rPr>
        <w:t>主要结论</w:t>
      </w:r>
      <w:bookmarkEnd w:id="143"/>
    </w:p>
    <w:p>
      <w:pPr>
        <w:adjustRightInd w:val="0"/>
        <w:snapToGrid w:val="0"/>
        <w:spacing w:line="440" w:lineRule="exact"/>
        <w:ind w:firstLine="480"/>
        <w:jc w:val="left"/>
        <w:rPr>
          <w:rFonts w:ascii="仿宋" w:hAnsi="仿宋" w:eastAsia="仿宋" w:cs="Arial Narrow"/>
        </w:rPr>
      </w:pPr>
      <w:bookmarkStart w:id="144" w:name="_Toc14373"/>
      <w:r>
        <w:rPr>
          <w:rFonts w:hint="eastAsia" w:ascii="仿宋" w:hAnsi="仿宋" w:eastAsia="仿宋"/>
          <w:color w:val="000000"/>
        </w:rPr>
        <w:t>2017年度教育信息化建设经费资金项目立项规范，过程管理规范，产出良好，社会效益显著，项目可持续性较强。但项目的业务和财务管理工作，包括资金申请、验收管理等需要加强完善，绩效目标执行需进一步提高。</w:t>
      </w:r>
    </w:p>
    <w:p>
      <w:pPr>
        <w:snapToGrid w:val="0"/>
        <w:spacing w:line="440" w:lineRule="exact"/>
        <w:ind w:firstLine="0" w:firstLineChars="0"/>
        <w:jc w:val="left"/>
        <w:rPr>
          <w:rFonts w:ascii="Arial Narrow" w:hAnsi="Arial Narrow" w:cs="Arial Narrow"/>
          <w:highlight w:val="yellow"/>
        </w:rPr>
      </w:pPr>
    </w:p>
    <w:bookmarkEnd w:id="139"/>
    <w:bookmarkEnd w:id="140"/>
    <w:bookmarkEnd w:id="141"/>
    <w:bookmarkEnd w:id="142"/>
    <w:p>
      <w:pPr>
        <w:pStyle w:val="2"/>
        <w:numPr>
          <w:ilvl w:val="0"/>
          <w:numId w:val="2"/>
        </w:numPr>
        <w:spacing w:line="440" w:lineRule="exact"/>
        <w:ind w:firstLine="562" w:firstLineChars="200"/>
        <w:rPr>
          <w:rFonts w:ascii="仿宋" w:hAnsi="仿宋" w:eastAsia="仿宋"/>
        </w:rPr>
      </w:pPr>
      <w:bookmarkStart w:id="145" w:name="_Toc479518560"/>
      <w:r>
        <w:rPr>
          <w:rFonts w:hint="eastAsia" w:ascii="仿宋" w:hAnsi="仿宋" w:eastAsia="仿宋"/>
        </w:rPr>
        <w:t>主要经验及做法、存在的问题和建议</w:t>
      </w:r>
      <w:bookmarkEnd w:id="144"/>
      <w:bookmarkEnd w:id="145"/>
    </w:p>
    <w:p>
      <w:pPr>
        <w:pStyle w:val="3"/>
        <w:numPr>
          <w:ilvl w:val="0"/>
          <w:numId w:val="15"/>
        </w:numPr>
        <w:spacing w:line="440" w:lineRule="exact"/>
        <w:ind w:firstLine="482"/>
        <w:rPr>
          <w:rFonts w:ascii="仿宋" w:hAnsi="仿宋" w:eastAsia="仿宋"/>
          <w:sz w:val="24"/>
        </w:rPr>
      </w:pPr>
      <w:bookmarkStart w:id="146" w:name="_Toc479518561"/>
      <w:bookmarkStart w:id="147" w:name="_Toc27928"/>
      <w:bookmarkStart w:id="148" w:name="_Toc406668055"/>
      <w:bookmarkStart w:id="149" w:name="_Toc406666381"/>
      <w:bookmarkStart w:id="150" w:name="_Toc387957830"/>
      <w:bookmarkStart w:id="151" w:name="_Toc361304706"/>
      <w:r>
        <w:rPr>
          <w:rFonts w:hint="eastAsia" w:ascii="仿宋" w:hAnsi="仿宋" w:eastAsia="仿宋"/>
          <w:sz w:val="24"/>
        </w:rPr>
        <w:t>主要经验及做法</w:t>
      </w:r>
      <w:bookmarkEnd w:id="146"/>
      <w:bookmarkEnd w:id="147"/>
      <w:bookmarkEnd w:id="148"/>
      <w:bookmarkEnd w:id="149"/>
      <w:bookmarkEnd w:id="150"/>
      <w:bookmarkEnd w:id="151"/>
    </w:p>
    <w:p>
      <w:pPr>
        <w:snapToGrid w:val="0"/>
        <w:spacing w:line="440" w:lineRule="exact"/>
        <w:ind w:firstLine="480"/>
        <w:rPr>
          <w:rFonts w:ascii="仿宋" w:hAnsi="仿宋" w:eastAsia="仿宋" w:cs="Arial Narrow"/>
          <w:highlight w:val="yellow"/>
        </w:rPr>
      </w:pPr>
      <w:bookmarkStart w:id="152" w:name="_Toc406668056"/>
      <w:bookmarkStart w:id="153" w:name="_Toc406666382"/>
      <w:bookmarkStart w:id="154" w:name="_Toc16696"/>
      <w:bookmarkStart w:id="155" w:name="_Toc387957833"/>
      <w:r>
        <w:rPr>
          <w:rFonts w:ascii="仿宋" w:hAnsi="仿宋" w:eastAsia="仿宋" w:cs="Arial Narrow"/>
        </w:rPr>
        <w:t>1、</w:t>
      </w:r>
      <w:r>
        <w:rPr>
          <w:rFonts w:hint="eastAsia" w:ascii="仿宋" w:hAnsi="仿宋" w:eastAsia="仿宋" w:cs="Arial Narrow"/>
        </w:rPr>
        <w:t>做好信息化教育顶层设计，统筹安排教育信息化专项经费，优化信息化教育发展结构，建立充满活力、布局合理、效果良好及监管完备的信息化教育服务体系，推进全区范围内各学段信息化教育基础设施建设，开展“互联网+环境”下教育信息规模化创新应用，深化信息技术与教育教学融合，提升信息化建设及应用水平，推进了武昌教育现代化发展；</w:t>
      </w:r>
    </w:p>
    <w:p>
      <w:pPr>
        <w:snapToGrid w:val="0"/>
        <w:spacing w:line="440" w:lineRule="exact"/>
        <w:ind w:firstLine="480"/>
        <w:rPr>
          <w:rFonts w:ascii="仿宋" w:hAnsi="仿宋" w:eastAsia="仿宋" w:cs="Arial Narrow"/>
        </w:rPr>
      </w:pPr>
      <w:r>
        <w:rPr>
          <w:rFonts w:hint="eastAsia" w:ascii="仿宋" w:hAnsi="仿宋" w:eastAsia="仿宋" w:cs="Arial Narrow"/>
        </w:rPr>
        <w:t>2、为了推进武昌教育信息化工作，成立了由副区长任组长，区教育局、区财政局、区科产局、区电子信息中心等部门组成的建议案办理工作领导小组，负责建议案的组织协调、监督检查、资料汇总等工作，并在立足实际情况的基础上制定了相关工作方案，区政府先后召开工作部署会，区教育局编发系列工作简报，并在每月一期的《武昌教育》上发布信息化工作进展情况，通报工作进度；</w:t>
      </w:r>
    </w:p>
    <w:p>
      <w:pPr>
        <w:autoSpaceDE w:val="0"/>
        <w:autoSpaceDN w:val="0"/>
        <w:adjustRightInd w:val="0"/>
        <w:snapToGrid w:val="0"/>
        <w:spacing w:line="440" w:lineRule="exact"/>
        <w:ind w:firstLine="480"/>
        <w:rPr>
          <w:rFonts w:ascii="仿宋" w:hAnsi="仿宋" w:eastAsia="仿宋" w:cs="Arial Narrow"/>
        </w:rPr>
      </w:pPr>
      <w:r>
        <w:rPr>
          <w:rFonts w:hint="eastAsia" w:ascii="仿宋" w:hAnsi="仿宋" w:eastAsia="仿宋" w:cs="Arial Narrow"/>
        </w:rPr>
        <w:t>3、区教育局在持续构建“云教研”环境、探索“云课堂”应用、开展“云学习”探索、推进“云办公”平台基础上，进一步明确了慕课系统构建思路，将教师由“资源消费者”变成“资源创造者”，实现优质资源滚雪球式开发，区教育局对全区骨干教师进行资源库应用专题培训，并将教育信息化应用水平列入学校年终绩效考核目标，强化了信息化人才教育的建设；</w:t>
      </w:r>
    </w:p>
    <w:p>
      <w:pPr>
        <w:snapToGrid w:val="0"/>
        <w:spacing w:line="440" w:lineRule="exact"/>
        <w:ind w:firstLine="480"/>
        <w:rPr>
          <w:rFonts w:ascii="仿宋" w:hAnsi="仿宋" w:eastAsia="仿宋" w:cs="Arial Narrow"/>
        </w:rPr>
      </w:pPr>
      <w:r>
        <w:rPr>
          <w:rFonts w:hint="eastAsia" w:ascii="仿宋" w:hAnsi="仿宋" w:eastAsia="仿宋" w:cs="Arial Narrow"/>
        </w:rPr>
        <w:t>4.区教育局以培养学生实践能力和创新精神为切入点，探索开展中小学“创客”教育研究及实践活动，提升学生创新能力，促进学生个性化发展，从创客空间建设，课程开发，活动策划，师资培训，文化推广等各角度全面推广中小学创客教育，并逐步建立一批专业型的工作室推进教育信息化的应用</w:t>
      </w:r>
      <w:r>
        <w:rPr>
          <w:rFonts w:ascii="仿宋" w:hAnsi="仿宋" w:eastAsia="仿宋" w:cs="Arial Narrow"/>
        </w:rPr>
        <w:t>。</w:t>
      </w:r>
    </w:p>
    <w:p>
      <w:pPr>
        <w:pStyle w:val="3"/>
        <w:numPr>
          <w:ilvl w:val="0"/>
          <w:numId w:val="15"/>
        </w:numPr>
        <w:spacing w:line="440" w:lineRule="exact"/>
        <w:ind w:firstLine="482"/>
        <w:rPr>
          <w:rFonts w:ascii="仿宋" w:hAnsi="仿宋" w:eastAsia="仿宋"/>
          <w:sz w:val="24"/>
        </w:rPr>
      </w:pPr>
      <w:bookmarkStart w:id="156" w:name="_Toc479518562"/>
      <w:r>
        <w:rPr>
          <w:rFonts w:hint="eastAsia" w:ascii="仿宋" w:hAnsi="仿宋" w:eastAsia="仿宋"/>
          <w:sz w:val="24"/>
        </w:rPr>
        <w:t>存在的问题</w:t>
      </w:r>
      <w:bookmarkEnd w:id="152"/>
      <w:bookmarkEnd w:id="153"/>
      <w:bookmarkEnd w:id="154"/>
      <w:bookmarkEnd w:id="156"/>
    </w:p>
    <w:p>
      <w:pPr>
        <w:snapToGrid w:val="0"/>
        <w:spacing w:line="440" w:lineRule="exact"/>
        <w:ind w:firstLine="480"/>
        <w:rPr>
          <w:rFonts w:ascii="仿宋" w:hAnsi="仿宋" w:eastAsia="仿宋" w:cs="Arial Narrow"/>
        </w:rPr>
      </w:pPr>
      <w:bookmarkStart w:id="157" w:name="_Toc28128"/>
      <w:r>
        <w:rPr>
          <w:rFonts w:hint="eastAsia" w:ascii="仿宋" w:hAnsi="仿宋" w:eastAsia="仿宋" w:cs="Arial Narrow"/>
        </w:rPr>
        <w:t>1、绩效目标的细化、量化有待改善，项目支出绩效目标和指标没有根据项目目标加以制定；</w:t>
      </w:r>
    </w:p>
    <w:p>
      <w:pPr>
        <w:snapToGrid w:val="0"/>
        <w:spacing w:line="440" w:lineRule="exact"/>
        <w:ind w:firstLine="480"/>
        <w:rPr>
          <w:rFonts w:ascii="仿宋" w:hAnsi="仿宋" w:eastAsia="仿宋" w:cs="Arial Narrow"/>
        </w:rPr>
      </w:pPr>
      <w:r>
        <w:rPr>
          <w:rFonts w:hint="eastAsia" w:ascii="仿宋" w:hAnsi="仿宋" w:eastAsia="仿宋" w:cs="Arial Narrow"/>
        </w:rPr>
        <w:t>2、专项经费执行和预算有偏差，项目执行率86.30%。2017年计划对9所学校进行无线网络改造，由于招标过程中出现一些问题，耽误了招标进度，同时由于学校施工一般在寒假或暑假进行，造成了该项目2018年才实施完成； 2017年计划对购置两个学校的LED屏，预算金额33万元，实际购置了6个学校的LED屏，实际支付金额90.04万元；</w:t>
      </w:r>
    </w:p>
    <w:p>
      <w:pPr>
        <w:snapToGrid w:val="0"/>
        <w:spacing w:line="440" w:lineRule="exact"/>
        <w:ind w:firstLine="480"/>
        <w:rPr>
          <w:rFonts w:ascii="仿宋" w:hAnsi="仿宋" w:eastAsia="仿宋" w:cs="Arial Narrow"/>
        </w:rPr>
      </w:pPr>
      <w:r>
        <w:rPr>
          <w:rFonts w:hint="eastAsia" w:ascii="仿宋" w:hAnsi="仿宋" w:eastAsia="仿宋" w:cs="Arial Narrow"/>
        </w:rPr>
        <w:t>3、验收手续不完善，《电教中心信息化设备采购管理办法》中规定了学校进行验收，并统一了验收手续，包括质量及服务验收单和装备验收单，其中装备验收单仅学校验收即可，而质量及服务验收单由学校意见栏和电教中心意见栏组成，各学校设备管理专人在验收单签字并发表意见，实际操作过程中部分学校在验收单上仅有专人签字，并未发表使用意见，电教中心均未在验收单上签字和发表意见。</w:t>
      </w:r>
    </w:p>
    <w:p>
      <w:pPr>
        <w:snapToGrid w:val="0"/>
        <w:spacing w:line="440" w:lineRule="exact"/>
        <w:ind w:firstLine="480"/>
        <w:rPr>
          <w:rFonts w:ascii="仿宋" w:hAnsi="仿宋" w:eastAsia="仿宋" w:cs="Arial Narrow"/>
        </w:rPr>
      </w:pPr>
      <w:r>
        <w:rPr>
          <w:rFonts w:hint="eastAsia" w:ascii="仿宋" w:hAnsi="仿宋" w:eastAsia="仿宋" w:cs="Arial Narrow"/>
        </w:rPr>
        <w:t>4、设备使用的部分学校反映教育信息化设备质量不稳定，设备零件返修率高，</w:t>
      </w:r>
    </w:p>
    <w:p>
      <w:pPr>
        <w:snapToGrid w:val="0"/>
        <w:spacing w:line="440" w:lineRule="exact"/>
        <w:ind w:firstLine="0" w:firstLineChars="0"/>
        <w:rPr>
          <w:rFonts w:ascii="仿宋" w:hAnsi="仿宋" w:eastAsia="仿宋"/>
          <w:highlight w:val="yellow"/>
        </w:rPr>
      </w:pPr>
      <w:r>
        <w:rPr>
          <w:rFonts w:hint="eastAsia" w:ascii="仿宋" w:hAnsi="仿宋" w:eastAsia="仿宋" w:cs="Arial Narrow"/>
        </w:rPr>
        <w:t>经常损坏，影响教学，部分设备出现故障，至今无法使用。部分相应的教学资源不太够，尤其是对小学科教学来说，能提供的互动模式比较单一，同时后期维护比较。</w:t>
      </w:r>
      <w:r>
        <w:rPr>
          <w:rFonts w:hint="eastAsia" w:ascii="仿宋" w:hAnsi="仿宋" w:eastAsia="仿宋"/>
        </w:rPr>
        <w:t>比较。</w:t>
      </w:r>
    </w:p>
    <w:p>
      <w:pPr>
        <w:pStyle w:val="3"/>
        <w:numPr>
          <w:ilvl w:val="0"/>
          <w:numId w:val="15"/>
        </w:numPr>
        <w:spacing w:line="440" w:lineRule="exact"/>
        <w:ind w:firstLine="482"/>
        <w:rPr>
          <w:rFonts w:ascii="仿宋" w:hAnsi="仿宋" w:eastAsia="仿宋"/>
          <w:sz w:val="24"/>
        </w:rPr>
      </w:pPr>
      <w:bookmarkStart w:id="158" w:name="_Toc479518563"/>
      <w:r>
        <w:rPr>
          <w:rFonts w:hint="eastAsia" w:ascii="仿宋" w:hAnsi="仿宋" w:eastAsia="仿宋"/>
          <w:sz w:val="24"/>
        </w:rPr>
        <w:t>建议</w:t>
      </w:r>
      <w:bookmarkEnd w:id="155"/>
      <w:bookmarkEnd w:id="157"/>
      <w:bookmarkEnd w:id="158"/>
      <w:bookmarkStart w:id="159" w:name="_Toc387957834"/>
    </w:p>
    <w:p>
      <w:pPr>
        <w:snapToGrid w:val="0"/>
        <w:spacing w:line="440" w:lineRule="exact"/>
        <w:ind w:firstLine="480" w:firstLineChars="0"/>
        <w:rPr>
          <w:rFonts w:ascii="仿宋" w:hAnsi="仿宋" w:eastAsia="仿宋"/>
        </w:rPr>
      </w:pPr>
      <w:bookmarkStart w:id="160" w:name="_Toc479518564"/>
      <w:bookmarkStart w:id="161" w:name="_Toc9981"/>
      <w:r>
        <w:rPr>
          <w:rFonts w:hint="eastAsia" w:ascii="仿宋" w:hAnsi="仿宋" w:eastAsia="仿宋" w:cs="Arial Narrow"/>
        </w:rPr>
        <w:t>1、</w:t>
      </w:r>
      <w:r>
        <w:rPr>
          <w:rFonts w:ascii="仿宋" w:hAnsi="仿宋" w:eastAsia="仿宋"/>
        </w:rPr>
        <w:t>进一步完善</w:t>
      </w:r>
      <w:r>
        <w:rPr>
          <w:rFonts w:hint="eastAsia" w:ascii="仿宋" w:hAnsi="仿宋" w:eastAsia="仿宋"/>
        </w:rPr>
        <w:t>教育信息化建设经费资金</w:t>
      </w:r>
      <w:r>
        <w:rPr>
          <w:rFonts w:ascii="仿宋" w:hAnsi="仿宋" w:eastAsia="仿宋"/>
        </w:rPr>
        <w:t>项目绩效评价指标</w:t>
      </w:r>
      <w:r>
        <w:rPr>
          <w:rFonts w:hint="eastAsia" w:ascii="仿宋" w:hAnsi="仿宋" w:eastAsia="仿宋"/>
        </w:rPr>
        <w:t>体系</w:t>
      </w:r>
      <w:r>
        <w:rPr>
          <w:rFonts w:ascii="仿宋" w:hAnsi="仿宋" w:eastAsia="仿宋"/>
        </w:rPr>
        <w:t>，增强项目绩效</w:t>
      </w:r>
      <w:r>
        <w:rPr>
          <w:rFonts w:hint="eastAsia" w:ascii="仿宋" w:hAnsi="仿宋" w:eastAsia="仿宋"/>
        </w:rPr>
        <w:t>目标的细化、可衡量性</w:t>
      </w:r>
      <w:r>
        <w:rPr>
          <w:rFonts w:ascii="仿宋" w:hAnsi="仿宋" w:eastAsia="仿宋"/>
        </w:rPr>
        <w:t>；</w:t>
      </w:r>
    </w:p>
    <w:p>
      <w:pPr>
        <w:snapToGrid w:val="0"/>
        <w:spacing w:line="440" w:lineRule="exact"/>
        <w:ind w:firstLine="480" w:firstLineChars="0"/>
        <w:rPr>
          <w:rFonts w:ascii="仿宋" w:hAnsi="仿宋" w:eastAsia="仿宋"/>
        </w:rPr>
      </w:pPr>
      <w:r>
        <w:rPr>
          <w:rFonts w:hint="eastAsia" w:ascii="仿宋" w:hAnsi="仿宋" w:eastAsia="仿宋"/>
        </w:rPr>
        <w:t>2、根据项目的实际特点，</w:t>
      </w:r>
      <w:r>
        <w:rPr>
          <w:rFonts w:ascii="仿宋" w:hAnsi="仿宋" w:eastAsia="仿宋"/>
        </w:rPr>
        <w:t>加强</w:t>
      </w:r>
      <w:r>
        <w:rPr>
          <w:rFonts w:hint="eastAsia" w:ascii="仿宋" w:hAnsi="仿宋" w:eastAsia="仿宋"/>
        </w:rPr>
        <w:t>项目资金</w:t>
      </w:r>
      <w:r>
        <w:rPr>
          <w:rFonts w:ascii="仿宋" w:hAnsi="仿宋" w:eastAsia="仿宋"/>
        </w:rPr>
        <w:t>预算编制的科学性、针对性</w:t>
      </w:r>
      <w:r>
        <w:rPr>
          <w:rFonts w:hint="eastAsia" w:ascii="仿宋" w:hAnsi="仿宋" w:eastAsia="仿宋"/>
        </w:rPr>
        <w:t>，教育信息化资金不仅有电教中心，也有各学校，因此资金分配和设备配置数量目标应该具体到每一个单位并严格执行，提高预算的执行率；</w:t>
      </w:r>
    </w:p>
    <w:p>
      <w:pPr>
        <w:snapToGrid w:val="0"/>
        <w:spacing w:line="440" w:lineRule="exact"/>
        <w:ind w:firstLine="480" w:firstLineChars="0"/>
        <w:rPr>
          <w:rFonts w:ascii="仿宋" w:hAnsi="仿宋" w:eastAsia="仿宋" w:cs="Arial Narrow"/>
        </w:rPr>
      </w:pPr>
      <w:r>
        <w:rPr>
          <w:rFonts w:hint="eastAsia" w:ascii="仿宋" w:hAnsi="仿宋" w:eastAsia="仿宋" w:cs="Arial Narrow"/>
        </w:rPr>
        <w:t>3、结合项目的实际特点、业务操作规程、相关的政策规定等，要完善本项目的管理制度，尤其是质量验收制度，让制度成为项目执行的重要基础和保障，规范验收的手续；</w:t>
      </w:r>
    </w:p>
    <w:p>
      <w:pPr>
        <w:snapToGrid w:val="0"/>
        <w:spacing w:line="440" w:lineRule="exact"/>
        <w:ind w:firstLine="480" w:firstLineChars="0"/>
        <w:rPr>
          <w:rFonts w:ascii="仿宋" w:hAnsi="仿宋" w:eastAsia="仿宋" w:cs="Arial Narrow"/>
        </w:rPr>
      </w:pPr>
      <w:r>
        <w:rPr>
          <w:rFonts w:hint="eastAsia" w:ascii="仿宋" w:hAnsi="仿宋" w:eastAsia="仿宋" w:cs="Arial Narrow"/>
        </w:rPr>
        <w:t>4、电教中心在采购招标时，不仅要对产品的价格提出要求，还要对电子设备的质量标准提出要求，不能一味追求低价中标而忽视质量，要综合全面考虑，确保设备的正常稳定使用，对返修率、更换零件时间要做出要求，使电子终端设备在使用过程中避免发生因维修、更换导致影响教师学生使用的情况发生。</w:t>
      </w:r>
    </w:p>
    <w:p>
      <w:pPr>
        <w:pStyle w:val="2"/>
        <w:numPr>
          <w:ilvl w:val="0"/>
          <w:numId w:val="2"/>
        </w:numPr>
        <w:spacing w:beforeLines="100" w:line="440" w:lineRule="exact"/>
        <w:ind w:firstLine="562" w:firstLineChars="200"/>
        <w:rPr>
          <w:rFonts w:ascii="仿宋" w:hAnsi="仿宋" w:eastAsia="仿宋"/>
        </w:rPr>
      </w:pPr>
      <w:r>
        <w:rPr>
          <w:rFonts w:hint="eastAsia" w:ascii="仿宋" w:hAnsi="仿宋" w:eastAsia="仿宋"/>
        </w:rPr>
        <w:t>其他需说明的问题</w:t>
      </w:r>
      <w:bookmarkEnd w:id="160"/>
      <w:bookmarkEnd w:id="161"/>
    </w:p>
    <w:bookmarkEnd w:id="159"/>
    <w:p>
      <w:pPr>
        <w:pStyle w:val="3"/>
        <w:numPr>
          <w:ilvl w:val="0"/>
          <w:numId w:val="16"/>
        </w:numPr>
        <w:spacing w:line="440" w:lineRule="exact"/>
        <w:ind w:firstLine="482"/>
        <w:rPr>
          <w:rFonts w:ascii="仿宋" w:hAnsi="仿宋" w:eastAsia="仿宋"/>
          <w:sz w:val="24"/>
        </w:rPr>
      </w:pPr>
      <w:bookmarkStart w:id="162" w:name="_Toc414444099"/>
      <w:bookmarkStart w:id="163" w:name="_Toc414781157"/>
      <w:bookmarkStart w:id="164" w:name="_Toc417753623"/>
      <w:bookmarkStart w:id="165" w:name="_Toc420526462"/>
      <w:bookmarkStart w:id="166" w:name="_Toc479518565"/>
      <w:bookmarkStart w:id="167" w:name="_Toc387957836"/>
      <w:bookmarkStart w:id="168" w:name="_Toc5673"/>
      <w:bookmarkStart w:id="169" w:name="_Toc406666387"/>
      <w:bookmarkStart w:id="170" w:name="_Toc406668061"/>
      <w:r>
        <w:rPr>
          <w:rFonts w:hint="eastAsia" w:ascii="仿宋" w:hAnsi="仿宋" w:eastAsia="仿宋"/>
          <w:sz w:val="24"/>
        </w:rPr>
        <w:t>关于评价责任的说明</w:t>
      </w:r>
      <w:bookmarkEnd w:id="162"/>
      <w:bookmarkEnd w:id="163"/>
      <w:bookmarkEnd w:id="164"/>
      <w:bookmarkEnd w:id="165"/>
      <w:bookmarkEnd w:id="166"/>
    </w:p>
    <w:p>
      <w:pPr>
        <w:snapToGrid w:val="0"/>
        <w:spacing w:line="440" w:lineRule="exact"/>
        <w:ind w:firstLine="480"/>
        <w:rPr>
          <w:rFonts w:ascii="仿宋" w:hAnsi="仿宋" w:eastAsia="仿宋"/>
          <w:bCs/>
        </w:rPr>
      </w:pPr>
      <w:r>
        <w:rPr>
          <w:rFonts w:ascii="仿宋" w:hAnsi="仿宋" w:eastAsia="仿宋"/>
          <w:bCs/>
        </w:rPr>
        <w:t>本绩效评价报告是在被评价单位提供项目评价资料的基础上核实、分析而完成的，这些评价资料是由项目执行单位</w:t>
      </w:r>
      <w:r>
        <w:rPr>
          <w:rFonts w:hint="eastAsia" w:ascii="仿宋" w:hAnsi="仿宋" w:eastAsia="仿宋"/>
          <w:bCs/>
        </w:rPr>
        <w:t>武昌区教育局电教中心及项目涉及学校</w:t>
      </w:r>
      <w:r>
        <w:rPr>
          <w:rFonts w:ascii="仿宋" w:hAnsi="仿宋" w:eastAsia="仿宋"/>
          <w:bCs/>
        </w:rPr>
        <w:t>所提供的，其合法性、真实性、完整性由项目执行单位负责，我们的责任是对绩效评价报告的真实性、合法性负责。</w:t>
      </w:r>
    </w:p>
    <w:p>
      <w:pPr>
        <w:pStyle w:val="3"/>
        <w:numPr>
          <w:ilvl w:val="0"/>
          <w:numId w:val="16"/>
        </w:numPr>
        <w:spacing w:line="440" w:lineRule="exact"/>
        <w:ind w:firstLine="482"/>
        <w:rPr>
          <w:rFonts w:ascii="仿宋" w:hAnsi="仿宋" w:eastAsia="仿宋"/>
          <w:sz w:val="24"/>
        </w:rPr>
      </w:pPr>
      <w:bookmarkStart w:id="171" w:name="_Toc420526463"/>
      <w:bookmarkStart w:id="172" w:name="_Toc414444100"/>
      <w:bookmarkStart w:id="173" w:name="_Toc414781158"/>
      <w:bookmarkStart w:id="174" w:name="_Toc417753624"/>
      <w:bookmarkStart w:id="175" w:name="_Toc479518566"/>
      <w:r>
        <w:rPr>
          <w:rFonts w:hint="eastAsia" w:ascii="仿宋" w:hAnsi="仿宋" w:eastAsia="仿宋"/>
          <w:sz w:val="24"/>
        </w:rPr>
        <w:t>关于影响本项目绩效评价局限性的说明</w:t>
      </w:r>
      <w:bookmarkEnd w:id="171"/>
      <w:bookmarkEnd w:id="172"/>
      <w:bookmarkEnd w:id="173"/>
      <w:bookmarkEnd w:id="174"/>
      <w:bookmarkEnd w:id="175"/>
    </w:p>
    <w:p>
      <w:pPr>
        <w:snapToGrid w:val="0"/>
        <w:spacing w:line="440" w:lineRule="exact"/>
        <w:ind w:firstLine="480"/>
        <w:rPr>
          <w:rFonts w:ascii="仿宋" w:hAnsi="仿宋" w:eastAsia="仿宋"/>
          <w:bCs/>
        </w:rPr>
      </w:pPr>
      <w:r>
        <w:rPr>
          <w:rFonts w:ascii="仿宋" w:hAnsi="仿宋" w:eastAsia="仿宋"/>
          <w:bCs/>
        </w:rPr>
        <w:t>1. 部分三级指标，如</w:t>
      </w:r>
      <w:r>
        <w:rPr>
          <w:rFonts w:hint="eastAsia" w:ascii="仿宋" w:hAnsi="仿宋" w:eastAsia="仿宋"/>
          <w:bCs/>
        </w:rPr>
        <w:t>学生机配置数量、班班通设备配置数量、机房改造数量、设备达到验收标准</w:t>
      </w:r>
      <w:r>
        <w:rPr>
          <w:rFonts w:ascii="仿宋" w:hAnsi="仿宋" w:eastAsia="仿宋"/>
          <w:bCs/>
        </w:rPr>
        <w:t>等指标，是在项目执行单位提供的相关评价资料的基础上分析得出的，其可靠性取决于项目执行单位提供的资料的真实性、有效性和正确性，同时也受绩效评价工作组人员专业判断能力的限制，可能会对评价结论产生一定影响。</w:t>
      </w:r>
    </w:p>
    <w:p>
      <w:pPr>
        <w:snapToGrid w:val="0"/>
        <w:spacing w:line="440" w:lineRule="exact"/>
        <w:ind w:firstLine="480"/>
        <w:rPr>
          <w:rFonts w:ascii="仿宋" w:hAnsi="仿宋" w:eastAsia="仿宋"/>
          <w:bCs/>
        </w:rPr>
      </w:pPr>
      <w:r>
        <w:rPr>
          <w:rFonts w:ascii="仿宋" w:hAnsi="仿宋" w:eastAsia="仿宋"/>
          <w:bCs/>
        </w:rPr>
        <w:t>2. 缺乏评价数据收集和分析的信息系统。目前，由于缺乏评价数据收集和分析的信息系统，对财政项目支出绩效评价数据收集的方式仍是人工统计和汇总，数据繁杂，工作量较大，而且在汇总过程中难免出现计算误差，可能会导致汇总数据和项目实际情况出现偏差。</w:t>
      </w:r>
    </w:p>
    <w:p>
      <w:pPr>
        <w:pStyle w:val="3"/>
        <w:numPr>
          <w:ilvl w:val="0"/>
          <w:numId w:val="16"/>
        </w:numPr>
        <w:spacing w:line="440" w:lineRule="exact"/>
        <w:ind w:firstLine="482"/>
        <w:rPr>
          <w:rFonts w:ascii="仿宋" w:hAnsi="仿宋" w:eastAsia="仿宋"/>
          <w:sz w:val="24"/>
        </w:rPr>
      </w:pPr>
      <w:bookmarkStart w:id="176" w:name="_Toc420526465"/>
      <w:bookmarkStart w:id="177" w:name="_Toc479518567"/>
      <w:bookmarkStart w:id="178" w:name="_Toc414781160"/>
      <w:bookmarkStart w:id="179" w:name="_Toc414444102"/>
      <w:bookmarkStart w:id="180" w:name="_Toc417753626"/>
      <w:r>
        <w:rPr>
          <w:rFonts w:hint="eastAsia" w:ascii="仿宋" w:hAnsi="仿宋" w:eastAsia="仿宋"/>
          <w:sz w:val="24"/>
        </w:rPr>
        <w:t>提示报告使用者注意事项的说明</w:t>
      </w:r>
      <w:bookmarkEnd w:id="176"/>
      <w:bookmarkEnd w:id="177"/>
      <w:bookmarkEnd w:id="178"/>
      <w:bookmarkEnd w:id="179"/>
      <w:bookmarkEnd w:id="180"/>
    </w:p>
    <w:p>
      <w:pPr>
        <w:snapToGrid w:val="0"/>
        <w:spacing w:line="440" w:lineRule="exact"/>
        <w:ind w:firstLine="480"/>
        <w:rPr>
          <w:rFonts w:ascii="仿宋" w:hAnsi="仿宋" w:eastAsia="仿宋"/>
          <w:bCs/>
        </w:rPr>
      </w:pPr>
      <w:r>
        <w:rPr>
          <w:rFonts w:ascii="仿宋" w:hAnsi="仿宋" w:eastAsia="仿宋"/>
          <w:bCs/>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w:t>
      </w:r>
      <w:r>
        <w:rPr>
          <w:rFonts w:hint="eastAsia" w:ascii="仿宋" w:hAnsi="仿宋" w:eastAsia="仿宋"/>
          <w:bCs/>
        </w:rPr>
        <w:t>人</w:t>
      </w:r>
      <w:r>
        <w:rPr>
          <w:rFonts w:ascii="仿宋" w:hAnsi="仿宋" w:eastAsia="仿宋"/>
          <w:bCs/>
        </w:rPr>
        <w:t>另有约定的除外。</w:t>
      </w:r>
    </w:p>
    <w:p>
      <w:pPr>
        <w:snapToGrid w:val="0"/>
        <w:spacing w:line="440" w:lineRule="exact"/>
        <w:ind w:firstLine="0" w:firstLineChars="0"/>
        <w:rPr>
          <w:bCs/>
        </w:rPr>
      </w:pPr>
    </w:p>
    <w:p>
      <w:pPr>
        <w:snapToGrid w:val="0"/>
        <w:spacing w:line="440" w:lineRule="exact"/>
        <w:ind w:firstLine="0" w:firstLineChars="0"/>
        <w:rPr>
          <w:bCs/>
        </w:rPr>
      </w:pPr>
    </w:p>
    <w:p>
      <w:pPr>
        <w:snapToGrid w:val="0"/>
        <w:spacing w:line="440" w:lineRule="exact"/>
        <w:ind w:firstLine="0" w:firstLineChars="0"/>
        <w:rPr>
          <w:rFonts w:ascii="仿宋" w:hAnsi="仿宋" w:eastAsia="仿宋" w:cs="Arial Narrow"/>
        </w:rPr>
      </w:pPr>
      <w:r>
        <w:rPr>
          <w:rFonts w:ascii="仿宋" w:hAnsi="仿宋" w:eastAsia="仿宋" w:cs="Arial Narrow"/>
          <w:b/>
          <w:bCs/>
        </w:rPr>
        <w:t>附件</w:t>
      </w:r>
      <w:bookmarkEnd w:id="167"/>
      <w:r>
        <w:rPr>
          <w:rFonts w:ascii="仿宋" w:hAnsi="仿宋" w:eastAsia="仿宋" w:cs="Arial Narrow"/>
          <w:b/>
          <w:bCs/>
        </w:rPr>
        <w:t>：</w:t>
      </w:r>
      <w:bookmarkEnd w:id="168"/>
      <w:bookmarkEnd w:id="169"/>
      <w:bookmarkEnd w:id="170"/>
    </w:p>
    <w:p>
      <w:pPr>
        <w:snapToGrid w:val="0"/>
        <w:spacing w:line="440" w:lineRule="exact"/>
        <w:ind w:firstLine="480"/>
        <w:rPr>
          <w:rFonts w:ascii="仿宋" w:hAnsi="仿宋" w:eastAsia="仿宋" w:cs="Arial Narrow"/>
        </w:rPr>
      </w:pPr>
      <w:r>
        <w:rPr>
          <w:rFonts w:ascii="仿宋" w:hAnsi="仿宋" w:eastAsia="仿宋" w:cs="Arial Narrow"/>
        </w:rPr>
        <w:t>1、项目绩效评价评分表</w:t>
      </w:r>
      <w:r>
        <w:rPr>
          <w:rFonts w:hint="eastAsia" w:ascii="仿宋" w:hAnsi="仿宋" w:eastAsia="仿宋" w:cs="Arial Narrow"/>
        </w:rPr>
        <w:t>及说明</w:t>
      </w:r>
    </w:p>
    <w:p>
      <w:pPr>
        <w:snapToGrid w:val="0"/>
        <w:spacing w:line="440" w:lineRule="exact"/>
        <w:ind w:firstLine="480"/>
        <w:rPr>
          <w:rFonts w:ascii="仿宋" w:hAnsi="仿宋" w:eastAsia="仿宋" w:cs="Arial Narrow"/>
        </w:rPr>
      </w:pPr>
      <w:r>
        <w:rPr>
          <w:rFonts w:ascii="仿宋" w:hAnsi="仿宋" w:eastAsia="仿宋" w:cs="Arial Narrow"/>
        </w:rPr>
        <w:t>2、绩效目标完成情况对比表</w:t>
      </w:r>
    </w:p>
    <w:p>
      <w:pPr>
        <w:snapToGrid w:val="0"/>
        <w:spacing w:line="440" w:lineRule="exact"/>
        <w:ind w:firstLine="480"/>
        <w:rPr>
          <w:rFonts w:ascii="仿宋" w:hAnsi="仿宋" w:eastAsia="仿宋" w:cs="Arial Narrow"/>
        </w:rPr>
      </w:pPr>
      <w:r>
        <w:rPr>
          <w:rFonts w:ascii="仿宋" w:hAnsi="仿宋" w:eastAsia="仿宋" w:cs="Arial Narrow"/>
        </w:rPr>
        <w:t>3、基础数据表</w:t>
      </w:r>
    </w:p>
    <w:p>
      <w:pPr>
        <w:snapToGrid w:val="0"/>
        <w:spacing w:line="440" w:lineRule="exact"/>
        <w:ind w:firstLine="480"/>
        <w:rPr>
          <w:rFonts w:ascii="仿宋" w:hAnsi="仿宋" w:eastAsia="仿宋" w:cs="Arial Narrow"/>
        </w:rPr>
      </w:pPr>
      <w:r>
        <w:rPr>
          <w:rFonts w:ascii="仿宋" w:hAnsi="仿宋" w:eastAsia="仿宋" w:cs="Arial Narrow"/>
        </w:rPr>
        <w:t>4、访谈大纲</w:t>
      </w:r>
    </w:p>
    <w:p>
      <w:pPr>
        <w:snapToGrid w:val="0"/>
        <w:spacing w:line="440" w:lineRule="exact"/>
        <w:ind w:firstLine="480"/>
        <w:rPr>
          <w:rFonts w:ascii="仿宋" w:hAnsi="仿宋" w:eastAsia="仿宋" w:cs="Arial Narrow"/>
        </w:rPr>
      </w:pPr>
      <w:r>
        <w:rPr>
          <w:rFonts w:ascii="仿宋" w:hAnsi="仿宋" w:eastAsia="仿宋" w:cs="Arial Narrow"/>
        </w:rPr>
        <w:t>5、访谈记录</w:t>
      </w:r>
    </w:p>
    <w:p>
      <w:pPr>
        <w:snapToGrid w:val="0"/>
        <w:spacing w:line="440" w:lineRule="exact"/>
        <w:ind w:firstLine="480"/>
        <w:rPr>
          <w:rFonts w:ascii="仿宋" w:hAnsi="仿宋" w:eastAsia="仿宋" w:cs="Arial Narrow"/>
        </w:rPr>
      </w:pPr>
      <w:r>
        <w:rPr>
          <w:rFonts w:ascii="仿宋" w:hAnsi="仿宋" w:eastAsia="仿宋" w:cs="Arial Narrow"/>
        </w:rPr>
        <w:t>6、调查问卷</w:t>
      </w:r>
    </w:p>
    <w:p>
      <w:pPr>
        <w:snapToGrid w:val="0"/>
        <w:spacing w:line="440" w:lineRule="exact"/>
        <w:ind w:firstLine="480"/>
        <w:rPr>
          <w:rFonts w:ascii="仿宋" w:hAnsi="仿宋" w:eastAsia="仿宋" w:cs="Arial Narrow"/>
        </w:rPr>
      </w:pPr>
      <w:r>
        <w:rPr>
          <w:rFonts w:ascii="仿宋" w:hAnsi="仿宋" w:eastAsia="仿宋" w:cs="Arial Narrow"/>
        </w:rPr>
        <w:t>7、调查问卷分析</w:t>
      </w:r>
    </w:p>
    <w:p>
      <w:pPr>
        <w:snapToGrid w:val="0"/>
        <w:spacing w:line="440" w:lineRule="exact"/>
        <w:ind w:firstLine="480"/>
        <w:rPr>
          <w:rFonts w:ascii="仿宋" w:hAnsi="仿宋" w:eastAsia="仿宋" w:cs="Arial Narrow"/>
        </w:rPr>
      </w:pPr>
      <w:r>
        <w:rPr>
          <w:rFonts w:ascii="仿宋" w:hAnsi="仿宋" w:eastAsia="仿宋" w:cs="Arial Narrow"/>
        </w:rPr>
        <w:t>8、评价现场照片</w:t>
      </w:r>
    </w:p>
    <w:p>
      <w:pPr>
        <w:snapToGrid w:val="0"/>
        <w:spacing w:line="440" w:lineRule="exact"/>
        <w:ind w:firstLine="480"/>
        <w:rPr>
          <w:rFonts w:ascii="仿宋" w:hAnsi="仿宋" w:eastAsia="仿宋" w:cs="Arial Narrow"/>
        </w:rPr>
      </w:pPr>
      <w:r>
        <w:rPr>
          <w:rFonts w:ascii="仿宋" w:hAnsi="仿宋" w:eastAsia="仿宋" w:cs="Arial Narrow"/>
        </w:rPr>
        <w:t>9、绩效评价实施方案</w:t>
      </w:r>
    </w:p>
    <w:p>
      <w:pPr>
        <w:snapToGrid w:val="0"/>
        <w:spacing w:line="440" w:lineRule="exact"/>
        <w:ind w:firstLine="480"/>
        <w:rPr>
          <w:rFonts w:ascii="仿宋" w:hAnsi="仿宋" w:eastAsia="仿宋" w:cs="Arial Narrow"/>
        </w:rPr>
      </w:pPr>
      <w:r>
        <w:rPr>
          <w:rFonts w:hint="eastAsia" w:ascii="仿宋" w:hAnsi="仿宋" w:eastAsia="仿宋" w:cs="Arial Narrow"/>
        </w:rPr>
        <w:t>10、评价机构营业执照（复印件）</w:t>
      </w:r>
    </w:p>
    <w:p>
      <w:pPr>
        <w:snapToGrid w:val="0"/>
        <w:spacing w:line="440" w:lineRule="exact"/>
        <w:ind w:firstLine="480"/>
        <w:rPr>
          <w:rFonts w:ascii="仿宋" w:hAnsi="仿宋" w:eastAsia="仿宋" w:cs="Arial Narrow"/>
        </w:rPr>
      </w:pPr>
      <w:r>
        <w:rPr>
          <w:rFonts w:hint="eastAsia" w:ascii="仿宋" w:hAnsi="仿宋" w:eastAsia="仿宋" w:cs="Arial Narrow"/>
        </w:rPr>
        <w:t>11、相关评价人员执业证明文件（复印件）</w:t>
      </w:r>
    </w:p>
    <w:p>
      <w:pPr>
        <w:snapToGrid w:val="0"/>
        <w:spacing w:line="440" w:lineRule="exact"/>
        <w:ind w:firstLine="0" w:firstLineChars="0"/>
        <w:rPr>
          <w:rFonts w:ascii="Arial Narrow" w:hAnsi="Arial Narrow" w:cs="Arial Narrow"/>
        </w:rPr>
      </w:pPr>
    </w:p>
    <w:p>
      <w:pPr>
        <w:snapToGrid w:val="0"/>
        <w:spacing w:line="440" w:lineRule="exact"/>
        <w:ind w:firstLine="0" w:firstLineChars="0"/>
        <w:rPr>
          <w:rFonts w:ascii="Arial Narrow" w:hAnsi="Arial Narrow" w:cs="Arial Narrow"/>
        </w:rPr>
      </w:pPr>
    </w:p>
    <w:p>
      <w:pPr>
        <w:snapToGrid w:val="0"/>
        <w:spacing w:line="440" w:lineRule="exact"/>
        <w:ind w:firstLine="0" w:firstLineChars="0"/>
        <w:rPr>
          <w:rFonts w:ascii="Arial Narrow" w:hAnsi="Arial Narrow" w:cs="Arial Narrow"/>
        </w:rPr>
      </w:pPr>
    </w:p>
    <w:p>
      <w:pPr>
        <w:snapToGrid w:val="0"/>
        <w:spacing w:line="440" w:lineRule="exact"/>
        <w:ind w:firstLine="480"/>
        <w:jc w:val="right"/>
        <w:rPr>
          <w:rFonts w:ascii="仿宋" w:hAnsi="仿宋" w:eastAsia="仿宋" w:cs="Arial Narrow"/>
        </w:rPr>
      </w:pPr>
      <w:r>
        <w:rPr>
          <w:rFonts w:hint="eastAsia" w:ascii="仿宋" w:hAnsi="仿宋" w:eastAsia="仿宋" w:cs="Arial Narrow"/>
        </w:rPr>
        <w:t>湖北普华立信会计师事务有限公司</w:t>
      </w:r>
    </w:p>
    <w:p>
      <w:pPr>
        <w:snapToGrid w:val="0"/>
        <w:spacing w:line="440" w:lineRule="exact"/>
        <w:ind w:firstLine="480"/>
        <w:jc w:val="right"/>
        <w:rPr>
          <w:rFonts w:ascii="仿宋" w:hAnsi="仿宋" w:eastAsia="仿宋" w:cs="Arial Narrow"/>
        </w:rPr>
      </w:pPr>
      <w:r>
        <w:rPr>
          <w:rFonts w:hint="eastAsia" w:ascii="仿宋" w:hAnsi="仿宋" w:eastAsia="仿宋" w:cs="Arial Narrow"/>
        </w:rPr>
        <w:t>2018年10月18日</w:t>
      </w:r>
    </w:p>
    <w:sectPr>
      <w:headerReference r:id="rId10" w:type="default"/>
      <w:footerReference r:id="rId11" w:type="default"/>
      <w:pgSz w:w="11906" w:h="16838"/>
      <w:pgMar w:top="1276" w:right="1700" w:bottom="1276" w:left="1800" w:header="850" w:footer="850" w:gutter="0"/>
      <w:cols w:space="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altName w:val="Segoe Script"/>
    <w:panose1 w:val="00000000000000000000"/>
    <w:charset w:val="00"/>
    <w:family w:val="swiss"/>
    <w:pitch w:val="default"/>
    <w:sig w:usb0="00000000" w:usb1="00000000" w:usb2="00000000" w:usb3="00000000" w:csb0="0000009F" w:csb1="00000000"/>
  </w:font>
  <w:font w:name="Arial Unicode MS">
    <w:altName w:val="Arial"/>
    <w:panose1 w:val="020B0604020202020204"/>
    <w:charset w:val="00"/>
    <w:family w:val="roman"/>
    <w:pitch w:val="default"/>
    <w:sig w:usb0="00000000"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2" w:space="0"/>
      </w:pBdr>
      <w:ind w:right="360" w:firstLine="0" w:firstLineChars="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2" w:space="0"/>
      </w:pBdr>
      <w:ind w:right="360" w:firstLine="0" w:firstLineChars="0"/>
      <w:jc w:val="both"/>
      <w:rPr>
        <w:rFonts w:ascii="宋体" w:hAnsi="宋体" w:eastAsia="宋体" w:cs="宋体"/>
      </w:rPr>
    </w:pPr>
    <w:r>
      <w:rPr>
        <w:rFonts w:hint="eastAsia" w:ascii="宋体" w:hAnsi="宋体" w:eastAsia="宋体" w:cs="宋体"/>
      </w:rPr>
      <w:t>湖北普华立信会计师事务有限公司                                            电话：(027)87272422</w:t>
    </w:r>
  </w:p>
  <w:p>
    <w:pPr>
      <w:pStyle w:val="13"/>
      <w:pBdr>
        <w:top w:val="single" w:color="auto" w:sz="2" w:space="0"/>
      </w:pBdr>
      <w:ind w:right="360" w:firstLine="0" w:firstLineChars="0"/>
      <w:jc w:val="both"/>
    </w:pPr>
    <w:r>
      <w:pict>
        <v:shape id="_x0000_s3079" o:spid="_x0000_s3079" o:spt="202" type="#_x0000_t202" style="position:absolute;left:0pt;margin-left:167.3pt;margin-top:14.75pt;height:23.5pt;width:90.05p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页共 25 页</w:t>
                </w:r>
              </w:p>
            </w:txbxContent>
          </v:textbox>
        </v:shape>
      </w:pict>
    </w:r>
    <w:r>
      <w:rPr>
        <w:rFonts w:hint="eastAsia" w:ascii="宋体" w:hAnsi="宋体" w:eastAsia="宋体" w:cs="宋体"/>
      </w:rPr>
      <w:t>武汉市武昌区洪山侧路43号                                                 邮编：430071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2" w:space="0"/>
      </w:pBdr>
      <w:ind w:right="360" w:firstLine="0" w:firstLineChars="0"/>
      <w:jc w:val="both"/>
      <w:rPr>
        <w:rFonts w:ascii="宋体" w:hAnsi="宋体" w:eastAsia="宋体" w:cs="宋体"/>
      </w:rPr>
    </w:pPr>
    <w:r>
      <w:rPr>
        <w:rFonts w:hint="eastAsia" w:ascii="宋体" w:hAnsi="宋体" w:eastAsia="宋体" w:cs="宋体"/>
      </w:rPr>
      <w:t>湖北普华立信会计师事务有限公司                                        电话：(027)87272422</w:t>
    </w:r>
  </w:p>
  <w:p>
    <w:pPr>
      <w:pStyle w:val="13"/>
      <w:pBdr>
        <w:top w:val="single" w:color="auto" w:sz="2" w:space="0"/>
      </w:pBdr>
      <w:ind w:right="360" w:firstLine="0" w:firstLineChars="0"/>
      <w:jc w:val="both"/>
    </w:pPr>
    <w:r>
      <w:pict>
        <v:shape id="_x0000_s3078" o:spid="_x0000_s3078" o:spt="202" type="#_x0000_t202" style="position:absolute;left:0pt;margin-left:167.3pt;margin-top:9pt;height:23.5pt;width:90.05p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r>
                  <w:rPr>
                    <w:rFonts w:hint="eastAsia"/>
                    <w:sz w:val="18"/>
                  </w:rPr>
                  <w:t>页共25页</w:t>
                </w:r>
              </w:p>
            </w:txbxContent>
          </v:textbox>
        </v:shape>
      </w:pict>
    </w:r>
    <w:r>
      <w:rPr>
        <w:rFonts w:hint="eastAsia" w:ascii="宋体" w:hAnsi="宋体" w:eastAsia="宋体" w:cs="宋体"/>
      </w:rPr>
      <w:t>武汉市武昌区洪山侧路43号                                             邮编：430071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ind w:firstLine="0" w:firstLineChars="0"/>
      <w:rPr>
        <w:bCs/>
        <w:sz w:val="21"/>
        <w:szCs w:val="21"/>
      </w:rPr>
    </w:pPr>
    <w:r>
      <w:rPr>
        <w:rFonts w:hint="eastAsia" w:ascii="宋体" w:hAnsi="宋体" w:eastAsia="宋体"/>
        <w:bCs/>
        <w:color w:val="000000"/>
        <w:sz w:val="18"/>
        <w:szCs w:val="18"/>
      </w:rPr>
      <w:t>教育信息化建设经费重点绩效评价报告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ind w:firstLine="0" w:firstLineChars="0"/>
    </w:pPr>
    <w:r>
      <w:rPr>
        <w:rFonts w:hint="eastAsia" w:ascii="宋体" w:hAnsi="宋体" w:eastAsia="宋体"/>
        <w:bCs/>
        <w:color w:val="000000"/>
        <w:sz w:val="18"/>
        <w:szCs w:val="18"/>
      </w:rPr>
      <w:t>教育信息化建设经费绩效评价报告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2B6D"/>
    <w:multiLevelType w:val="multilevel"/>
    <w:tmpl w:val="18762B6D"/>
    <w:lvl w:ilvl="0" w:tentative="0">
      <w:start w:val="1"/>
      <w:numFmt w:val="decimal"/>
      <w:lvlText w:val="%1"/>
      <w:lvlJc w:val="left"/>
      <w:pPr>
        <w:ind w:left="465" w:hanging="465"/>
      </w:pPr>
      <w:rPr>
        <w:rFonts w:hint="default"/>
      </w:rPr>
    </w:lvl>
    <w:lvl w:ilvl="1" w:tentative="0">
      <w:start w:val="1"/>
      <w:numFmt w:val="decimal"/>
      <w:lvlText w:val="%1.%2"/>
      <w:lvlJc w:val="left"/>
      <w:pPr>
        <w:ind w:left="945" w:hanging="465"/>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
    <w:nsid w:val="2E2A2E44"/>
    <w:multiLevelType w:val="multilevel"/>
    <w:tmpl w:val="2E2A2E44"/>
    <w:lvl w:ilvl="0" w:tentative="0">
      <w:start w:val="1"/>
      <w:numFmt w:val="decimalEnclosedCircle"/>
      <w:lvlText w:val="%1"/>
      <w:lvlJc w:val="left"/>
      <w:pPr>
        <w:ind w:left="840" w:hanging="360"/>
      </w:pPr>
      <w:rPr>
        <w:rFonts w:hint="default" w:cs="Arial Unicode M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6DF8321"/>
    <w:multiLevelType w:val="singleLevel"/>
    <w:tmpl w:val="56DF8321"/>
    <w:lvl w:ilvl="0" w:tentative="0">
      <w:start w:val="1"/>
      <w:numFmt w:val="chineseCounting"/>
      <w:suff w:val="nothing"/>
      <w:lvlText w:val="%1、"/>
      <w:lvlJc w:val="left"/>
      <w:pPr>
        <w:ind w:left="0" w:firstLine="420"/>
      </w:pPr>
      <w:rPr>
        <w:rFonts w:hint="eastAsia"/>
      </w:rPr>
    </w:lvl>
  </w:abstractNum>
  <w:abstractNum w:abstractNumId="3">
    <w:nsid w:val="56DF8367"/>
    <w:multiLevelType w:val="singleLevel"/>
    <w:tmpl w:val="56DF8367"/>
    <w:lvl w:ilvl="0" w:tentative="0">
      <w:start w:val="1"/>
      <w:numFmt w:val="chineseCounting"/>
      <w:suff w:val="nothing"/>
      <w:lvlText w:val="（%1）"/>
      <w:lvlJc w:val="left"/>
      <w:pPr>
        <w:ind w:left="0" w:firstLine="420"/>
      </w:pPr>
      <w:rPr>
        <w:rFonts w:hint="eastAsia"/>
      </w:rPr>
    </w:lvl>
  </w:abstractNum>
  <w:abstractNum w:abstractNumId="4">
    <w:nsid w:val="56DF83EE"/>
    <w:multiLevelType w:val="singleLevel"/>
    <w:tmpl w:val="56DF83EE"/>
    <w:lvl w:ilvl="0" w:tentative="0">
      <w:start w:val="1"/>
      <w:numFmt w:val="chineseCounting"/>
      <w:suff w:val="nothing"/>
      <w:lvlText w:val="（%1）"/>
      <w:lvlJc w:val="left"/>
      <w:pPr>
        <w:ind w:left="0" w:firstLine="420"/>
      </w:pPr>
      <w:rPr>
        <w:rFonts w:hint="eastAsia"/>
      </w:rPr>
    </w:lvl>
  </w:abstractNum>
  <w:abstractNum w:abstractNumId="5">
    <w:nsid w:val="56DF8590"/>
    <w:multiLevelType w:val="singleLevel"/>
    <w:tmpl w:val="56DF8590"/>
    <w:lvl w:ilvl="0" w:tentative="0">
      <w:start w:val="1"/>
      <w:numFmt w:val="chineseCounting"/>
      <w:suff w:val="nothing"/>
      <w:lvlText w:val="（%1）"/>
      <w:lvlJc w:val="left"/>
      <w:pPr>
        <w:ind w:left="0" w:firstLine="420"/>
      </w:pPr>
      <w:rPr>
        <w:rFonts w:hint="eastAsia"/>
      </w:rPr>
    </w:lvl>
  </w:abstractNum>
  <w:abstractNum w:abstractNumId="6">
    <w:nsid w:val="56DF85D1"/>
    <w:multiLevelType w:val="singleLevel"/>
    <w:tmpl w:val="56DF85D1"/>
    <w:lvl w:ilvl="0" w:tentative="0">
      <w:start w:val="1"/>
      <w:numFmt w:val="chineseCounting"/>
      <w:suff w:val="nothing"/>
      <w:lvlText w:val="（%1）"/>
      <w:lvlJc w:val="left"/>
      <w:pPr>
        <w:ind w:left="6" w:firstLine="420"/>
      </w:pPr>
      <w:rPr>
        <w:rFonts w:hint="eastAsia"/>
      </w:rPr>
    </w:lvl>
  </w:abstractNum>
  <w:abstractNum w:abstractNumId="7">
    <w:nsid w:val="56DF85FB"/>
    <w:multiLevelType w:val="singleLevel"/>
    <w:tmpl w:val="56DF85FB"/>
    <w:lvl w:ilvl="0" w:tentative="0">
      <w:start w:val="1"/>
      <w:numFmt w:val="chineseCounting"/>
      <w:suff w:val="nothing"/>
      <w:lvlText w:val="（%1）"/>
      <w:lvlJc w:val="left"/>
      <w:pPr>
        <w:ind w:left="0" w:firstLine="420"/>
      </w:pPr>
      <w:rPr>
        <w:rFonts w:hint="eastAsia"/>
        <w:lang w:val="en-US"/>
      </w:rPr>
    </w:lvl>
  </w:abstractNum>
  <w:abstractNum w:abstractNumId="8">
    <w:nsid w:val="56DF8626"/>
    <w:multiLevelType w:val="singleLevel"/>
    <w:tmpl w:val="56DF8626"/>
    <w:lvl w:ilvl="0" w:tentative="0">
      <w:start w:val="1"/>
      <w:numFmt w:val="chineseCounting"/>
      <w:suff w:val="nothing"/>
      <w:lvlText w:val="（%1）"/>
      <w:lvlJc w:val="left"/>
      <w:pPr>
        <w:ind w:left="0" w:firstLine="420"/>
      </w:pPr>
      <w:rPr>
        <w:rFonts w:hint="eastAsia"/>
      </w:rPr>
    </w:lvl>
  </w:abstractNum>
  <w:abstractNum w:abstractNumId="9">
    <w:nsid w:val="56DF871C"/>
    <w:multiLevelType w:val="singleLevel"/>
    <w:tmpl w:val="56DF871C"/>
    <w:lvl w:ilvl="0" w:tentative="0">
      <w:start w:val="1"/>
      <w:numFmt w:val="decimal"/>
      <w:suff w:val="nothing"/>
      <w:lvlText w:val="%1．"/>
      <w:lvlJc w:val="left"/>
      <w:pPr>
        <w:ind w:left="0" w:firstLine="400"/>
      </w:pPr>
      <w:rPr>
        <w:rFonts w:hint="default"/>
      </w:rPr>
    </w:lvl>
  </w:abstractNum>
  <w:abstractNum w:abstractNumId="10">
    <w:nsid w:val="56DF877F"/>
    <w:multiLevelType w:val="singleLevel"/>
    <w:tmpl w:val="56DF877F"/>
    <w:lvl w:ilvl="0" w:tentative="0">
      <w:start w:val="1"/>
      <w:numFmt w:val="decimal"/>
      <w:suff w:val="nothing"/>
      <w:lvlText w:val="%1．"/>
      <w:lvlJc w:val="left"/>
      <w:pPr>
        <w:ind w:left="0" w:firstLine="400"/>
      </w:pPr>
      <w:rPr>
        <w:rFonts w:hint="default"/>
      </w:rPr>
    </w:lvl>
  </w:abstractNum>
  <w:abstractNum w:abstractNumId="11">
    <w:nsid w:val="56DF87A0"/>
    <w:multiLevelType w:val="singleLevel"/>
    <w:tmpl w:val="56DF87A0"/>
    <w:lvl w:ilvl="0" w:tentative="0">
      <w:start w:val="1"/>
      <w:numFmt w:val="decimal"/>
      <w:suff w:val="nothing"/>
      <w:lvlText w:val="%1．"/>
      <w:lvlJc w:val="left"/>
      <w:pPr>
        <w:ind w:left="0" w:firstLine="400"/>
      </w:pPr>
      <w:rPr>
        <w:rFonts w:hint="default"/>
      </w:rPr>
    </w:lvl>
  </w:abstractNum>
  <w:abstractNum w:abstractNumId="12">
    <w:nsid w:val="56DF87CE"/>
    <w:multiLevelType w:val="singleLevel"/>
    <w:tmpl w:val="56DF87CE"/>
    <w:lvl w:ilvl="0" w:tentative="0">
      <w:start w:val="1"/>
      <w:numFmt w:val="decimal"/>
      <w:suff w:val="nothing"/>
      <w:lvlText w:val="%1．"/>
      <w:lvlJc w:val="left"/>
      <w:pPr>
        <w:ind w:left="0" w:firstLine="400"/>
      </w:pPr>
      <w:rPr>
        <w:rFonts w:hint="default"/>
      </w:rPr>
    </w:lvl>
  </w:abstractNum>
  <w:abstractNum w:abstractNumId="13">
    <w:nsid w:val="56DF8832"/>
    <w:multiLevelType w:val="singleLevel"/>
    <w:tmpl w:val="56DF8832"/>
    <w:lvl w:ilvl="0" w:tentative="0">
      <w:start w:val="1"/>
      <w:numFmt w:val="decimal"/>
      <w:suff w:val="nothing"/>
      <w:lvlText w:val="%1．"/>
      <w:lvlJc w:val="left"/>
      <w:pPr>
        <w:ind w:left="26" w:firstLine="400"/>
      </w:pPr>
      <w:rPr>
        <w:rFonts w:hint="default"/>
      </w:rPr>
    </w:lvl>
  </w:abstractNum>
  <w:abstractNum w:abstractNumId="14">
    <w:nsid w:val="56DF885B"/>
    <w:multiLevelType w:val="singleLevel"/>
    <w:tmpl w:val="56DF885B"/>
    <w:lvl w:ilvl="0" w:tentative="0">
      <w:start w:val="1"/>
      <w:numFmt w:val="decimal"/>
      <w:suff w:val="nothing"/>
      <w:lvlText w:val="%1．"/>
      <w:lvlJc w:val="left"/>
      <w:pPr>
        <w:ind w:left="0" w:firstLine="400"/>
      </w:pPr>
      <w:rPr>
        <w:rFonts w:hint="default"/>
      </w:rPr>
    </w:lvl>
  </w:abstractNum>
  <w:abstractNum w:abstractNumId="15">
    <w:nsid w:val="56DF9162"/>
    <w:multiLevelType w:val="singleLevel"/>
    <w:tmpl w:val="56DF9162"/>
    <w:lvl w:ilvl="0" w:tentative="0">
      <w:start w:val="1"/>
      <w:numFmt w:val="chineseCounting"/>
      <w:suff w:val="nothing"/>
      <w:lvlText w:val="%1、"/>
      <w:lvlJc w:val="left"/>
      <w:pPr>
        <w:ind w:left="0" w:firstLine="420"/>
      </w:pPr>
      <w:rPr>
        <w:rFonts w:hint="eastAsia"/>
      </w:rPr>
    </w:lvl>
  </w:abstractNum>
  <w:num w:numId="1">
    <w:abstractNumId w:val="15"/>
  </w:num>
  <w:num w:numId="2">
    <w:abstractNumId w:val="2"/>
  </w:num>
  <w:num w:numId="3">
    <w:abstractNumId w:val="3"/>
  </w:num>
  <w:num w:numId="4">
    <w:abstractNumId w:val="9"/>
  </w:num>
  <w:num w:numId="5">
    <w:abstractNumId w:val="0"/>
  </w:num>
  <w:num w:numId="6">
    <w:abstractNumId w:val="1"/>
  </w:num>
  <w:num w:numId="7">
    <w:abstractNumId w:val="10"/>
  </w:num>
  <w:num w:numId="8">
    <w:abstractNumId w:val="4"/>
  </w:num>
  <w:num w:numId="9">
    <w:abstractNumId w:val="11"/>
  </w:num>
  <w:num w:numId="10">
    <w:abstractNumId w:val="12"/>
  </w:num>
  <w:num w:numId="11">
    <w:abstractNumId w:val="5"/>
  </w:num>
  <w:num w:numId="12">
    <w:abstractNumId w:val="13"/>
  </w:num>
  <w:num w:numId="13">
    <w:abstractNumId w:val="14"/>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20"/>
  <w:drawingGridVerticalSpacing w:val="204"/>
  <w:displayHorizontalDrawingGridEvery w:val="0"/>
  <w:displayVerticalDrawingGridEvery w:val="2"/>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A69"/>
    <w:rsid w:val="000100BE"/>
    <w:rsid w:val="000107B2"/>
    <w:rsid w:val="00012A6C"/>
    <w:rsid w:val="00012B09"/>
    <w:rsid w:val="000153F5"/>
    <w:rsid w:val="00015911"/>
    <w:rsid w:val="00016011"/>
    <w:rsid w:val="00016E5E"/>
    <w:rsid w:val="00020ACB"/>
    <w:rsid w:val="000225A4"/>
    <w:rsid w:val="000231B2"/>
    <w:rsid w:val="000235EA"/>
    <w:rsid w:val="00023FC7"/>
    <w:rsid w:val="000247EA"/>
    <w:rsid w:val="00027617"/>
    <w:rsid w:val="00030459"/>
    <w:rsid w:val="00031206"/>
    <w:rsid w:val="00034076"/>
    <w:rsid w:val="00034CB1"/>
    <w:rsid w:val="000353B6"/>
    <w:rsid w:val="00037160"/>
    <w:rsid w:val="0003723A"/>
    <w:rsid w:val="00037FDA"/>
    <w:rsid w:val="00041931"/>
    <w:rsid w:val="000435FD"/>
    <w:rsid w:val="00051092"/>
    <w:rsid w:val="0005129C"/>
    <w:rsid w:val="000515FE"/>
    <w:rsid w:val="0005263F"/>
    <w:rsid w:val="00054224"/>
    <w:rsid w:val="0005435D"/>
    <w:rsid w:val="00060B99"/>
    <w:rsid w:val="00061B01"/>
    <w:rsid w:val="000647BB"/>
    <w:rsid w:val="00065443"/>
    <w:rsid w:val="000672A7"/>
    <w:rsid w:val="00070099"/>
    <w:rsid w:val="0007044D"/>
    <w:rsid w:val="000712E3"/>
    <w:rsid w:val="00071B04"/>
    <w:rsid w:val="00071C74"/>
    <w:rsid w:val="0007747E"/>
    <w:rsid w:val="00080C8D"/>
    <w:rsid w:val="00082AA1"/>
    <w:rsid w:val="000839C4"/>
    <w:rsid w:val="00083F0C"/>
    <w:rsid w:val="000850E9"/>
    <w:rsid w:val="00086B6B"/>
    <w:rsid w:val="00092652"/>
    <w:rsid w:val="00092834"/>
    <w:rsid w:val="00094B28"/>
    <w:rsid w:val="00095860"/>
    <w:rsid w:val="00096D5B"/>
    <w:rsid w:val="00097F61"/>
    <w:rsid w:val="000A2B58"/>
    <w:rsid w:val="000A38CF"/>
    <w:rsid w:val="000A6937"/>
    <w:rsid w:val="000B021D"/>
    <w:rsid w:val="000B042B"/>
    <w:rsid w:val="000B0707"/>
    <w:rsid w:val="000B351B"/>
    <w:rsid w:val="000C05B3"/>
    <w:rsid w:val="000C0AC8"/>
    <w:rsid w:val="000C2C67"/>
    <w:rsid w:val="000C4653"/>
    <w:rsid w:val="000C4C40"/>
    <w:rsid w:val="000C51CD"/>
    <w:rsid w:val="000C7932"/>
    <w:rsid w:val="000C793B"/>
    <w:rsid w:val="000D124B"/>
    <w:rsid w:val="000D264B"/>
    <w:rsid w:val="000D32E5"/>
    <w:rsid w:val="000D34A6"/>
    <w:rsid w:val="000D35FF"/>
    <w:rsid w:val="000D37BE"/>
    <w:rsid w:val="000D40AF"/>
    <w:rsid w:val="000D44AA"/>
    <w:rsid w:val="000D5CCA"/>
    <w:rsid w:val="000D7608"/>
    <w:rsid w:val="000D7C04"/>
    <w:rsid w:val="000E16BD"/>
    <w:rsid w:val="000E1816"/>
    <w:rsid w:val="000E1A4F"/>
    <w:rsid w:val="000E24B6"/>
    <w:rsid w:val="000E3E46"/>
    <w:rsid w:val="000E5026"/>
    <w:rsid w:val="000E5B9F"/>
    <w:rsid w:val="000F1F5E"/>
    <w:rsid w:val="000F2706"/>
    <w:rsid w:val="000F2AE1"/>
    <w:rsid w:val="000F37BB"/>
    <w:rsid w:val="000F482F"/>
    <w:rsid w:val="000F48BD"/>
    <w:rsid w:val="00101AA1"/>
    <w:rsid w:val="00101F89"/>
    <w:rsid w:val="00102F5D"/>
    <w:rsid w:val="001043A3"/>
    <w:rsid w:val="00105F78"/>
    <w:rsid w:val="00107C77"/>
    <w:rsid w:val="00107E2F"/>
    <w:rsid w:val="00111158"/>
    <w:rsid w:val="001132B7"/>
    <w:rsid w:val="001142A0"/>
    <w:rsid w:val="00115891"/>
    <w:rsid w:val="00117519"/>
    <w:rsid w:val="00123D7E"/>
    <w:rsid w:val="001248BD"/>
    <w:rsid w:val="00134F95"/>
    <w:rsid w:val="001418D9"/>
    <w:rsid w:val="00142BA0"/>
    <w:rsid w:val="00143DA4"/>
    <w:rsid w:val="00144145"/>
    <w:rsid w:val="001441F8"/>
    <w:rsid w:val="0014542F"/>
    <w:rsid w:val="001459FE"/>
    <w:rsid w:val="00147E31"/>
    <w:rsid w:val="00150AE6"/>
    <w:rsid w:val="00150EF8"/>
    <w:rsid w:val="00152FB6"/>
    <w:rsid w:val="001542F3"/>
    <w:rsid w:val="001548CF"/>
    <w:rsid w:val="00156601"/>
    <w:rsid w:val="00156974"/>
    <w:rsid w:val="00156D7F"/>
    <w:rsid w:val="00157614"/>
    <w:rsid w:val="0016074D"/>
    <w:rsid w:val="00162431"/>
    <w:rsid w:val="00164900"/>
    <w:rsid w:val="0016688E"/>
    <w:rsid w:val="0016764B"/>
    <w:rsid w:val="001676D8"/>
    <w:rsid w:val="001712E1"/>
    <w:rsid w:val="00172A27"/>
    <w:rsid w:val="001730B9"/>
    <w:rsid w:val="00173694"/>
    <w:rsid w:val="0017597C"/>
    <w:rsid w:val="0018053D"/>
    <w:rsid w:val="00180C97"/>
    <w:rsid w:val="0018363A"/>
    <w:rsid w:val="001871E1"/>
    <w:rsid w:val="00187903"/>
    <w:rsid w:val="00187C28"/>
    <w:rsid w:val="001907A0"/>
    <w:rsid w:val="001907BC"/>
    <w:rsid w:val="001924A2"/>
    <w:rsid w:val="00192544"/>
    <w:rsid w:val="00193ACC"/>
    <w:rsid w:val="00195388"/>
    <w:rsid w:val="00195635"/>
    <w:rsid w:val="00197977"/>
    <w:rsid w:val="001A02C6"/>
    <w:rsid w:val="001A02F0"/>
    <w:rsid w:val="001A15E2"/>
    <w:rsid w:val="001A1BD0"/>
    <w:rsid w:val="001A2383"/>
    <w:rsid w:val="001A298A"/>
    <w:rsid w:val="001A4611"/>
    <w:rsid w:val="001A5523"/>
    <w:rsid w:val="001A6E1D"/>
    <w:rsid w:val="001A7035"/>
    <w:rsid w:val="001A71D3"/>
    <w:rsid w:val="001A7BCC"/>
    <w:rsid w:val="001B03BF"/>
    <w:rsid w:val="001B156C"/>
    <w:rsid w:val="001B206F"/>
    <w:rsid w:val="001B2C2B"/>
    <w:rsid w:val="001B3A65"/>
    <w:rsid w:val="001B3F4B"/>
    <w:rsid w:val="001B564E"/>
    <w:rsid w:val="001B72A6"/>
    <w:rsid w:val="001C1AB0"/>
    <w:rsid w:val="001C6498"/>
    <w:rsid w:val="001C7FC5"/>
    <w:rsid w:val="001D21C8"/>
    <w:rsid w:val="001D3619"/>
    <w:rsid w:val="001D4085"/>
    <w:rsid w:val="001D50A9"/>
    <w:rsid w:val="001D7A53"/>
    <w:rsid w:val="001E0766"/>
    <w:rsid w:val="001E1192"/>
    <w:rsid w:val="001E2EF4"/>
    <w:rsid w:val="001E3766"/>
    <w:rsid w:val="001E4DD7"/>
    <w:rsid w:val="001E57AC"/>
    <w:rsid w:val="001E63EB"/>
    <w:rsid w:val="001E6EB3"/>
    <w:rsid w:val="001E72A7"/>
    <w:rsid w:val="001E73FF"/>
    <w:rsid w:val="001F0DE7"/>
    <w:rsid w:val="001F58C2"/>
    <w:rsid w:val="001F735E"/>
    <w:rsid w:val="001F79DA"/>
    <w:rsid w:val="00203E55"/>
    <w:rsid w:val="00205C9D"/>
    <w:rsid w:val="002060DB"/>
    <w:rsid w:val="00206B01"/>
    <w:rsid w:val="00206B46"/>
    <w:rsid w:val="0020706B"/>
    <w:rsid w:val="00207838"/>
    <w:rsid w:val="00214BA4"/>
    <w:rsid w:val="00216ECC"/>
    <w:rsid w:val="00220AE1"/>
    <w:rsid w:val="00226CA1"/>
    <w:rsid w:val="00227F82"/>
    <w:rsid w:val="002321D7"/>
    <w:rsid w:val="002331CD"/>
    <w:rsid w:val="00233D56"/>
    <w:rsid w:val="00235403"/>
    <w:rsid w:val="00235EE6"/>
    <w:rsid w:val="00242395"/>
    <w:rsid w:val="00242589"/>
    <w:rsid w:val="00243172"/>
    <w:rsid w:val="00243D70"/>
    <w:rsid w:val="00244813"/>
    <w:rsid w:val="002467CD"/>
    <w:rsid w:val="0024753B"/>
    <w:rsid w:val="0024762E"/>
    <w:rsid w:val="00247A74"/>
    <w:rsid w:val="00247BA5"/>
    <w:rsid w:val="002506D7"/>
    <w:rsid w:val="00251B7B"/>
    <w:rsid w:val="002520DB"/>
    <w:rsid w:val="00254463"/>
    <w:rsid w:val="00256718"/>
    <w:rsid w:val="002604FB"/>
    <w:rsid w:val="002612E9"/>
    <w:rsid w:val="00261D48"/>
    <w:rsid w:val="00263172"/>
    <w:rsid w:val="002634C1"/>
    <w:rsid w:val="002639C4"/>
    <w:rsid w:val="00263E33"/>
    <w:rsid w:val="00263E5D"/>
    <w:rsid w:val="00264732"/>
    <w:rsid w:val="00267DA6"/>
    <w:rsid w:val="002706C6"/>
    <w:rsid w:val="00273086"/>
    <w:rsid w:val="00273090"/>
    <w:rsid w:val="00273665"/>
    <w:rsid w:val="00273A96"/>
    <w:rsid w:val="0027412C"/>
    <w:rsid w:val="00274CBC"/>
    <w:rsid w:val="00275D0D"/>
    <w:rsid w:val="0027684B"/>
    <w:rsid w:val="00276F59"/>
    <w:rsid w:val="00277E37"/>
    <w:rsid w:val="00280B02"/>
    <w:rsid w:val="002817EA"/>
    <w:rsid w:val="00283DE4"/>
    <w:rsid w:val="00283F8B"/>
    <w:rsid w:val="0028633D"/>
    <w:rsid w:val="00287C0B"/>
    <w:rsid w:val="002911A7"/>
    <w:rsid w:val="00291951"/>
    <w:rsid w:val="00291E8F"/>
    <w:rsid w:val="00292BB2"/>
    <w:rsid w:val="002953EE"/>
    <w:rsid w:val="002A0822"/>
    <w:rsid w:val="002A4A50"/>
    <w:rsid w:val="002A731C"/>
    <w:rsid w:val="002A7693"/>
    <w:rsid w:val="002B4803"/>
    <w:rsid w:val="002B55AD"/>
    <w:rsid w:val="002B778C"/>
    <w:rsid w:val="002C012C"/>
    <w:rsid w:val="002C05DC"/>
    <w:rsid w:val="002C21EB"/>
    <w:rsid w:val="002C439E"/>
    <w:rsid w:val="002C55F8"/>
    <w:rsid w:val="002C5757"/>
    <w:rsid w:val="002C5D77"/>
    <w:rsid w:val="002C678D"/>
    <w:rsid w:val="002C6AF0"/>
    <w:rsid w:val="002C6AFA"/>
    <w:rsid w:val="002D1D84"/>
    <w:rsid w:val="002D2E33"/>
    <w:rsid w:val="002D785A"/>
    <w:rsid w:val="002E11FA"/>
    <w:rsid w:val="002E21D6"/>
    <w:rsid w:val="002E710F"/>
    <w:rsid w:val="002F0022"/>
    <w:rsid w:val="002F0D6C"/>
    <w:rsid w:val="002F1869"/>
    <w:rsid w:val="002F1C3F"/>
    <w:rsid w:val="002F2E5E"/>
    <w:rsid w:val="002F44AB"/>
    <w:rsid w:val="002F7973"/>
    <w:rsid w:val="00301D3D"/>
    <w:rsid w:val="003034CE"/>
    <w:rsid w:val="0031024E"/>
    <w:rsid w:val="00310A8A"/>
    <w:rsid w:val="00312716"/>
    <w:rsid w:val="00312F11"/>
    <w:rsid w:val="003132F6"/>
    <w:rsid w:val="00315407"/>
    <w:rsid w:val="0031550C"/>
    <w:rsid w:val="003171CC"/>
    <w:rsid w:val="00317555"/>
    <w:rsid w:val="003207A4"/>
    <w:rsid w:val="00322C3A"/>
    <w:rsid w:val="00324E5A"/>
    <w:rsid w:val="0032500F"/>
    <w:rsid w:val="00325E88"/>
    <w:rsid w:val="00325FDF"/>
    <w:rsid w:val="00327604"/>
    <w:rsid w:val="003313C3"/>
    <w:rsid w:val="003321C4"/>
    <w:rsid w:val="0033231A"/>
    <w:rsid w:val="003363C3"/>
    <w:rsid w:val="003370B5"/>
    <w:rsid w:val="0034018A"/>
    <w:rsid w:val="00343216"/>
    <w:rsid w:val="00344CC3"/>
    <w:rsid w:val="0034515E"/>
    <w:rsid w:val="00347FD1"/>
    <w:rsid w:val="003506E6"/>
    <w:rsid w:val="00350CA9"/>
    <w:rsid w:val="00351313"/>
    <w:rsid w:val="00352252"/>
    <w:rsid w:val="00352DF8"/>
    <w:rsid w:val="00356E00"/>
    <w:rsid w:val="00356E4C"/>
    <w:rsid w:val="0036466F"/>
    <w:rsid w:val="003712A9"/>
    <w:rsid w:val="00372944"/>
    <w:rsid w:val="00372A2E"/>
    <w:rsid w:val="00374FFF"/>
    <w:rsid w:val="003750CC"/>
    <w:rsid w:val="0037593E"/>
    <w:rsid w:val="00376C34"/>
    <w:rsid w:val="00376DC7"/>
    <w:rsid w:val="0038083D"/>
    <w:rsid w:val="00381086"/>
    <w:rsid w:val="00382F36"/>
    <w:rsid w:val="00387964"/>
    <w:rsid w:val="0039007B"/>
    <w:rsid w:val="00390399"/>
    <w:rsid w:val="0039079D"/>
    <w:rsid w:val="003919EC"/>
    <w:rsid w:val="003920BE"/>
    <w:rsid w:val="0039236F"/>
    <w:rsid w:val="0039291A"/>
    <w:rsid w:val="00392AA2"/>
    <w:rsid w:val="00392F5E"/>
    <w:rsid w:val="00393215"/>
    <w:rsid w:val="00394FAF"/>
    <w:rsid w:val="0039690B"/>
    <w:rsid w:val="003A217B"/>
    <w:rsid w:val="003B1278"/>
    <w:rsid w:val="003B4990"/>
    <w:rsid w:val="003C0223"/>
    <w:rsid w:val="003C05F5"/>
    <w:rsid w:val="003C10E7"/>
    <w:rsid w:val="003C49E8"/>
    <w:rsid w:val="003C5736"/>
    <w:rsid w:val="003D0990"/>
    <w:rsid w:val="003D37E8"/>
    <w:rsid w:val="003D5E40"/>
    <w:rsid w:val="003D6BE5"/>
    <w:rsid w:val="003D7EF3"/>
    <w:rsid w:val="003D7FF0"/>
    <w:rsid w:val="003E03F7"/>
    <w:rsid w:val="003E0EDA"/>
    <w:rsid w:val="003E16C4"/>
    <w:rsid w:val="003E2919"/>
    <w:rsid w:val="003E2BC3"/>
    <w:rsid w:val="003E3C53"/>
    <w:rsid w:val="003E6369"/>
    <w:rsid w:val="003F0641"/>
    <w:rsid w:val="003F2581"/>
    <w:rsid w:val="003F3003"/>
    <w:rsid w:val="003F4A08"/>
    <w:rsid w:val="003F640B"/>
    <w:rsid w:val="003F78E3"/>
    <w:rsid w:val="004016BF"/>
    <w:rsid w:val="00402036"/>
    <w:rsid w:val="00402380"/>
    <w:rsid w:val="0040727E"/>
    <w:rsid w:val="00412C52"/>
    <w:rsid w:val="0041356F"/>
    <w:rsid w:val="00414470"/>
    <w:rsid w:val="004156F2"/>
    <w:rsid w:val="0041689F"/>
    <w:rsid w:val="00416D74"/>
    <w:rsid w:val="0041735E"/>
    <w:rsid w:val="00417F32"/>
    <w:rsid w:val="0042070B"/>
    <w:rsid w:val="0042114C"/>
    <w:rsid w:val="00421FFB"/>
    <w:rsid w:val="00422D47"/>
    <w:rsid w:val="00424A8D"/>
    <w:rsid w:val="004251FE"/>
    <w:rsid w:val="00432769"/>
    <w:rsid w:val="004327DD"/>
    <w:rsid w:val="004328EB"/>
    <w:rsid w:val="00433749"/>
    <w:rsid w:val="0043527C"/>
    <w:rsid w:val="00436630"/>
    <w:rsid w:val="00436685"/>
    <w:rsid w:val="00436978"/>
    <w:rsid w:val="00437ABF"/>
    <w:rsid w:val="004406CE"/>
    <w:rsid w:val="004416B6"/>
    <w:rsid w:val="00441D2B"/>
    <w:rsid w:val="004427D6"/>
    <w:rsid w:val="00442839"/>
    <w:rsid w:val="004433EF"/>
    <w:rsid w:val="00444C92"/>
    <w:rsid w:val="00444F7A"/>
    <w:rsid w:val="00446C56"/>
    <w:rsid w:val="00446DDA"/>
    <w:rsid w:val="00446E9B"/>
    <w:rsid w:val="00447CE1"/>
    <w:rsid w:val="004503A3"/>
    <w:rsid w:val="00454768"/>
    <w:rsid w:val="00455025"/>
    <w:rsid w:val="00460571"/>
    <w:rsid w:val="004610C9"/>
    <w:rsid w:val="00461176"/>
    <w:rsid w:val="00461650"/>
    <w:rsid w:val="004637D6"/>
    <w:rsid w:val="00465728"/>
    <w:rsid w:val="004720AA"/>
    <w:rsid w:val="00472A97"/>
    <w:rsid w:val="00476809"/>
    <w:rsid w:val="00477181"/>
    <w:rsid w:val="00477D5D"/>
    <w:rsid w:val="004855D8"/>
    <w:rsid w:val="00485A61"/>
    <w:rsid w:val="004877AB"/>
    <w:rsid w:val="0049123B"/>
    <w:rsid w:val="00491DF7"/>
    <w:rsid w:val="00495FB5"/>
    <w:rsid w:val="00496736"/>
    <w:rsid w:val="00496F6F"/>
    <w:rsid w:val="00497DCD"/>
    <w:rsid w:val="004A15F2"/>
    <w:rsid w:val="004A4024"/>
    <w:rsid w:val="004A4A7B"/>
    <w:rsid w:val="004A4C34"/>
    <w:rsid w:val="004A5982"/>
    <w:rsid w:val="004A5CFE"/>
    <w:rsid w:val="004A5F5A"/>
    <w:rsid w:val="004B0A18"/>
    <w:rsid w:val="004B2464"/>
    <w:rsid w:val="004B2A1B"/>
    <w:rsid w:val="004B2DE5"/>
    <w:rsid w:val="004B331B"/>
    <w:rsid w:val="004B6F1C"/>
    <w:rsid w:val="004B7A8D"/>
    <w:rsid w:val="004C28D8"/>
    <w:rsid w:val="004C2F4D"/>
    <w:rsid w:val="004C3638"/>
    <w:rsid w:val="004C39A4"/>
    <w:rsid w:val="004C52FF"/>
    <w:rsid w:val="004C7EC7"/>
    <w:rsid w:val="004D2C8E"/>
    <w:rsid w:val="004D33DF"/>
    <w:rsid w:val="004D749D"/>
    <w:rsid w:val="004D7DEA"/>
    <w:rsid w:val="004E04DA"/>
    <w:rsid w:val="004E1D06"/>
    <w:rsid w:val="004E1FA4"/>
    <w:rsid w:val="004E20B1"/>
    <w:rsid w:val="004E22B6"/>
    <w:rsid w:val="004E3BE6"/>
    <w:rsid w:val="004E3DAA"/>
    <w:rsid w:val="004E4462"/>
    <w:rsid w:val="004E6203"/>
    <w:rsid w:val="004F18B3"/>
    <w:rsid w:val="004F25A2"/>
    <w:rsid w:val="004F42A1"/>
    <w:rsid w:val="004F5FA6"/>
    <w:rsid w:val="004F6D39"/>
    <w:rsid w:val="004F6EC9"/>
    <w:rsid w:val="004F7941"/>
    <w:rsid w:val="00500581"/>
    <w:rsid w:val="00501ED9"/>
    <w:rsid w:val="005041BE"/>
    <w:rsid w:val="005134B0"/>
    <w:rsid w:val="0051441E"/>
    <w:rsid w:val="005155D3"/>
    <w:rsid w:val="00525692"/>
    <w:rsid w:val="00527E66"/>
    <w:rsid w:val="0053241B"/>
    <w:rsid w:val="00534945"/>
    <w:rsid w:val="005360A1"/>
    <w:rsid w:val="00537C3E"/>
    <w:rsid w:val="0054431F"/>
    <w:rsid w:val="00544890"/>
    <w:rsid w:val="005448F2"/>
    <w:rsid w:val="00547FC6"/>
    <w:rsid w:val="00552615"/>
    <w:rsid w:val="005567B3"/>
    <w:rsid w:val="00556C05"/>
    <w:rsid w:val="00561150"/>
    <w:rsid w:val="005632D3"/>
    <w:rsid w:val="00564987"/>
    <w:rsid w:val="005655D1"/>
    <w:rsid w:val="005658C9"/>
    <w:rsid w:val="00565929"/>
    <w:rsid w:val="005659EE"/>
    <w:rsid w:val="00565D9A"/>
    <w:rsid w:val="00566498"/>
    <w:rsid w:val="00570874"/>
    <w:rsid w:val="005708E6"/>
    <w:rsid w:val="00570EC4"/>
    <w:rsid w:val="005812C2"/>
    <w:rsid w:val="00583F95"/>
    <w:rsid w:val="005867CB"/>
    <w:rsid w:val="00592BF0"/>
    <w:rsid w:val="00593441"/>
    <w:rsid w:val="00596AF0"/>
    <w:rsid w:val="005970E1"/>
    <w:rsid w:val="00597947"/>
    <w:rsid w:val="005A0AF1"/>
    <w:rsid w:val="005A21FC"/>
    <w:rsid w:val="005A37ED"/>
    <w:rsid w:val="005A3E06"/>
    <w:rsid w:val="005A527D"/>
    <w:rsid w:val="005B0FC6"/>
    <w:rsid w:val="005B1178"/>
    <w:rsid w:val="005B159F"/>
    <w:rsid w:val="005C0187"/>
    <w:rsid w:val="005C7BB8"/>
    <w:rsid w:val="005D0F46"/>
    <w:rsid w:val="005D24E1"/>
    <w:rsid w:val="005D26A8"/>
    <w:rsid w:val="005D62FC"/>
    <w:rsid w:val="005D7826"/>
    <w:rsid w:val="005E016C"/>
    <w:rsid w:val="005E0E0C"/>
    <w:rsid w:val="005E1C3F"/>
    <w:rsid w:val="005E2178"/>
    <w:rsid w:val="005E38D2"/>
    <w:rsid w:val="005E4B8D"/>
    <w:rsid w:val="005E4DF6"/>
    <w:rsid w:val="005E6A5B"/>
    <w:rsid w:val="005E7290"/>
    <w:rsid w:val="005F072F"/>
    <w:rsid w:val="005F0A77"/>
    <w:rsid w:val="005F0A83"/>
    <w:rsid w:val="005F234F"/>
    <w:rsid w:val="005F3C50"/>
    <w:rsid w:val="005F568E"/>
    <w:rsid w:val="005F6389"/>
    <w:rsid w:val="006047F8"/>
    <w:rsid w:val="006066A6"/>
    <w:rsid w:val="00606CC4"/>
    <w:rsid w:val="00610348"/>
    <w:rsid w:val="00610F9F"/>
    <w:rsid w:val="006138EE"/>
    <w:rsid w:val="0061452E"/>
    <w:rsid w:val="00615D9E"/>
    <w:rsid w:val="00620208"/>
    <w:rsid w:val="00620423"/>
    <w:rsid w:val="00621643"/>
    <w:rsid w:val="006223A8"/>
    <w:rsid w:val="006227ED"/>
    <w:rsid w:val="00624274"/>
    <w:rsid w:val="00624E03"/>
    <w:rsid w:val="0062514C"/>
    <w:rsid w:val="006262CA"/>
    <w:rsid w:val="00626CD9"/>
    <w:rsid w:val="00627B5E"/>
    <w:rsid w:val="00627BA7"/>
    <w:rsid w:val="00630956"/>
    <w:rsid w:val="00631B21"/>
    <w:rsid w:val="0063472E"/>
    <w:rsid w:val="00636115"/>
    <w:rsid w:val="00636BFA"/>
    <w:rsid w:val="00640016"/>
    <w:rsid w:val="00641A6D"/>
    <w:rsid w:val="00641EED"/>
    <w:rsid w:val="00642106"/>
    <w:rsid w:val="00646876"/>
    <w:rsid w:val="00646D7C"/>
    <w:rsid w:val="00650DEF"/>
    <w:rsid w:val="00651741"/>
    <w:rsid w:val="006546EF"/>
    <w:rsid w:val="00656BC8"/>
    <w:rsid w:val="00660BD1"/>
    <w:rsid w:val="0066251E"/>
    <w:rsid w:val="0066273D"/>
    <w:rsid w:val="00662D0D"/>
    <w:rsid w:val="006642D3"/>
    <w:rsid w:val="006649EB"/>
    <w:rsid w:val="00665FA5"/>
    <w:rsid w:val="00667D49"/>
    <w:rsid w:val="006711A5"/>
    <w:rsid w:val="00673AE0"/>
    <w:rsid w:val="00676441"/>
    <w:rsid w:val="00676D4D"/>
    <w:rsid w:val="00677567"/>
    <w:rsid w:val="00677AFF"/>
    <w:rsid w:val="00677C25"/>
    <w:rsid w:val="00682BA7"/>
    <w:rsid w:val="00683238"/>
    <w:rsid w:val="0068573F"/>
    <w:rsid w:val="006871EA"/>
    <w:rsid w:val="00687B7B"/>
    <w:rsid w:val="00691499"/>
    <w:rsid w:val="00692356"/>
    <w:rsid w:val="0069340D"/>
    <w:rsid w:val="006A36FB"/>
    <w:rsid w:val="006A3D20"/>
    <w:rsid w:val="006A57F9"/>
    <w:rsid w:val="006A769A"/>
    <w:rsid w:val="006A7A55"/>
    <w:rsid w:val="006B06A4"/>
    <w:rsid w:val="006B259D"/>
    <w:rsid w:val="006B28A5"/>
    <w:rsid w:val="006B2DDC"/>
    <w:rsid w:val="006B5939"/>
    <w:rsid w:val="006B5B32"/>
    <w:rsid w:val="006B6D45"/>
    <w:rsid w:val="006B756B"/>
    <w:rsid w:val="006B776D"/>
    <w:rsid w:val="006C0C87"/>
    <w:rsid w:val="006C2D83"/>
    <w:rsid w:val="006C3F2E"/>
    <w:rsid w:val="006C4D9E"/>
    <w:rsid w:val="006D10DC"/>
    <w:rsid w:val="006D22CB"/>
    <w:rsid w:val="006D281E"/>
    <w:rsid w:val="006D33B9"/>
    <w:rsid w:val="006D3823"/>
    <w:rsid w:val="006D3E5C"/>
    <w:rsid w:val="006D431A"/>
    <w:rsid w:val="006D6DB9"/>
    <w:rsid w:val="006D6E6C"/>
    <w:rsid w:val="006E149F"/>
    <w:rsid w:val="006E4514"/>
    <w:rsid w:val="006E5C42"/>
    <w:rsid w:val="006F2B13"/>
    <w:rsid w:val="006F37AF"/>
    <w:rsid w:val="006F3AE1"/>
    <w:rsid w:val="006F581B"/>
    <w:rsid w:val="006F6906"/>
    <w:rsid w:val="006F74F7"/>
    <w:rsid w:val="006F7577"/>
    <w:rsid w:val="006F7E68"/>
    <w:rsid w:val="00702AE3"/>
    <w:rsid w:val="0070567E"/>
    <w:rsid w:val="00705ADC"/>
    <w:rsid w:val="0070659F"/>
    <w:rsid w:val="00711351"/>
    <w:rsid w:val="00712304"/>
    <w:rsid w:val="007148E9"/>
    <w:rsid w:val="00717526"/>
    <w:rsid w:val="00721C9B"/>
    <w:rsid w:val="0072285B"/>
    <w:rsid w:val="00722909"/>
    <w:rsid w:val="00723249"/>
    <w:rsid w:val="00724E82"/>
    <w:rsid w:val="007255B9"/>
    <w:rsid w:val="007260DC"/>
    <w:rsid w:val="00726E74"/>
    <w:rsid w:val="00727EF2"/>
    <w:rsid w:val="00731661"/>
    <w:rsid w:val="00733038"/>
    <w:rsid w:val="0073421A"/>
    <w:rsid w:val="00734A39"/>
    <w:rsid w:val="00734D37"/>
    <w:rsid w:val="007368F4"/>
    <w:rsid w:val="00737B82"/>
    <w:rsid w:val="00737E3E"/>
    <w:rsid w:val="007447D9"/>
    <w:rsid w:val="007455A5"/>
    <w:rsid w:val="007471FE"/>
    <w:rsid w:val="00747C3E"/>
    <w:rsid w:val="00750C7B"/>
    <w:rsid w:val="0075398A"/>
    <w:rsid w:val="00753FB8"/>
    <w:rsid w:val="00756213"/>
    <w:rsid w:val="00757369"/>
    <w:rsid w:val="00760264"/>
    <w:rsid w:val="0076125E"/>
    <w:rsid w:val="0076140A"/>
    <w:rsid w:val="007614A0"/>
    <w:rsid w:val="00763739"/>
    <w:rsid w:val="00765B3C"/>
    <w:rsid w:val="007661C5"/>
    <w:rsid w:val="00766CC5"/>
    <w:rsid w:val="00766FFD"/>
    <w:rsid w:val="0076789B"/>
    <w:rsid w:val="00772FF3"/>
    <w:rsid w:val="0077612D"/>
    <w:rsid w:val="00776E53"/>
    <w:rsid w:val="007807E5"/>
    <w:rsid w:val="0078403F"/>
    <w:rsid w:val="007853BD"/>
    <w:rsid w:val="007857C2"/>
    <w:rsid w:val="00791C66"/>
    <w:rsid w:val="007951AE"/>
    <w:rsid w:val="007960FC"/>
    <w:rsid w:val="007A1325"/>
    <w:rsid w:val="007A159F"/>
    <w:rsid w:val="007A260C"/>
    <w:rsid w:val="007A4561"/>
    <w:rsid w:val="007A4969"/>
    <w:rsid w:val="007B01BC"/>
    <w:rsid w:val="007B096A"/>
    <w:rsid w:val="007B1CBE"/>
    <w:rsid w:val="007B1E99"/>
    <w:rsid w:val="007B1F1B"/>
    <w:rsid w:val="007B3828"/>
    <w:rsid w:val="007B5BCC"/>
    <w:rsid w:val="007B63BA"/>
    <w:rsid w:val="007C0582"/>
    <w:rsid w:val="007C16F6"/>
    <w:rsid w:val="007C2438"/>
    <w:rsid w:val="007C2929"/>
    <w:rsid w:val="007C53A7"/>
    <w:rsid w:val="007C5815"/>
    <w:rsid w:val="007C5EC1"/>
    <w:rsid w:val="007D0A9C"/>
    <w:rsid w:val="007D12ED"/>
    <w:rsid w:val="007D37BB"/>
    <w:rsid w:val="007D518A"/>
    <w:rsid w:val="007D6002"/>
    <w:rsid w:val="007D6F46"/>
    <w:rsid w:val="007D6F8A"/>
    <w:rsid w:val="007E062F"/>
    <w:rsid w:val="007E27CB"/>
    <w:rsid w:val="007E32A9"/>
    <w:rsid w:val="007E5FF6"/>
    <w:rsid w:val="007F0CD4"/>
    <w:rsid w:val="007F15F0"/>
    <w:rsid w:val="007F3D18"/>
    <w:rsid w:val="007F3EA6"/>
    <w:rsid w:val="007F53FB"/>
    <w:rsid w:val="007F581B"/>
    <w:rsid w:val="00800E4A"/>
    <w:rsid w:val="008015DF"/>
    <w:rsid w:val="00801640"/>
    <w:rsid w:val="0080288E"/>
    <w:rsid w:val="008053EB"/>
    <w:rsid w:val="00805A0A"/>
    <w:rsid w:val="00810AF7"/>
    <w:rsid w:val="0081201D"/>
    <w:rsid w:val="0081203C"/>
    <w:rsid w:val="00812ECD"/>
    <w:rsid w:val="00813751"/>
    <w:rsid w:val="0081473D"/>
    <w:rsid w:val="00814922"/>
    <w:rsid w:val="00814C13"/>
    <w:rsid w:val="008157AE"/>
    <w:rsid w:val="008167AB"/>
    <w:rsid w:val="00820A25"/>
    <w:rsid w:val="0082440D"/>
    <w:rsid w:val="00824706"/>
    <w:rsid w:val="00824D51"/>
    <w:rsid w:val="008325FA"/>
    <w:rsid w:val="00835356"/>
    <w:rsid w:val="008438BA"/>
    <w:rsid w:val="00844F4F"/>
    <w:rsid w:val="008453B8"/>
    <w:rsid w:val="0084547F"/>
    <w:rsid w:val="008468CD"/>
    <w:rsid w:val="00847827"/>
    <w:rsid w:val="0085148F"/>
    <w:rsid w:val="00851812"/>
    <w:rsid w:val="00854541"/>
    <w:rsid w:val="00854940"/>
    <w:rsid w:val="00854C73"/>
    <w:rsid w:val="008616A6"/>
    <w:rsid w:val="00861D4F"/>
    <w:rsid w:val="00862075"/>
    <w:rsid w:val="008621FE"/>
    <w:rsid w:val="008640C8"/>
    <w:rsid w:val="008662A2"/>
    <w:rsid w:val="0086786D"/>
    <w:rsid w:val="0087108E"/>
    <w:rsid w:val="0087113D"/>
    <w:rsid w:val="00871DE9"/>
    <w:rsid w:val="0087419B"/>
    <w:rsid w:val="00881A46"/>
    <w:rsid w:val="00882A6A"/>
    <w:rsid w:val="00884E43"/>
    <w:rsid w:val="00885A60"/>
    <w:rsid w:val="00885CF7"/>
    <w:rsid w:val="008869B1"/>
    <w:rsid w:val="00886E69"/>
    <w:rsid w:val="008934FA"/>
    <w:rsid w:val="00894C77"/>
    <w:rsid w:val="008A0F83"/>
    <w:rsid w:val="008A175E"/>
    <w:rsid w:val="008A2E40"/>
    <w:rsid w:val="008A54EA"/>
    <w:rsid w:val="008B15BE"/>
    <w:rsid w:val="008B2BAE"/>
    <w:rsid w:val="008B44FC"/>
    <w:rsid w:val="008B4FD1"/>
    <w:rsid w:val="008B7645"/>
    <w:rsid w:val="008C5726"/>
    <w:rsid w:val="008C5857"/>
    <w:rsid w:val="008D0512"/>
    <w:rsid w:val="008D0FD8"/>
    <w:rsid w:val="008D1468"/>
    <w:rsid w:val="008D33D6"/>
    <w:rsid w:val="008D5A00"/>
    <w:rsid w:val="008E0EA8"/>
    <w:rsid w:val="008E5FB9"/>
    <w:rsid w:val="008E6FDB"/>
    <w:rsid w:val="008E73BF"/>
    <w:rsid w:val="008E7818"/>
    <w:rsid w:val="008E7A3B"/>
    <w:rsid w:val="008F33D6"/>
    <w:rsid w:val="008F5689"/>
    <w:rsid w:val="008F6495"/>
    <w:rsid w:val="008F69BF"/>
    <w:rsid w:val="009003B0"/>
    <w:rsid w:val="009013C0"/>
    <w:rsid w:val="009015AD"/>
    <w:rsid w:val="009022C8"/>
    <w:rsid w:val="00902F09"/>
    <w:rsid w:val="009036DE"/>
    <w:rsid w:val="0090416C"/>
    <w:rsid w:val="009043EF"/>
    <w:rsid w:val="00907956"/>
    <w:rsid w:val="0091079F"/>
    <w:rsid w:val="009153E3"/>
    <w:rsid w:val="0091597F"/>
    <w:rsid w:val="009177D8"/>
    <w:rsid w:val="00921DCF"/>
    <w:rsid w:val="00923D59"/>
    <w:rsid w:val="0092464E"/>
    <w:rsid w:val="00924F4C"/>
    <w:rsid w:val="009304F2"/>
    <w:rsid w:val="00932D2E"/>
    <w:rsid w:val="009337F2"/>
    <w:rsid w:val="00934B5A"/>
    <w:rsid w:val="0094138A"/>
    <w:rsid w:val="00944EB6"/>
    <w:rsid w:val="00946554"/>
    <w:rsid w:val="0095328B"/>
    <w:rsid w:val="00953385"/>
    <w:rsid w:val="009536E4"/>
    <w:rsid w:val="009553EB"/>
    <w:rsid w:val="009556E8"/>
    <w:rsid w:val="00960332"/>
    <w:rsid w:val="009613C1"/>
    <w:rsid w:val="009629B9"/>
    <w:rsid w:val="00963C82"/>
    <w:rsid w:val="00971A66"/>
    <w:rsid w:val="00972E6D"/>
    <w:rsid w:val="009754A1"/>
    <w:rsid w:val="00975EF9"/>
    <w:rsid w:val="00977B4F"/>
    <w:rsid w:val="00977B6C"/>
    <w:rsid w:val="00977F3F"/>
    <w:rsid w:val="00977FDF"/>
    <w:rsid w:val="00981B94"/>
    <w:rsid w:val="00982A52"/>
    <w:rsid w:val="009850DD"/>
    <w:rsid w:val="009852EE"/>
    <w:rsid w:val="009918A8"/>
    <w:rsid w:val="00995CC6"/>
    <w:rsid w:val="009964F7"/>
    <w:rsid w:val="009A07B6"/>
    <w:rsid w:val="009A2934"/>
    <w:rsid w:val="009A3167"/>
    <w:rsid w:val="009A488C"/>
    <w:rsid w:val="009A6B01"/>
    <w:rsid w:val="009A7AB1"/>
    <w:rsid w:val="009A7B0A"/>
    <w:rsid w:val="009B0E77"/>
    <w:rsid w:val="009B3115"/>
    <w:rsid w:val="009B7931"/>
    <w:rsid w:val="009B7C3D"/>
    <w:rsid w:val="009C0DB7"/>
    <w:rsid w:val="009C21D3"/>
    <w:rsid w:val="009C3BDF"/>
    <w:rsid w:val="009C61F8"/>
    <w:rsid w:val="009C6399"/>
    <w:rsid w:val="009C700D"/>
    <w:rsid w:val="009D069F"/>
    <w:rsid w:val="009D117E"/>
    <w:rsid w:val="009D1696"/>
    <w:rsid w:val="009D2C81"/>
    <w:rsid w:val="009D3378"/>
    <w:rsid w:val="009D3BCE"/>
    <w:rsid w:val="009D4762"/>
    <w:rsid w:val="009D61D3"/>
    <w:rsid w:val="009D6FD8"/>
    <w:rsid w:val="009D74F4"/>
    <w:rsid w:val="009E0181"/>
    <w:rsid w:val="009E0883"/>
    <w:rsid w:val="009E1ED3"/>
    <w:rsid w:val="009E213B"/>
    <w:rsid w:val="009E215B"/>
    <w:rsid w:val="009E451B"/>
    <w:rsid w:val="009F0897"/>
    <w:rsid w:val="009F1342"/>
    <w:rsid w:val="009F2CAB"/>
    <w:rsid w:val="009F2CDA"/>
    <w:rsid w:val="009F4F46"/>
    <w:rsid w:val="009F5345"/>
    <w:rsid w:val="009F53C2"/>
    <w:rsid w:val="009F58A2"/>
    <w:rsid w:val="009F58FF"/>
    <w:rsid w:val="009F5EBA"/>
    <w:rsid w:val="009F6F50"/>
    <w:rsid w:val="00A001E4"/>
    <w:rsid w:val="00A00406"/>
    <w:rsid w:val="00A00462"/>
    <w:rsid w:val="00A0057C"/>
    <w:rsid w:val="00A0210F"/>
    <w:rsid w:val="00A03A54"/>
    <w:rsid w:val="00A042FE"/>
    <w:rsid w:val="00A04CDB"/>
    <w:rsid w:val="00A058CF"/>
    <w:rsid w:val="00A072FE"/>
    <w:rsid w:val="00A07475"/>
    <w:rsid w:val="00A07496"/>
    <w:rsid w:val="00A10865"/>
    <w:rsid w:val="00A11537"/>
    <w:rsid w:val="00A11A7A"/>
    <w:rsid w:val="00A1282D"/>
    <w:rsid w:val="00A128C5"/>
    <w:rsid w:val="00A16572"/>
    <w:rsid w:val="00A20055"/>
    <w:rsid w:val="00A2030B"/>
    <w:rsid w:val="00A2091D"/>
    <w:rsid w:val="00A210A1"/>
    <w:rsid w:val="00A21AE9"/>
    <w:rsid w:val="00A22D6C"/>
    <w:rsid w:val="00A231F8"/>
    <w:rsid w:val="00A24CA1"/>
    <w:rsid w:val="00A253D8"/>
    <w:rsid w:val="00A269A7"/>
    <w:rsid w:val="00A31277"/>
    <w:rsid w:val="00A34428"/>
    <w:rsid w:val="00A412D6"/>
    <w:rsid w:val="00A44C1F"/>
    <w:rsid w:val="00A46DAF"/>
    <w:rsid w:val="00A47C58"/>
    <w:rsid w:val="00A529A1"/>
    <w:rsid w:val="00A52BA6"/>
    <w:rsid w:val="00A52F2C"/>
    <w:rsid w:val="00A53972"/>
    <w:rsid w:val="00A54B3F"/>
    <w:rsid w:val="00A57150"/>
    <w:rsid w:val="00A61261"/>
    <w:rsid w:val="00A61FD4"/>
    <w:rsid w:val="00A63AA9"/>
    <w:rsid w:val="00A65221"/>
    <w:rsid w:val="00A669E9"/>
    <w:rsid w:val="00A67D0F"/>
    <w:rsid w:val="00A734AE"/>
    <w:rsid w:val="00A73CBF"/>
    <w:rsid w:val="00A73E47"/>
    <w:rsid w:val="00A73F76"/>
    <w:rsid w:val="00A77338"/>
    <w:rsid w:val="00A83BDD"/>
    <w:rsid w:val="00A86542"/>
    <w:rsid w:val="00A87CCD"/>
    <w:rsid w:val="00A87F7C"/>
    <w:rsid w:val="00A908A5"/>
    <w:rsid w:val="00A91DAE"/>
    <w:rsid w:val="00A93BB7"/>
    <w:rsid w:val="00A9633A"/>
    <w:rsid w:val="00A972EF"/>
    <w:rsid w:val="00AA46EA"/>
    <w:rsid w:val="00AA559B"/>
    <w:rsid w:val="00AA7704"/>
    <w:rsid w:val="00AB29C4"/>
    <w:rsid w:val="00AB4FD3"/>
    <w:rsid w:val="00AB60C4"/>
    <w:rsid w:val="00AB6B21"/>
    <w:rsid w:val="00AC14F0"/>
    <w:rsid w:val="00AC1CF2"/>
    <w:rsid w:val="00AC2DF7"/>
    <w:rsid w:val="00AC548A"/>
    <w:rsid w:val="00AC5A56"/>
    <w:rsid w:val="00AD5C59"/>
    <w:rsid w:val="00AE0CBA"/>
    <w:rsid w:val="00AE270B"/>
    <w:rsid w:val="00AE5064"/>
    <w:rsid w:val="00AE5365"/>
    <w:rsid w:val="00AE55CB"/>
    <w:rsid w:val="00AF3FDF"/>
    <w:rsid w:val="00AF472C"/>
    <w:rsid w:val="00AF5069"/>
    <w:rsid w:val="00AF564E"/>
    <w:rsid w:val="00AF5C47"/>
    <w:rsid w:val="00AF6318"/>
    <w:rsid w:val="00AF6ACD"/>
    <w:rsid w:val="00B0025D"/>
    <w:rsid w:val="00B01326"/>
    <w:rsid w:val="00B01494"/>
    <w:rsid w:val="00B0164D"/>
    <w:rsid w:val="00B0165D"/>
    <w:rsid w:val="00B019F5"/>
    <w:rsid w:val="00B02152"/>
    <w:rsid w:val="00B0224A"/>
    <w:rsid w:val="00B04CC4"/>
    <w:rsid w:val="00B04F4E"/>
    <w:rsid w:val="00B052BC"/>
    <w:rsid w:val="00B05BCA"/>
    <w:rsid w:val="00B05CB2"/>
    <w:rsid w:val="00B133E6"/>
    <w:rsid w:val="00B16241"/>
    <w:rsid w:val="00B20440"/>
    <w:rsid w:val="00B222AE"/>
    <w:rsid w:val="00B22D6C"/>
    <w:rsid w:val="00B33B98"/>
    <w:rsid w:val="00B349F7"/>
    <w:rsid w:val="00B34E47"/>
    <w:rsid w:val="00B3578A"/>
    <w:rsid w:val="00B37BC3"/>
    <w:rsid w:val="00B407E6"/>
    <w:rsid w:val="00B431EF"/>
    <w:rsid w:val="00B456ED"/>
    <w:rsid w:val="00B45C5A"/>
    <w:rsid w:val="00B47ECF"/>
    <w:rsid w:val="00B51ADD"/>
    <w:rsid w:val="00B53FE5"/>
    <w:rsid w:val="00B553D8"/>
    <w:rsid w:val="00B569AD"/>
    <w:rsid w:val="00B56E34"/>
    <w:rsid w:val="00B57039"/>
    <w:rsid w:val="00B604C0"/>
    <w:rsid w:val="00B6093A"/>
    <w:rsid w:val="00B625F0"/>
    <w:rsid w:val="00B63DE8"/>
    <w:rsid w:val="00B668D2"/>
    <w:rsid w:val="00B674FA"/>
    <w:rsid w:val="00B72C1F"/>
    <w:rsid w:val="00B73C5F"/>
    <w:rsid w:val="00B74177"/>
    <w:rsid w:val="00B745C8"/>
    <w:rsid w:val="00B758CA"/>
    <w:rsid w:val="00B76028"/>
    <w:rsid w:val="00B76D53"/>
    <w:rsid w:val="00B77306"/>
    <w:rsid w:val="00B81826"/>
    <w:rsid w:val="00B82656"/>
    <w:rsid w:val="00B83704"/>
    <w:rsid w:val="00B90CC2"/>
    <w:rsid w:val="00B93330"/>
    <w:rsid w:val="00B9583E"/>
    <w:rsid w:val="00B96017"/>
    <w:rsid w:val="00B96778"/>
    <w:rsid w:val="00BA2BEC"/>
    <w:rsid w:val="00BA4E80"/>
    <w:rsid w:val="00BA558A"/>
    <w:rsid w:val="00BA56B6"/>
    <w:rsid w:val="00BB60A8"/>
    <w:rsid w:val="00BB6C41"/>
    <w:rsid w:val="00BC1339"/>
    <w:rsid w:val="00BC25F1"/>
    <w:rsid w:val="00BC3E88"/>
    <w:rsid w:val="00BC551C"/>
    <w:rsid w:val="00BC6835"/>
    <w:rsid w:val="00BC7101"/>
    <w:rsid w:val="00BC7104"/>
    <w:rsid w:val="00BD0BA4"/>
    <w:rsid w:val="00BD1F78"/>
    <w:rsid w:val="00BD1FC3"/>
    <w:rsid w:val="00BD21B6"/>
    <w:rsid w:val="00BD658D"/>
    <w:rsid w:val="00BE1259"/>
    <w:rsid w:val="00BE73A7"/>
    <w:rsid w:val="00BE7A17"/>
    <w:rsid w:val="00BF05E9"/>
    <w:rsid w:val="00BF0647"/>
    <w:rsid w:val="00BF0A4A"/>
    <w:rsid w:val="00BF0B8D"/>
    <w:rsid w:val="00BF27B9"/>
    <w:rsid w:val="00BF33D3"/>
    <w:rsid w:val="00BF43AB"/>
    <w:rsid w:val="00BF6277"/>
    <w:rsid w:val="00C00CEE"/>
    <w:rsid w:val="00C02A92"/>
    <w:rsid w:val="00C06624"/>
    <w:rsid w:val="00C07BCE"/>
    <w:rsid w:val="00C07D79"/>
    <w:rsid w:val="00C10B17"/>
    <w:rsid w:val="00C117C2"/>
    <w:rsid w:val="00C11868"/>
    <w:rsid w:val="00C11DD2"/>
    <w:rsid w:val="00C1201A"/>
    <w:rsid w:val="00C143B2"/>
    <w:rsid w:val="00C16188"/>
    <w:rsid w:val="00C22374"/>
    <w:rsid w:val="00C2276F"/>
    <w:rsid w:val="00C22EE3"/>
    <w:rsid w:val="00C2313E"/>
    <w:rsid w:val="00C23FFB"/>
    <w:rsid w:val="00C25468"/>
    <w:rsid w:val="00C25951"/>
    <w:rsid w:val="00C25D8D"/>
    <w:rsid w:val="00C2698A"/>
    <w:rsid w:val="00C26CBB"/>
    <w:rsid w:val="00C308CC"/>
    <w:rsid w:val="00C30A7C"/>
    <w:rsid w:val="00C30E54"/>
    <w:rsid w:val="00C31351"/>
    <w:rsid w:val="00C3284E"/>
    <w:rsid w:val="00C32BC8"/>
    <w:rsid w:val="00C33B22"/>
    <w:rsid w:val="00C34157"/>
    <w:rsid w:val="00C348C3"/>
    <w:rsid w:val="00C41CE3"/>
    <w:rsid w:val="00C44CDE"/>
    <w:rsid w:val="00C45A88"/>
    <w:rsid w:val="00C515F8"/>
    <w:rsid w:val="00C5195C"/>
    <w:rsid w:val="00C51ED5"/>
    <w:rsid w:val="00C52063"/>
    <w:rsid w:val="00C57012"/>
    <w:rsid w:val="00C60D35"/>
    <w:rsid w:val="00C61094"/>
    <w:rsid w:val="00C61427"/>
    <w:rsid w:val="00C61E0A"/>
    <w:rsid w:val="00C6411B"/>
    <w:rsid w:val="00C65202"/>
    <w:rsid w:val="00C663DB"/>
    <w:rsid w:val="00C663E9"/>
    <w:rsid w:val="00C66CD2"/>
    <w:rsid w:val="00C67163"/>
    <w:rsid w:val="00C72429"/>
    <w:rsid w:val="00C727E6"/>
    <w:rsid w:val="00C75D95"/>
    <w:rsid w:val="00C76049"/>
    <w:rsid w:val="00C770DB"/>
    <w:rsid w:val="00C80786"/>
    <w:rsid w:val="00C807F9"/>
    <w:rsid w:val="00C81852"/>
    <w:rsid w:val="00C81D03"/>
    <w:rsid w:val="00C830AA"/>
    <w:rsid w:val="00C83E2E"/>
    <w:rsid w:val="00C853F1"/>
    <w:rsid w:val="00C8640F"/>
    <w:rsid w:val="00C8783D"/>
    <w:rsid w:val="00C92A41"/>
    <w:rsid w:val="00C947F0"/>
    <w:rsid w:val="00C9697A"/>
    <w:rsid w:val="00CA4C41"/>
    <w:rsid w:val="00CA6181"/>
    <w:rsid w:val="00CA6AE9"/>
    <w:rsid w:val="00CA72A8"/>
    <w:rsid w:val="00CA7C49"/>
    <w:rsid w:val="00CB042D"/>
    <w:rsid w:val="00CB0887"/>
    <w:rsid w:val="00CB1D9E"/>
    <w:rsid w:val="00CB2D1D"/>
    <w:rsid w:val="00CB6351"/>
    <w:rsid w:val="00CB6A15"/>
    <w:rsid w:val="00CC1988"/>
    <w:rsid w:val="00CC19AA"/>
    <w:rsid w:val="00CC277E"/>
    <w:rsid w:val="00CC3268"/>
    <w:rsid w:val="00CC3865"/>
    <w:rsid w:val="00CC4C2B"/>
    <w:rsid w:val="00CC4F54"/>
    <w:rsid w:val="00CC5C28"/>
    <w:rsid w:val="00CC6A6D"/>
    <w:rsid w:val="00CD01A6"/>
    <w:rsid w:val="00CD4E1A"/>
    <w:rsid w:val="00CD56D6"/>
    <w:rsid w:val="00CD5D4A"/>
    <w:rsid w:val="00CD5D7A"/>
    <w:rsid w:val="00CD740C"/>
    <w:rsid w:val="00CE1BE6"/>
    <w:rsid w:val="00CE2020"/>
    <w:rsid w:val="00CE36B8"/>
    <w:rsid w:val="00CE4D5D"/>
    <w:rsid w:val="00CE5292"/>
    <w:rsid w:val="00CE6E37"/>
    <w:rsid w:val="00CE7334"/>
    <w:rsid w:val="00CF161B"/>
    <w:rsid w:val="00CF2CF7"/>
    <w:rsid w:val="00CF3C93"/>
    <w:rsid w:val="00CF4907"/>
    <w:rsid w:val="00CF7BA7"/>
    <w:rsid w:val="00D00EA8"/>
    <w:rsid w:val="00D01135"/>
    <w:rsid w:val="00D015C5"/>
    <w:rsid w:val="00D0291B"/>
    <w:rsid w:val="00D03455"/>
    <w:rsid w:val="00D05BF5"/>
    <w:rsid w:val="00D0705D"/>
    <w:rsid w:val="00D10173"/>
    <w:rsid w:val="00D12938"/>
    <w:rsid w:val="00D14C73"/>
    <w:rsid w:val="00D23BBE"/>
    <w:rsid w:val="00D252DA"/>
    <w:rsid w:val="00D25F1E"/>
    <w:rsid w:val="00D26587"/>
    <w:rsid w:val="00D27AF2"/>
    <w:rsid w:val="00D32D8D"/>
    <w:rsid w:val="00D33266"/>
    <w:rsid w:val="00D33644"/>
    <w:rsid w:val="00D33CE4"/>
    <w:rsid w:val="00D3477B"/>
    <w:rsid w:val="00D364FF"/>
    <w:rsid w:val="00D410C9"/>
    <w:rsid w:val="00D41D85"/>
    <w:rsid w:val="00D41E86"/>
    <w:rsid w:val="00D4220E"/>
    <w:rsid w:val="00D42316"/>
    <w:rsid w:val="00D427FC"/>
    <w:rsid w:val="00D4394A"/>
    <w:rsid w:val="00D43D75"/>
    <w:rsid w:val="00D44D3A"/>
    <w:rsid w:val="00D44F9B"/>
    <w:rsid w:val="00D45885"/>
    <w:rsid w:val="00D4589B"/>
    <w:rsid w:val="00D45961"/>
    <w:rsid w:val="00D45983"/>
    <w:rsid w:val="00D459BF"/>
    <w:rsid w:val="00D47231"/>
    <w:rsid w:val="00D47A53"/>
    <w:rsid w:val="00D47DA8"/>
    <w:rsid w:val="00D52E6E"/>
    <w:rsid w:val="00D54B02"/>
    <w:rsid w:val="00D554CB"/>
    <w:rsid w:val="00D56029"/>
    <w:rsid w:val="00D60680"/>
    <w:rsid w:val="00D61B4E"/>
    <w:rsid w:val="00D63C8C"/>
    <w:rsid w:val="00D676CA"/>
    <w:rsid w:val="00D7171A"/>
    <w:rsid w:val="00D726C9"/>
    <w:rsid w:val="00D7414F"/>
    <w:rsid w:val="00D74440"/>
    <w:rsid w:val="00D74639"/>
    <w:rsid w:val="00D77B55"/>
    <w:rsid w:val="00D77F22"/>
    <w:rsid w:val="00D800EA"/>
    <w:rsid w:val="00D81263"/>
    <w:rsid w:val="00D8151C"/>
    <w:rsid w:val="00D818A2"/>
    <w:rsid w:val="00D83991"/>
    <w:rsid w:val="00D83A75"/>
    <w:rsid w:val="00D848FF"/>
    <w:rsid w:val="00D86515"/>
    <w:rsid w:val="00D87F3E"/>
    <w:rsid w:val="00D92DBF"/>
    <w:rsid w:val="00D942F0"/>
    <w:rsid w:val="00D95E5C"/>
    <w:rsid w:val="00D96875"/>
    <w:rsid w:val="00D9704A"/>
    <w:rsid w:val="00D97EF9"/>
    <w:rsid w:val="00DA2837"/>
    <w:rsid w:val="00DA2B17"/>
    <w:rsid w:val="00DA2C69"/>
    <w:rsid w:val="00DA3DE8"/>
    <w:rsid w:val="00DA4BD2"/>
    <w:rsid w:val="00DA77E7"/>
    <w:rsid w:val="00DB0341"/>
    <w:rsid w:val="00DB1144"/>
    <w:rsid w:val="00DB1A6E"/>
    <w:rsid w:val="00DB3373"/>
    <w:rsid w:val="00DB3ACE"/>
    <w:rsid w:val="00DB4415"/>
    <w:rsid w:val="00DB498F"/>
    <w:rsid w:val="00DB60E5"/>
    <w:rsid w:val="00DB6442"/>
    <w:rsid w:val="00DB662D"/>
    <w:rsid w:val="00DB6793"/>
    <w:rsid w:val="00DC4310"/>
    <w:rsid w:val="00DC69A7"/>
    <w:rsid w:val="00DC7BE4"/>
    <w:rsid w:val="00DC7E56"/>
    <w:rsid w:val="00DD07D3"/>
    <w:rsid w:val="00DD19A1"/>
    <w:rsid w:val="00DD2557"/>
    <w:rsid w:val="00DD2F89"/>
    <w:rsid w:val="00DD35DC"/>
    <w:rsid w:val="00DD76FC"/>
    <w:rsid w:val="00DE02C7"/>
    <w:rsid w:val="00DE0934"/>
    <w:rsid w:val="00DE105F"/>
    <w:rsid w:val="00DE20EA"/>
    <w:rsid w:val="00DE658A"/>
    <w:rsid w:val="00DE6720"/>
    <w:rsid w:val="00DE779C"/>
    <w:rsid w:val="00DF0BEC"/>
    <w:rsid w:val="00DF47DD"/>
    <w:rsid w:val="00DF47F8"/>
    <w:rsid w:val="00DF73FE"/>
    <w:rsid w:val="00E01478"/>
    <w:rsid w:val="00E01655"/>
    <w:rsid w:val="00E01E5D"/>
    <w:rsid w:val="00E01F01"/>
    <w:rsid w:val="00E04274"/>
    <w:rsid w:val="00E10EFB"/>
    <w:rsid w:val="00E11B65"/>
    <w:rsid w:val="00E11DC5"/>
    <w:rsid w:val="00E12295"/>
    <w:rsid w:val="00E14450"/>
    <w:rsid w:val="00E208F2"/>
    <w:rsid w:val="00E20C05"/>
    <w:rsid w:val="00E22B62"/>
    <w:rsid w:val="00E22CA3"/>
    <w:rsid w:val="00E2632C"/>
    <w:rsid w:val="00E31C4A"/>
    <w:rsid w:val="00E3474C"/>
    <w:rsid w:val="00E377AB"/>
    <w:rsid w:val="00E40AE7"/>
    <w:rsid w:val="00E40EBA"/>
    <w:rsid w:val="00E41FB9"/>
    <w:rsid w:val="00E42612"/>
    <w:rsid w:val="00E53A1D"/>
    <w:rsid w:val="00E53C7F"/>
    <w:rsid w:val="00E53F54"/>
    <w:rsid w:val="00E55AC2"/>
    <w:rsid w:val="00E55C7C"/>
    <w:rsid w:val="00E560DE"/>
    <w:rsid w:val="00E56786"/>
    <w:rsid w:val="00E57F37"/>
    <w:rsid w:val="00E63C72"/>
    <w:rsid w:val="00E64B76"/>
    <w:rsid w:val="00E65AA3"/>
    <w:rsid w:val="00E67444"/>
    <w:rsid w:val="00E676D1"/>
    <w:rsid w:val="00E67CC2"/>
    <w:rsid w:val="00E720E0"/>
    <w:rsid w:val="00E735DF"/>
    <w:rsid w:val="00E73BD3"/>
    <w:rsid w:val="00E77782"/>
    <w:rsid w:val="00E7794A"/>
    <w:rsid w:val="00E77DC4"/>
    <w:rsid w:val="00E8212A"/>
    <w:rsid w:val="00E84161"/>
    <w:rsid w:val="00E854ED"/>
    <w:rsid w:val="00E8595D"/>
    <w:rsid w:val="00E9121A"/>
    <w:rsid w:val="00E94946"/>
    <w:rsid w:val="00E957DC"/>
    <w:rsid w:val="00E96896"/>
    <w:rsid w:val="00E96F22"/>
    <w:rsid w:val="00EA2BEB"/>
    <w:rsid w:val="00EA35ED"/>
    <w:rsid w:val="00EA620A"/>
    <w:rsid w:val="00EA6255"/>
    <w:rsid w:val="00EA7259"/>
    <w:rsid w:val="00EA7BEC"/>
    <w:rsid w:val="00EA7F9E"/>
    <w:rsid w:val="00EB1926"/>
    <w:rsid w:val="00EB2212"/>
    <w:rsid w:val="00EB2560"/>
    <w:rsid w:val="00EB44D6"/>
    <w:rsid w:val="00EB5268"/>
    <w:rsid w:val="00EB5CE9"/>
    <w:rsid w:val="00EB69EC"/>
    <w:rsid w:val="00EB776F"/>
    <w:rsid w:val="00EB7D02"/>
    <w:rsid w:val="00EC0D33"/>
    <w:rsid w:val="00EC243C"/>
    <w:rsid w:val="00EC3D5E"/>
    <w:rsid w:val="00EC5C8F"/>
    <w:rsid w:val="00EC7B88"/>
    <w:rsid w:val="00ED3163"/>
    <w:rsid w:val="00ED3252"/>
    <w:rsid w:val="00ED625C"/>
    <w:rsid w:val="00ED70D3"/>
    <w:rsid w:val="00EE3359"/>
    <w:rsid w:val="00EE58F2"/>
    <w:rsid w:val="00EE6CEB"/>
    <w:rsid w:val="00EE6EDF"/>
    <w:rsid w:val="00EF2329"/>
    <w:rsid w:val="00EF3750"/>
    <w:rsid w:val="00EF3A2A"/>
    <w:rsid w:val="00EF3AD0"/>
    <w:rsid w:val="00EF51D9"/>
    <w:rsid w:val="00EF6670"/>
    <w:rsid w:val="00EF67D1"/>
    <w:rsid w:val="00EF7867"/>
    <w:rsid w:val="00F007F5"/>
    <w:rsid w:val="00F030E2"/>
    <w:rsid w:val="00F034DE"/>
    <w:rsid w:val="00F05006"/>
    <w:rsid w:val="00F105BB"/>
    <w:rsid w:val="00F10E7A"/>
    <w:rsid w:val="00F11292"/>
    <w:rsid w:val="00F11D13"/>
    <w:rsid w:val="00F15BC0"/>
    <w:rsid w:val="00F20968"/>
    <w:rsid w:val="00F22E11"/>
    <w:rsid w:val="00F245AA"/>
    <w:rsid w:val="00F269DF"/>
    <w:rsid w:val="00F3105B"/>
    <w:rsid w:val="00F32201"/>
    <w:rsid w:val="00F346F0"/>
    <w:rsid w:val="00F34780"/>
    <w:rsid w:val="00F348AE"/>
    <w:rsid w:val="00F35EE9"/>
    <w:rsid w:val="00F37972"/>
    <w:rsid w:val="00F42462"/>
    <w:rsid w:val="00F42C07"/>
    <w:rsid w:val="00F43025"/>
    <w:rsid w:val="00F43A1B"/>
    <w:rsid w:val="00F43CA0"/>
    <w:rsid w:val="00F46650"/>
    <w:rsid w:val="00F479AC"/>
    <w:rsid w:val="00F47AC0"/>
    <w:rsid w:val="00F50C5F"/>
    <w:rsid w:val="00F537E6"/>
    <w:rsid w:val="00F54C72"/>
    <w:rsid w:val="00F5586D"/>
    <w:rsid w:val="00F56F36"/>
    <w:rsid w:val="00F5703B"/>
    <w:rsid w:val="00F5773D"/>
    <w:rsid w:val="00F579C1"/>
    <w:rsid w:val="00F61705"/>
    <w:rsid w:val="00F6486A"/>
    <w:rsid w:val="00F678E4"/>
    <w:rsid w:val="00F75A94"/>
    <w:rsid w:val="00F7643C"/>
    <w:rsid w:val="00F76884"/>
    <w:rsid w:val="00F8460A"/>
    <w:rsid w:val="00F84709"/>
    <w:rsid w:val="00F866DF"/>
    <w:rsid w:val="00F87A1E"/>
    <w:rsid w:val="00F87BB1"/>
    <w:rsid w:val="00F91117"/>
    <w:rsid w:val="00F91449"/>
    <w:rsid w:val="00F91525"/>
    <w:rsid w:val="00F93A2D"/>
    <w:rsid w:val="00F945F2"/>
    <w:rsid w:val="00F9606C"/>
    <w:rsid w:val="00F96E1E"/>
    <w:rsid w:val="00F973C9"/>
    <w:rsid w:val="00FA017F"/>
    <w:rsid w:val="00FA3436"/>
    <w:rsid w:val="00FA614A"/>
    <w:rsid w:val="00FA66DE"/>
    <w:rsid w:val="00FA776C"/>
    <w:rsid w:val="00FB2DEF"/>
    <w:rsid w:val="00FB4149"/>
    <w:rsid w:val="00FB57F6"/>
    <w:rsid w:val="00FB7D78"/>
    <w:rsid w:val="00FC429A"/>
    <w:rsid w:val="00FC451B"/>
    <w:rsid w:val="00FC4EB6"/>
    <w:rsid w:val="00FC5277"/>
    <w:rsid w:val="00FC52B0"/>
    <w:rsid w:val="00FC69D4"/>
    <w:rsid w:val="00FD1348"/>
    <w:rsid w:val="00FD14EC"/>
    <w:rsid w:val="00FD4B23"/>
    <w:rsid w:val="00FD50BC"/>
    <w:rsid w:val="00FD5CE8"/>
    <w:rsid w:val="00FD6D38"/>
    <w:rsid w:val="00FE0003"/>
    <w:rsid w:val="00FE15C5"/>
    <w:rsid w:val="00FE1DB5"/>
    <w:rsid w:val="00FE1F54"/>
    <w:rsid w:val="00FE236C"/>
    <w:rsid w:val="00FE5501"/>
    <w:rsid w:val="00FE5BA5"/>
    <w:rsid w:val="00FE7174"/>
    <w:rsid w:val="00FE7C9A"/>
    <w:rsid w:val="00FF018C"/>
    <w:rsid w:val="00FF0713"/>
    <w:rsid w:val="00FF1DC6"/>
    <w:rsid w:val="00FF6F97"/>
    <w:rsid w:val="00FF7089"/>
    <w:rsid w:val="0214681D"/>
    <w:rsid w:val="02572AE5"/>
    <w:rsid w:val="0A657037"/>
    <w:rsid w:val="0B3738E7"/>
    <w:rsid w:val="0BCA7CF2"/>
    <w:rsid w:val="1194196D"/>
    <w:rsid w:val="131D4CD7"/>
    <w:rsid w:val="148221D9"/>
    <w:rsid w:val="18712372"/>
    <w:rsid w:val="1A993E89"/>
    <w:rsid w:val="1BBE5FBA"/>
    <w:rsid w:val="1D381C60"/>
    <w:rsid w:val="1E1D245F"/>
    <w:rsid w:val="22AB7477"/>
    <w:rsid w:val="22AC6A1A"/>
    <w:rsid w:val="22DD734F"/>
    <w:rsid w:val="27F16BA8"/>
    <w:rsid w:val="28AE4C44"/>
    <w:rsid w:val="2B6C0526"/>
    <w:rsid w:val="2C1B1C97"/>
    <w:rsid w:val="2D636328"/>
    <w:rsid w:val="337F3DAF"/>
    <w:rsid w:val="359B2DCF"/>
    <w:rsid w:val="376B4E60"/>
    <w:rsid w:val="384C2F0B"/>
    <w:rsid w:val="3A2A1B78"/>
    <w:rsid w:val="3AC577F8"/>
    <w:rsid w:val="3F3172E0"/>
    <w:rsid w:val="3FC945E4"/>
    <w:rsid w:val="44315D58"/>
    <w:rsid w:val="497344BE"/>
    <w:rsid w:val="4A266B14"/>
    <w:rsid w:val="4ADC4921"/>
    <w:rsid w:val="4E0C1ED3"/>
    <w:rsid w:val="511C3796"/>
    <w:rsid w:val="517E0914"/>
    <w:rsid w:val="518C3E10"/>
    <w:rsid w:val="618A0A3A"/>
    <w:rsid w:val="636D7053"/>
    <w:rsid w:val="63CF1C07"/>
    <w:rsid w:val="643D74BE"/>
    <w:rsid w:val="66B70EB6"/>
    <w:rsid w:val="67526337"/>
    <w:rsid w:val="6AAB56E4"/>
    <w:rsid w:val="6BA575A6"/>
    <w:rsid w:val="6CD549CF"/>
    <w:rsid w:val="70344EA3"/>
    <w:rsid w:val="70A524B6"/>
    <w:rsid w:val="71A22843"/>
    <w:rsid w:val="71C852BA"/>
    <w:rsid w:val="72352313"/>
    <w:rsid w:val="73C37F92"/>
    <w:rsid w:val="76ED672F"/>
    <w:rsid w:val="7AFA2746"/>
    <w:rsid w:val="7CAC5F52"/>
    <w:rsid w:val="7DDF5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800"/>
      <w:jc w:val="left"/>
    </w:pPr>
    <w:rPr>
      <w:sz w:val="18"/>
      <w:szCs w:val="18"/>
    </w:rPr>
  </w:style>
  <w:style w:type="paragraph" w:styleId="6">
    <w:name w:val="Document Map"/>
    <w:basedOn w:val="1"/>
    <w:link w:val="35"/>
    <w:unhideWhenUsed/>
    <w:uiPriority w:val="99"/>
    <w:rPr>
      <w:rFonts w:ascii="宋体" w:eastAsia="宋体"/>
      <w:sz w:val="18"/>
      <w:szCs w:val="18"/>
    </w:rPr>
  </w:style>
  <w:style w:type="paragraph" w:styleId="7">
    <w:name w:val="annotation text"/>
    <w:basedOn w:val="1"/>
    <w:link w:val="32"/>
    <w:unhideWhenUsed/>
    <w:qFormat/>
    <w:uiPriority w:val="99"/>
    <w:pPr>
      <w:jc w:val="left"/>
    </w:pPr>
  </w:style>
  <w:style w:type="paragraph" w:styleId="8">
    <w:name w:val="toc 5"/>
    <w:basedOn w:val="1"/>
    <w:next w:val="1"/>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9"/>
    <w:uiPriority w:val="0"/>
    <w:rPr>
      <w:sz w:val="18"/>
      <w:szCs w:val="18"/>
    </w:rPr>
  </w:style>
  <w:style w:type="paragraph" w:styleId="13">
    <w:name w:val="footer"/>
    <w:basedOn w:val="1"/>
    <w:link w:val="30"/>
    <w:uiPriority w:val="99"/>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Subtitle"/>
    <w:basedOn w:val="1"/>
    <w:next w:val="1"/>
    <w:link w:val="4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8">
    <w:name w:val="toc 6"/>
    <w:basedOn w:val="1"/>
    <w:next w:val="1"/>
    <w:uiPriority w:val="39"/>
    <w:pPr>
      <w:ind w:left="1500"/>
      <w:jc w:val="left"/>
    </w:pPr>
    <w:rPr>
      <w:sz w:val="18"/>
      <w:szCs w:val="18"/>
    </w:rPr>
  </w:style>
  <w:style w:type="paragraph" w:styleId="19">
    <w:name w:val="toc 2"/>
    <w:basedOn w:val="1"/>
    <w:next w:val="1"/>
    <w:qFormat/>
    <w:uiPriority w:val="39"/>
    <w:pPr>
      <w:spacing w:line="300" w:lineRule="exact"/>
      <w:jc w:val="left"/>
    </w:pPr>
    <w:rPr>
      <w:smallCaps/>
      <w:sz w:val="28"/>
      <w:szCs w:val="20"/>
    </w:rPr>
  </w:style>
  <w:style w:type="paragraph" w:styleId="20">
    <w:name w:val="toc 9"/>
    <w:basedOn w:val="1"/>
    <w:next w:val="1"/>
    <w:uiPriority w:val="39"/>
    <w:pPr>
      <w:ind w:left="2400"/>
      <w:jc w:val="left"/>
    </w:pPr>
    <w:rPr>
      <w:sz w:val="18"/>
      <w:szCs w:val="18"/>
    </w:rPr>
  </w:style>
  <w:style w:type="paragraph" w:styleId="21">
    <w:name w:val="Title"/>
    <w:basedOn w:val="1"/>
    <w:next w:val="1"/>
    <w:link w:val="28"/>
    <w:qFormat/>
    <w:uiPriority w:val="10"/>
    <w:pPr>
      <w:jc w:val="left"/>
      <w:outlineLvl w:val="3"/>
    </w:pPr>
    <w:rPr>
      <w:rFonts w:ascii="Cambria" w:hAnsi="Cambria"/>
      <w:bCs/>
      <w:szCs w:val="32"/>
    </w:rPr>
  </w:style>
  <w:style w:type="paragraph" w:styleId="22">
    <w:name w:val="annotation subject"/>
    <w:basedOn w:val="7"/>
    <w:next w:val="7"/>
    <w:link w:val="34"/>
    <w:unhideWhenUsed/>
    <w:qFormat/>
    <w:uiPriority w:val="99"/>
    <w:rPr>
      <w:b/>
      <w:bCs/>
    </w:rPr>
  </w:style>
  <w:style w:type="character" w:styleId="25">
    <w:name w:val="page number"/>
    <w:basedOn w:val="24"/>
    <w:uiPriority w:val="0"/>
  </w:style>
  <w:style w:type="character" w:styleId="26">
    <w:name w:val="Hyperlink"/>
    <w:qFormat/>
    <w:uiPriority w:val="99"/>
    <w:rPr>
      <w:color w:val="0000FF"/>
      <w:u w:val="single"/>
    </w:rPr>
  </w:style>
  <w:style w:type="character" w:styleId="27">
    <w:name w:val="annotation reference"/>
    <w:basedOn w:val="24"/>
    <w:unhideWhenUsed/>
    <w:qFormat/>
    <w:uiPriority w:val="99"/>
    <w:rPr>
      <w:sz w:val="21"/>
      <w:szCs w:val="21"/>
    </w:rPr>
  </w:style>
  <w:style w:type="character" w:customStyle="1" w:styleId="28">
    <w:name w:val="标题 Char"/>
    <w:basedOn w:val="24"/>
    <w:link w:val="21"/>
    <w:qFormat/>
    <w:uiPriority w:val="10"/>
    <w:rPr>
      <w:rFonts w:ascii="Cambria" w:hAnsi="Cambria" w:eastAsia="仿宋_GB2312" w:cs="Times New Roman"/>
      <w:bCs/>
      <w:kern w:val="2"/>
      <w:sz w:val="24"/>
      <w:szCs w:val="32"/>
    </w:rPr>
  </w:style>
  <w:style w:type="character" w:customStyle="1" w:styleId="29">
    <w:name w:val="批注框文本 Char"/>
    <w:link w:val="12"/>
    <w:qFormat/>
    <w:uiPriority w:val="0"/>
    <w:rPr>
      <w:rFonts w:eastAsia="仿宋_GB2312"/>
      <w:kern w:val="2"/>
      <w:sz w:val="18"/>
      <w:szCs w:val="18"/>
    </w:rPr>
  </w:style>
  <w:style w:type="character" w:customStyle="1" w:styleId="30">
    <w:name w:val="页脚 Char"/>
    <w:link w:val="13"/>
    <w:uiPriority w:val="99"/>
    <w:rPr>
      <w:rFonts w:eastAsia="仿宋_GB2312"/>
      <w:kern w:val="2"/>
      <w:sz w:val="18"/>
      <w:szCs w:val="18"/>
    </w:rPr>
  </w:style>
  <w:style w:type="character" w:customStyle="1" w:styleId="31">
    <w:name w:val="apple-converted-space"/>
    <w:basedOn w:val="24"/>
    <w:qFormat/>
    <w:uiPriority w:val="0"/>
  </w:style>
  <w:style w:type="character" w:customStyle="1" w:styleId="32">
    <w:name w:val="批注文字 Char"/>
    <w:basedOn w:val="24"/>
    <w:link w:val="7"/>
    <w:semiHidden/>
    <w:qFormat/>
    <w:uiPriority w:val="99"/>
    <w:rPr>
      <w:rFonts w:eastAsia="仿宋_GB2312"/>
      <w:kern w:val="2"/>
      <w:sz w:val="24"/>
      <w:szCs w:val="24"/>
    </w:rPr>
  </w:style>
  <w:style w:type="character" w:customStyle="1" w:styleId="33">
    <w:name w:val="页眉 Char"/>
    <w:link w:val="14"/>
    <w:uiPriority w:val="0"/>
    <w:rPr>
      <w:rFonts w:eastAsia="仿宋_GB2312"/>
      <w:kern w:val="2"/>
      <w:sz w:val="18"/>
      <w:szCs w:val="18"/>
    </w:rPr>
  </w:style>
  <w:style w:type="character" w:customStyle="1" w:styleId="34">
    <w:name w:val="批注主题 Char"/>
    <w:basedOn w:val="32"/>
    <w:link w:val="22"/>
    <w:semiHidden/>
    <w:qFormat/>
    <w:uiPriority w:val="99"/>
    <w:rPr>
      <w:rFonts w:eastAsia="仿宋_GB2312"/>
      <w:b/>
      <w:bCs/>
      <w:kern w:val="2"/>
      <w:sz w:val="24"/>
      <w:szCs w:val="24"/>
    </w:rPr>
  </w:style>
  <w:style w:type="character" w:customStyle="1" w:styleId="35">
    <w:name w:val="文档结构图 Char"/>
    <w:basedOn w:val="24"/>
    <w:link w:val="6"/>
    <w:semiHidden/>
    <w:uiPriority w:val="99"/>
    <w:rPr>
      <w:rFonts w:ascii="宋体"/>
      <w:kern w:val="2"/>
      <w:sz w:val="18"/>
      <w:szCs w:val="18"/>
    </w:rPr>
  </w:style>
  <w:style w:type="paragraph" w:customStyle="1" w:styleId="36">
    <w:name w:val="_Style 1"/>
    <w:basedOn w:val="1"/>
    <w:uiPriority w:val="0"/>
    <w:rPr>
      <w:rFonts w:eastAsia="宋体"/>
      <w:sz w:val="21"/>
    </w:rPr>
  </w:style>
  <w:style w:type="paragraph" w:customStyle="1" w:styleId="37">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8">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9">
    <w:name w:val="列出段落1"/>
    <w:basedOn w:val="1"/>
    <w:qFormat/>
    <w:uiPriority w:val="34"/>
    <w:pPr>
      <w:ind w:firstLine="420"/>
    </w:pPr>
  </w:style>
  <w:style w:type="paragraph" w:customStyle="1" w:styleId="40">
    <w:name w:val="列出段落2"/>
    <w:basedOn w:val="1"/>
    <w:qFormat/>
    <w:uiPriority w:val="34"/>
    <w:pPr>
      <w:ind w:firstLine="420"/>
    </w:pPr>
  </w:style>
  <w:style w:type="paragraph" w:customStyle="1" w:styleId="41">
    <w:name w:val="修订1"/>
    <w:semiHidden/>
    <w:uiPriority w:val="99"/>
    <w:rPr>
      <w:rFonts w:ascii="Times New Roman" w:hAnsi="Times New Roman" w:eastAsia="仿宋_GB2312" w:cs="Times New Roman"/>
      <w:kern w:val="2"/>
      <w:sz w:val="24"/>
      <w:szCs w:val="24"/>
      <w:lang w:val="en-US" w:eastAsia="zh-CN" w:bidi="ar-SA"/>
    </w:rPr>
  </w:style>
  <w:style w:type="character" w:customStyle="1" w:styleId="42">
    <w:name w:val="副标题 Char"/>
    <w:basedOn w:val="24"/>
    <w:link w:val="17"/>
    <w:uiPriority w:val="11"/>
    <w:rPr>
      <w:rFonts w:asciiTheme="majorHAnsi" w:hAnsiTheme="majorHAnsi" w:cstheme="majorBidi"/>
      <w:b/>
      <w:bCs/>
      <w:kern w:val="28"/>
      <w:sz w:val="32"/>
      <w:szCs w:val="32"/>
    </w:rPr>
  </w:style>
  <w:style w:type="paragraph" w:styleId="43">
    <w:name w:val="List Paragraph"/>
    <w:basedOn w:val="1"/>
    <w:unhideWhenUsed/>
    <w:uiPriority w:val="99"/>
    <w:pPr>
      <w:ind w:firstLine="420"/>
    </w:pPr>
  </w:style>
  <w:style w:type="character" w:customStyle="1" w:styleId="44">
    <w:name w:val="description5"/>
    <w:basedOn w:val="24"/>
    <w:uiPriority w:val="0"/>
  </w:style>
  <w:style w:type="paragraph" w:customStyle="1" w:styleId="45">
    <w:name w:val="reader-word-lay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character" w:customStyle="1" w:styleId="46">
    <w:name w:val="con"/>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9"/>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71749-A20A-4015-AD46-EE88D7BECA6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2890</Words>
  <Characters>16474</Characters>
  <Lines>137</Lines>
  <Paragraphs>38</Paragraphs>
  <TotalTime>2019</TotalTime>
  <ScaleCrop>false</ScaleCrop>
  <LinksUpToDate>false</LinksUpToDate>
  <CharactersWithSpaces>19326</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2016-01-15T01:32:00Z</dcterms:created>
  <dc:creator>lhn</dc:creator>
  <cp:lastModifiedBy>Administrator</cp:lastModifiedBy>
  <cp:lastPrinted>2015-12-10T09:13:00Z</cp:lastPrinted>
  <dcterms:modified xsi:type="dcterms:W3CDTF">2020-11-21T04:17:37Z</dcterms:modified>
  <dc:title>财政支出绩效评价报告</dc:title>
  <cp:revision>669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