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iagrams/colors1.xml" ContentType="application/vnd.openxmlformats-officedocument.drawingml.diagramColors+xml"/>
  <Override PartName="/word/diagrams/colors2.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jc w:val="center"/>
        <w:rPr>
          <w:rFonts w:ascii="Arial Narrow" w:hAnsi="Arial Narrow" w:cs="Arial Narrow"/>
          <w:b/>
          <w:sz w:val="44"/>
          <w:szCs w:val="44"/>
        </w:rPr>
      </w:pPr>
    </w:p>
    <w:p>
      <w:pPr>
        <w:ind w:firstLine="883"/>
        <w:jc w:val="center"/>
        <w:rPr>
          <w:rFonts w:ascii="Arial Narrow" w:hAnsi="Arial Narrow" w:cs="Arial Narrow"/>
          <w:b/>
          <w:sz w:val="44"/>
          <w:szCs w:val="44"/>
        </w:rPr>
      </w:pPr>
    </w:p>
    <w:p>
      <w:pPr>
        <w:ind w:firstLine="0" w:firstLineChars="0"/>
        <w:jc w:val="center"/>
        <w:rPr>
          <w:rFonts w:ascii="Arial Narrow" w:hAnsi="Arial Narrow" w:cs="Arial Narrow"/>
          <w:b/>
          <w:sz w:val="44"/>
          <w:szCs w:val="44"/>
        </w:rPr>
      </w:pPr>
      <w:r>
        <w:rPr>
          <w:rFonts w:ascii="Arial Narrow" w:hAnsi="Arial Narrow" w:cs="Arial Narrow"/>
          <w:b/>
          <w:sz w:val="44"/>
          <w:szCs w:val="44"/>
        </w:rPr>
        <w:t>武昌区2017年度公共机构节能项目</w:t>
      </w:r>
    </w:p>
    <w:p>
      <w:pPr>
        <w:ind w:firstLine="0" w:firstLineChars="0"/>
        <w:jc w:val="center"/>
        <w:rPr>
          <w:rFonts w:ascii="Arial Narrow" w:hAnsi="Arial Narrow" w:cs="Arial Narrow"/>
          <w:b/>
          <w:bCs/>
          <w:sz w:val="44"/>
          <w:szCs w:val="44"/>
        </w:rPr>
      </w:pPr>
      <w:r>
        <w:rPr>
          <w:rFonts w:ascii="Arial Narrow" w:hAnsi="Arial Narrow" w:cs="Arial Narrow"/>
          <w:b/>
          <w:sz w:val="44"/>
          <w:szCs w:val="44"/>
        </w:rPr>
        <w:t>绩效评价报告</w:t>
      </w:r>
    </w:p>
    <w:p>
      <w:pPr>
        <w:ind w:firstLine="480"/>
        <w:rPr>
          <w:rFonts w:ascii="Arial Narrow" w:hAnsi="Arial Narrow" w:cs="Arial Narrow"/>
        </w:rPr>
      </w:pPr>
    </w:p>
    <w:p>
      <w:pPr>
        <w:ind w:firstLine="480"/>
        <w:rPr>
          <w:rFonts w:ascii="Arial Narrow" w:hAnsi="Arial Narrow" w:cs="Arial Narrow"/>
        </w:rPr>
      </w:pPr>
    </w:p>
    <w:p>
      <w:pPr>
        <w:tabs>
          <w:tab w:val="left" w:pos="5792"/>
        </w:tabs>
        <w:ind w:firstLine="480"/>
        <w:rPr>
          <w:rFonts w:ascii="Arial Narrow" w:hAnsi="Arial Narrow" w:cs="Arial Narrow"/>
        </w:rPr>
      </w:pPr>
      <w:r>
        <w:rPr>
          <w:rFonts w:ascii="Arial Narrow" w:hAnsi="Arial Narrow" w:cs="Arial Narrow"/>
        </w:rPr>
        <w:tab/>
      </w:r>
    </w:p>
    <w:p>
      <w:pPr>
        <w:widowControl/>
        <w:spacing w:line="800" w:lineRule="exact"/>
        <w:ind w:firstLine="0" w:firstLineChars="0"/>
        <w:jc w:val="left"/>
        <w:rPr>
          <w:rFonts w:ascii="Arial Narrow" w:hAnsi="Arial Narrow" w:cs="Arial Narrow"/>
          <w:b/>
          <w:bCs/>
          <w:kern w:val="32"/>
          <w:sz w:val="32"/>
          <w:lang w:bidi="he-IL"/>
        </w:rPr>
      </w:pPr>
    </w:p>
    <w:p>
      <w:pPr>
        <w:widowControl/>
        <w:spacing w:line="480" w:lineRule="auto"/>
        <w:ind w:right="-192" w:rightChars="-80" w:firstLine="643"/>
        <w:rPr>
          <w:rFonts w:ascii="Arial Narrow" w:hAnsi="Arial Narrow" w:cs="Arial Narrow"/>
          <w:b/>
          <w:bCs/>
          <w:sz w:val="32"/>
          <w:szCs w:val="32"/>
        </w:rPr>
      </w:pPr>
      <w:r>
        <w:rPr>
          <w:rFonts w:ascii="Arial Narrow" w:hAnsi="Arial Narrow" w:cs="Arial Narrow"/>
          <w:b/>
          <w:bCs/>
          <w:kern w:val="32"/>
          <w:sz w:val="32"/>
          <w:lang w:bidi="he-IL"/>
        </w:rPr>
        <w:t>项目名称：</w:t>
      </w:r>
      <w:r>
        <w:rPr>
          <w:rFonts w:ascii="Arial Narrow" w:hAnsi="Arial Narrow" w:cs="Arial Narrow"/>
          <w:b/>
          <w:bCs/>
          <w:sz w:val="32"/>
          <w:szCs w:val="32"/>
        </w:rPr>
        <w:t xml:space="preserve"> 公共机构节能项目</w:t>
      </w:r>
    </w:p>
    <w:p>
      <w:pPr>
        <w:widowControl/>
        <w:spacing w:line="480" w:lineRule="auto"/>
        <w:ind w:firstLine="643"/>
        <w:rPr>
          <w:rFonts w:ascii="Arial Narrow" w:hAnsi="Arial Narrow" w:cs="Arial Narrow"/>
          <w:b/>
          <w:bCs/>
          <w:sz w:val="32"/>
          <w:szCs w:val="32"/>
        </w:rPr>
      </w:pPr>
      <w:r>
        <w:rPr>
          <w:rFonts w:ascii="Arial Narrow" w:hAnsi="Arial Narrow" w:cs="Arial Narrow"/>
          <w:b/>
          <w:bCs/>
          <w:kern w:val="32"/>
          <w:sz w:val="32"/>
          <w:lang w:bidi="he-IL"/>
        </w:rPr>
        <w:t>项目单位： 武汉市武昌区机关运行保障中心</w:t>
      </w:r>
    </w:p>
    <w:p>
      <w:pPr>
        <w:widowControl/>
        <w:spacing w:line="480" w:lineRule="auto"/>
        <w:ind w:firstLine="643"/>
        <w:rPr>
          <w:rFonts w:ascii="Arial Narrow" w:hAnsi="Arial Narrow" w:cs="Arial Narrow"/>
          <w:b/>
          <w:bCs/>
          <w:sz w:val="32"/>
          <w:szCs w:val="32"/>
        </w:rPr>
      </w:pPr>
      <w:r>
        <w:rPr>
          <w:rFonts w:ascii="Arial Narrow" w:hAnsi="Arial Narrow" w:cs="Arial Narrow"/>
          <w:b/>
          <w:bCs/>
          <w:kern w:val="32"/>
          <w:sz w:val="32"/>
          <w:lang w:bidi="he-IL"/>
        </w:rPr>
        <w:t>主管部门： 武汉市武昌区机关运行保障中心</w:t>
      </w:r>
    </w:p>
    <w:p>
      <w:pPr>
        <w:widowControl/>
        <w:spacing w:line="480" w:lineRule="auto"/>
        <w:ind w:firstLine="643"/>
        <w:rPr>
          <w:rFonts w:ascii="Arial Narrow" w:hAnsi="Arial Narrow" w:cs="Arial Narrow"/>
          <w:b/>
          <w:bCs/>
          <w:kern w:val="32"/>
          <w:sz w:val="32"/>
          <w:lang w:bidi="he-IL"/>
        </w:rPr>
      </w:pPr>
      <w:r>
        <w:rPr>
          <w:rFonts w:ascii="Arial Narrow" w:hAnsi="Arial Narrow" w:cs="Arial Narrow"/>
          <w:b/>
          <w:bCs/>
          <w:kern w:val="32"/>
          <w:sz w:val="32"/>
          <w:lang w:bidi="he-IL"/>
        </w:rPr>
        <w:t>评价机构：致同会计师事务所（特殊普通合伙）</w:t>
      </w:r>
    </w:p>
    <w:p>
      <w:pPr>
        <w:widowControl/>
        <w:spacing w:line="480" w:lineRule="auto"/>
        <w:ind w:firstLine="643"/>
        <w:jc w:val="left"/>
        <w:rPr>
          <w:rFonts w:ascii="Arial Narrow" w:hAnsi="Arial Narrow" w:cs="Arial Narrow"/>
          <w:b/>
          <w:bCs/>
          <w:sz w:val="32"/>
          <w:szCs w:val="32"/>
        </w:rPr>
      </w:pPr>
      <w:r>
        <w:rPr>
          <w:rFonts w:ascii="Arial Narrow" w:hAnsi="Arial Narrow" w:cs="Arial Narrow"/>
          <w:b/>
          <w:bCs/>
          <w:kern w:val="32"/>
          <w:sz w:val="32"/>
          <w:lang w:bidi="he-IL"/>
        </w:rPr>
        <w:t xml:space="preserve">           武汉分所</w:t>
      </w:r>
    </w:p>
    <w:p>
      <w:pPr>
        <w:spacing w:line="800" w:lineRule="exact"/>
        <w:ind w:firstLine="0" w:firstLineChars="0"/>
        <w:rPr>
          <w:rFonts w:ascii="Arial Narrow" w:hAnsi="Arial Narrow" w:cs="Arial Narrow"/>
          <w:b/>
          <w:bCs/>
          <w:sz w:val="32"/>
          <w:szCs w:val="32"/>
        </w:rPr>
      </w:pPr>
    </w:p>
    <w:p>
      <w:pPr>
        <w:spacing w:line="800" w:lineRule="exact"/>
        <w:ind w:firstLine="0" w:firstLineChars="0"/>
        <w:rPr>
          <w:rFonts w:ascii="Arial Narrow" w:hAnsi="Arial Narrow" w:cs="Arial Narrow"/>
          <w:b/>
          <w:bCs/>
          <w:sz w:val="32"/>
          <w:szCs w:val="32"/>
        </w:rPr>
      </w:pPr>
    </w:p>
    <w:p>
      <w:pPr>
        <w:spacing w:line="800" w:lineRule="exact"/>
        <w:ind w:firstLine="0" w:firstLineChars="0"/>
        <w:jc w:val="center"/>
        <w:rPr>
          <w:rFonts w:ascii="Arial Narrow" w:hAnsi="Arial Narrow" w:cs="Arial Narrow"/>
          <w:b/>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406" w:bottom="1089" w:left="1800" w:header="2041" w:footer="1134" w:gutter="0"/>
          <w:pgNumType w:start="1"/>
          <w:cols w:space="720" w:num="1"/>
          <w:docGrid w:type="lines" w:linePitch="408" w:charSpace="0"/>
        </w:sectPr>
      </w:pPr>
      <w:r>
        <w:rPr>
          <w:rFonts w:ascii="Arial Narrow" w:hAnsi="Arial Narrow" w:cs="Arial Narrow"/>
          <w:b/>
          <w:bCs/>
          <w:sz w:val="32"/>
          <w:szCs w:val="32"/>
        </w:rPr>
        <w:t>二</w:t>
      </w:r>
      <w:r>
        <w:rPr>
          <w:rFonts w:ascii="Arial Narrow" w:hAnsi="Arial Narrow" w:eastAsia="宋体" w:cs="宋体"/>
          <w:b/>
          <w:bCs/>
          <w:sz w:val="32"/>
          <w:szCs w:val="32"/>
        </w:rPr>
        <w:t>〇</w:t>
      </w:r>
      <w:r>
        <w:rPr>
          <w:rFonts w:ascii="Arial Narrow" w:hAnsi="Arial Narrow" w:cs="仿宋_GB2312"/>
          <w:b/>
          <w:bCs/>
          <w:sz w:val="32"/>
          <w:szCs w:val="32"/>
        </w:rPr>
        <w:t>一</w:t>
      </w:r>
      <w:r>
        <w:rPr>
          <w:rFonts w:ascii="Arial Narrow" w:hAnsi="Arial Narrow" w:cs="Arial Narrow"/>
          <w:b/>
          <w:bCs/>
          <w:sz w:val="32"/>
          <w:szCs w:val="32"/>
        </w:rPr>
        <w:t>八年五月</w:t>
      </w:r>
    </w:p>
    <w:p>
      <w:pPr>
        <w:ind w:firstLine="0" w:firstLineChars="0"/>
        <w:jc w:val="center"/>
        <w:rPr>
          <w:rFonts w:ascii="Arial Narrow" w:hAnsi="Arial Narrow" w:cs="Arial Narrow"/>
          <w:b/>
          <w:sz w:val="44"/>
          <w:szCs w:val="44"/>
        </w:rPr>
      </w:pPr>
      <w:r>
        <w:rPr>
          <w:rFonts w:ascii="Arial Narrow" w:hAnsi="Arial Narrow" w:cs="Arial Narrow"/>
          <w:b/>
          <w:sz w:val="44"/>
          <w:szCs w:val="44"/>
        </w:rPr>
        <w:t>摘   要</w:t>
      </w:r>
    </w:p>
    <w:p>
      <w:pPr>
        <w:ind w:firstLine="0" w:firstLineChars="0"/>
        <w:jc w:val="center"/>
        <w:rPr>
          <w:rFonts w:ascii="Arial Narrow" w:hAnsi="Arial Narrow" w:cs="Arial Narrow"/>
          <w:b/>
        </w:rPr>
      </w:pPr>
    </w:p>
    <w:p>
      <w:pPr>
        <w:pStyle w:val="49"/>
        <w:numPr>
          <w:ilvl w:val="0"/>
          <w:numId w:val="1"/>
        </w:numPr>
        <w:ind w:firstLineChars="0"/>
        <w:jc w:val="left"/>
        <w:rPr>
          <w:rFonts w:ascii="Arial Narrow" w:hAnsi="Arial Narrow" w:cs="Arial Narrow"/>
          <w:b/>
        </w:rPr>
      </w:pPr>
      <w:r>
        <w:rPr>
          <w:rFonts w:ascii="Arial Narrow" w:hAnsi="Arial Narrow" w:cs="Arial Narrow"/>
          <w:b/>
        </w:rPr>
        <w:t>项目名称：</w:t>
      </w:r>
      <w:r>
        <w:rPr>
          <w:rFonts w:ascii="Arial Narrow" w:hAnsi="Arial Narrow" w:cs="Arial Narrow"/>
          <w:b/>
          <w:bCs/>
        </w:rPr>
        <w:t>公共机构节能项目</w:t>
      </w:r>
    </w:p>
    <w:p>
      <w:pPr>
        <w:pStyle w:val="49"/>
        <w:numPr>
          <w:ilvl w:val="0"/>
          <w:numId w:val="1"/>
        </w:numPr>
        <w:ind w:firstLineChars="0"/>
        <w:jc w:val="left"/>
        <w:rPr>
          <w:rFonts w:ascii="Arial Narrow" w:hAnsi="Arial Narrow" w:cs="Arial Narrow"/>
          <w:b/>
        </w:rPr>
      </w:pPr>
      <w:r>
        <w:rPr>
          <w:rFonts w:ascii="Arial Narrow" w:hAnsi="Arial Narrow" w:cs="Arial Narrow"/>
          <w:b/>
        </w:rPr>
        <w:t>项目金额：5万元</w:t>
      </w:r>
    </w:p>
    <w:p>
      <w:pPr>
        <w:numPr>
          <w:ilvl w:val="0"/>
          <w:numId w:val="2"/>
        </w:numPr>
        <w:ind w:firstLine="0" w:firstLineChars="0"/>
        <w:jc w:val="left"/>
        <w:rPr>
          <w:rFonts w:ascii="Arial Narrow" w:hAnsi="Arial Narrow" w:cs="Arial Narrow"/>
        </w:rPr>
      </w:pPr>
      <w:r>
        <w:rPr>
          <w:rFonts w:ascii="Arial Narrow" w:hAnsi="Arial Narrow" w:cs="Arial Narrow"/>
          <w:b/>
        </w:rPr>
        <w:t>绩效评价结果</w:t>
      </w:r>
    </w:p>
    <w:tbl>
      <w:tblPr>
        <w:tblStyle w:val="23"/>
        <w:tblW w:w="890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2208"/>
        <w:gridCol w:w="2208"/>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20" w:type="dxa"/>
            <w:tcBorders>
              <w:bottom w:val="single" w:color="008000" w:sz="6" w:space="0"/>
            </w:tcBorders>
            <w:vAlign w:val="center"/>
          </w:tcPr>
          <w:p>
            <w:pPr>
              <w:ind w:firstLine="480"/>
              <w:rPr>
                <w:rFonts w:ascii="Arial Narrow" w:hAnsi="Arial Narrow" w:cs="Arial Narrow"/>
              </w:rPr>
            </w:pPr>
            <w:r>
              <w:rPr>
                <w:rFonts w:ascii="Arial Narrow" w:hAnsi="Arial Narrow" w:cs="Arial Narrow"/>
              </w:rPr>
              <w:t>评价准则</w:t>
            </w:r>
          </w:p>
        </w:tc>
        <w:tc>
          <w:tcPr>
            <w:tcW w:w="2208" w:type="dxa"/>
            <w:tcBorders>
              <w:bottom w:val="single" w:color="008000" w:sz="6" w:space="0"/>
            </w:tcBorders>
            <w:vAlign w:val="center"/>
          </w:tcPr>
          <w:p>
            <w:pPr>
              <w:ind w:firstLine="480"/>
              <w:rPr>
                <w:rFonts w:ascii="Arial Narrow" w:hAnsi="Arial Narrow" w:cs="Arial Narrow"/>
              </w:rPr>
            </w:pPr>
            <w:r>
              <w:rPr>
                <w:rFonts w:ascii="Arial Narrow" w:hAnsi="Arial Narrow" w:cs="Arial Narrow"/>
              </w:rPr>
              <w:t>准则分值</w:t>
            </w:r>
          </w:p>
        </w:tc>
        <w:tc>
          <w:tcPr>
            <w:tcW w:w="2208" w:type="dxa"/>
            <w:tcBorders>
              <w:bottom w:val="single" w:color="008000" w:sz="6" w:space="0"/>
            </w:tcBorders>
            <w:vAlign w:val="center"/>
          </w:tcPr>
          <w:p>
            <w:pPr>
              <w:ind w:left="183" w:firstLine="480"/>
              <w:rPr>
                <w:rFonts w:ascii="Arial Narrow" w:hAnsi="Arial Narrow" w:cs="Arial Narrow"/>
              </w:rPr>
            </w:pPr>
            <w:r>
              <w:rPr>
                <w:rFonts w:ascii="Arial Narrow" w:hAnsi="Arial Narrow" w:cs="Arial Narrow"/>
              </w:rPr>
              <w:t>评价得分</w:t>
            </w:r>
          </w:p>
        </w:tc>
        <w:tc>
          <w:tcPr>
            <w:tcW w:w="2564" w:type="dxa"/>
            <w:tcBorders>
              <w:bottom w:val="single" w:color="008000" w:sz="6" w:space="0"/>
            </w:tcBorders>
            <w:vAlign w:val="center"/>
          </w:tcPr>
          <w:p>
            <w:pPr>
              <w:ind w:firstLine="480"/>
              <w:rPr>
                <w:rFonts w:ascii="Arial Narrow" w:hAnsi="Arial Narrow" w:cs="Arial Narrow"/>
              </w:rPr>
            </w:pPr>
            <w:r>
              <w:rPr>
                <w:rFonts w:ascii="Arial Narrow" w:hAnsi="Arial Narrow" w:cs="Arial Narrow"/>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20" w:type="dxa"/>
            <w:vAlign w:val="center"/>
          </w:tcPr>
          <w:p>
            <w:pPr>
              <w:ind w:firstLine="480"/>
              <w:rPr>
                <w:rFonts w:ascii="Arial Narrow" w:hAnsi="Arial Narrow" w:cs="Arial Narrow"/>
              </w:rPr>
            </w:pPr>
            <w:r>
              <w:rPr>
                <w:rFonts w:ascii="Arial Narrow" w:hAnsi="Arial Narrow" w:cs="Arial Narrow"/>
              </w:rPr>
              <w:t>项目投入</w:t>
            </w:r>
          </w:p>
        </w:tc>
        <w:tc>
          <w:tcPr>
            <w:tcW w:w="2208" w:type="dxa"/>
            <w:vAlign w:val="center"/>
          </w:tcPr>
          <w:p>
            <w:pPr>
              <w:ind w:firstLine="720" w:firstLineChars="300"/>
              <w:jc w:val="left"/>
              <w:rPr>
                <w:rFonts w:ascii="Arial Narrow" w:hAnsi="Arial Narrow" w:cs="Arial Narrow"/>
              </w:rPr>
            </w:pPr>
            <w:r>
              <w:rPr>
                <w:rFonts w:ascii="Arial Narrow" w:hAnsi="Arial Narrow" w:cs="Arial Narrow"/>
              </w:rPr>
              <w:t>16分</w:t>
            </w:r>
          </w:p>
        </w:tc>
        <w:tc>
          <w:tcPr>
            <w:tcW w:w="2208" w:type="dxa"/>
            <w:vAlign w:val="center"/>
          </w:tcPr>
          <w:p>
            <w:pPr>
              <w:ind w:left="182" w:leftChars="76" w:firstLine="840" w:firstLineChars="350"/>
              <w:rPr>
                <w:rFonts w:ascii="Arial Narrow" w:hAnsi="Arial Narrow" w:cs="Arial Narrow"/>
              </w:rPr>
            </w:pPr>
            <w:r>
              <w:rPr>
                <w:rFonts w:ascii="Arial Narrow" w:hAnsi="Arial Narrow" w:cs="Arial Narrow"/>
              </w:rPr>
              <w:t>15分</w:t>
            </w:r>
          </w:p>
        </w:tc>
        <w:tc>
          <w:tcPr>
            <w:tcW w:w="2564" w:type="dxa"/>
            <w:vAlign w:val="center"/>
          </w:tcPr>
          <w:p>
            <w:pPr>
              <w:ind w:firstLine="796" w:firstLineChars="332"/>
              <w:rPr>
                <w:rFonts w:ascii="Arial Narrow" w:hAnsi="Arial Narrow" w:cs="Arial Narrow"/>
              </w:rPr>
            </w:pPr>
            <w:r>
              <w:rPr>
                <w:rFonts w:ascii="Arial Narrow" w:hAnsi="Arial Narrow" w:cs="Arial Narrow"/>
              </w:rPr>
              <w:t xml:space="preserve"> 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920" w:type="dxa"/>
            <w:vAlign w:val="center"/>
          </w:tcPr>
          <w:p>
            <w:pPr>
              <w:ind w:firstLine="480"/>
              <w:rPr>
                <w:rFonts w:ascii="Arial Narrow" w:hAnsi="Arial Narrow" w:cs="Arial Narrow"/>
              </w:rPr>
            </w:pPr>
            <w:r>
              <w:rPr>
                <w:rFonts w:ascii="Arial Narrow" w:hAnsi="Arial Narrow" w:cs="Arial Narrow"/>
              </w:rPr>
              <w:t>项目过程</w:t>
            </w:r>
          </w:p>
        </w:tc>
        <w:tc>
          <w:tcPr>
            <w:tcW w:w="2208" w:type="dxa"/>
            <w:vAlign w:val="center"/>
          </w:tcPr>
          <w:p>
            <w:pPr>
              <w:ind w:firstLine="720" w:firstLineChars="300"/>
              <w:jc w:val="left"/>
              <w:rPr>
                <w:rFonts w:ascii="Arial Narrow" w:hAnsi="Arial Narrow" w:cs="Arial Narrow"/>
              </w:rPr>
            </w:pPr>
            <w:r>
              <w:rPr>
                <w:rFonts w:ascii="Arial Narrow" w:hAnsi="Arial Narrow" w:cs="Arial Narrow"/>
              </w:rPr>
              <w:t>24分</w:t>
            </w:r>
          </w:p>
        </w:tc>
        <w:tc>
          <w:tcPr>
            <w:tcW w:w="2208" w:type="dxa"/>
            <w:vAlign w:val="center"/>
          </w:tcPr>
          <w:p>
            <w:pPr>
              <w:ind w:left="182" w:leftChars="76" w:firstLine="840" w:firstLineChars="350"/>
              <w:rPr>
                <w:rFonts w:ascii="Arial Narrow" w:hAnsi="Arial Narrow" w:cs="Arial Narrow"/>
              </w:rPr>
            </w:pPr>
            <w:r>
              <w:rPr>
                <w:rFonts w:ascii="Arial Narrow" w:hAnsi="Arial Narrow" w:cs="Arial Narrow"/>
              </w:rPr>
              <w:t>20分</w:t>
            </w:r>
          </w:p>
        </w:tc>
        <w:tc>
          <w:tcPr>
            <w:tcW w:w="2564" w:type="dxa"/>
            <w:vAlign w:val="center"/>
          </w:tcPr>
          <w:p>
            <w:pPr>
              <w:ind w:firstLine="796" w:firstLineChars="332"/>
              <w:rPr>
                <w:rFonts w:ascii="Arial Narrow" w:hAnsi="Arial Narrow" w:cs="Arial Narrow"/>
              </w:rPr>
            </w:pPr>
            <w:r>
              <w:rPr>
                <w:rFonts w:ascii="Arial Narrow" w:hAnsi="Arial Narrow" w:cs="Arial Narrow"/>
              </w:rPr>
              <w:t xml:space="preserve"> 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20" w:type="dxa"/>
            <w:vAlign w:val="center"/>
          </w:tcPr>
          <w:p>
            <w:pPr>
              <w:ind w:firstLine="480"/>
              <w:rPr>
                <w:rFonts w:ascii="Arial Narrow" w:hAnsi="Arial Narrow" w:cs="Arial Narrow"/>
              </w:rPr>
            </w:pPr>
            <w:r>
              <w:rPr>
                <w:rFonts w:ascii="Arial Narrow" w:hAnsi="Arial Narrow" w:cs="Arial Narrow"/>
              </w:rPr>
              <w:t>项目产出</w:t>
            </w:r>
          </w:p>
        </w:tc>
        <w:tc>
          <w:tcPr>
            <w:tcW w:w="2208" w:type="dxa"/>
            <w:vAlign w:val="center"/>
          </w:tcPr>
          <w:p>
            <w:pPr>
              <w:ind w:firstLine="720" w:firstLineChars="300"/>
              <w:jc w:val="left"/>
              <w:textAlignment w:val="top"/>
              <w:rPr>
                <w:rFonts w:ascii="Arial Narrow" w:hAnsi="Arial Narrow" w:cs="Arial Narrow"/>
              </w:rPr>
            </w:pPr>
            <w:r>
              <w:rPr>
                <w:rFonts w:ascii="Arial Narrow" w:hAnsi="Arial Narrow" w:cs="Arial Narrow"/>
              </w:rPr>
              <w:t>28分</w:t>
            </w:r>
          </w:p>
        </w:tc>
        <w:tc>
          <w:tcPr>
            <w:tcW w:w="2208" w:type="dxa"/>
            <w:vAlign w:val="center"/>
          </w:tcPr>
          <w:p>
            <w:pPr>
              <w:ind w:left="182" w:leftChars="76" w:firstLine="840" w:firstLineChars="350"/>
              <w:textAlignment w:val="top"/>
              <w:rPr>
                <w:rFonts w:ascii="Arial Narrow" w:hAnsi="Arial Narrow" w:cs="Arial Narrow"/>
              </w:rPr>
            </w:pPr>
            <w:r>
              <w:rPr>
                <w:rFonts w:ascii="Arial Narrow" w:hAnsi="Arial Narrow" w:cs="Arial Narrow"/>
              </w:rPr>
              <w:t>24分</w:t>
            </w:r>
          </w:p>
        </w:tc>
        <w:tc>
          <w:tcPr>
            <w:tcW w:w="2564" w:type="dxa"/>
            <w:vAlign w:val="center"/>
          </w:tcPr>
          <w:p>
            <w:pPr>
              <w:ind w:firstLine="796" w:firstLineChars="332"/>
              <w:textAlignment w:val="top"/>
              <w:rPr>
                <w:rFonts w:ascii="Arial Narrow" w:hAnsi="Arial Narrow" w:cs="Arial Narrow"/>
              </w:rPr>
            </w:pPr>
            <w:r>
              <w:rPr>
                <w:rFonts w:ascii="Arial Narrow" w:hAnsi="Arial Narrow" w:cs="Arial Narrow"/>
              </w:rPr>
              <w:t xml:space="preserve"> 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20" w:type="dxa"/>
            <w:tcBorders>
              <w:top w:val="single" w:color="008000" w:sz="6" w:space="0"/>
              <w:bottom w:val="single" w:color="008000" w:sz="6" w:space="0"/>
            </w:tcBorders>
            <w:vAlign w:val="center"/>
          </w:tcPr>
          <w:p>
            <w:pPr>
              <w:ind w:firstLine="480"/>
              <w:rPr>
                <w:rFonts w:ascii="Arial Narrow" w:hAnsi="Arial Narrow" w:cs="Arial Narrow"/>
              </w:rPr>
            </w:pPr>
            <w:r>
              <w:rPr>
                <w:rFonts w:ascii="Arial Narrow" w:hAnsi="Arial Narrow" w:cs="Arial Narrow"/>
              </w:rPr>
              <w:t>项目效果</w:t>
            </w:r>
          </w:p>
        </w:tc>
        <w:tc>
          <w:tcPr>
            <w:tcW w:w="2208" w:type="dxa"/>
            <w:tcBorders>
              <w:top w:val="single" w:color="008000" w:sz="6" w:space="0"/>
              <w:bottom w:val="single" w:color="008000" w:sz="6" w:space="0"/>
            </w:tcBorders>
            <w:vAlign w:val="center"/>
          </w:tcPr>
          <w:p>
            <w:pPr>
              <w:ind w:firstLine="720" w:firstLineChars="300"/>
              <w:jc w:val="left"/>
              <w:rPr>
                <w:rFonts w:ascii="Arial Narrow" w:hAnsi="Arial Narrow" w:cs="Arial Narrow"/>
              </w:rPr>
            </w:pPr>
            <w:r>
              <w:rPr>
                <w:rFonts w:ascii="Arial Narrow" w:hAnsi="Arial Narrow" w:cs="Arial Narrow"/>
              </w:rPr>
              <w:t>32分</w:t>
            </w:r>
          </w:p>
        </w:tc>
        <w:tc>
          <w:tcPr>
            <w:tcW w:w="2208" w:type="dxa"/>
            <w:tcBorders>
              <w:top w:val="single" w:color="008000" w:sz="6" w:space="0"/>
              <w:bottom w:val="single" w:color="008000" w:sz="6" w:space="0"/>
            </w:tcBorders>
            <w:vAlign w:val="center"/>
          </w:tcPr>
          <w:p>
            <w:pPr>
              <w:ind w:left="182" w:leftChars="76" w:firstLine="840" w:firstLineChars="350"/>
              <w:rPr>
                <w:rFonts w:ascii="Arial Narrow" w:hAnsi="Arial Narrow" w:cs="Arial Narrow"/>
              </w:rPr>
            </w:pPr>
            <w:r>
              <w:rPr>
                <w:rFonts w:ascii="Arial Narrow" w:hAnsi="Arial Narrow" w:cs="Arial Narrow"/>
              </w:rPr>
              <w:t>25.5分</w:t>
            </w:r>
          </w:p>
        </w:tc>
        <w:tc>
          <w:tcPr>
            <w:tcW w:w="2564" w:type="dxa"/>
            <w:tcBorders>
              <w:top w:val="single" w:color="008000" w:sz="6" w:space="0"/>
              <w:bottom w:val="single" w:color="008000" w:sz="6" w:space="0"/>
            </w:tcBorders>
            <w:vAlign w:val="center"/>
          </w:tcPr>
          <w:p>
            <w:pPr>
              <w:ind w:firstLine="796" w:firstLineChars="332"/>
              <w:rPr>
                <w:rFonts w:ascii="Arial Narrow" w:hAnsi="Arial Narrow" w:cs="Arial Narrow"/>
              </w:rPr>
            </w:pPr>
            <w:r>
              <w:rPr>
                <w:rFonts w:ascii="Arial Narrow" w:hAnsi="Arial Narrow" w:cs="Arial Narrow"/>
              </w:rPr>
              <w:t xml:space="preserve"> 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920" w:type="dxa"/>
            <w:tcBorders>
              <w:top w:val="single" w:color="008000" w:sz="6" w:space="0"/>
            </w:tcBorders>
            <w:vAlign w:val="center"/>
          </w:tcPr>
          <w:p>
            <w:pPr>
              <w:ind w:firstLine="480"/>
              <w:rPr>
                <w:rFonts w:ascii="Arial Narrow" w:hAnsi="Arial Narrow" w:cs="Arial Narrow"/>
              </w:rPr>
            </w:pPr>
            <w:r>
              <w:rPr>
                <w:rFonts w:ascii="Arial Narrow" w:hAnsi="Arial Narrow" w:cs="Arial Narrow"/>
              </w:rPr>
              <w:t>综合绩效</w:t>
            </w:r>
          </w:p>
        </w:tc>
        <w:tc>
          <w:tcPr>
            <w:tcW w:w="2208" w:type="dxa"/>
            <w:tcBorders>
              <w:top w:val="single" w:color="008000" w:sz="6" w:space="0"/>
            </w:tcBorders>
            <w:vAlign w:val="center"/>
          </w:tcPr>
          <w:p>
            <w:pPr>
              <w:ind w:firstLine="720" w:firstLineChars="300"/>
              <w:jc w:val="left"/>
              <w:rPr>
                <w:rFonts w:ascii="Arial Narrow" w:hAnsi="Arial Narrow" w:cs="Arial Narrow"/>
              </w:rPr>
            </w:pPr>
            <w:r>
              <w:rPr>
                <w:rFonts w:ascii="Arial Narrow" w:hAnsi="Arial Narrow" w:cs="Arial Narrow"/>
              </w:rPr>
              <w:t>100分</w:t>
            </w:r>
          </w:p>
        </w:tc>
        <w:tc>
          <w:tcPr>
            <w:tcW w:w="2208" w:type="dxa"/>
            <w:tcBorders>
              <w:top w:val="single" w:color="008000" w:sz="6" w:space="0"/>
            </w:tcBorders>
            <w:vAlign w:val="center"/>
          </w:tcPr>
          <w:p>
            <w:pPr>
              <w:ind w:left="182" w:leftChars="76" w:firstLine="840" w:firstLineChars="350"/>
              <w:rPr>
                <w:rFonts w:ascii="Arial Narrow" w:hAnsi="Arial Narrow" w:cs="Arial Narrow"/>
              </w:rPr>
            </w:pPr>
            <w:r>
              <w:rPr>
                <w:rFonts w:ascii="Arial Narrow" w:hAnsi="Arial Narrow" w:cs="Arial Narrow"/>
              </w:rPr>
              <w:t>84.5分</w:t>
            </w:r>
          </w:p>
        </w:tc>
        <w:tc>
          <w:tcPr>
            <w:tcW w:w="2564" w:type="dxa"/>
            <w:tcBorders>
              <w:top w:val="single" w:color="008000" w:sz="6" w:space="0"/>
            </w:tcBorders>
            <w:vAlign w:val="center"/>
          </w:tcPr>
          <w:p>
            <w:pPr>
              <w:ind w:firstLine="796" w:firstLineChars="332"/>
              <w:rPr>
                <w:rFonts w:ascii="Arial Narrow" w:hAnsi="Arial Narrow" w:cs="Arial Narrow"/>
              </w:rPr>
            </w:pPr>
            <w:r>
              <w:rPr>
                <w:rFonts w:ascii="Arial Narrow" w:hAnsi="Arial Narrow" w:cs="Arial Narrow"/>
              </w:rPr>
              <w:t xml:space="preserve"> 良</w:t>
            </w:r>
          </w:p>
        </w:tc>
      </w:tr>
    </w:tbl>
    <w:p>
      <w:pPr>
        <w:numPr>
          <w:ilvl w:val="0"/>
          <w:numId w:val="3"/>
        </w:numPr>
        <w:ind w:firstLine="0" w:firstLineChars="0"/>
        <w:rPr>
          <w:rFonts w:ascii="Arial Narrow" w:hAnsi="Arial Narrow" w:cs="Arial Narrow"/>
          <w:b/>
        </w:rPr>
      </w:pPr>
      <w:r>
        <w:rPr>
          <w:rFonts w:ascii="Arial Narrow" w:hAnsi="Arial Narrow" w:cs="Arial Narrow"/>
          <w:b/>
        </w:rPr>
        <w:t>评价工作组组成名单</w:t>
      </w:r>
    </w:p>
    <w:p>
      <w:pPr>
        <w:snapToGrid w:val="0"/>
        <w:ind w:firstLine="0" w:firstLineChars="0"/>
        <w:jc w:val="left"/>
        <w:rPr>
          <w:rFonts w:ascii="Arial Narrow" w:hAnsi="Arial Narrow" w:cs="Arial Narrow"/>
        </w:rPr>
      </w:pPr>
      <w:r>
        <w:rPr>
          <w:rFonts w:ascii="Arial Narrow" w:hAnsi="Arial Narrow" w:cs="Arial Narrow"/>
        </w:rPr>
        <w:t>项目负责组长：何思琪</w:t>
      </w:r>
    </w:p>
    <w:p>
      <w:pPr>
        <w:pStyle w:val="51"/>
        <w:snapToGrid w:val="0"/>
        <w:ind w:firstLine="0" w:firstLineChars="0"/>
        <w:rPr>
          <w:rFonts w:ascii="Arial Narrow" w:hAnsi="Arial Narrow" w:cs="Arial Narrow"/>
        </w:rPr>
      </w:pPr>
      <w:r>
        <w:rPr>
          <w:rFonts w:ascii="Arial Narrow" w:hAnsi="Arial Narrow" w:cs="Arial Narrow"/>
        </w:rPr>
        <w:t>现场负责人：王雅</w:t>
      </w:r>
    </w:p>
    <w:p>
      <w:pPr>
        <w:snapToGrid w:val="0"/>
        <w:ind w:firstLine="0" w:firstLineChars="0"/>
        <w:rPr>
          <w:rFonts w:ascii="Arial Narrow" w:hAnsi="Arial Narrow" w:cs="Arial Narrow"/>
        </w:rPr>
      </w:pPr>
      <w:r>
        <w:rPr>
          <w:rFonts w:ascii="Arial Narrow" w:hAnsi="Arial Narrow" w:cs="Arial Narrow"/>
        </w:rPr>
        <w:t>评价小组成员：</w:t>
      </w:r>
      <w:r>
        <w:rPr>
          <w:rFonts w:ascii="Arial Narrow" w:hAnsi="Arial Narrow" w:cs="仿宋_GB2312"/>
        </w:rPr>
        <w:t>聂小青、王梓</w:t>
      </w:r>
    </w:p>
    <w:p>
      <w:pPr>
        <w:ind w:firstLine="0" w:firstLineChars="0"/>
        <w:rPr>
          <w:rFonts w:ascii="Arial Narrow" w:hAnsi="Arial Narrow" w:cs="Arial Narrow"/>
          <w:b/>
        </w:rPr>
      </w:pPr>
      <w:r>
        <w:rPr>
          <w:rFonts w:ascii="Arial Narrow" w:hAnsi="Arial Narrow" w:cs="Arial Narrow"/>
          <w:b/>
        </w:rPr>
        <w:t>五、主要评价方法概述</w:t>
      </w:r>
    </w:p>
    <w:p>
      <w:pPr>
        <w:snapToGrid w:val="0"/>
        <w:ind w:firstLine="480"/>
        <w:rPr>
          <w:rFonts w:ascii="Arial Narrow" w:hAnsi="Arial Narrow" w:cs="Arial Narrow"/>
        </w:rPr>
      </w:pPr>
      <w:r>
        <w:rPr>
          <w:rFonts w:ascii="Arial Narrow" w:hAnsi="Arial Narrow" w:cs="Arial Narrow"/>
        </w:rPr>
        <w:t>“公共机构节能项目”绩效评价根据项目特点和评价工作的要求，选择比较法、公众评判法、统计计算法等方法进行绩效评价分析，与此同时，我们收集了大量项目实施单位的各种统计资料进行分析研究。</w:t>
      </w:r>
    </w:p>
    <w:p>
      <w:pPr>
        <w:snapToGrid w:val="0"/>
        <w:ind w:firstLine="480"/>
        <w:rPr>
          <w:rFonts w:ascii="Arial Narrow" w:hAnsi="Arial Narrow" w:cs="Arial Narrow"/>
        </w:rPr>
      </w:pPr>
      <w:r>
        <w:rPr>
          <w:rFonts w:ascii="Arial Narrow" w:hAnsi="Arial Narrow" w:cs="Arial Narrow"/>
        </w:rPr>
        <w:t>（一）比较法。是指通过对“公共机构节能项目”绩效目标与实际实施效果的对比，综合分析其绩效目标实现程度。项目小组根据收集的“公共机构节能项目”资料，了解项目实际实施情况，与项目申报时确定的绩效目标进行对比，评价绩效目标的实现程度。</w:t>
      </w:r>
    </w:p>
    <w:p>
      <w:pPr>
        <w:snapToGrid w:val="0"/>
        <w:ind w:firstLine="480"/>
        <w:rPr>
          <w:rFonts w:ascii="Arial Narrow" w:hAnsi="Arial Narrow" w:cs="Arial Narrow"/>
        </w:rPr>
        <w:sectPr>
          <w:footerReference r:id="rId11" w:type="default"/>
          <w:pgSz w:w="11906" w:h="16838"/>
          <w:pgMar w:top="1440" w:right="1406" w:bottom="1089" w:left="1800" w:header="2041" w:footer="1134" w:gutter="0"/>
          <w:pgNumType w:start="0"/>
          <w:cols w:space="720" w:num="1"/>
          <w:docGrid w:type="lines" w:linePitch="408" w:charSpace="0"/>
        </w:sectPr>
      </w:pPr>
    </w:p>
    <w:p>
      <w:pPr>
        <w:snapToGrid w:val="0"/>
        <w:ind w:firstLine="480"/>
        <w:rPr>
          <w:rFonts w:ascii="Arial Narrow" w:hAnsi="Arial Narrow" w:cs="Arial Narrow"/>
        </w:rPr>
      </w:pPr>
      <w:r>
        <w:rPr>
          <w:rFonts w:ascii="Arial Narrow" w:hAnsi="Arial Narrow" w:cs="Arial Narrow"/>
        </w:rPr>
        <w:t>（二）公众评判法。是指通过问卷调查及现场访谈对财政支出效果进行评判，评价绩效目标实现程度。项目小组对公共机构节能项目负责人进行访谈，同时对武昌区公共机构的工作人员进行问卷调查，收集“公共机构节能项目”具体实施情况和效果的相关证据，为绩效分析结论提供有力支撑。</w:t>
      </w:r>
    </w:p>
    <w:p>
      <w:pPr>
        <w:snapToGrid w:val="0"/>
        <w:ind w:firstLine="480"/>
        <w:rPr>
          <w:rFonts w:ascii="Arial Narrow" w:hAnsi="Arial Narrow" w:cs="Arial Narrow"/>
        </w:rPr>
      </w:pPr>
      <w:r>
        <w:rPr>
          <w:rFonts w:ascii="Arial Narrow" w:hAnsi="Arial Narrow" w:cs="Arial Narrow"/>
        </w:rPr>
        <w:t>（三）统计计算法。是指采用各种专业（或专门）指标的计算方法，通过收集项目实施的相关数据，采用统计或核算等方式进行计算实际完成或达到的结果，评价绩效目标实现程度。项目小组根据相关文件依据，设计符合“公共机构节能项目”特点的评价指标体系，然后采集数据依据计算公式进行计算分析，并根据计算结果分析项目的绩效目标实现程度。</w:t>
      </w:r>
    </w:p>
    <w:p>
      <w:pPr>
        <w:ind w:firstLine="0" w:firstLineChars="0"/>
        <w:rPr>
          <w:rFonts w:ascii="Arial Narrow" w:hAnsi="Arial Narrow" w:cs="Arial Narrow"/>
          <w:b/>
        </w:rPr>
      </w:pPr>
      <w:r>
        <w:rPr>
          <w:rFonts w:ascii="Arial Narrow" w:hAnsi="Arial Narrow" w:cs="Arial Narrow"/>
          <w:b/>
        </w:rPr>
        <w:t>六、存在的主要问题概述</w:t>
      </w:r>
    </w:p>
    <w:p>
      <w:pPr>
        <w:snapToGrid w:val="0"/>
        <w:ind w:firstLine="480"/>
        <w:rPr>
          <w:rFonts w:ascii="Arial Narrow" w:hAnsi="Arial Narrow" w:cs="Arial Narrow"/>
          <w:bCs/>
        </w:rPr>
      </w:pPr>
      <w:r>
        <w:rPr>
          <w:rFonts w:ascii="Arial Narrow" w:hAnsi="Arial Narrow" w:cs="Arial Narrow"/>
        </w:rPr>
        <w:t>（一）项目未制定监督检查与考核评价标准，</w:t>
      </w:r>
      <w:r>
        <w:rPr>
          <w:rFonts w:ascii="Arial Narrow" w:hAnsi="Arial Narrow"/>
        </w:rPr>
        <w:t>也未落实对节能建设情况的考核检查</w:t>
      </w:r>
      <w:r>
        <w:rPr>
          <w:rFonts w:ascii="Arial Narrow" w:hAnsi="Arial Narrow" w:cs="Arial Narrow"/>
        </w:rPr>
        <w:t>。</w:t>
      </w:r>
      <w:r>
        <w:rPr>
          <w:rFonts w:ascii="Arial Narrow" w:hAnsi="Arial Narrow" w:cs="Arial Narrow"/>
          <w:bCs/>
        </w:rPr>
        <w:t>项目实施后，运保中心汇总了各公共机构上报的节能数据，但对上报的节能数据没有进行真实性检查，也没有设立相应的标准对各公共机构节能建设情况进行验收检查，不利于项目质量的控制。</w:t>
      </w:r>
    </w:p>
    <w:p>
      <w:pPr>
        <w:snapToGrid w:val="0"/>
        <w:ind w:firstLine="480"/>
        <w:rPr>
          <w:rFonts w:ascii="Arial Narrow" w:hAnsi="Arial Narrow" w:cs="Arial Narrow"/>
          <w:bCs/>
        </w:rPr>
      </w:pPr>
      <w:r>
        <w:rPr>
          <w:rFonts w:ascii="Arial Narrow" w:hAnsi="Arial Narrow" w:cs="Arial Narrow"/>
        </w:rPr>
        <w:t>（二）宣传知晓率不高。</w:t>
      </w:r>
      <w:r>
        <w:rPr>
          <w:rFonts w:ascii="Arial Narrow" w:hAnsi="Arial Narrow" w:cs="Arial Narrow"/>
          <w:bCs/>
        </w:rPr>
        <w:t>项目在实施过程中通过张贴海报、发放宣传手册和举办绿色出行活动两种宣传方式，宣传的方式单一、不具有创新多样性、且参与度不高，导致公共机构节能项目的宣传效果不佳、知晓度偏低；另外</w:t>
      </w:r>
      <w:r>
        <w:rPr>
          <w:rFonts w:ascii="Arial Narrow" w:hAnsi="Arial Narrow"/>
        </w:rPr>
        <w:t>大部分公共机构对创建成功的节能示范单位不了解，示范单位的带头作用不明显</w:t>
      </w:r>
      <w:r>
        <w:rPr>
          <w:rFonts w:ascii="Arial Narrow" w:hAnsi="Arial Narrow" w:cs="Arial Narrow"/>
          <w:bCs/>
        </w:rPr>
        <w:t>。</w:t>
      </w:r>
    </w:p>
    <w:p>
      <w:pPr>
        <w:snapToGrid w:val="0"/>
        <w:ind w:firstLine="480"/>
        <w:rPr>
          <w:rFonts w:ascii="Arial Narrow" w:hAnsi="Arial Narrow" w:cs="Arial Narrow"/>
          <w:bCs/>
        </w:rPr>
      </w:pPr>
      <w:r>
        <w:rPr>
          <w:rFonts w:ascii="Arial Narrow" w:hAnsi="Arial Narrow" w:cs="Arial Narrow"/>
          <w:bCs/>
        </w:rPr>
        <w:t>（三）节能系统普及率不高</w:t>
      </w:r>
      <w:r>
        <w:rPr>
          <w:rFonts w:ascii="Arial Narrow" w:hAnsi="Arial Narrow"/>
        </w:rPr>
        <w:t>，部分单位只能报送纸质资料，效率较低且不易保存</w:t>
      </w:r>
      <w:r>
        <w:rPr>
          <w:rFonts w:ascii="Arial Narrow" w:hAnsi="Arial Narrow" w:cs="Arial Narrow"/>
          <w:bCs/>
        </w:rPr>
        <w:t>。根据现场访谈和武昌区使用公共机构能源资源消费统计系统软件统计表，2017年一共有160家公共节能机构，其中有43家公共节能机构使用系统软件，目前节能系统普及率为26.86%。而通过纸质资料上报节能数据的公共机构工作效率低下，且纸质资料不易保存。</w:t>
      </w:r>
    </w:p>
    <w:p>
      <w:pPr>
        <w:snapToGrid w:val="0"/>
        <w:ind w:firstLine="480"/>
        <w:rPr>
          <w:rFonts w:ascii="Arial Narrow" w:hAnsi="Arial Narrow" w:cs="Arial Narrow"/>
          <w:bCs/>
        </w:rPr>
      </w:pPr>
      <w:r>
        <w:rPr>
          <w:rFonts w:ascii="Arial Narrow" w:hAnsi="Arial Narrow"/>
        </w:rPr>
        <w:t>（四）项目负责人员配备不足且</w:t>
      </w:r>
      <w:r>
        <w:rPr>
          <w:rFonts w:ascii="Arial Narrow" w:hAnsi="Arial Narrow" w:cs="Arial Narrow"/>
          <w:bCs/>
        </w:rPr>
        <w:t>人员变动较大。根据现场访谈，武昌区机关运行保障中心负责公共机构节能项目的开展，但仅配备一名员工兼顾本项目的开展且人员的变动较大，没有充分的人力满足项目的长期运行。</w:t>
      </w:r>
    </w:p>
    <w:p>
      <w:pPr>
        <w:pStyle w:val="7"/>
        <w:ind w:firstLine="480"/>
        <w:rPr>
          <w:rFonts w:ascii="Arial Narrow" w:hAnsi="Arial Narrow" w:cs="Arial Narrow"/>
          <w:bCs/>
        </w:rPr>
      </w:pPr>
    </w:p>
    <w:p>
      <w:pPr>
        <w:ind w:firstLine="0" w:firstLineChars="0"/>
        <w:rPr>
          <w:rFonts w:ascii="Arial Narrow" w:hAnsi="Arial Narrow" w:cs="Arial Narrow"/>
          <w:b/>
        </w:rPr>
        <w:sectPr>
          <w:footerReference r:id="rId12" w:type="default"/>
          <w:pgSz w:w="11906" w:h="16838"/>
          <w:pgMar w:top="1440" w:right="1406" w:bottom="1089" w:left="1800" w:header="2041" w:footer="1134" w:gutter="0"/>
          <w:cols w:space="720" w:num="1"/>
          <w:docGrid w:type="lines" w:linePitch="408" w:charSpace="0"/>
        </w:sectPr>
      </w:pPr>
    </w:p>
    <w:p>
      <w:pPr>
        <w:ind w:firstLine="0" w:firstLineChars="0"/>
        <w:rPr>
          <w:rFonts w:ascii="Arial Narrow" w:hAnsi="Arial Narrow" w:cs="Arial Narrow"/>
          <w:b/>
        </w:rPr>
      </w:pPr>
      <w:r>
        <w:rPr>
          <w:rFonts w:ascii="Arial Narrow" w:hAnsi="Arial Narrow" w:cs="Arial Narrow"/>
          <w:b/>
        </w:rPr>
        <w:t>七、管理建议概述</w:t>
      </w:r>
    </w:p>
    <w:p>
      <w:pPr>
        <w:snapToGrid w:val="0"/>
        <w:ind w:firstLine="480"/>
        <w:rPr>
          <w:rFonts w:ascii="Arial Narrow" w:hAnsi="Arial Narrow" w:cs="Arial Narrow"/>
        </w:rPr>
      </w:pPr>
      <w:bookmarkStart w:id="0" w:name="_Toc406666351"/>
      <w:bookmarkStart w:id="1" w:name="_Toc406668024"/>
      <w:bookmarkStart w:id="2" w:name="_Toc5048"/>
      <w:r>
        <w:rPr>
          <w:rFonts w:ascii="Arial Narrow" w:hAnsi="Arial Narrow" w:cs="Arial Narrow"/>
          <w:bCs/>
        </w:rPr>
        <w:t>（一）</w:t>
      </w:r>
      <w:r>
        <w:rPr>
          <w:rFonts w:ascii="Arial Narrow" w:hAnsi="Arial Narrow" w:cs="Arial Narrow"/>
        </w:rPr>
        <w:t>加强全区工作落实情况的监督检查和考核评价。区机关运行保障中心应当将节能目标与指标分解落实到各单位，制定公共机构节能考核评价方法，建立公共机构节能目标。对公共机构节能监督检查中发现的问题，应当下达节能整改意见，</w:t>
      </w:r>
      <w:r>
        <w:rPr>
          <w:rFonts w:ascii="Arial Narrow" w:hAnsi="Arial Narrow"/>
        </w:rPr>
        <w:t>督促单位落实整改，不断规范全区的节能建设工作</w:t>
      </w:r>
      <w:r>
        <w:rPr>
          <w:rFonts w:ascii="Arial Narrow" w:hAnsi="Arial Narrow" w:cs="Arial Narrow"/>
        </w:rPr>
        <w:t>。</w:t>
      </w:r>
    </w:p>
    <w:p>
      <w:pPr>
        <w:snapToGrid w:val="0"/>
        <w:ind w:firstLine="480"/>
        <w:rPr>
          <w:rFonts w:ascii="Arial Narrow" w:hAnsi="Arial Narrow" w:cs="Arial Narrow"/>
          <w:bCs/>
        </w:rPr>
      </w:pPr>
      <w:r>
        <w:rPr>
          <w:rFonts w:ascii="Arial Narrow" w:hAnsi="Arial Narrow" w:cs="Arial Narrow"/>
          <w:bCs/>
        </w:rPr>
        <w:t>（二）强化公共机构节能宣传教育，体现公共机构在全社会节能工作中的带头作用。按年度制定公共机构节能宣传、教育和培训方案，采取多种形式广泛开展公共机构节能宣传活动</w:t>
      </w:r>
      <w:r>
        <w:rPr>
          <w:rFonts w:ascii="Arial Narrow" w:hAnsi="Arial Narrow"/>
        </w:rPr>
        <w:t>；同时，关注宣传教育的效果，提高宣传对象的参与度</w:t>
      </w:r>
      <w:r>
        <w:rPr>
          <w:rFonts w:ascii="Arial Narrow" w:hAnsi="Arial Narrow" w:cs="Arial Narrow"/>
          <w:bCs/>
        </w:rPr>
        <w:t>。</w:t>
      </w:r>
    </w:p>
    <w:p>
      <w:pPr>
        <w:snapToGrid w:val="0"/>
        <w:ind w:firstLine="480"/>
        <w:rPr>
          <w:rFonts w:ascii="Arial Narrow" w:hAnsi="Arial Narrow" w:cs="Arial Narrow"/>
          <w:bCs/>
        </w:rPr>
      </w:pPr>
      <w:r>
        <w:rPr>
          <w:rFonts w:ascii="Arial Narrow" w:hAnsi="Arial Narrow"/>
        </w:rPr>
        <w:t>（三）推进能源统计系统的普及，提高能源统计效率。在全区范围内推进能源系统的普及，加强节能系统和设备的运行管理，配备专业技术人员进行咨询维护，降低系统操作难度，推进能源统计系统全覆盖，提高工作效率，规范能源统计数据的填报</w:t>
      </w:r>
      <w:r>
        <w:rPr>
          <w:rFonts w:ascii="Arial Narrow" w:hAnsi="Arial Narrow" w:cs="Arial Narrow"/>
          <w:bCs/>
        </w:rPr>
        <w:t>。</w:t>
      </w:r>
    </w:p>
    <w:p>
      <w:pPr>
        <w:snapToGrid w:val="0"/>
        <w:ind w:firstLine="480"/>
        <w:rPr>
          <w:rFonts w:ascii="Arial Narrow" w:hAnsi="Arial Narrow" w:cs="Arial Narrow"/>
        </w:rPr>
      </w:pPr>
      <w:r>
        <w:rPr>
          <w:rFonts w:ascii="Arial Narrow" w:hAnsi="Arial Narrow" w:cs="Arial Narrow"/>
        </w:rPr>
        <w:t>（四）落实项目人员配置，有序开展各项工作。配备充足的人员开展公共机构节能项目并减少人员变动，按照文件精神和上级部署，制定全年工作计划，落实到人，保障各项工作任务的有序进行，为公共机构节能项目的持续性发展提供保障。</w:t>
      </w:r>
    </w:p>
    <w:p>
      <w:pPr>
        <w:snapToGrid w:val="0"/>
        <w:ind w:firstLine="480"/>
        <w:rPr>
          <w:rFonts w:ascii="Arial Narrow" w:hAnsi="Arial Narrow" w:cs="Arial Narrow"/>
        </w:rPr>
      </w:pPr>
    </w:p>
    <w:p>
      <w:pPr>
        <w:ind w:firstLine="0" w:firstLineChars="0"/>
        <w:rPr>
          <w:rFonts w:ascii="Arial Narrow" w:hAnsi="Arial Narrow" w:cs="Arial Narrow"/>
          <w:b/>
        </w:rPr>
      </w:pPr>
    </w:p>
    <w:p>
      <w:pPr>
        <w:ind w:firstLine="0" w:firstLineChars="0"/>
        <w:rPr>
          <w:rFonts w:ascii="Arial Narrow" w:hAnsi="Arial Narrow" w:cs="Arial Narrow"/>
          <w:b/>
        </w:rPr>
      </w:pPr>
    </w:p>
    <w:p>
      <w:pPr>
        <w:ind w:firstLine="0" w:firstLineChars="0"/>
        <w:rPr>
          <w:rFonts w:ascii="Arial Narrow" w:hAnsi="Arial Narrow" w:cs="Arial Narrow"/>
          <w:b/>
        </w:rPr>
      </w:pPr>
    </w:p>
    <w:p>
      <w:pPr>
        <w:ind w:firstLine="0" w:firstLineChars="0"/>
        <w:rPr>
          <w:rFonts w:ascii="Arial Narrow" w:hAnsi="Arial Narrow" w:cs="Arial Narrow"/>
          <w:b/>
        </w:rPr>
      </w:pPr>
    </w:p>
    <w:p>
      <w:pPr>
        <w:ind w:firstLine="0" w:firstLineChars="0"/>
        <w:rPr>
          <w:rFonts w:ascii="Arial Narrow" w:hAnsi="Arial Narrow" w:cs="Arial Narrow"/>
          <w:b/>
        </w:rPr>
      </w:pPr>
    </w:p>
    <w:p>
      <w:pPr>
        <w:ind w:firstLine="0" w:firstLineChars="0"/>
        <w:rPr>
          <w:rFonts w:ascii="Arial Narrow" w:hAnsi="Arial Narrow" w:cs="Arial Narrow"/>
          <w:b/>
        </w:rPr>
      </w:pPr>
    </w:p>
    <w:p>
      <w:pPr>
        <w:ind w:firstLine="0" w:firstLineChars="0"/>
        <w:rPr>
          <w:rFonts w:ascii="Arial Narrow" w:hAnsi="Arial Narrow" w:cs="Arial Narrow"/>
          <w:b/>
        </w:rPr>
      </w:pPr>
    </w:p>
    <w:p>
      <w:pPr>
        <w:ind w:firstLine="0" w:firstLineChars="0"/>
        <w:rPr>
          <w:rFonts w:ascii="Arial Narrow" w:hAnsi="Arial Narrow" w:cs="Arial Narrow"/>
          <w:b/>
        </w:rPr>
      </w:pPr>
    </w:p>
    <w:p>
      <w:pPr>
        <w:ind w:firstLine="0" w:firstLineChars="0"/>
        <w:rPr>
          <w:rFonts w:ascii="Arial Narrow" w:hAnsi="Arial Narrow" w:cs="Arial Narrow"/>
          <w:b/>
        </w:rPr>
      </w:pPr>
    </w:p>
    <w:p>
      <w:pPr>
        <w:snapToGrid w:val="0"/>
        <w:ind w:firstLine="0" w:firstLineChars="0"/>
        <w:jc w:val="center"/>
        <w:outlineLvl w:val="0"/>
        <w:rPr>
          <w:rFonts w:ascii="Arial Narrow" w:hAnsi="Arial Narrow" w:cs="Arial Narrow"/>
          <w:b/>
          <w:sz w:val="28"/>
          <w:szCs w:val="28"/>
        </w:rPr>
        <w:sectPr>
          <w:footerReference r:id="rId13" w:type="default"/>
          <w:pgSz w:w="11906" w:h="16838"/>
          <w:pgMar w:top="1440" w:right="1406" w:bottom="1089" w:left="1800" w:header="2041" w:footer="1134" w:gutter="0"/>
          <w:cols w:space="720" w:num="1"/>
          <w:docGrid w:type="lines" w:linePitch="408" w:charSpace="0"/>
        </w:sectPr>
      </w:pPr>
      <w:bookmarkStart w:id="3" w:name="_Toc15632"/>
      <w:bookmarkStart w:id="4" w:name="_Toc25211"/>
    </w:p>
    <w:p>
      <w:pPr>
        <w:snapToGrid w:val="0"/>
        <w:spacing w:line="240" w:lineRule="auto"/>
        <w:ind w:firstLine="0" w:firstLineChars="0"/>
        <w:jc w:val="center"/>
        <w:outlineLvl w:val="0"/>
        <w:rPr>
          <w:rFonts w:ascii="Arial Narrow" w:hAnsi="Arial Narrow" w:cs="Arial Narrow"/>
          <w:b/>
          <w:sz w:val="32"/>
          <w:szCs w:val="32"/>
        </w:rPr>
      </w:pPr>
      <w:bookmarkStart w:id="5" w:name="_Toc5568"/>
      <w:r>
        <w:rPr>
          <w:rFonts w:ascii="Arial Narrow" w:hAnsi="Arial Narrow" w:cs="Arial Narrow"/>
          <w:b/>
          <w:sz w:val="32"/>
          <w:szCs w:val="32"/>
        </w:rPr>
        <w:t>目 录</w:t>
      </w:r>
      <w:bookmarkEnd w:id="3"/>
      <w:bookmarkEnd w:id="4"/>
      <w:bookmarkEnd w:id="5"/>
    </w:p>
    <w:p>
      <w:pPr>
        <w:adjustRightInd w:val="0"/>
        <w:snapToGrid w:val="0"/>
        <w:spacing w:line="240" w:lineRule="auto"/>
        <w:ind w:firstLine="0" w:firstLineChars="0"/>
        <w:rPr>
          <w:rFonts w:ascii="Arial Narrow" w:hAnsi="Arial Narrow" w:cs="Arial Narrow"/>
          <w:bCs/>
          <w:caps/>
          <w:sz w:val="22"/>
          <w:szCs w:val="22"/>
        </w:rPr>
      </w:pPr>
      <w:r>
        <w:rPr>
          <w:rFonts w:ascii="Arial Narrow" w:hAnsi="Arial Narrow" w:cs="Arial Narrow"/>
          <w:bCs/>
          <w:caps/>
          <w:sz w:val="22"/>
          <w:szCs w:val="22"/>
        </w:rPr>
        <w:t xml:space="preserve">    摘要</w:t>
      </w:r>
    </w:p>
    <w:p>
      <w:pPr>
        <w:pStyle w:val="15"/>
        <w:tabs>
          <w:tab w:val="right" w:leader="dot" w:pos="8700"/>
        </w:tabs>
        <w:spacing w:line="240" w:lineRule="auto"/>
        <w:ind w:firstLine="440"/>
        <w:rPr>
          <w:rFonts w:ascii="Arial Narrow" w:hAnsi="Arial Narrow"/>
          <w:b w:val="0"/>
        </w:rPr>
      </w:pPr>
      <w:r>
        <w:rPr>
          <w:rFonts w:ascii="Arial Narrow" w:hAnsi="Arial Narrow" w:cs="Arial Narrow"/>
          <w:b w:val="0"/>
          <w:sz w:val="22"/>
          <w:szCs w:val="22"/>
        </w:rPr>
        <w:fldChar w:fldCharType="begin"/>
      </w:r>
      <w:r>
        <w:rPr>
          <w:rFonts w:ascii="Arial Narrow" w:hAnsi="Arial Narrow" w:cs="Arial Narrow"/>
          <w:b w:val="0"/>
          <w:sz w:val="22"/>
          <w:szCs w:val="22"/>
        </w:rPr>
        <w:instrText xml:space="preserve"> TOC \o "1-4" \h \z \u </w:instrText>
      </w:r>
      <w:r>
        <w:rPr>
          <w:rFonts w:ascii="Arial Narrow" w:hAnsi="Arial Narrow" w:cs="Arial Narrow"/>
          <w:b w:val="0"/>
          <w:sz w:val="22"/>
          <w:szCs w:val="22"/>
        </w:rPr>
        <w:fldChar w:fldCharType="separate"/>
      </w:r>
      <w:r>
        <w:fldChar w:fldCharType="begin"/>
      </w:r>
      <w:r>
        <w:instrText xml:space="preserve"> HYPERLINK \l "_Toc3864" </w:instrText>
      </w:r>
      <w:r>
        <w:fldChar w:fldCharType="separate"/>
      </w:r>
      <w:r>
        <w:rPr>
          <w:rFonts w:ascii="Arial Narrow" w:hAnsi="Arial Narrow" w:cs="Arial Narrow"/>
          <w:b w:val="0"/>
          <w:sz w:val="24"/>
          <w:szCs w:val="24"/>
        </w:rPr>
        <w:t>前言</w:t>
      </w:r>
      <w:r>
        <w:rPr>
          <w:rFonts w:ascii="Arial Narrow" w:hAnsi="Arial Narrow"/>
          <w:b w:val="0"/>
          <w:sz w:val="24"/>
          <w:szCs w:val="24"/>
        </w:rPr>
        <w:tab/>
      </w:r>
      <w:r>
        <w:rPr>
          <w:rFonts w:ascii="Arial Narrow" w:hAnsi="Arial Narrow"/>
          <w:b w:val="0"/>
          <w:sz w:val="24"/>
          <w:szCs w:val="24"/>
        </w:rPr>
        <w:fldChar w:fldCharType="begin"/>
      </w:r>
      <w:r>
        <w:rPr>
          <w:rFonts w:ascii="Arial Narrow" w:hAnsi="Arial Narrow"/>
          <w:b w:val="0"/>
          <w:sz w:val="24"/>
          <w:szCs w:val="24"/>
        </w:rPr>
        <w:instrText xml:space="preserve"> PAGEREF _Toc3864 </w:instrText>
      </w:r>
      <w:r>
        <w:rPr>
          <w:rFonts w:ascii="Arial Narrow" w:hAnsi="Arial Narrow"/>
          <w:b w:val="0"/>
          <w:sz w:val="24"/>
          <w:szCs w:val="24"/>
        </w:rPr>
        <w:fldChar w:fldCharType="separate"/>
      </w:r>
      <w:r>
        <w:rPr>
          <w:rFonts w:ascii="Arial Narrow" w:hAnsi="Arial Narrow"/>
          <w:b w:val="0"/>
          <w:sz w:val="24"/>
          <w:szCs w:val="24"/>
        </w:rPr>
        <w:t>1</w:t>
      </w:r>
      <w:r>
        <w:rPr>
          <w:rFonts w:ascii="Arial Narrow" w:hAnsi="Arial Narrow"/>
          <w:b w:val="0"/>
          <w:sz w:val="24"/>
          <w:szCs w:val="24"/>
        </w:rPr>
        <w:fldChar w:fldCharType="end"/>
      </w:r>
      <w:r>
        <w:rPr>
          <w:rFonts w:ascii="Arial Narrow" w:hAnsi="Arial Narrow"/>
          <w:b w:val="0"/>
          <w:sz w:val="24"/>
          <w:szCs w:val="24"/>
        </w:rPr>
        <w:fldChar w:fldCharType="end"/>
      </w:r>
    </w:p>
    <w:p>
      <w:pPr>
        <w:pStyle w:val="15"/>
        <w:tabs>
          <w:tab w:val="right" w:leader="dot" w:pos="8700"/>
        </w:tabs>
        <w:spacing w:line="240" w:lineRule="auto"/>
        <w:ind w:firstLine="562"/>
        <w:rPr>
          <w:rFonts w:ascii="Arial Narrow" w:hAnsi="Arial Narrow"/>
          <w:b w:val="0"/>
        </w:rPr>
      </w:pPr>
      <w:r>
        <w:fldChar w:fldCharType="begin"/>
      </w:r>
      <w:r>
        <w:instrText xml:space="preserve"> HYPERLINK \l "_Toc9932" </w:instrText>
      </w:r>
      <w:r>
        <w:fldChar w:fldCharType="separate"/>
      </w:r>
      <w:r>
        <w:rPr>
          <w:rFonts w:ascii="Arial Narrow" w:hAnsi="Arial Narrow" w:cs="Arial Narrow"/>
          <w:b w:val="0"/>
        </w:rPr>
        <w:t>一</w:t>
      </w:r>
      <w:r>
        <w:rPr>
          <w:rFonts w:ascii="Arial Narrow" w:hAnsi="Arial Narrow" w:cs="Arial Narrow"/>
          <w:b w:val="0"/>
          <w:sz w:val="24"/>
          <w:szCs w:val="24"/>
        </w:rPr>
        <w:t>、项目基本情况</w:t>
      </w:r>
      <w:r>
        <w:rPr>
          <w:rFonts w:ascii="Arial Narrow" w:hAnsi="Arial Narrow"/>
          <w:b w:val="0"/>
        </w:rPr>
        <w:tab/>
      </w:r>
      <w:r>
        <w:rPr>
          <w:rFonts w:ascii="Arial Narrow" w:hAnsi="Arial Narrow"/>
          <w:b w:val="0"/>
          <w:sz w:val="24"/>
          <w:szCs w:val="24"/>
        </w:rPr>
        <w:fldChar w:fldCharType="begin"/>
      </w:r>
      <w:r>
        <w:rPr>
          <w:rFonts w:ascii="Arial Narrow" w:hAnsi="Arial Narrow"/>
          <w:b w:val="0"/>
          <w:sz w:val="24"/>
          <w:szCs w:val="24"/>
        </w:rPr>
        <w:instrText xml:space="preserve"> PAGEREF _Toc9932 </w:instrText>
      </w:r>
      <w:r>
        <w:rPr>
          <w:rFonts w:ascii="Arial Narrow" w:hAnsi="Arial Narrow"/>
          <w:b w:val="0"/>
          <w:sz w:val="24"/>
          <w:szCs w:val="24"/>
        </w:rPr>
        <w:fldChar w:fldCharType="separate"/>
      </w:r>
      <w:r>
        <w:rPr>
          <w:rFonts w:ascii="Arial Narrow" w:hAnsi="Arial Narrow"/>
          <w:b w:val="0"/>
          <w:sz w:val="24"/>
          <w:szCs w:val="24"/>
        </w:rPr>
        <w:t>1</w:t>
      </w:r>
      <w:r>
        <w:rPr>
          <w:rFonts w:ascii="Arial Narrow" w:hAnsi="Arial Narrow"/>
          <w:b w:val="0"/>
          <w:sz w:val="24"/>
          <w:szCs w:val="24"/>
        </w:rPr>
        <w:fldChar w:fldCharType="end"/>
      </w:r>
      <w:r>
        <w:rPr>
          <w:rFonts w:ascii="Arial Narrow" w:hAnsi="Arial Narrow"/>
          <w:b w:val="0"/>
          <w:sz w:val="24"/>
          <w:szCs w:val="24"/>
        </w:rPr>
        <w:fldChar w:fldCharType="end"/>
      </w:r>
    </w:p>
    <w:p>
      <w:pPr>
        <w:pStyle w:val="18"/>
        <w:tabs>
          <w:tab w:val="right" w:leader="dot" w:pos="8700"/>
        </w:tabs>
        <w:spacing w:line="240" w:lineRule="auto"/>
        <w:ind w:firstLine="560"/>
        <w:rPr>
          <w:rFonts w:ascii="Arial Narrow" w:hAnsi="Arial Narrow"/>
          <w:bCs/>
          <w:sz w:val="24"/>
          <w:szCs w:val="24"/>
        </w:rPr>
      </w:pPr>
      <w:r>
        <w:fldChar w:fldCharType="begin"/>
      </w:r>
      <w:r>
        <w:instrText xml:space="preserve"> HYPERLINK \l "_Toc26220" </w:instrText>
      </w:r>
      <w:r>
        <w:fldChar w:fldCharType="separate"/>
      </w:r>
      <w:r>
        <w:rPr>
          <w:rFonts w:ascii="Arial Narrow" w:hAnsi="Arial Narrow" w:cs="Arial Narrow"/>
          <w:bCs/>
          <w:sz w:val="24"/>
          <w:szCs w:val="24"/>
        </w:rPr>
        <w:t>（一）项目概况</w:t>
      </w:r>
      <w:r>
        <w:rPr>
          <w:rFonts w:ascii="Arial Narrow" w:hAnsi="Arial Narrow"/>
          <w:bCs/>
          <w:sz w:val="24"/>
          <w:szCs w:val="24"/>
        </w:rPr>
        <w:tab/>
      </w:r>
      <w:r>
        <w:rPr>
          <w:rFonts w:ascii="Arial Narrow" w:hAnsi="Arial Narrow"/>
          <w:bCs/>
          <w:sz w:val="24"/>
          <w:szCs w:val="24"/>
        </w:rPr>
        <w:fldChar w:fldCharType="begin"/>
      </w:r>
      <w:r>
        <w:rPr>
          <w:rFonts w:ascii="Arial Narrow" w:hAnsi="Arial Narrow"/>
          <w:bCs/>
          <w:sz w:val="24"/>
          <w:szCs w:val="24"/>
        </w:rPr>
        <w:instrText xml:space="preserve"> PAGEREF _Toc26220 </w:instrText>
      </w:r>
      <w:r>
        <w:rPr>
          <w:rFonts w:ascii="Arial Narrow" w:hAnsi="Arial Narrow"/>
          <w:bCs/>
          <w:sz w:val="24"/>
          <w:szCs w:val="24"/>
        </w:rPr>
        <w:fldChar w:fldCharType="separate"/>
      </w:r>
      <w:r>
        <w:rPr>
          <w:rFonts w:ascii="Arial Narrow" w:hAnsi="Arial Narrow"/>
          <w:bCs/>
          <w:sz w:val="24"/>
          <w:szCs w:val="24"/>
        </w:rPr>
        <w:t>1</w:t>
      </w:r>
      <w:r>
        <w:rPr>
          <w:rFonts w:ascii="Arial Narrow" w:hAnsi="Arial Narrow"/>
          <w:bCs/>
          <w:sz w:val="24"/>
          <w:szCs w:val="24"/>
        </w:rPr>
        <w:fldChar w:fldCharType="end"/>
      </w:r>
      <w:r>
        <w:rPr>
          <w:rFonts w:ascii="Arial Narrow" w:hAnsi="Arial Narrow"/>
          <w:bCs/>
          <w:sz w:val="24"/>
          <w:szCs w:val="24"/>
        </w:rPr>
        <w:fldChar w:fldCharType="end"/>
      </w:r>
    </w:p>
    <w:p>
      <w:pPr>
        <w:pStyle w:val="18"/>
        <w:tabs>
          <w:tab w:val="right" w:leader="dot" w:pos="8700"/>
        </w:tabs>
        <w:spacing w:line="240" w:lineRule="auto"/>
        <w:ind w:firstLine="560"/>
        <w:rPr>
          <w:rFonts w:ascii="Arial Narrow" w:hAnsi="Arial Narrow"/>
          <w:bCs/>
        </w:rPr>
      </w:pPr>
      <w:r>
        <w:fldChar w:fldCharType="begin"/>
      </w:r>
      <w:r>
        <w:instrText xml:space="preserve"> HYPERLINK \l "_Toc7556" </w:instrText>
      </w:r>
      <w:r>
        <w:fldChar w:fldCharType="separate"/>
      </w:r>
      <w:r>
        <w:rPr>
          <w:rFonts w:ascii="Arial Narrow" w:hAnsi="Arial Narrow" w:cs="Arial Narrow"/>
          <w:bCs/>
          <w:sz w:val="24"/>
          <w:szCs w:val="24"/>
        </w:rPr>
        <w:t>（二）项目绩效目标</w:t>
      </w:r>
      <w:r>
        <w:rPr>
          <w:rFonts w:ascii="Arial Narrow" w:hAnsi="Arial Narrow"/>
          <w:bCs/>
          <w:sz w:val="24"/>
          <w:szCs w:val="24"/>
        </w:rPr>
        <w:tab/>
      </w:r>
      <w:r>
        <w:rPr>
          <w:rFonts w:ascii="Arial Narrow" w:hAnsi="Arial Narrow"/>
          <w:bCs/>
          <w:sz w:val="24"/>
          <w:szCs w:val="24"/>
        </w:rPr>
        <w:fldChar w:fldCharType="begin"/>
      </w:r>
      <w:r>
        <w:rPr>
          <w:rFonts w:ascii="Arial Narrow" w:hAnsi="Arial Narrow"/>
          <w:bCs/>
          <w:sz w:val="24"/>
          <w:szCs w:val="24"/>
        </w:rPr>
        <w:instrText xml:space="preserve"> PAGEREF _Toc7556 </w:instrText>
      </w:r>
      <w:r>
        <w:rPr>
          <w:rFonts w:ascii="Arial Narrow" w:hAnsi="Arial Narrow"/>
          <w:bCs/>
          <w:sz w:val="24"/>
          <w:szCs w:val="24"/>
        </w:rPr>
        <w:fldChar w:fldCharType="separate"/>
      </w:r>
      <w:r>
        <w:rPr>
          <w:rFonts w:ascii="Arial Narrow" w:hAnsi="Arial Narrow"/>
          <w:bCs/>
          <w:sz w:val="24"/>
          <w:szCs w:val="24"/>
        </w:rPr>
        <w:t>3</w:t>
      </w:r>
      <w:r>
        <w:rPr>
          <w:rFonts w:ascii="Arial Narrow" w:hAnsi="Arial Narrow"/>
          <w:bCs/>
          <w:sz w:val="24"/>
          <w:szCs w:val="24"/>
        </w:rPr>
        <w:fldChar w:fldCharType="end"/>
      </w:r>
      <w:r>
        <w:rPr>
          <w:rFonts w:ascii="Arial Narrow" w:hAnsi="Arial Narrow"/>
          <w:bCs/>
          <w:sz w:val="24"/>
          <w:szCs w:val="24"/>
        </w:rPr>
        <w:fldChar w:fldCharType="end"/>
      </w:r>
    </w:p>
    <w:p>
      <w:pPr>
        <w:pStyle w:val="15"/>
        <w:tabs>
          <w:tab w:val="right" w:leader="dot" w:pos="8700"/>
        </w:tabs>
        <w:spacing w:line="240" w:lineRule="auto"/>
        <w:ind w:firstLine="562"/>
        <w:rPr>
          <w:rFonts w:ascii="Arial Narrow" w:hAnsi="Arial Narrow"/>
          <w:b w:val="0"/>
          <w:sz w:val="24"/>
          <w:szCs w:val="24"/>
        </w:rPr>
      </w:pPr>
      <w:r>
        <w:fldChar w:fldCharType="begin"/>
      </w:r>
      <w:r>
        <w:instrText xml:space="preserve"> HYPERLINK \l "_Toc14272" </w:instrText>
      </w:r>
      <w:r>
        <w:fldChar w:fldCharType="separate"/>
      </w:r>
      <w:r>
        <w:rPr>
          <w:rFonts w:ascii="Arial Narrow" w:hAnsi="Arial Narrow" w:cs="Arial Narrow"/>
          <w:b w:val="0"/>
          <w:sz w:val="24"/>
          <w:szCs w:val="24"/>
        </w:rPr>
        <w:t>二、绩效评价工作情况</w:t>
      </w:r>
      <w:r>
        <w:rPr>
          <w:rFonts w:ascii="Arial Narrow" w:hAnsi="Arial Narrow"/>
          <w:b w:val="0"/>
          <w:sz w:val="24"/>
          <w:szCs w:val="24"/>
        </w:rPr>
        <w:tab/>
      </w:r>
      <w:r>
        <w:rPr>
          <w:rFonts w:ascii="Arial Narrow" w:hAnsi="Arial Narrow"/>
          <w:b w:val="0"/>
          <w:sz w:val="24"/>
          <w:szCs w:val="24"/>
        </w:rPr>
        <w:fldChar w:fldCharType="begin"/>
      </w:r>
      <w:r>
        <w:rPr>
          <w:rFonts w:ascii="Arial Narrow" w:hAnsi="Arial Narrow"/>
          <w:b w:val="0"/>
          <w:sz w:val="24"/>
          <w:szCs w:val="24"/>
        </w:rPr>
        <w:instrText xml:space="preserve"> PAGEREF _Toc14272 </w:instrText>
      </w:r>
      <w:r>
        <w:rPr>
          <w:rFonts w:ascii="Arial Narrow" w:hAnsi="Arial Narrow"/>
          <w:b w:val="0"/>
          <w:sz w:val="24"/>
          <w:szCs w:val="24"/>
        </w:rPr>
        <w:fldChar w:fldCharType="separate"/>
      </w:r>
      <w:r>
        <w:rPr>
          <w:rFonts w:ascii="Arial Narrow" w:hAnsi="Arial Narrow"/>
          <w:b w:val="0"/>
          <w:sz w:val="24"/>
          <w:szCs w:val="24"/>
        </w:rPr>
        <w:t>3</w:t>
      </w:r>
      <w:r>
        <w:rPr>
          <w:rFonts w:ascii="Arial Narrow" w:hAnsi="Arial Narrow"/>
          <w:b w:val="0"/>
          <w:sz w:val="24"/>
          <w:szCs w:val="24"/>
        </w:rPr>
        <w:fldChar w:fldCharType="end"/>
      </w:r>
      <w:r>
        <w:rPr>
          <w:rFonts w:ascii="Arial Narrow" w:hAnsi="Arial Narrow"/>
          <w:b w:val="0"/>
          <w:sz w:val="24"/>
          <w:szCs w:val="24"/>
        </w:rPr>
        <w:fldChar w:fldCharType="end"/>
      </w:r>
    </w:p>
    <w:p>
      <w:pPr>
        <w:pStyle w:val="18"/>
        <w:tabs>
          <w:tab w:val="right" w:leader="dot" w:pos="8700"/>
        </w:tabs>
        <w:spacing w:line="240" w:lineRule="auto"/>
        <w:ind w:firstLine="560"/>
        <w:rPr>
          <w:rFonts w:ascii="Arial Narrow" w:hAnsi="Arial Narrow"/>
          <w:bCs/>
          <w:sz w:val="24"/>
          <w:szCs w:val="24"/>
        </w:rPr>
      </w:pPr>
      <w:r>
        <w:fldChar w:fldCharType="begin"/>
      </w:r>
      <w:r>
        <w:instrText xml:space="preserve"> HYPERLINK \l "_Toc1587" </w:instrText>
      </w:r>
      <w:r>
        <w:fldChar w:fldCharType="separate"/>
      </w:r>
      <w:r>
        <w:rPr>
          <w:rFonts w:ascii="Arial Narrow" w:hAnsi="Arial Narrow" w:cs="Arial Narrow"/>
          <w:bCs/>
          <w:sz w:val="24"/>
          <w:szCs w:val="24"/>
        </w:rPr>
        <w:t>（一）绩效评价目的</w:t>
      </w:r>
      <w:r>
        <w:rPr>
          <w:rFonts w:ascii="Arial Narrow" w:hAnsi="Arial Narrow"/>
          <w:bCs/>
          <w:sz w:val="24"/>
          <w:szCs w:val="24"/>
        </w:rPr>
        <w:tab/>
      </w:r>
      <w:r>
        <w:rPr>
          <w:rFonts w:ascii="Arial Narrow" w:hAnsi="Arial Narrow"/>
          <w:bCs/>
          <w:sz w:val="24"/>
          <w:szCs w:val="24"/>
        </w:rPr>
        <w:fldChar w:fldCharType="begin"/>
      </w:r>
      <w:r>
        <w:rPr>
          <w:rFonts w:ascii="Arial Narrow" w:hAnsi="Arial Narrow"/>
          <w:bCs/>
          <w:sz w:val="24"/>
          <w:szCs w:val="24"/>
        </w:rPr>
        <w:instrText xml:space="preserve"> PAGEREF _Toc1587 </w:instrText>
      </w:r>
      <w:r>
        <w:rPr>
          <w:rFonts w:ascii="Arial Narrow" w:hAnsi="Arial Narrow"/>
          <w:bCs/>
          <w:sz w:val="24"/>
          <w:szCs w:val="24"/>
        </w:rPr>
        <w:fldChar w:fldCharType="separate"/>
      </w:r>
      <w:r>
        <w:rPr>
          <w:rFonts w:ascii="Arial Narrow" w:hAnsi="Arial Narrow"/>
          <w:bCs/>
          <w:sz w:val="24"/>
          <w:szCs w:val="24"/>
        </w:rPr>
        <w:t>4</w:t>
      </w:r>
      <w:r>
        <w:rPr>
          <w:rFonts w:ascii="Arial Narrow" w:hAnsi="Arial Narrow"/>
          <w:bCs/>
          <w:sz w:val="24"/>
          <w:szCs w:val="24"/>
        </w:rPr>
        <w:fldChar w:fldCharType="end"/>
      </w:r>
      <w:r>
        <w:rPr>
          <w:rFonts w:ascii="Arial Narrow" w:hAnsi="Arial Narrow"/>
          <w:bCs/>
          <w:sz w:val="24"/>
          <w:szCs w:val="24"/>
        </w:rPr>
        <w:fldChar w:fldCharType="end"/>
      </w:r>
    </w:p>
    <w:p>
      <w:pPr>
        <w:pStyle w:val="18"/>
        <w:tabs>
          <w:tab w:val="right" w:leader="dot" w:pos="8700"/>
        </w:tabs>
        <w:spacing w:line="240" w:lineRule="auto"/>
        <w:ind w:firstLine="560"/>
        <w:rPr>
          <w:rFonts w:ascii="Arial Narrow" w:hAnsi="Arial Narrow"/>
          <w:bCs/>
          <w:sz w:val="24"/>
          <w:szCs w:val="24"/>
        </w:rPr>
      </w:pPr>
      <w:r>
        <w:fldChar w:fldCharType="begin"/>
      </w:r>
      <w:r>
        <w:instrText xml:space="preserve"> HYPERLINK \l "_Toc28758" </w:instrText>
      </w:r>
      <w:r>
        <w:fldChar w:fldCharType="separate"/>
      </w:r>
      <w:r>
        <w:rPr>
          <w:rFonts w:ascii="Arial Narrow" w:hAnsi="Arial Narrow" w:cs="Arial Narrow"/>
          <w:bCs/>
          <w:sz w:val="24"/>
          <w:szCs w:val="24"/>
        </w:rPr>
        <w:t>（二）绩效评价工作过程</w:t>
      </w:r>
      <w:r>
        <w:rPr>
          <w:rFonts w:ascii="Arial Narrow" w:hAnsi="Arial Narrow"/>
          <w:bCs/>
          <w:sz w:val="24"/>
          <w:szCs w:val="24"/>
        </w:rPr>
        <w:tab/>
      </w:r>
      <w:r>
        <w:rPr>
          <w:rFonts w:ascii="Arial Narrow" w:hAnsi="Arial Narrow"/>
          <w:bCs/>
          <w:sz w:val="24"/>
          <w:szCs w:val="24"/>
        </w:rPr>
        <w:fldChar w:fldCharType="begin"/>
      </w:r>
      <w:r>
        <w:rPr>
          <w:rFonts w:ascii="Arial Narrow" w:hAnsi="Arial Narrow"/>
          <w:bCs/>
          <w:sz w:val="24"/>
          <w:szCs w:val="24"/>
        </w:rPr>
        <w:instrText xml:space="preserve"> PAGEREF _Toc28758 </w:instrText>
      </w:r>
      <w:r>
        <w:rPr>
          <w:rFonts w:ascii="Arial Narrow" w:hAnsi="Arial Narrow"/>
          <w:bCs/>
          <w:sz w:val="24"/>
          <w:szCs w:val="24"/>
        </w:rPr>
        <w:fldChar w:fldCharType="separate"/>
      </w:r>
      <w:r>
        <w:rPr>
          <w:rFonts w:ascii="Arial Narrow" w:hAnsi="Arial Narrow"/>
          <w:bCs/>
          <w:sz w:val="24"/>
          <w:szCs w:val="24"/>
        </w:rPr>
        <w:t>4</w:t>
      </w:r>
      <w:r>
        <w:rPr>
          <w:rFonts w:ascii="Arial Narrow" w:hAnsi="Arial Narrow"/>
          <w:bCs/>
          <w:sz w:val="24"/>
          <w:szCs w:val="24"/>
        </w:rPr>
        <w:fldChar w:fldCharType="end"/>
      </w:r>
      <w:r>
        <w:rPr>
          <w:rFonts w:ascii="Arial Narrow" w:hAnsi="Arial Narrow"/>
          <w:bCs/>
          <w:sz w:val="24"/>
          <w:szCs w:val="24"/>
        </w:rPr>
        <w:fldChar w:fldCharType="end"/>
      </w:r>
    </w:p>
    <w:p>
      <w:pPr>
        <w:pStyle w:val="18"/>
        <w:tabs>
          <w:tab w:val="right" w:leader="dot" w:pos="8700"/>
        </w:tabs>
        <w:spacing w:line="240" w:lineRule="auto"/>
        <w:ind w:firstLine="560"/>
        <w:rPr>
          <w:rFonts w:ascii="Arial Narrow" w:hAnsi="Arial Narrow"/>
          <w:bCs/>
          <w:sz w:val="24"/>
          <w:szCs w:val="24"/>
        </w:rPr>
      </w:pPr>
      <w:r>
        <w:fldChar w:fldCharType="begin"/>
      </w:r>
      <w:r>
        <w:instrText xml:space="preserve"> HYPERLINK \l "_Toc27304" </w:instrText>
      </w:r>
      <w:r>
        <w:fldChar w:fldCharType="separate"/>
      </w:r>
      <w:r>
        <w:rPr>
          <w:rFonts w:ascii="Arial Narrow" w:hAnsi="Arial Narrow" w:cs="Arial Narrow"/>
          <w:bCs/>
          <w:sz w:val="24"/>
          <w:szCs w:val="24"/>
        </w:rPr>
        <w:t>（三）绩效评价框架</w:t>
      </w:r>
      <w:r>
        <w:rPr>
          <w:rFonts w:ascii="Arial Narrow" w:hAnsi="Arial Narrow"/>
          <w:bCs/>
          <w:sz w:val="24"/>
          <w:szCs w:val="24"/>
        </w:rPr>
        <w:tab/>
      </w:r>
      <w:r>
        <w:rPr>
          <w:rFonts w:ascii="Arial Narrow" w:hAnsi="Arial Narrow"/>
          <w:bCs/>
          <w:sz w:val="24"/>
          <w:szCs w:val="24"/>
        </w:rPr>
        <w:fldChar w:fldCharType="begin"/>
      </w:r>
      <w:r>
        <w:rPr>
          <w:rFonts w:ascii="Arial Narrow" w:hAnsi="Arial Narrow"/>
          <w:bCs/>
          <w:sz w:val="24"/>
          <w:szCs w:val="24"/>
        </w:rPr>
        <w:instrText xml:space="preserve"> PAGEREF _Toc27304 </w:instrText>
      </w:r>
      <w:r>
        <w:rPr>
          <w:rFonts w:ascii="Arial Narrow" w:hAnsi="Arial Narrow"/>
          <w:bCs/>
          <w:sz w:val="24"/>
          <w:szCs w:val="24"/>
        </w:rPr>
        <w:fldChar w:fldCharType="separate"/>
      </w:r>
      <w:r>
        <w:rPr>
          <w:rFonts w:ascii="Arial Narrow" w:hAnsi="Arial Narrow"/>
          <w:bCs/>
          <w:sz w:val="24"/>
          <w:szCs w:val="24"/>
        </w:rPr>
        <w:t>6</w:t>
      </w:r>
      <w:r>
        <w:rPr>
          <w:rFonts w:ascii="Arial Narrow" w:hAnsi="Arial Narrow"/>
          <w:bCs/>
          <w:sz w:val="24"/>
          <w:szCs w:val="24"/>
        </w:rPr>
        <w:fldChar w:fldCharType="end"/>
      </w:r>
      <w:r>
        <w:rPr>
          <w:rFonts w:ascii="Arial Narrow" w:hAnsi="Arial Narrow"/>
          <w:bCs/>
          <w:sz w:val="24"/>
          <w:szCs w:val="24"/>
        </w:rPr>
        <w:fldChar w:fldCharType="end"/>
      </w:r>
    </w:p>
    <w:p>
      <w:pPr>
        <w:pStyle w:val="18"/>
        <w:tabs>
          <w:tab w:val="right" w:leader="dot" w:pos="8700"/>
        </w:tabs>
        <w:spacing w:line="240" w:lineRule="auto"/>
        <w:ind w:firstLine="560"/>
        <w:rPr>
          <w:rFonts w:ascii="Arial Narrow" w:hAnsi="Arial Narrow"/>
          <w:bCs/>
        </w:rPr>
      </w:pPr>
      <w:r>
        <w:fldChar w:fldCharType="begin"/>
      </w:r>
      <w:r>
        <w:instrText xml:space="preserve"> HYPERLINK \l "_Toc26099" </w:instrText>
      </w:r>
      <w:r>
        <w:fldChar w:fldCharType="separate"/>
      </w:r>
      <w:r>
        <w:rPr>
          <w:rFonts w:ascii="Arial Narrow" w:hAnsi="Arial Narrow" w:cs="Arial Narrow"/>
          <w:bCs/>
          <w:sz w:val="24"/>
          <w:szCs w:val="24"/>
        </w:rPr>
        <w:t>（四）证据收集方式</w:t>
      </w:r>
      <w:r>
        <w:rPr>
          <w:rFonts w:ascii="Arial Narrow" w:hAnsi="Arial Narrow"/>
          <w:bCs/>
          <w:sz w:val="24"/>
          <w:szCs w:val="24"/>
        </w:rPr>
        <w:tab/>
      </w:r>
      <w:r>
        <w:rPr>
          <w:rFonts w:ascii="Arial Narrow" w:hAnsi="Arial Narrow"/>
          <w:bCs/>
          <w:sz w:val="24"/>
          <w:szCs w:val="24"/>
        </w:rPr>
        <w:fldChar w:fldCharType="begin"/>
      </w:r>
      <w:r>
        <w:rPr>
          <w:rFonts w:ascii="Arial Narrow" w:hAnsi="Arial Narrow"/>
          <w:bCs/>
          <w:sz w:val="24"/>
          <w:szCs w:val="24"/>
        </w:rPr>
        <w:instrText xml:space="preserve"> PAGEREF _Toc26099 </w:instrText>
      </w:r>
      <w:r>
        <w:rPr>
          <w:rFonts w:ascii="Arial Narrow" w:hAnsi="Arial Narrow"/>
          <w:bCs/>
          <w:sz w:val="24"/>
          <w:szCs w:val="24"/>
        </w:rPr>
        <w:fldChar w:fldCharType="separate"/>
      </w:r>
      <w:r>
        <w:rPr>
          <w:rFonts w:ascii="Arial Narrow" w:hAnsi="Arial Narrow"/>
          <w:bCs/>
          <w:sz w:val="24"/>
          <w:szCs w:val="24"/>
        </w:rPr>
        <w:t>13</w:t>
      </w:r>
      <w:r>
        <w:rPr>
          <w:rFonts w:ascii="Arial Narrow" w:hAnsi="Arial Narrow"/>
          <w:bCs/>
          <w:sz w:val="24"/>
          <w:szCs w:val="24"/>
        </w:rPr>
        <w:fldChar w:fldCharType="end"/>
      </w:r>
      <w:r>
        <w:rPr>
          <w:rFonts w:ascii="Arial Narrow" w:hAnsi="Arial Narrow"/>
          <w:bCs/>
          <w:sz w:val="24"/>
          <w:szCs w:val="24"/>
        </w:rPr>
        <w:fldChar w:fldCharType="end"/>
      </w:r>
    </w:p>
    <w:p>
      <w:pPr>
        <w:pStyle w:val="15"/>
        <w:tabs>
          <w:tab w:val="right" w:leader="dot" w:pos="8700"/>
        </w:tabs>
        <w:spacing w:line="240" w:lineRule="auto"/>
        <w:ind w:firstLine="562"/>
        <w:rPr>
          <w:rFonts w:ascii="Arial Narrow" w:hAnsi="Arial Narrow"/>
          <w:b w:val="0"/>
          <w:sz w:val="24"/>
          <w:szCs w:val="24"/>
        </w:rPr>
      </w:pPr>
      <w:r>
        <w:fldChar w:fldCharType="begin"/>
      </w:r>
      <w:r>
        <w:instrText xml:space="preserve"> HYPERLINK \l "_Toc14335" </w:instrText>
      </w:r>
      <w:r>
        <w:fldChar w:fldCharType="separate"/>
      </w:r>
      <w:r>
        <w:rPr>
          <w:rFonts w:ascii="Arial Narrow" w:hAnsi="Arial Narrow" w:cs="Arial Narrow"/>
          <w:b w:val="0"/>
          <w:sz w:val="24"/>
          <w:szCs w:val="24"/>
        </w:rPr>
        <w:t>三、绩效分析</w:t>
      </w:r>
      <w:r>
        <w:rPr>
          <w:rFonts w:ascii="Arial Narrow" w:hAnsi="Arial Narrow"/>
          <w:b w:val="0"/>
          <w:sz w:val="24"/>
          <w:szCs w:val="24"/>
        </w:rPr>
        <w:tab/>
      </w:r>
      <w:r>
        <w:rPr>
          <w:rFonts w:ascii="Arial Narrow" w:hAnsi="Arial Narrow"/>
          <w:b w:val="0"/>
          <w:sz w:val="24"/>
          <w:szCs w:val="24"/>
        </w:rPr>
        <w:fldChar w:fldCharType="begin"/>
      </w:r>
      <w:r>
        <w:rPr>
          <w:rFonts w:ascii="Arial Narrow" w:hAnsi="Arial Narrow"/>
          <w:b w:val="0"/>
          <w:sz w:val="24"/>
          <w:szCs w:val="24"/>
        </w:rPr>
        <w:instrText xml:space="preserve"> PAGEREF _Toc14335 </w:instrText>
      </w:r>
      <w:r>
        <w:rPr>
          <w:rFonts w:ascii="Arial Narrow" w:hAnsi="Arial Narrow"/>
          <w:b w:val="0"/>
          <w:sz w:val="24"/>
          <w:szCs w:val="24"/>
        </w:rPr>
        <w:fldChar w:fldCharType="separate"/>
      </w:r>
      <w:r>
        <w:rPr>
          <w:rFonts w:ascii="Arial Narrow" w:hAnsi="Arial Narrow"/>
          <w:b w:val="0"/>
          <w:sz w:val="24"/>
          <w:szCs w:val="24"/>
        </w:rPr>
        <w:t>14</w:t>
      </w:r>
      <w:r>
        <w:rPr>
          <w:rFonts w:ascii="Arial Narrow" w:hAnsi="Arial Narrow"/>
          <w:b w:val="0"/>
          <w:sz w:val="24"/>
          <w:szCs w:val="24"/>
        </w:rPr>
        <w:fldChar w:fldCharType="end"/>
      </w:r>
      <w:r>
        <w:rPr>
          <w:rFonts w:ascii="Arial Narrow" w:hAnsi="Arial Narrow"/>
          <w:b w:val="0"/>
          <w:sz w:val="24"/>
          <w:szCs w:val="24"/>
        </w:rPr>
        <w:fldChar w:fldCharType="end"/>
      </w:r>
    </w:p>
    <w:p>
      <w:pPr>
        <w:pStyle w:val="18"/>
        <w:tabs>
          <w:tab w:val="right" w:leader="dot" w:pos="8700"/>
        </w:tabs>
        <w:spacing w:line="240" w:lineRule="auto"/>
        <w:ind w:firstLine="560"/>
        <w:rPr>
          <w:rFonts w:ascii="Arial Narrow" w:hAnsi="Arial Narrow"/>
          <w:bCs/>
          <w:sz w:val="24"/>
          <w:szCs w:val="24"/>
        </w:rPr>
      </w:pPr>
      <w:r>
        <w:fldChar w:fldCharType="begin"/>
      </w:r>
      <w:r>
        <w:instrText xml:space="preserve"> HYPERLINK \l "_Toc11780" </w:instrText>
      </w:r>
      <w:r>
        <w:fldChar w:fldCharType="separate"/>
      </w:r>
      <w:r>
        <w:rPr>
          <w:rFonts w:ascii="Arial Narrow" w:hAnsi="Arial Narrow" w:cs="Arial Narrow"/>
          <w:bCs/>
          <w:sz w:val="24"/>
          <w:szCs w:val="24"/>
        </w:rPr>
        <w:t>（一）项目投入（16分）</w:t>
      </w:r>
      <w:r>
        <w:rPr>
          <w:rFonts w:ascii="Arial Narrow" w:hAnsi="Arial Narrow"/>
          <w:bCs/>
          <w:sz w:val="24"/>
          <w:szCs w:val="24"/>
        </w:rPr>
        <w:tab/>
      </w:r>
      <w:r>
        <w:rPr>
          <w:rFonts w:ascii="Arial Narrow" w:hAnsi="Arial Narrow"/>
          <w:bCs/>
          <w:sz w:val="24"/>
          <w:szCs w:val="24"/>
        </w:rPr>
        <w:fldChar w:fldCharType="begin"/>
      </w:r>
      <w:r>
        <w:rPr>
          <w:rFonts w:ascii="Arial Narrow" w:hAnsi="Arial Narrow"/>
          <w:bCs/>
          <w:sz w:val="24"/>
          <w:szCs w:val="24"/>
        </w:rPr>
        <w:instrText xml:space="preserve"> PAGEREF _Toc11780 </w:instrText>
      </w:r>
      <w:r>
        <w:rPr>
          <w:rFonts w:ascii="Arial Narrow" w:hAnsi="Arial Narrow"/>
          <w:bCs/>
          <w:sz w:val="24"/>
          <w:szCs w:val="24"/>
        </w:rPr>
        <w:fldChar w:fldCharType="separate"/>
      </w:r>
      <w:r>
        <w:rPr>
          <w:rFonts w:ascii="Arial Narrow" w:hAnsi="Arial Narrow"/>
          <w:bCs/>
          <w:sz w:val="24"/>
          <w:szCs w:val="24"/>
        </w:rPr>
        <w:t>14</w:t>
      </w:r>
      <w:r>
        <w:rPr>
          <w:rFonts w:ascii="Arial Narrow" w:hAnsi="Arial Narrow"/>
          <w:bCs/>
          <w:sz w:val="24"/>
          <w:szCs w:val="24"/>
        </w:rPr>
        <w:fldChar w:fldCharType="end"/>
      </w:r>
      <w:r>
        <w:rPr>
          <w:rFonts w:ascii="Arial Narrow" w:hAnsi="Arial Narrow"/>
          <w:bCs/>
          <w:sz w:val="24"/>
          <w:szCs w:val="24"/>
        </w:rPr>
        <w:fldChar w:fldCharType="end"/>
      </w:r>
    </w:p>
    <w:p>
      <w:pPr>
        <w:pStyle w:val="18"/>
        <w:tabs>
          <w:tab w:val="right" w:leader="dot" w:pos="8700"/>
        </w:tabs>
        <w:spacing w:line="240" w:lineRule="auto"/>
        <w:ind w:firstLine="560"/>
        <w:rPr>
          <w:rFonts w:ascii="Arial Narrow" w:hAnsi="Arial Narrow"/>
          <w:bCs/>
          <w:sz w:val="24"/>
          <w:szCs w:val="24"/>
        </w:rPr>
      </w:pPr>
      <w:r>
        <w:fldChar w:fldCharType="begin"/>
      </w:r>
      <w:r>
        <w:instrText xml:space="preserve"> HYPERLINK \l "_Toc8106" </w:instrText>
      </w:r>
      <w:r>
        <w:fldChar w:fldCharType="separate"/>
      </w:r>
      <w:r>
        <w:rPr>
          <w:rFonts w:ascii="Arial Narrow" w:hAnsi="Arial Narrow" w:cs="Arial Narrow"/>
          <w:bCs/>
          <w:sz w:val="24"/>
          <w:szCs w:val="24"/>
        </w:rPr>
        <w:t>（二）项目过程（24分）</w:t>
      </w:r>
      <w:r>
        <w:rPr>
          <w:rFonts w:ascii="Arial Narrow" w:hAnsi="Arial Narrow"/>
          <w:bCs/>
          <w:sz w:val="24"/>
          <w:szCs w:val="24"/>
        </w:rPr>
        <w:tab/>
      </w:r>
      <w:r>
        <w:rPr>
          <w:rFonts w:ascii="Arial Narrow" w:hAnsi="Arial Narrow"/>
          <w:bCs/>
          <w:sz w:val="24"/>
          <w:szCs w:val="24"/>
        </w:rPr>
        <w:fldChar w:fldCharType="begin"/>
      </w:r>
      <w:r>
        <w:rPr>
          <w:rFonts w:ascii="Arial Narrow" w:hAnsi="Arial Narrow"/>
          <w:bCs/>
          <w:sz w:val="24"/>
          <w:szCs w:val="24"/>
        </w:rPr>
        <w:instrText xml:space="preserve"> PAGEREF _Toc8106 </w:instrText>
      </w:r>
      <w:r>
        <w:rPr>
          <w:rFonts w:ascii="Arial Narrow" w:hAnsi="Arial Narrow"/>
          <w:bCs/>
          <w:sz w:val="24"/>
          <w:szCs w:val="24"/>
        </w:rPr>
        <w:fldChar w:fldCharType="separate"/>
      </w:r>
      <w:r>
        <w:rPr>
          <w:rFonts w:ascii="Arial Narrow" w:hAnsi="Arial Narrow"/>
          <w:bCs/>
          <w:sz w:val="24"/>
          <w:szCs w:val="24"/>
        </w:rPr>
        <w:t>16</w:t>
      </w:r>
      <w:r>
        <w:rPr>
          <w:rFonts w:ascii="Arial Narrow" w:hAnsi="Arial Narrow"/>
          <w:bCs/>
          <w:sz w:val="24"/>
          <w:szCs w:val="24"/>
        </w:rPr>
        <w:fldChar w:fldCharType="end"/>
      </w:r>
      <w:r>
        <w:rPr>
          <w:rFonts w:ascii="Arial Narrow" w:hAnsi="Arial Narrow"/>
          <w:bCs/>
          <w:sz w:val="24"/>
          <w:szCs w:val="24"/>
        </w:rPr>
        <w:fldChar w:fldCharType="end"/>
      </w:r>
    </w:p>
    <w:p>
      <w:pPr>
        <w:pStyle w:val="18"/>
        <w:tabs>
          <w:tab w:val="right" w:leader="dot" w:pos="8700"/>
        </w:tabs>
        <w:spacing w:line="240" w:lineRule="auto"/>
        <w:ind w:firstLine="560"/>
        <w:rPr>
          <w:rFonts w:ascii="Arial Narrow" w:hAnsi="Arial Narrow"/>
          <w:bCs/>
          <w:sz w:val="24"/>
          <w:szCs w:val="24"/>
        </w:rPr>
      </w:pPr>
      <w:r>
        <w:fldChar w:fldCharType="begin"/>
      </w:r>
      <w:r>
        <w:instrText xml:space="preserve"> HYPERLINK \l "_Toc18180" </w:instrText>
      </w:r>
      <w:r>
        <w:fldChar w:fldCharType="separate"/>
      </w:r>
      <w:r>
        <w:rPr>
          <w:rFonts w:ascii="Arial Narrow" w:hAnsi="Arial Narrow" w:cs="Arial Narrow"/>
          <w:bCs/>
          <w:sz w:val="24"/>
          <w:szCs w:val="24"/>
        </w:rPr>
        <w:t>（三）项目产出（28分）</w:t>
      </w:r>
      <w:r>
        <w:rPr>
          <w:rFonts w:ascii="Arial Narrow" w:hAnsi="Arial Narrow"/>
          <w:bCs/>
          <w:sz w:val="24"/>
          <w:szCs w:val="24"/>
        </w:rPr>
        <w:tab/>
      </w:r>
      <w:r>
        <w:rPr>
          <w:rFonts w:ascii="Arial Narrow" w:hAnsi="Arial Narrow"/>
          <w:bCs/>
          <w:sz w:val="24"/>
          <w:szCs w:val="24"/>
        </w:rPr>
        <w:fldChar w:fldCharType="begin"/>
      </w:r>
      <w:r>
        <w:rPr>
          <w:rFonts w:ascii="Arial Narrow" w:hAnsi="Arial Narrow"/>
          <w:bCs/>
          <w:sz w:val="24"/>
          <w:szCs w:val="24"/>
        </w:rPr>
        <w:instrText xml:space="preserve"> PAGEREF _Toc18180 </w:instrText>
      </w:r>
      <w:r>
        <w:rPr>
          <w:rFonts w:ascii="Arial Narrow" w:hAnsi="Arial Narrow"/>
          <w:bCs/>
          <w:sz w:val="24"/>
          <w:szCs w:val="24"/>
        </w:rPr>
        <w:fldChar w:fldCharType="separate"/>
      </w:r>
      <w:r>
        <w:rPr>
          <w:rFonts w:ascii="Arial Narrow" w:hAnsi="Arial Narrow"/>
          <w:bCs/>
          <w:sz w:val="24"/>
          <w:szCs w:val="24"/>
        </w:rPr>
        <w:t>19</w:t>
      </w:r>
      <w:r>
        <w:rPr>
          <w:rFonts w:ascii="Arial Narrow" w:hAnsi="Arial Narrow"/>
          <w:bCs/>
          <w:sz w:val="24"/>
          <w:szCs w:val="24"/>
        </w:rPr>
        <w:fldChar w:fldCharType="end"/>
      </w:r>
      <w:r>
        <w:rPr>
          <w:rFonts w:ascii="Arial Narrow" w:hAnsi="Arial Narrow"/>
          <w:bCs/>
          <w:sz w:val="24"/>
          <w:szCs w:val="24"/>
        </w:rPr>
        <w:fldChar w:fldCharType="end"/>
      </w:r>
    </w:p>
    <w:p>
      <w:pPr>
        <w:pStyle w:val="18"/>
        <w:tabs>
          <w:tab w:val="right" w:leader="dot" w:pos="8700"/>
        </w:tabs>
        <w:spacing w:line="240" w:lineRule="auto"/>
        <w:ind w:firstLine="560"/>
        <w:rPr>
          <w:rFonts w:ascii="Arial Narrow" w:hAnsi="Arial Narrow"/>
          <w:bCs/>
        </w:rPr>
      </w:pPr>
      <w:r>
        <w:fldChar w:fldCharType="begin"/>
      </w:r>
      <w:r>
        <w:instrText xml:space="preserve"> HYPERLINK \l "_Toc13765" </w:instrText>
      </w:r>
      <w:r>
        <w:fldChar w:fldCharType="separate"/>
      </w:r>
      <w:r>
        <w:rPr>
          <w:rFonts w:ascii="Arial Narrow" w:hAnsi="Arial Narrow" w:cs="Arial Narrow"/>
          <w:bCs/>
          <w:sz w:val="24"/>
          <w:szCs w:val="24"/>
        </w:rPr>
        <w:t>（四）项目效益（32分）</w:t>
      </w:r>
      <w:r>
        <w:rPr>
          <w:rFonts w:ascii="Arial Narrow" w:hAnsi="Arial Narrow"/>
          <w:bCs/>
          <w:sz w:val="24"/>
          <w:szCs w:val="24"/>
        </w:rPr>
        <w:tab/>
      </w:r>
      <w:r>
        <w:rPr>
          <w:rFonts w:ascii="Arial Narrow" w:hAnsi="Arial Narrow"/>
          <w:bCs/>
          <w:sz w:val="24"/>
          <w:szCs w:val="24"/>
        </w:rPr>
        <w:fldChar w:fldCharType="begin"/>
      </w:r>
      <w:r>
        <w:rPr>
          <w:rFonts w:ascii="Arial Narrow" w:hAnsi="Arial Narrow"/>
          <w:bCs/>
          <w:sz w:val="24"/>
          <w:szCs w:val="24"/>
        </w:rPr>
        <w:instrText xml:space="preserve"> PAGEREF _Toc13765 </w:instrText>
      </w:r>
      <w:r>
        <w:rPr>
          <w:rFonts w:ascii="Arial Narrow" w:hAnsi="Arial Narrow"/>
          <w:bCs/>
          <w:sz w:val="24"/>
          <w:szCs w:val="24"/>
        </w:rPr>
        <w:fldChar w:fldCharType="separate"/>
      </w:r>
      <w:r>
        <w:rPr>
          <w:rFonts w:ascii="Arial Narrow" w:hAnsi="Arial Narrow"/>
          <w:bCs/>
          <w:sz w:val="24"/>
          <w:szCs w:val="24"/>
        </w:rPr>
        <w:t>20</w:t>
      </w:r>
      <w:r>
        <w:rPr>
          <w:rFonts w:ascii="Arial Narrow" w:hAnsi="Arial Narrow"/>
          <w:bCs/>
          <w:sz w:val="24"/>
          <w:szCs w:val="24"/>
        </w:rPr>
        <w:fldChar w:fldCharType="end"/>
      </w:r>
      <w:r>
        <w:rPr>
          <w:rFonts w:ascii="Arial Narrow" w:hAnsi="Arial Narrow"/>
          <w:bCs/>
          <w:sz w:val="24"/>
          <w:szCs w:val="24"/>
        </w:rPr>
        <w:fldChar w:fldCharType="end"/>
      </w:r>
    </w:p>
    <w:p>
      <w:pPr>
        <w:pStyle w:val="15"/>
        <w:tabs>
          <w:tab w:val="right" w:leader="dot" w:pos="8700"/>
        </w:tabs>
        <w:spacing w:line="240" w:lineRule="auto"/>
        <w:ind w:firstLine="562"/>
        <w:rPr>
          <w:rFonts w:ascii="Arial Narrow" w:hAnsi="Arial Narrow"/>
          <w:b w:val="0"/>
          <w:sz w:val="24"/>
          <w:szCs w:val="24"/>
        </w:rPr>
      </w:pPr>
      <w:r>
        <w:fldChar w:fldCharType="begin"/>
      </w:r>
      <w:r>
        <w:instrText xml:space="preserve"> HYPERLINK \l "_Toc28164" </w:instrText>
      </w:r>
      <w:r>
        <w:fldChar w:fldCharType="separate"/>
      </w:r>
      <w:r>
        <w:rPr>
          <w:rFonts w:ascii="Arial Narrow" w:hAnsi="Arial Narrow" w:cs="Arial Narrow"/>
          <w:b w:val="0"/>
          <w:sz w:val="24"/>
          <w:szCs w:val="24"/>
        </w:rPr>
        <w:t>四、评价结论</w:t>
      </w:r>
      <w:r>
        <w:rPr>
          <w:rFonts w:ascii="Arial Narrow" w:hAnsi="Arial Narrow"/>
          <w:b w:val="0"/>
          <w:sz w:val="24"/>
          <w:szCs w:val="24"/>
        </w:rPr>
        <w:tab/>
      </w:r>
      <w:r>
        <w:rPr>
          <w:rFonts w:ascii="Arial Narrow" w:hAnsi="Arial Narrow"/>
          <w:b w:val="0"/>
          <w:sz w:val="24"/>
          <w:szCs w:val="24"/>
        </w:rPr>
        <w:fldChar w:fldCharType="begin"/>
      </w:r>
      <w:r>
        <w:rPr>
          <w:rFonts w:ascii="Arial Narrow" w:hAnsi="Arial Narrow"/>
          <w:b w:val="0"/>
          <w:sz w:val="24"/>
          <w:szCs w:val="24"/>
        </w:rPr>
        <w:instrText xml:space="preserve"> PAGEREF _Toc28164 </w:instrText>
      </w:r>
      <w:r>
        <w:rPr>
          <w:rFonts w:ascii="Arial Narrow" w:hAnsi="Arial Narrow"/>
          <w:b w:val="0"/>
          <w:sz w:val="24"/>
          <w:szCs w:val="24"/>
        </w:rPr>
        <w:fldChar w:fldCharType="separate"/>
      </w:r>
      <w:r>
        <w:rPr>
          <w:rFonts w:ascii="Arial Narrow" w:hAnsi="Arial Narrow"/>
          <w:b w:val="0"/>
          <w:sz w:val="24"/>
          <w:szCs w:val="24"/>
        </w:rPr>
        <w:t>22</w:t>
      </w:r>
      <w:r>
        <w:rPr>
          <w:rFonts w:ascii="Arial Narrow" w:hAnsi="Arial Narrow"/>
          <w:b w:val="0"/>
          <w:sz w:val="24"/>
          <w:szCs w:val="24"/>
        </w:rPr>
        <w:fldChar w:fldCharType="end"/>
      </w:r>
      <w:r>
        <w:rPr>
          <w:rFonts w:ascii="Arial Narrow" w:hAnsi="Arial Narrow"/>
          <w:b w:val="0"/>
          <w:sz w:val="24"/>
          <w:szCs w:val="24"/>
        </w:rPr>
        <w:fldChar w:fldCharType="end"/>
      </w:r>
    </w:p>
    <w:p>
      <w:pPr>
        <w:pStyle w:val="15"/>
        <w:tabs>
          <w:tab w:val="right" w:leader="dot" w:pos="8700"/>
        </w:tabs>
        <w:spacing w:line="240" w:lineRule="auto"/>
        <w:ind w:firstLine="562"/>
        <w:rPr>
          <w:rFonts w:ascii="Arial Narrow" w:hAnsi="Arial Narrow"/>
          <w:b w:val="0"/>
          <w:sz w:val="24"/>
          <w:szCs w:val="24"/>
        </w:rPr>
      </w:pPr>
      <w:r>
        <w:fldChar w:fldCharType="begin"/>
      </w:r>
      <w:r>
        <w:instrText xml:space="preserve"> HYPERLINK \l "_Toc24309" </w:instrText>
      </w:r>
      <w:r>
        <w:fldChar w:fldCharType="separate"/>
      </w:r>
      <w:r>
        <w:rPr>
          <w:rFonts w:ascii="Arial Narrow" w:hAnsi="Arial Narrow" w:cs="Arial Narrow"/>
          <w:b w:val="0"/>
          <w:sz w:val="24"/>
          <w:szCs w:val="24"/>
        </w:rPr>
        <w:t>五、主要经验及做法、存在的问题和建议</w:t>
      </w:r>
      <w:r>
        <w:rPr>
          <w:rFonts w:ascii="Arial Narrow" w:hAnsi="Arial Narrow"/>
          <w:b w:val="0"/>
          <w:sz w:val="24"/>
          <w:szCs w:val="24"/>
        </w:rPr>
        <w:tab/>
      </w:r>
      <w:r>
        <w:rPr>
          <w:rFonts w:ascii="Arial Narrow" w:hAnsi="Arial Narrow"/>
          <w:b w:val="0"/>
          <w:sz w:val="24"/>
          <w:szCs w:val="24"/>
        </w:rPr>
        <w:fldChar w:fldCharType="begin"/>
      </w:r>
      <w:r>
        <w:rPr>
          <w:rFonts w:ascii="Arial Narrow" w:hAnsi="Arial Narrow"/>
          <w:b w:val="0"/>
          <w:sz w:val="24"/>
          <w:szCs w:val="24"/>
        </w:rPr>
        <w:instrText xml:space="preserve"> PAGEREF _Toc24309 </w:instrText>
      </w:r>
      <w:r>
        <w:rPr>
          <w:rFonts w:ascii="Arial Narrow" w:hAnsi="Arial Narrow"/>
          <w:b w:val="0"/>
          <w:sz w:val="24"/>
          <w:szCs w:val="24"/>
        </w:rPr>
        <w:fldChar w:fldCharType="separate"/>
      </w:r>
      <w:r>
        <w:rPr>
          <w:rFonts w:ascii="Arial Narrow" w:hAnsi="Arial Narrow"/>
          <w:b w:val="0"/>
          <w:sz w:val="24"/>
          <w:szCs w:val="24"/>
        </w:rPr>
        <w:t>24</w:t>
      </w:r>
      <w:r>
        <w:rPr>
          <w:rFonts w:ascii="Arial Narrow" w:hAnsi="Arial Narrow"/>
          <w:b w:val="0"/>
          <w:sz w:val="24"/>
          <w:szCs w:val="24"/>
        </w:rPr>
        <w:fldChar w:fldCharType="end"/>
      </w:r>
      <w:r>
        <w:rPr>
          <w:rFonts w:ascii="Arial Narrow" w:hAnsi="Arial Narrow"/>
          <w:b w:val="0"/>
          <w:sz w:val="24"/>
          <w:szCs w:val="24"/>
        </w:rPr>
        <w:fldChar w:fldCharType="end"/>
      </w:r>
    </w:p>
    <w:p>
      <w:pPr>
        <w:pStyle w:val="18"/>
        <w:tabs>
          <w:tab w:val="right" w:leader="dot" w:pos="8700"/>
        </w:tabs>
        <w:spacing w:line="240" w:lineRule="auto"/>
        <w:ind w:firstLine="560"/>
        <w:rPr>
          <w:rFonts w:ascii="Arial Narrow" w:hAnsi="Arial Narrow"/>
          <w:bCs/>
          <w:sz w:val="24"/>
          <w:szCs w:val="24"/>
        </w:rPr>
      </w:pPr>
      <w:r>
        <w:fldChar w:fldCharType="begin"/>
      </w:r>
      <w:r>
        <w:instrText xml:space="preserve"> HYPERLINK \l "_Toc2434" </w:instrText>
      </w:r>
      <w:r>
        <w:fldChar w:fldCharType="separate"/>
      </w:r>
      <w:r>
        <w:rPr>
          <w:rFonts w:ascii="Arial Narrow" w:hAnsi="Arial Narrow" w:cs="Arial Narrow"/>
          <w:bCs/>
          <w:sz w:val="24"/>
          <w:szCs w:val="24"/>
        </w:rPr>
        <w:t>（一）主要经验及做法</w:t>
      </w:r>
      <w:r>
        <w:rPr>
          <w:rFonts w:ascii="Arial Narrow" w:hAnsi="Arial Narrow"/>
          <w:bCs/>
          <w:sz w:val="24"/>
          <w:szCs w:val="24"/>
        </w:rPr>
        <w:tab/>
      </w:r>
      <w:r>
        <w:rPr>
          <w:rFonts w:ascii="Arial Narrow" w:hAnsi="Arial Narrow"/>
          <w:bCs/>
          <w:sz w:val="24"/>
          <w:szCs w:val="24"/>
        </w:rPr>
        <w:fldChar w:fldCharType="begin"/>
      </w:r>
      <w:r>
        <w:rPr>
          <w:rFonts w:ascii="Arial Narrow" w:hAnsi="Arial Narrow"/>
          <w:bCs/>
          <w:sz w:val="24"/>
          <w:szCs w:val="24"/>
        </w:rPr>
        <w:instrText xml:space="preserve"> PAGEREF _Toc2434 </w:instrText>
      </w:r>
      <w:r>
        <w:rPr>
          <w:rFonts w:ascii="Arial Narrow" w:hAnsi="Arial Narrow"/>
          <w:bCs/>
          <w:sz w:val="24"/>
          <w:szCs w:val="24"/>
        </w:rPr>
        <w:fldChar w:fldCharType="separate"/>
      </w:r>
      <w:r>
        <w:rPr>
          <w:rFonts w:ascii="Arial Narrow" w:hAnsi="Arial Narrow"/>
          <w:bCs/>
          <w:sz w:val="24"/>
          <w:szCs w:val="24"/>
        </w:rPr>
        <w:t>24</w:t>
      </w:r>
      <w:r>
        <w:rPr>
          <w:rFonts w:ascii="Arial Narrow" w:hAnsi="Arial Narrow"/>
          <w:bCs/>
          <w:sz w:val="24"/>
          <w:szCs w:val="24"/>
        </w:rPr>
        <w:fldChar w:fldCharType="end"/>
      </w:r>
      <w:r>
        <w:rPr>
          <w:rFonts w:ascii="Arial Narrow" w:hAnsi="Arial Narrow"/>
          <w:bCs/>
          <w:sz w:val="24"/>
          <w:szCs w:val="24"/>
        </w:rPr>
        <w:fldChar w:fldCharType="end"/>
      </w:r>
    </w:p>
    <w:p>
      <w:pPr>
        <w:pStyle w:val="18"/>
        <w:tabs>
          <w:tab w:val="right" w:leader="dot" w:pos="8700"/>
        </w:tabs>
        <w:spacing w:line="240" w:lineRule="auto"/>
        <w:ind w:firstLine="560"/>
        <w:rPr>
          <w:rFonts w:ascii="Arial Narrow" w:hAnsi="Arial Narrow"/>
          <w:bCs/>
          <w:sz w:val="24"/>
          <w:szCs w:val="24"/>
        </w:rPr>
      </w:pPr>
      <w:r>
        <w:fldChar w:fldCharType="begin"/>
      </w:r>
      <w:r>
        <w:instrText xml:space="preserve"> HYPERLINK \l "_Toc29290" </w:instrText>
      </w:r>
      <w:r>
        <w:fldChar w:fldCharType="separate"/>
      </w:r>
      <w:r>
        <w:rPr>
          <w:rFonts w:ascii="Arial Narrow" w:hAnsi="Arial Narrow" w:cs="Arial Narrow"/>
          <w:bCs/>
          <w:sz w:val="24"/>
          <w:szCs w:val="24"/>
        </w:rPr>
        <w:t>（二） 存在的问题</w:t>
      </w:r>
      <w:r>
        <w:rPr>
          <w:rFonts w:ascii="Arial Narrow" w:hAnsi="Arial Narrow"/>
          <w:bCs/>
          <w:sz w:val="24"/>
          <w:szCs w:val="24"/>
        </w:rPr>
        <w:tab/>
      </w:r>
      <w:r>
        <w:rPr>
          <w:rFonts w:ascii="Arial Narrow" w:hAnsi="Arial Narrow"/>
          <w:bCs/>
          <w:sz w:val="24"/>
          <w:szCs w:val="24"/>
        </w:rPr>
        <w:fldChar w:fldCharType="begin"/>
      </w:r>
      <w:r>
        <w:rPr>
          <w:rFonts w:ascii="Arial Narrow" w:hAnsi="Arial Narrow"/>
          <w:bCs/>
          <w:sz w:val="24"/>
          <w:szCs w:val="24"/>
        </w:rPr>
        <w:instrText xml:space="preserve"> PAGEREF _Toc29290 </w:instrText>
      </w:r>
      <w:r>
        <w:rPr>
          <w:rFonts w:ascii="Arial Narrow" w:hAnsi="Arial Narrow"/>
          <w:bCs/>
          <w:sz w:val="24"/>
          <w:szCs w:val="24"/>
        </w:rPr>
        <w:fldChar w:fldCharType="separate"/>
      </w:r>
      <w:r>
        <w:rPr>
          <w:rFonts w:ascii="Arial Narrow" w:hAnsi="Arial Narrow"/>
          <w:bCs/>
          <w:sz w:val="24"/>
          <w:szCs w:val="24"/>
        </w:rPr>
        <w:t>24</w:t>
      </w:r>
      <w:r>
        <w:rPr>
          <w:rFonts w:ascii="Arial Narrow" w:hAnsi="Arial Narrow"/>
          <w:bCs/>
          <w:sz w:val="24"/>
          <w:szCs w:val="24"/>
        </w:rPr>
        <w:fldChar w:fldCharType="end"/>
      </w:r>
      <w:r>
        <w:rPr>
          <w:rFonts w:ascii="Arial Narrow" w:hAnsi="Arial Narrow"/>
          <w:bCs/>
          <w:sz w:val="24"/>
          <w:szCs w:val="24"/>
        </w:rPr>
        <w:fldChar w:fldCharType="end"/>
      </w:r>
    </w:p>
    <w:p>
      <w:pPr>
        <w:pStyle w:val="18"/>
        <w:tabs>
          <w:tab w:val="right" w:leader="dot" w:pos="8700"/>
        </w:tabs>
        <w:spacing w:line="240" w:lineRule="auto"/>
        <w:ind w:firstLine="560"/>
        <w:rPr>
          <w:rFonts w:ascii="Arial Narrow" w:hAnsi="Arial Narrow"/>
          <w:bCs/>
          <w:sz w:val="24"/>
          <w:szCs w:val="24"/>
        </w:rPr>
      </w:pPr>
      <w:r>
        <w:fldChar w:fldCharType="begin"/>
      </w:r>
      <w:r>
        <w:instrText xml:space="preserve"> HYPERLINK \l "_Toc7159" </w:instrText>
      </w:r>
      <w:r>
        <w:fldChar w:fldCharType="separate"/>
      </w:r>
      <w:r>
        <w:rPr>
          <w:rFonts w:ascii="Arial Narrow" w:hAnsi="Arial Narrow" w:cs="Arial Narrow"/>
          <w:bCs/>
          <w:sz w:val="24"/>
          <w:szCs w:val="24"/>
        </w:rPr>
        <w:t>（三） 建议</w:t>
      </w:r>
      <w:r>
        <w:rPr>
          <w:rFonts w:ascii="Arial Narrow" w:hAnsi="Arial Narrow"/>
          <w:bCs/>
          <w:sz w:val="24"/>
          <w:szCs w:val="24"/>
        </w:rPr>
        <w:tab/>
      </w:r>
      <w:r>
        <w:rPr>
          <w:rFonts w:ascii="Arial Narrow" w:hAnsi="Arial Narrow"/>
          <w:bCs/>
          <w:sz w:val="24"/>
          <w:szCs w:val="24"/>
        </w:rPr>
        <w:fldChar w:fldCharType="begin"/>
      </w:r>
      <w:r>
        <w:rPr>
          <w:rFonts w:ascii="Arial Narrow" w:hAnsi="Arial Narrow"/>
          <w:bCs/>
          <w:sz w:val="24"/>
          <w:szCs w:val="24"/>
        </w:rPr>
        <w:instrText xml:space="preserve"> PAGEREF _Toc7159 </w:instrText>
      </w:r>
      <w:r>
        <w:rPr>
          <w:rFonts w:ascii="Arial Narrow" w:hAnsi="Arial Narrow"/>
          <w:bCs/>
          <w:sz w:val="24"/>
          <w:szCs w:val="24"/>
        </w:rPr>
        <w:fldChar w:fldCharType="separate"/>
      </w:r>
      <w:r>
        <w:rPr>
          <w:rFonts w:ascii="Arial Narrow" w:hAnsi="Arial Narrow"/>
          <w:bCs/>
          <w:sz w:val="24"/>
          <w:szCs w:val="24"/>
        </w:rPr>
        <w:t>25</w:t>
      </w:r>
      <w:r>
        <w:rPr>
          <w:rFonts w:ascii="Arial Narrow" w:hAnsi="Arial Narrow"/>
          <w:bCs/>
          <w:sz w:val="24"/>
          <w:szCs w:val="24"/>
        </w:rPr>
        <w:fldChar w:fldCharType="end"/>
      </w:r>
      <w:r>
        <w:rPr>
          <w:rFonts w:ascii="Arial Narrow" w:hAnsi="Arial Narrow"/>
          <w:bCs/>
          <w:sz w:val="24"/>
          <w:szCs w:val="24"/>
        </w:rPr>
        <w:fldChar w:fldCharType="end"/>
      </w:r>
    </w:p>
    <w:p>
      <w:pPr>
        <w:pStyle w:val="15"/>
        <w:tabs>
          <w:tab w:val="right" w:leader="dot" w:pos="8700"/>
        </w:tabs>
        <w:spacing w:line="240" w:lineRule="auto"/>
        <w:ind w:firstLine="562"/>
        <w:rPr>
          <w:rFonts w:ascii="Arial Narrow" w:hAnsi="Arial Narrow"/>
          <w:b w:val="0"/>
          <w:sz w:val="24"/>
          <w:szCs w:val="24"/>
        </w:rPr>
      </w:pPr>
      <w:r>
        <w:fldChar w:fldCharType="begin"/>
      </w:r>
      <w:r>
        <w:instrText xml:space="preserve"> HYPERLINK \l "_Toc22710" </w:instrText>
      </w:r>
      <w:r>
        <w:fldChar w:fldCharType="separate"/>
      </w:r>
      <w:r>
        <w:rPr>
          <w:rFonts w:ascii="Arial Narrow" w:hAnsi="Arial Narrow" w:cs="Arial Narrow"/>
          <w:b w:val="0"/>
          <w:sz w:val="24"/>
          <w:szCs w:val="24"/>
        </w:rPr>
        <w:t>六、其他需说明的问题</w:t>
      </w:r>
      <w:r>
        <w:rPr>
          <w:rFonts w:ascii="Arial Narrow" w:hAnsi="Arial Narrow"/>
          <w:b w:val="0"/>
          <w:sz w:val="24"/>
          <w:szCs w:val="24"/>
        </w:rPr>
        <w:tab/>
      </w:r>
      <w:r>
        <w:rPr>
          <w:rFonts w:ascii="Arial Narrow" w:hAnsi="Arial Narrow"/>
          <w:b w:val="0"/>
          <w:sz w:val="24"/>
          <w:szCs w:val="24"/>
        </w:rPr>
        <w:fldChar w:fldCharType="begin"/>
      </w:r>
      <w:r>
        <w:rPr>
          <w:rFonts w:ascii="Arial Narrow" w:hAnsi="Arial Narrow"/>
          <w:b w:val="0"/>
          <w:sz w:val="24"/>
          <w:szCs w:val="24"/>
        </w:rPr>
        <w:instrText xml:space="preserve"> PAGEREF _Toc22710 </w:instrText>
      </w:r>
      <w:r>
        <w:rPr>
          <w:rFonts w:ascii="Arial Narrow" w:hAnsi="Arial Narrow"/>
          <w:b w:val="0"/>
          <w:sz w:val="24"/>
          <w:szCs w:val="24"/>
        </w:rPr>
        <w:fldChar w:fldCharType="separate"/>
      </w:r>
      <w:r>
        <w:rPr>
          <w:rFonts w:ascii="Arial Narrow" w:hAnsi="Arial Narrow"/>
          <w:b w:val="0"/>
          <w:sz w:val="24"/>
          <w:szCs w:val="24"/>
        </w:rPr>
        <w:t>25</w:t>
      </w:r>
      <w:r>
        <w:rPr>
          <w:rFonts w:ascii="Arial Narrow" w:hAnsi="Arial Narrow"/>
          <w:b w:val="0"/>
          <w:sz w:val="24"/>
          <w:szCs w:val="24"/>
        </w:rPr>
        <w:fldChar w:fldCharType="end"/>
      </w:r>
      <w:r>
        <w:rPr>
          <w:rFonts w:ascii="Arial Narrow" w:hAnsi="Arial Narrow"/>
          <w:b w:val="0"/>
          <w:sz w:val="24"/>
          <w:szCs w:val="24"/>
        </w:rPr>
        <w:fldChar w:fldCharType="end"/>
      </w:r>
    </w:p>
    <w:p>
      <w:pPr>
        <w:pStyle w:val="18"/>
        <w:tabs>
          <w:tab w:val="right" w:leader="dot" w:pos="8700"/>
        </w:tabs>
        <w:spacing w:line="240" w:lineRule="auto"/>
        <w:ind w:firstLine="560"/>
        <w:rPr>
          <w:rFonts w:ascii="Arial Narrow" w:hAnsi="Arial Narrow"/>
          <w:bCs/>
          <w:sz w:val="24"/>
          <w:szCs w:val="24"/>
        </w:rPr>
      </w:pPr>
      <w:r>
        <w:fldChar w:fldCharType="begin"/>
      </w:r>
      <w:r>
        <w:instrText xml:space="preserve"> HYPERLINK \l "_Toc954" </w:instrText>
      </w:r>
      <w:r>
        <w:fldChar w:fldCharType="separate"/>
      </w:r>
      <w:r>
        <w:rPr>
          <w:rFonts w:ascii="Arial Narrow" w:hAnsi="Arial Narrow" w:cs="Arial Narrow"/>
          <w:bCs/>
          <w:sz w:val="24"/>
          <w:szCs w:val="24"/>
        </w:rPr>
        <w:t>（一）关于评价责任的说明</w:t>
      </w:r>
      <w:r>
        <w:rPr>
          <w:rFonts w:ascii="Arial Narrow" w:hAnsi="Arial Narrow"/>
          <w:bCs/>
          <w:sz w:val="24"/>
          <w:szCs w:val="24"/>
        </w:rPr>
        <w:tab/>
      </w:r>
      <w:r>
        <w:rPr>
          <w:rFonts w:ascii="Arial Narrow" w:hAnsi="Arial Narrow"/>
          <w:bCs/>
          <w:sz w:val="24"/>
          <w:szCs w:val="24"/>
        </w:rPr>
        <w:fldChar w:fldCharType="begin"/>
      </w:r>
      <w:r>
        <w:rPr>
          <w:rFonts w:ascii="Arial Narrow" w:hAnsi="Arial Narrow"/>
          <w:bCs/>
          <w:sz w:val="24"/>
          <w:szCs w:val="24"/>
        </w:rPr>
        <w:instrText xml:space="preserve"> PAGEREF _Toc954 </w:instrText>
      </w:r>
      <w:r>
        <w:rPr>
          <w:rFonts w:ascii="Arial Narrow" w:hAnsi="Arial Narrow"/>
          <w:bCs/>
          <w:sz w:val="24"/>
          <w:szCs w:val="24"/>
        </w:rPr>
        <w:fldChar w:fldCharType="separate"/>
      </w:r>
      <w:r>
        <w:rPr>
          <w:rFonts w:ascii="Arial Narrow" w:hAnsi="Arial Narrow"/>
          <w:bCs/>
          <w:sz w:val="24"/>
          <w:szCs w:val="24"/>
        </w:rPr>
        <w:t>25</w:t>
      </w:r>
      <w:r>
        <w:rPr>
          <w:rFonts w:ascii="Arial Narrow" w:hAnsi="Arial Narrow"/>
          <w:bCs/>
          <w:sz w:val="24"/>
          <w:szCs w:val="24"/>
        </w:rPr>
        <w:fldChar w:fldCharType="end"/>
      </w:r>
      <w:r>
        <w:rPr>
          <w:rFonts w:ascii="Arial Narrow" w:hAnsi="Arial Narrow"/>
          <w:bCs/>
          <w:sz w:val="24"/>
          <w:szCs w:val="24"/>
        </w:rPr>
        <w:fldChar w:fldCharType="end"/>
      </w:r>
    </w:p>
    <w:p>
      <w:pPr>
        <w:pStyle w:val="18"/>
        <w:tabs>
          <w:tab w:val="right" w:leader="dot" w:pos="8700"/>
        </w:tabs>
        <w:spacing w:line="240" w:lineRule="auto"/>
        <w:ind w:firstLine="560"/>
        <w:rPr>
          <w:rFonts w:ascii="Arial Narrow" w:hAnsi="Arial Narrow"/>
          <w:bCs/>
          <w:sz w:val="24"/>
          <w:szCs w:val="24"/>
        </w:rPr>
      </w:pPr>
      <w:r>
        <w:fldChar w:fldCharType="begin"/>
      </w:r>
      <w:r>
        <w:instrText xml:space="preserve"> HYPERLINK \l "_Toc30358" </w:instrText>
      </w:r>
      <w:r>
        <w:fldChar w:fldCharType="separate"/>
      </w:r>
      <w:r>
        <w:rPr>
          <w:rFonts w:ascii="Arial Narrow" w:hAnsi="Arial Narrow" w:cs="Arial Narrow"/>
          <w:bCs/>
          <w:sz w:val="24"/>
          <w:szCs w:val="24"/>
        </w:rPr>
        <w:t>（二）关于本项目评价中局限性的说明</w:t>
      </w:r>
      <w:r>
        <w:rPr>
          <w:rFonts w:ascii="Arial Narrow" w:hAnsi="Arial Narrow"/>
          <w:bCs/>
          <w:sz w:val="24"/>
          <w:szCs w:val="24"/>
        </w:rPr>
        <w:tab/>
      </w:r>
      <w:r>
        <w:rPr>
          <w:rFonts w:ascii="Arial Narrow" w:hAnsi="Arial Narrow"/>
          <w:bCs/>
          <w:sz w:val="24"/>
          <w:szCs w:val="24"/>
        </w:rPr>
        <w:fldChar w:fldCharType="begin"/>
      </w:r>
      <w:r>
        <w:rPr>
          <w:rFonts w:ascii="Arial Narrow" w:hAnsi="Arial Narrow"/>
          <w:bCs/>
          <w:sz w:val="24"/>
          <w:szCs w:val="24"/>
        </w:rPr>
        <w:instrText xml:space="preserve"> PAGEREF _Toc30358 </w:instrText>
      </w:r>
      <w:r>
        <w:rPr>
          <w:rFonts w:ascii="Arial Narrow" w:hAnsi="Arial Narrow"/>
          <w:bCs/>
          <w:sz w:val="24"/>
          <w:szCs w:val="24"/>
        </w:rPr>
        <w:fldChar w:fldCharType="separate"/>
      </w:r>
      <w:r>
        <w:rPr>
          <w:rFonts w:ascii="Arial Narrow" w:hAnsi="Arial Narrow"/>
          <w:bCs/>
          <w:sz w:val="24"/>
          <w:szCs w:val="24"/>
        </w:rPr>
        <w:t>25</w:t>
      </w:r>
      <w:r>
        <w:rPr>
          <w:rFonts w:ascii="Arial Narrow" w:hAnsi="Arial Narrow"/>
          <w:bCs/>
          <w:sz w:val="24"/>
          <w:szCs w:val="24"/>
        </w:rPr>
        <w:fldChar w:fldCharType="end"/>
      </w:r>
      <w:r>
        <w:rPr>
          <w:rFonts w:ascii="Arial Narrow" w:hAnsi="Arial Narrow"/>
          <w:bCs/>
          <w:sz w:val="24"/>
          <w:szCs w:val="24"/>
        </w:rPr>
        <w:fldChar w:fldCharType="end"/>
      </w:r>
    </w:p>
    <w:p>
      <w:pPr>
        <w:pStyle w:val="18"/>
        <w:tabs>
          <w:tab w:val="right" w:leader="dot" w:pos="8700"/>
        </w:tabs>
        <w:spacing w:line="240" w:lineRule="auto"/>
        <w:ind w:firstLine="560"/>
        <w:rPr>
          <w:rFonts w:ascii="Arial Narrow" w:hAnsi="Arial Narrow"/>
          <w:bCs/>
        </w:rPr>
      </w:pPr>
      <w:r>
        <w:fldChar w:fldCharType="begin"/>
      </w:r>
      <w:r>
        <w:instrText xml:space="preserve"> HYPERLINK \l "_Toc15158" </w:instrText>
      </w:r>
      <w:r>
        <w:fldChar w:fldCharType="separate"/>
      </w:r>
      <w:r>
        <w:rPr>
          <w:rFonts w:ascii="Arial Narrow" w:hAnsi="Arial Narrow" w:cs="Arial Narrow"/>
          <w:bCs/>
          <w:sz w:val="24"/>
          <w:szCs w:val="24"/>
        </w:rPr>
        <w:t>附件：</w:t>
      </w:r>
      <w:r>
        <w:rPr>
          <w:rFonts w:ascii="Arial Narrow" w:hAnsi="Arial Narrow"/>
          <w:bCs/>
          <w:sz w:val="24"/>
          <w:szCs w:val="24"/>
        </w:rPr>
        <w:tab/>
      </w:r>
      <w:r>
        <w:rPr>
          <w:rFonts w:ascii="Arial Narrow" w:hAnsi="Arial Narrow"/>
          <w:bCs/>
          <w:sz w:val="24"/>
          <w:szCs w:val="24"/>
        </w:rPr>
        <w:fldChar w:fldCharType="begin"/>
      </w:r>
      <w:r>
        <w:rPr>
          <w:rFonts w:ascii="Arial Narrow" w:hAnsi="Arial Narrow"/>
          <w:bCs/>
          <w:sz w:val="24"/>
          <w:szCs w:val="24"/>
        </w:rPr>
        <w:instrText xml:space="preserve"> PAGEREF _Toc15158 </w:instrText>
      </w:r>
      <w:r>
        <w:rPr>
          <w:rFonts w:ascii="Arial Narrow" w:hAnsi="Arial Narrow"/>
          <w:bCs/>
          <w:sz w:val="24"/>
          <w:szCs w:val="24"/>
        </w:rPr>
        <w:fldChar w:fldCharType="separate"/>
      </w:r>
      <w:r>
        <w:rPr>
          <w:rFonts w:ascii="Arial Narrow" w:hAnsi="Arial Narrow"/>
          <w:bCs/>
          <w:sz w:val="24"/>
          <w:szCs w:val="24"/>
        </w:rPr>
        <w:t>26</w:t>
      </w:r>
      <w:r>
        <w:rPr>
          <w:rFonts w:ascii="Arial Narrow" w:hAnsi="Arial Narrow"/>
          <w:bCs/>
          <w:sz w:val="24"/>
          <w:szCs w:val="24"/>
        </w:rPr>
        <w:fldChar w:fldCharType="end"/>
      </w:r>
      <w:r>
        <w:rPr>
          <w:rFonts w:ascii="Arial Narrow" w:hAnsi="Arial Narrow"/>
          <w:bCs/>
          <w:sz w:val="24"/>
          <w:szCs w:val="24"/>
        </w:rPr>
        <w:fldChar w:fldCharType="end"/>
      </w:r>
    </w:p>
    <w:p>
      <w:pPr>
        <w:adjustRightInd w:val="0"/>
        <w:snapToGrid w:val="0"/>
        <w:spacing w:line="240" w:lineRule="auto"/>
        <w:ind w:firstLine="0" w:firstLineChars="0"/>
        <w:outlineLvl w:val="0"/>
        <w:rPr>
          <w:rFonts w:ascii="Arial Narrow" w:hAnsi="Arial Narrow" w:cs="Arial Narrow"/>
          <w:bCs/>
        </w:rPr>
        <w:sectPr>
          <w:footerReference r:id="rId14" w:type="default"/>
          <w:pgSz w:w="11906" w:h="16838"/>
          <w:pgMar w:top="1440" w:right="1406" w:bottom="1089" w:left="1800" w:header="2041" w:footer="1134" w:gutter="0"/>
          <w:pgNumType w:start="1"/>
          <w:cols w:space="720" w:num="1"/>
          <w:docGrid w:type="lines" w:linePitch="408" w:charSpace="0"/>
        </w:sectPr>
      </w:pPr>
      <w:r>
        <w:rPr>
          <w:rFonts w:ascii="Arial Narrow" w:hAnsi="Arial Narrow" w:cs="Arial Narrow"/>
          <w:bCs/>
          <w:szCs w:val="22"/>
        </w:rPr>
        <w:fldChar w:fldCharType="end"/>
      </w:r>
      <w:bookmarkStart w:id="6" w:name="_Toc18329"/>
    </w:p>
    <w:p>
      <w:pPr>
        <w:snapToGrid w:val="0"/>
        <w:spacing w:line="480" w:lineRule="atLeast"/>
        <w:ind w:firstLine="0" w:firstLineChars="0"/>
        <w:outlineLvl w:val="0"/>
        <w:rPr>
          <w:rFonts w:ascii="Arial Narrow" w:hAnsi="Arial Narrow" w:cs="Arial Narrow"/>
          <w:b/>
        </w:rPr>
      </w:pPr>
      <w:bookmarkStart w:id="7" w:name="_Toc3864"/>
      <w:r>
        <w:rPr>
          <w:rFonts w:ascii="Arial Narrow" w:hAnsi="Arial Narrow" w:cs="Arial Narrow"/>
          <w:b/>
        </w:rPr>
        <w:t>前言</w:t>
      </w:r>
      <w:bookmarkEnd w:id="0"/>
      <w:bookmarkEnd w:id="1"/>
      <w:bookmarkEnd w:id="2"/>
      <w:bookmarkEnd w:id="6"/>
      <w:bookmarkEnd w:id="7"/>
    </w:p>
    <w:p>
      <w:pPr>
        <w:snapToGrid w:val="0"/>
        <w:ind w:firstLine="482"/>
        <w:rPr>
          <w:rFonts w:ascii="Arial Narrow" w:hAnsi="Arial Narrow" w:cs="Arial Narrow"/>
          <w:b/>
          <w:bCs/>
        </w:rPr>
      </w:pPr>
      <w:r>
        <w:rPr>
          <w:rFonts w:ascii="Arial Narrow" w:hAnsi="Arial Narrow" w:cs="Arial Narrow"/>
          <w:b/>
          <w:bCs/>
        </w:rPr>
        <w:t>开展绩效评价的背景</w:t>
      </w:r>
    </w:p>
    <w:p>
      <w:pPr>
        <w:snapToGrid w:val="0"/>
        <w:ind w:firstLine="480"/>
        <w:rPr>
          <w:rFonts w:ascii="Arial Narrow" w:hAnsi="Arial Narrow" w:cs="Arial Narrow"/>
        </w:rPr>
      </w:pPr>
      <w:r>
        <w:rPr>
          <w:rFonts w:ascii="Arial Narrow" w:hAnsi="Arial Narrow" w:cs="Arial Narrow"/>
        </w:rPr>
        <w:t>由于政府公共服务职能进一步转换，财政支出规模持续扩大，信息公开力度不断增强，财政资金安排是否科学合理、资金使用是否规范有效、预期效益是否达到目标、政府公共服务职能是否有效地履行、财政支出责任是否得到真正落实成为社会各界关注的焦点。提高政府财政资金使用效益和公共服务水平必须进行预算绩效管理。其中，绩效评价是预算绩效管理的核心内容。</w:t>
      </w:r>
    </w:p>
    <w:p>
      <w:pPr>
        <w:snapToGrid w:val="0"/>
        <w:ind w:firstLine="480"/>
        <w:rPr>
          <w:rFonts w:ascii="Arial Narrow" w:hAnsi="Arial Narrow" w:cs="Arial Narrow"/>
        </w:rPr>
      </w:pPr>
      <w:r>
        <w:rPr>
          <w:rFonts w:ascii="Arial Narrow" w:hAnsi="Arial Narrow" w:cs="Arial Narrow"/>
        </w:rPr>
        <w:t>为贯彻落实我国财政部绩效管理工作的一系列规定，财政部出台了《财政支出绩效评价管理暂行办法》（财预〔2011〕285号）、湖北省财政厅印发《湖北省财政项目资金绩效评价操作指南》的通知（鄂财函[2014]376号）、市政府印发《关于推进预算绩效管理的意见》(武政[2013]95号)、市财政局印发《武汉市预算绩效管理工作方案(2014-2015年)》（武财绩[2014]218号）等，随着各项制度的逐步完善，我省绩效评价体系和制度已步入常态。武昌区颁布的《武昌区财政支出绩效评价暂行办法》为此次“公共机构节能项目”绩效评价的具体实施提供了指导，确保了绩效评价工作的顺利开展。 </w:t>
      </w:r>
    </w:p>
    <w:p>
      <w:pPr>
        <w:snapToGrid w:val="0"/>
        <w:ind w:firstLine="482"/>
        <w:rPr>
          <w:rFonts w:ascii="Arial Narrow" w:hAnsi="Arial Narrow" w:cs="Arial Narrow"/>
          <w:b/>
          <w:bCs/>
        </w:rPr>
      </w:pPr>
      <w:r>
        <w:rPr>
          <w:rFonts w:ascii="Arial Narrow" w:hAnsi="Arial Narrow" w:cs="Arial Narrow"/>
          <w:b/>
          <w:bCs/>
        </w:rPr>
        <w:t>评价委托关系</w:t>
      </w:r>
    </w:p>
    <w:p>
      <w:pPr>
        <w:snapToGrid w:val="0"/>
        <w:ind w:firstLine="480"/>
        <w:rPr>
          <w:rFonts w:ascii="Arial Narrow" w:hAnsi="Arial Narrow" w:cs="Arial Narrow"/>
        </w:rPr>
      </w:pPr>
      <w:bookmarkStart w:id="8" w:name="_Toc8832"/>
      <w:r>
        <w:rPr>
          <w:rFonts w:ascii="Arial Narrow" w:hAnsi="Arial Narrow" w:cs="Arial Narrow"/>
        </w:rPr>
        <w:t>我们接受武昌区机关运行保障中心（以下简称“武昌区运保中心”）委托，从5月02日至5月14日，历时13天，投入4人对武昌区运保中心公共机构节能项目情况进行绩效评价。</w:t>
      </w:r>
      <w:bookmarkEnd w:id="8"/>
    </w:p>
    <w:p>
      <w:pPr>
        <w:snapToGrid w:val="0"/>
        <w:ind w:firstLine="482"/>
        <w:outlineLvl w:val="0"/>
        <w:rPr>
          <w:rFonts w:ascii="Arial Narrow" w:hAnsi="Arial Narrow" w:cs="Arial Narrow"/>
          <w:b/>
          <w:bCs/>
        </w:rPr>
      </w:pPr>
      <w:bookmarkStart w:id="9" w:name="_Toc9932"/>
      <w:bookmarkStart w:id="10" w:name="_Toc387957799"/>
      <w:bookmarkStart w:id="11" w:name="_Toc361304672"/>
      <w:bookmarkStart w:id="12" w:name="_Toc361304673"/>
      <w:bookmarkStart w:id="13" w:name="_Toc387957800"/>
      <w:r>
        <w:rPr>
          <w:rFonts w:ascii="Arial Narrow" w:hAnsi="Arial Narrow" w:cs="Arial Narrow"/>
          <w:b/>
          <w:bCs/>
        </w:rPr>
        <w:t>一、项目基本情况</w:t>
      </w:r>
      <w:bookmarkEnd w:id="9"/>
    </w:p>
    <w:p>
      <w:pPr>
        <w:snapToGrid w:val="0"/>
        <w:ind w:firstLine="482"/>
        <w:outlineLvl w:val="1"/>
        <w:rPr>
          <w:rFonts w:ascii="Arial Narrow" w:hAnsi="Arial Narrow" w:cs="Arial Narrow"/>
          <w:b/>
          <w:bCs/>
        </w:rPr>
      </w:pPr>
      <w:bookmarkStart w:id="14" w:name="_Toc26220"/>
      <w:r>
        <w:rPr>
          <w:rFonts w:ascii="Arial Narrow" w:hAnsi="Arial Narrow" w:cs="Arial Narrow"/>
          <w:b/>
          <w:bCs/>
        </w:rPr>
        <w:t>（一）项目概况</w:t>
      </w:r>
      <w:bookmarkEnd w:id="14"/>
    </w:p>
    <w:p>
      <w:pPr>
        <w:snapToGrid w:val="0"/>
        <w:ind w:firstLine="482"/>
        <w:rPr>
          <w:rFonts w:ascii="Arial Narrow" w:hAnsi="Arial Narrow" w:cs="Arial Narrow"/>
          <w:b/>
          <w:bCs/>
        </w:rPr>
      </w:pPr>
      <w:r>
        <w:rPr>
          <w:rFonts w:ascii="Arial Narrow" w:hAnsi="Arial Narrow" w:cs="Arial Narrow"/>
          <w:b/>
          <w:bCs/>
        </w:rPr>
        <w:t>1. 项目立项背景</w:t>
      </w:r>
      <w:bookmarkEnd w:id="10"/>
      <w:bookmarkEnd w:id="11"/>
    </w:p>
    <w:p>
      <w:pPr>
        <w:snapToGrid w:val="0"/>
        <w:ind w:firstLine="480"/>
        <w:rPr>
          <w:rFonts w:ascii="Arial Narrow" w:hAnsi="Arial Narrow" w:cs="Arial Narrow"/>
        </w:rPr>
      </w:pPr>
      <w:r>
        <w:rPr>
          <w:rFonts w:ascii="Arial Narrow" w:hAnsi="Arial Narrow" w:cs="Arial Narrow"/>
        </w:rPr>
        <w:t>1.1 项目立项依据</w:t>
      </w:r>
    </w:p>
    <w:p>
      <w:pPr>
        <w:pStyle w:val="20"/>
        <w:widowControl/>
        <w:spacing w:beforeAutospacing="0" w:after="226" w:afterAutospacing="0" w:line="360" w:lineRule="atLeast"/>
        <w:ind w:firstLine="480"/>
        <w:rPr>
          <w:rFonts w:ascii="Arial Narrow" w:hAnsi="Arial Narrow" w:cs="Arial Narrow"/>
        </w:rPr>
      </w:pPr>
      <w:r>
        <w:rPr>
          <w:rFonts w:ascii="Arial Narrow" w:hAnsi="Arial Narrow" w:cs="Arial Narrow"/>
        </w:rPr>
        <w:t>为了推动全省公共机构节能，提高能源利用效率，发挥公共机构在全社会在节能中的表率作用，根据湖北省2011年7月1日起施行的《湖北省实施〈公共机构节能条例〉办法》，各级人民政府应当加强对公共机构节能工作的领导,将公共机构节能经费纳入本级财政预算,用于节能改造、监督管理、宣传培训、信息服务、表彰奖励，推动和促进公共机构节能工作。</w:t>
      </w:r>
    </w:p>
    <w:p>
      <w:pPr>
        <w:snapToGrid w:val="0"/>
        <w:ind w:firstLine="480"/>
        <w:rPr>
          <w:rFonts w:ascii="Arial Narrow" w:hAnsi="Arial Narrow" w:cs="Arial Narrow"/>
        </w:rPr>
      </w:pPr>
      <w:bookmarkStart w:id="15" w:name="uni_baseinfo"/>
      <w:bookmarkEnd w:id="15"/>
      <w:r>
        <w:rPr>
          <w:rFonts w:ascii="Arial Narrow" w:hAnsi="Arial Narrow" w:cs="Arial Narrow"/>
        </w:rPr>
        <w:t>1.2 项目所属领域</w:t>
      </w:r>
    </w:p>
    <w:p>
      <w:pPr>
        <w:snapToGrid w:val="0"/>
        <w:ind w:firstLine="360" w:firstLineChars="150"/>
        <w:rPr>
          <w:rFonts w:ascii="Arial Narrow" w:hAnsi="Arial Narrow" w:cs="Arial Narrow"/>
        </w:rPr>
      </w:pPr>
      <w:r>
        <w:rPr>
          <w:rFonts w:ascii="Arial Narrow" w:hAnsi="Arial Narrow" w:cs="Arial Narrow"/>
        </w:rPr>
        <w:t>公共机构节能项目属于公共服务领域，《关于做好2017年公共机构节约能源资源工作的通知》（武公节办【2017】2号）中指出，要以2017年能源资源消费为基数，将2017年公共机构节能项目人均综合能耗下降指标设为3%，人均用水泥量下降指标设为3.5%，单位建筑面积能耗下降指标设为2.6%。努力推进节约型公共机构示范单位的创建，开展公共机构绿色办公行动及加快实施绿色节能改造工程等。</w:t>
      </w:r>
    </w:p>
    <w:p>
      <w:pPr>
        <w:snapToGrid w:val="0"/>
        <w:ind w:firstLine="480"/>
        <w:rPr>
          <w:rFonts w:ascii="Arial Narrow" w:hAnsi="Arial Narrow" w:cs="Arial Narrow"/>
        </w:rPr>
      </w:pPr>
      <w:r>
        <w:rPr>
          <w:rFonts w:ascii="Arial Narrow" w:hAnsi="Arial Narrow" w:cs="Arial Narrow"/>
        </w:rPr>
        <w:t>1.3 项目性质与特点</w:t>
      </w:r>
    </w:p>
    <w:p>
      <w:pPr>
        <w:pStyle w:val="20"/>
        <w:widowControl/>
        <w:spacing w:beforeAutospacing="0" w:after="226" w:afterAutospacing="0" w:line="360" w:lineRule="atLeast"/>
        <w:ind w:firstLine="480"/>
        <w:rPr>
          <w:rFonts w:ascii="Arial Narrow" w:hAnsi="Arial Narrow" w:cs="Arial Narrow"/>
        </w:rPr>
      </w:pPr>
      <w:r>
        <w:rPr>
          <w:rFonts w:ascii="Arial Narrow" w:hAnsi="Arial Narrow" w:cs="Arial Narrow"/>
          <w:kern w:val="2"/>
        </w:rPr>
        <w:t>近年来武汉市的公共机构节能项目是应《公共机构节约能源资源“十三五”规划》及 《关于做好2017年公共机构节约能源资源工作的通知》要求，通过坚持以节约型公共机构建设为主线，以能源资源节约增效为目标，围绕实施六项绿色行动和六项绿色工程，加强领导、突出重点，认真贯彻落实科学发展观、扎实推进公共机构节能项目的建设、全面开展绿色节能宣传教育活动，使公共机构节能项目快速健康发展，全面推进公共机构节约能源资源工作。</w:t>
      </w:r>
    </w:p>
    <w:p>
      <w:pPr>
        <w:snapToGrid w:val="0"/>
        <w:ind w:firstLine="480"/>
        <w:rPr>
          <w:rFonts w:ascii="Arial Narrow" w:hAnsi="Arial Narrow" w:cs="Arial Narrow"/>
        </w:rPr>
      </w:pPr>
      <w:r>
        <w:rPr>
          <w:rFonts w:ascii="Arial Narrow" w:hAnsi="Arial Narrow" w:cs="Arial Narrow"/>
        </w:rPr>
        <w:t>1.4 项目立项时所属领域状况</w:t>
      </w:r>
    </w:p>
    <w:p>
      <w:pPr>
        <w:snapToGrid w:val="0"/>
        <w:ind w:firstLine="480"/>
        <w:rPr>
          <w:rFonts w:ascii="Arial Narrow" w:hAnsi="Arial Narrow" w:cs="Arial Narrow"/>
          <w:kern w:val="0"/>
        </w:rPr>
      </w:pPr>
      <w:r>
        <w:rPr>
          <w:rFonts w:ascii="Arial Narrow" w:hAnsi="Arial Narrow" w:cs="Arial Narrow"/>
          <w:kern w:val="0"/>
        </w:rPr>
        <w:t>2017年是"十三五"规划的重要一年，节能减排任务依然艰巨，公共机构责无旁贷。我们要以邓小平理论和"三个代表"重要思想为指导，全面贯彻科学发展观，落实节约资源的基本国策，做好《湖北省实施〈公共机构节能条例〉办法》的贯彻施行工作，综合运用法律、行政、经济、技术等手段，推进资源节约和循环利用、切实提高公共机构的能源利用效率，形成建设节约型公共机构的长效机制，保障和促进湖北经济社会跨越式发展。</w:t>
      </w:r>
      <w:bookmarkEnd w:id="12"/>
      <w:bookmarkEnd w:id="13"/>
    </w:p>
    <w:p>
      <w:pPr>
        <w:snapToGrid w:val="0"/>
        <w:ind w:firstLine="482"/>
        <w:rPr>
          <w:rFonts w:ascii="Arial Narrow" w:hAnsi="Arial Narrow" w:cs="Arial Narrow"/>
          <w:b/>
          <w:bCs/>
        </w:rPr>
      </w:pPr>
      <w:r>
        <w:rPr>
          <w:rFonts w:ascii="Arial Narrow" w:hAnsi="Arial Narrow" w:cs="Arial Narrow"/>
          <w:b/>
          <w:bCs/>
        </w:rPr>
        <w:t>2. 基准日及评价历时</w:t>
      </w:r>
    </w:p>
    <w:p>
      <w:pPr>
        <w:snapToGrid w:val="0"/>
        <w:ind w:firstLine="480"/>
        <w:rPr>
          <w:rFonts w:ascii="Arial Narrow" w:hAnsi="Arial Narrow" w:cs="Arial Narrow"/>
        </w:rPr>
      </w:pPr>
      <w:bookmarkStart w:id="16" w:name="_Toc12794"/>
      <w:bookmarkStart w:id="17" w:name="_Toc10760"/>
      <w:bookmarkStart w:id="18" w:name="_Toc406668025"/>
      <w:bookmarkStart w:id="19" w:name="_Toc406666352"/>
      <w:bookmarkStart w:id="20" w:name="_Toc387957801"/>
      <w:bookmarkStart w:id="21" w:name="_Toc361304674"/>
      <w:r>
        <w:rPr>
          <w:rFonts w:ascii="Arial Narrow" w:hAnsi="Arial Narrow" w:cs="Arial Narrow"/>
        </w:rPr>
        <w:t>2.1 评价基准日：2017年12月31日</w:t>
      </w:r>
      <w:bookmarkEnd w:id="16"/>
    </w:p>
    <w:p>
      <w:pPr>
        <w:snapToGrid w:val="0"/>
        <w:ind w:firstLine="480"/>
        <w:rPr>
          <w:rFonts w:ascii="Arial Narrow" w:hAnsi="Arial Narrow" w:cs="Arial Narrow"/>
        </w:rPr>
      </w:pPr>
      <w:bookmarkStart w:id="22" w:name="_Toc13292"/>
      <w:r>
        <w:rPr>
          <w:rFonts w:ascii="Arial Narrow" w:hAnsi="Arial Narrow" w:cs="Arial Narrow"/>
        </w:rPr>
        <w:t>2.2 本次评价从2018年05月02日——2018年05月14日，历时13天</w:t>
      </w:r>
      <w:bookmarkEnd w:id="22"/>
    </w:p>
    <w:p>
      <w:pPr>
        <w:snapToGrid w:val="0"/>
        <w:ind w:firstLine="482"/>
        <w:rPr>
          <w:rFonts w:ascii="Arial Narrow" w:hAnsi="Arial Narrow" w:cs="Arial Narrow"/>
          <w:b/>
        </w:rPr>
      </w:pPr>
      <w:bookmarkStart w:id="23" w:name="_Toc10787"/>
      <w:r>
        <w:rPr>
          <w:rFonts w:ascii="Arial Narrow" w:hAnsi="Arial Narrow" w:cs="Arial Narrow"/>
          <w:b/>
        </w:rPr>
        <w:t>3．项目实施情况</w:t>
      </w:r>
      <w:bookmarkEnd w:id="23"/>
    </w:p>
    <w:p>
      <w:pPr>
        <w:snapToGrid w:val="0"/>
        <w:ind w:firstLine="480"/>
        <w:rPr>
          <w:rFonts w:ascii="Arial Narrow" w:hAnsi="Arial Narrow" w:cs="Arial Narrow"/>
        </w:rPr>
      </w:pPr>
      <w:bookmarkStart w:id="24" w:name="_Toc27596"/>
      <w:r>
        <w:rPr>
          <w:rFonts w:ascii="Arial Narrow" w:hAnsi="Arial Narrow" w:cs="Arial Narrow"/>
        </w:rPr>
        <w:t>（1）项目实施单位：</w:t>
      </w:r>
      <w:bookmarkEnd w:id="24"/>
      <w:r>
        <w:rPr>
          <w:rFonts w:ascii="Arial Narrow" w:hAnsi="Arial Narrow" w:cs="Arial Narrow"/>
        </w:rPr>
        <w:t>武昌区机关运行保障中心</w:t>
      </w:r>
    </w:p>
    <w:p>
      <w:pPr>
        <w:snapToGrid w:val="0"/>
        <w:ind w:firstLine="480"/>
        <w:rPr>
          <w:rFonts w:ascii="Arial Narrow" w:hAnsi="Arial Narrow" w:cs="Arial Narrow"/>
        </w:rPr>
      </w:pPr>
      <w:bookmarkStart w:id="25" w:name="_Toc12439"/>
      <w:r>
        <w:rPr>
          <w:rFonts w:ascii="Arial Narrow" w:hAnsi="Arial Narrow" w:cs="Arial Narrow"/>
        </w:rPr>
        <w:t>（2）项目实施周期与地点：2017年；</w:t>
      </w:r>
      <w:bookmarkEnd w:id="25"/>
      <w:r>
        <w:rPr>
          <w:rFonts w:ascii="Arial Narrow" w:hAnsi="Arial Narrow" w:cs="Arial Narrow"/>
        </w:rPr>
        <w:t>武昌区机关运行保障中心</w:t>
      </w:r>
    </w:p>
    <w:p>
      <w:pPr>
        <w:snapToGrid w:val="0"/>
        <w:ind w:firstLine="480"/>
        <w:rPr>
          <w:rFonts w:ascii="Arial Narrow" w:hAnsi="Arial Narrow" w:cs="Arial Narrow"/>
          <w:bCs/>
        </w:rPr>
      </w:pPr>
      <w:bookmarkStart w:id="26" w:name="_Toc8402"/>
      <w:r>
        <w:rPr>
          <w:rFonts w:ascii="Arial Narrow" w:hAnsi="Arial Narrow" w:cs="Arial Narrow"/>
          <w:bCs/>
        </w:rPr>
        <w:t>（3）项目主要内容：对武昌区公共机构节能情况进行监督检查，落实武昌区节能创建进程；完成节能创建维修改造工程，创建2个节能示范单位；通过多种形式开展公共机构节能宣传，改善节能宣传知晓情况。</w:t>
      </w:r>
      <w:bookmarkEnd w:id="26"/>
    </w:p>
    <w:p>
      <w:pPr>
        <w:snapToGrid w:val="0"/>
        <w:ind w:firstLine="480"/>
        <w:rPr>
          <w:rFonts w:ascii="Arial Narrow" w:hAnsi="Arial Narrow" w:cs="Arial Narrow"/>
          <w:bCs/>
        </w:rPr>
      </w:pPr>
      <w:r>
        <w:rPr>
          <w:rFonts w:ascii="Arial Narrow" w:hAnsi="Arial Narrow" w:cs="Arial Narrow"/>
          <w:bCs/>
        </w:rPr>
        <w:t>（4）项目完成概况：截止到绩效评价日：定期对武昌区公共机构节能创建情况进行汇总上报，但监督考核未落实；完成了“武昌区人力资源局”和“武昌区三角路小学”两个单位的节能改造项目，并且上述2个单位成功创建为湖北省节能示范单位；通过张贴海报、发放宣传手册和绿色出行活动方式开展节能宣传，宣传方式的多样性有待加强。</w:t>
      </w:r>
    </w:p>
    <w:p>
      <w:pPr>
        <w:snapToGrid w:val="0"/>
        <w:ind w:firstLine="482"/>
        <w:rPr>
          <w:rFonts w:ascii="Arial Narrow" w:hAnsi="Arial Narrow" w:cs="Arial Narrow"/>
          <w:b/>
        </w:rPr>
      </w:pPr>
      <w:bookmarkStart w:id="27" w:name="_Toc16506"/>
      <w:r>
        <w:rPr>
          <w:rFonts w:ascii="Arial Narrow" w:hAnsi="Arial Narrow" w:cs="Arial Narrow"/>
          <w:b/>
        </w:rPr>
        <w:t>4．项目经费来源和使用情况</w:t>
      </w:r>
      <w:bookmarkEnd w:id="27"/>
    </w:p>
    <w:p>
      <w:pPr>
        <w:snapToGrid w:val="0"/>
        <w:ind w:firstLine="480"/>
        <w:rPr>
          <w:rFonts w:ascii="Arial Narrow" w:hAnsi="Arial Narrow" w:cs="Arial Narrow"/>
        </w:rPr>
      </w:pPr>
      <w:bookmarkStart w:id="28" w:name="_Toc19433"/>
      <w:r>
        <w:rPr>
          <w:rFonts w:ascii="Arial Narrow" w:hAnsi="Arial Narrow" w:cs="Arial Narrow"/>
        </w:rPr>
        <w:t>（1）项目资金来源概况：根据</w:t>
      </w:r>
      <w:bookmarkEnd w:id="28"/>
      <w:r>
        <w:rPr>
          <w:rFonts w:ascii="Arial Narrow" w:hAnsi="Arial Narrow" w:cs="Arial Narrow"/>
        </w:rPr>
        <w:t>《武昌区财政局关于武昌区机关运行保障中心2017年部门预算的批复》（武昌财预【2016】295号），公共机构节能经费为5万元，项目资金均为区级财政资金。</w:t>
      </w:r>
    </w:p>
    <w:p>
      <w:pPr>
        <w:snapToGrid w:val="0"/>
        <w:ind w:firstLine="480" w:firstLineChars="0"/>
        <w:rPr>
          <w:rFonts w:ascii="Arial Narrow" w:hAnsi="Arial Narrow" w:cs="Arial Narrow"/>
        </w:rPr>
      </w:pPr>
      <w:bookmarkStart w:id="29" w:name="_Toc30741"/>
      <w:r>
        <w:rPr>
          <w:rFonts w:ascii="Arial Narrow" w:hAnsi="Arial Narrow" w:cs="Arial Narrow"/>
        </w:rPr>
        <w:t>（2）项目资金使用概况</w:t>
      </w:r>
      <w:bookmarkEnd w:id="17"/>
      <w:bookmarkEnd w:id="18"/>
      <w:bookmarkEnd w:id="19"/>
      <w:bookmarkEnd w:id="20"/>
      <w:bookmarkEnd w:id="21"/>
      <w:bookmarkStart w:id="30" w:name="_Toc361303718"/>
      <w:bookmarkStart w:id="31" w:name="_Toc361304679"/>
      <w:bookmarkStart w:id="32" w:name="_Toc361304427"/>
      <w:bookmarkStart w:id="33" w:name="_Toc361304169"/>
      <w:bookmarkStart w:id="34" w:name="_Toc361302024"/>
      <w:r>
        <w:rPr>
          <w:rFonts w:ascii="Arial Narrow" w:hAnsi="Arial Narrow" w:cs="Arial Narrow"/>
        </w:rPr>
        <w:t>：</w:t>
      </w:r>
      <w:bookmarkEnd w:id="29"/>
    </w:p>
    <w:p>
      <w:pPr>
        <w:snapToGrid w:val="0"/>
        <w:ind w:firstLine="480" w:firstLineChars="0"/>
        <w:rPr>
          <w:rFonts w:ascii="Arial Narrow" w:hAnsi="Arial Narrow" w:cs="Arial Narrow"/>
        </w:rPr>
      </w:pPr>
      <w:r>
        <w:rPr>
          <w:rFonts w:ascii="Arial Narrow" w:hAnsi="Arial Narrow" w:cs="Arial Narrow"/>
        </w:rPr>
        <w:t>截至2017年12月31日，“公共机构节能项目”实际支出5万元，其中：人力资源局节水节电整治支出3万元，回民小学节能减排项目维修费支出1.5927万元，宣传等费用支出0.4073万元。</w:t>
      </w:r>
    </w:p>
    <w:p>
      <w:pPr>
        <w:snapToGrid w:val="0"/>
        <w:ind w:firstLine="0" w:firstLineChars="0"/>
        <w:jc w:val="center"/>
        <w:rPr>
          <w:rFonts w:ascii="Arial Narrow" w:hAnsi="Arial Narrow" w:cs="Arial Narrow"/>
        </w:rPr>
      </w:pPr>
      <w:r>
        <w:rPr>
          <w:rFonts w:ascii="Arial Narrow" w:hAnsi="Arial Narrow" w:cs="Arial Narrow"/>
        </w:rPr>
        <w:drawing>
          <wp:inline distT="0" distB="0" distL="114300" distR="114300">
            <wp:extent cx="4925695" cy="2242185"/>
            <wp:effectExtent l="4445" t="4445" r="22860" b="2032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bookmarkEnd w:id="30"/>
    <w:bookmarkEnd w:id="31"/>
    <w:bookmarkEnd w:id="32"/>
    <w:bookmarkEnd w:id="33"/>
    <w:bookmarkEnd w:id="34"/>
    <w:p>
      <w:pPr>
        <w:snapToGrid w:val="0"/>
        <w:ind w:firstLine="482"/>
        <w:outlineLvl w:val="1"/>
        <w:rPr>
          <w:rFonts w:ascii="Arial Narrow" w:hAnsi="Arial Narrow" w:cs="Arial Narrow"/>
          <w:b/>
          <w:bCs/>
        </w:rPr>
      </w:pPr>
      <w:bookmarkStart w:id="35" w:name="_Toc7958"/>
      <w:bookmarkStart w:id="36" w:name="_Toc7556"/>
      <w:bookmarkStart w:id="37" w:name="_Toc406668030"/>
      <w:bookmarkStart w:id="38" w:name="_Toc16351"/>
      <w:bookmarkStart w:id="39" w:name="_Toc361304680"/>
      <w:bookmarkStart w:id="40" w:name="_Toc406666356"/>
      <w:r>
        <w:rPr>
          <w:rFonts w:ascii="Arial Narrow" w:hAnsi="Arial Narrow" w:cs="Arial Narrow"/>
          <w:b/>
          <w:bCs/>
        </w:rPr>
        <w:t>（二）项目绩效目标</w:t>
      </w:r>
      <w:bookmarkEnd w:id="35"/>
      <w:bookmarkEnd w:id="36"/>
    </w:p>
    <w:bookmarkEnd w:id="37"/>
    <w:bookmarkEnd w:id="38"/>
    <w:bookmarkEnd w:id="39"/>
    <w:bookmarkEnd w:id="40"/>
    <w:p>
      <w:pPr>
        <w:snapToGrid w:val="0"/>
        <w:ind w:firstLine="480"/>
        <w:rPr>
          <w:rFonts w:ascii="Arial Narrow" w:hAnsi="Arial Narrow" w:cs="Arial Narrow"/>
          <w:bCs/>
        </w:rPr>
      </w:pPr>
      <w:bookmarkStart w:id="41" w:name="_Toc31845"/>
      <w:r>
        <w:rPr>
          <w:rFonts w:ascii="Arial Narrow" w:hAnsi="Arial Narrow" w:cs="Arial Narrow"/>
          <w:bCs/>
        </w:rPr>
        <w:t>1、项目立项设定绩效目标</w:t>
      </w:r>
      <w:bookmarkEnd w:id="41"/>
    </w:p>
    <w:p>
      <w:pPr>
        <w:snapToGrid w:val="0"/>
        <w:ind w:firstLine="480"/>
        <w:rPr>
          <w:rFonts w:ascii="Arial Narrow" w:hAnsi="Arial Narrow" w:cs="Arial Narrow"/>
        </w:rPr>
      </w:pPr>
      <w:r>
        <w:rPr>
          <w:rFonts w:ascii="Arial Narrow" w:hAnsi="Arial Narrow" w:cs="Arial Narrow"/>
        </w:rPr>
        <w:t>公共机构节能项目的绩效目标是：大力推进公共机构节能建设、</w:t>
      </w:r>
      <w:r>
        <w:rPr>
          <w:rFonts w:ascii="Arial Narrow" w:hAnsi="Arial Narrow"/>
        </w:rPr>
        <w:t>强化公共机构节能宣传教育活动，</w:t>
      </w:r>
      <w:r>
        <w:rPr>
          <w:rFonts w:ascii="Arial Narrow" w:hAnsi="Arial Narrow" w:cs="Arial Narrow"/>
        </w:rPr>
        <w:t>并创建</w:t>
      </w:r>
      <w:r>
        <w:rPr>
          <w:rFonts w:ascii="Arial Narrow" w:hAnsi="Arial Narrow"/>
        </w:rPr>
        <w:t>2个</w:t>
      </w:r>
      <w:r>
        <w:rPr>
          <w:rFonts w:ascii="Arial Narrow" w:hAnsi="Arial Narrow" w:cs="Arial Narrow"/>
        </w:rPr>
        <w:t>节能示范单位，使武昌区公共机构人</w:t>
      </w:r>
      <w:r>
        <w:rPr>
          <w:rFonts w:ascii="Arial Narrow" w:hAnsi="Arial Narrow"/>
        </w:rPr>
        <w:t>均综合能耗下</w:t>
      </w:r>
      <w:r>
        <w:rPr>
          <w:rFonts w:ascii="Arial Narrow" w:hAnsi="Arial Narrow" w:cs="Arial Narrow"/>
        </w:rPr>
        <w:t>降3%</w:t>
      </w:r>
      <w:bookmarkStart w:id="42" w:name="_Toc3631"/>
      <w:bookmarkStart w:id="43" w:name="_Toc5724"/>
      <w:bookmarkStart w:id="44" w:name="_Toc361304681"/>
      <w:bookmarkStart w:id="45" w:name="_Toc387957806"/>
      <w:r>
        <w:rPr>
          <w:rFonts w:ascii="Arial Narrow" w:hAnsi="Arial Narrow" w:cs="Arial Narrow"/>
        </w:rPr>
        <w:t>。</w:t>
      </w:r>
    </w:p>
    <w:p>
      <w:pPr>
        <w:snapToGrid w:val="0"/>
        <w:ind w:firstLine="480"/>
        <w:rPr>
          <w:rFonts w:ascii="Arial Narrow" w:hAnsi="Arial Narrow" w:cs="Arial Narrow"/>
        </w:rPr>
      </w:pPr>
      <w:r>
        <w:rPr>
          <w:rFonts w:ascii="Arial Narrow" w:hAnsi="Arial Narrow" w:cs="Arial Narrow"/>
        </w:rPr>
        <w:t>2、绩效目标完成情况</w:t>
      </w:r>
      <w:bookmarkEnd w:id="42"/>
      <w:bookmarkEnd w:id="43"/>
    </w:p>
    <w:p>
      <w:pPr>
        <w:snapToGrid w:val="0"/>
        <w:ind w:firstLine="480"/>
        <w:rPr>
          <w:rFonts w:ascii="Arial Narrow" w:hAnsi="Arial Narrow" w:cs="Arial Narrow"/>
        </w:rPr>
      </w:pPr>
      <w:r>
        <w:rPr>
          <w:rFonts w:ascii="Arial Narrow" w:hAnsi="Arial Narrow" w:cs="Arial Narrow"/>
        </w:rPr>
        <w:t>截止到绩效评价日，已完成“武昌区人力资源局”和“武昌区三角路小学”两个节能示范单位，并完成年度节能减排目标，但宣传教育方式多样性和广泛性有待加强</w:t>
      </w:r>
      <w:bookmarkStart w:id="46" w:name="_Toc14372"/>
      <w:bookmarkStart w:id="47" w:name="_Toc406668031"/>
      <w:bookmarkStart w:id="48" w:name="_Toc406666357"/>
      <w:r>
        <w:rPr>
          <w:rFonts w:ascii="Arial Narrow" w:hAnsi="Arial Narrow" w:cs="Arial Narrow"/>
        </w:rPr>
        <w:t>。</w:t>
      </w:r>
    </w:p>
    <w:p>
      <w:pPr>
        <w:snapToGrid w:val="0"/>
        <w:ind w:firstLine="482"/>
        <w:outlineLvl w:val="0"/>
        <w:rPr>
          <w:rFonts w:ascii="Arial Narrow" w:hAnsi="Arial Narrow" w:cs="Arial Narrow"/>
          <w:b/>
        </w:rPr>
      </w:pPr>
      <w:bookmarkStart w:id="49" w:name="_Toc14272"/>
      <w:bookmarkStart w:id="50" w:name="_Toc5456"/>
      <w:r>
        <w:rPr>
          <w:rFonts w:ascii="Arial Narrow" w:hAnsi="Arial Narrow" w:cs="Arial Narrow"/>
          <w:b/>
        </w:rPr>
        <w:t>二、绩效评价工作情况</w:t>
      </w:r>
      <w:bookmarkEnd w:id="44"/>
      <w:bookmarkEnd w:id="45"/>
      <w:bookmarkEnd w:id="46"/>
      <w:bookmarkEnd w:id="47"/>
      <w:bookmarkEnd w:id="48"/>
      <w:bookmarkEnd w:id="49"/>
      <w:bookmarkEnd w:id="50"/>
      <w:bookmarkStart w:id="51" w:name="_Toc361304682"/>
    </w:p>
    <w:p>
      <w:pPr>
        <w:snapToGrid w:val="0"/>
        <w:ind w:firstLine="482"/>
        <w:outlineLvl w:val="1"/>
        <w:rPr>
          <w:rFonts w:ascii="Arial Narrow" w:hAnsi="Arial Narrow" w:cs="Arial Narrow"/>
          <w:b/>
          <w:bCs/>
        </w:rPr>
      </w:pPr>
      <w:bookmarkStart w:id="52" w:name="_Toc387957807"/>
      <w:bookmarkStart w:id="53" w:name="_Toc29064"/>
      <w:bookmarkStart w:id="54" w:name="_Toc406666358"/>
      <w:bookmarkStart w:id="55" w:name="_Toc406668032"/>
      <w:bookmarkStart w:id="56" w:name="_Toc1587"/>
      <w:bookmarkStart w:id="57" w:name="_Toc11290"/>
      <w:r>
        <w:rPr>
          <w:rFonts w:ascii="Arial Narrow" w:hAnsi="Arial Narrow" w:cs="Arial Narrow"/>
          <w:b/>
          <w:bCs/>
        </w:rPr>
        <w:t>（一）绩效评价目</w:t>
      </w:r>
      <w:bookmarkEnd w:id="51"/>
      <w:bookmarkEnd w:id="52"/>
      <w:r>
        <w:rPr>
          <w:rFonts w:ascii="Arial Narrow" w:hAnsi="Arial Narrow" w:cs="Arial Narrow"/>
          <w:b/>
          <w:bCs/>
        </w:rPr>
        <w:t>的</w:t>
      </w:r>
      <w:bookmarkEnd w:id="53"/>
      <w:bookmarkEnd w:id="54"/>
      <w:bookmarkEnd w:id="55"/>
      <w:bookmarkEnd w:id="56"/>
      <w:bookmarkEnd w:id="57"/>
    </w:p>
    <w:p>
      <w:pPr>
        <w:snapToGrid w:val="0"/>
        <w:ind w:firstLine="480"/>
        <w:rPr>
          <w:rFonts w:ascii="Arial Narrow" w:hAnsi="Arial Narrow" w:cs="Arial Narrow"/>
        </w:rPr>
      </w:pPr>
      <w:r>
        <w:rPr>
          <w:rFonts w:ascii="Arial Narrow" w:hAnsi="Arial Narrow" w:cs="Arial Narrow"/>
        </w:rPr>
        <w:t>为深化预算管理改革，进一步加强</w:t>
      </w:r>
      <w:r>
        <w:rPr>
          <w:rFonts w:ascii="Arial Narrow" w:hAnsi="Arial Narrow" w:cs="Arial Narrow"/>
          <w:bCs/>
        </w:rPr>
        <w:t>公共机构节能项目</w:t>
      </w:r>
      <w:r>
        <w:rPr>
          <w:rFonts w:ascii="Arial Narrow" w:hAnsi="Arial Narrow" w:cs="Arial Narrow"/>
        </w:rPr>
        <w:t>的监督管理，提高财政资金使用效益，根据《中华人民共和国预算法》、《财政支出绩效评价管理暂行办法》和国家有关财务规章制度，结合</w:t>
      </w:r>
      <w:r>
        <w:rPr>
          <w:rFonts w:ascii="Arial Narrow" w:hAnsi="Arial Narrow" w:cs="Arial Narrow"/>
          <w:bCs/>
        </w:rPr>
        <w:t>公共机构节能项目</w:t>
      </w:r>
      <w:r>
        <w:rPr>
          <w:rFonts w:ascii="Arial Narrow" w:hAnsi="Arial Narrow" w:cs="Arial Narrow"/>
        </w:rPr>
        <w:t>的具体情况，按照武昌区机关运行保障中心的总体部署，进行此次绩效评价。同时，本次绩效评价还力争实现以下目的：</w:t>
      </w:r>
    </w:p>
    <w:p>
      <w:pPr>
        <w:snapToGrid w:val="0"/>
        <w:ind w:firstLine="480"/>
        <w:rPr>
          <w:rFonts w:ascii="Arial Narrow" w:hAnsi="Arial Narrow" w:cs="Arial Narrow"/>
        </w:rPr>
      </w:pPr>
      <w:r>
        <w:rPr>
          <w:rFonts w:ascii="Arial Narrow" w:hAnsi="Arial Narrow" w:cs="Arial Narrow"/>
        </w:rPr>
        <w:t>1、按照武昌区财政局项目资金管理要求，设计合理的指标体系和评价标准，采取科学规范的评价方法，对“</w:t>
      </w:r>
      <w:r>
        <w:rPr>
          <w:rFonts w:ascii="Arial Narrow" w:hAnsi="Arial Narrow" w:cs="Arial Narrow"/>
          <w:bCs/>
        </w:rPr>
        <w:t>公共机构节能项目</w:t>
      </w:r>
      <w:r>
        <w:rPr>
          <w:rFonts w:ascii="Arial Narrow" w:hAnsi="Arial Narrow" w:cs="Arial Narrow"/>
        </w:rPr>
        <w:t xml:space="preserve">”从项目决策到项目绩效的全过程进行科学、客观、公正的评价，为合理分配资金、优化支出提供依据。 </w:t>
      </w:r>
    </w:p>
    <w:p>
      <w:pPr>
        <w:snapToGrid w:val="0"/>
        <w:ind w:firstLine="480"/>
        <w:rPr>
          <w:rFonts w:ascii="Arial Narrow" w:hAnsi="Arial Narrow" w:cs="Arial Narrow"/>
        </w:rPr>
      </w:pPr>
      <w:r>
        <w:rPr>
          <w:rFonts w:ascii="Arial Narrow" w:hAnsi="Arial Narrow" w:cs="Arial Narrow"/>
        </w:rPr>
        <w:t>2、通过绩效评价为合理分配资金、优化支出提供依据，也为逐步建立“预算编制有目标，预算执行有监控，预算完成有评价，评价结果有反馈，反馈结果有应用”的绩效评价机制提供决策依据。</w:t>
      </w:r>
    </w:p>
    <w:p>
      <w:pPr>
        <w:snapToGrid w:val="0"/>
        <w:ind w:firstLine="480"/>
        <w:rPr>
          <w:rFonts w:ascii="Arial Narrow" w:hAnsi="Arial Narrow" w:cs="Arial Narrow"/>
        </w:rPr>
      </w:pPr>
      <w:r>
        <w:rPr>
          <w:rFonts w:ascii="Arial Narrow" w:hAnsi="Arial Narrow" w:cs="Arial Narrow"/>
        </w:rPr>
        <w:t>3、通过绩效评价总结前一年度项目实施的经验教训，为进一步加强公共机构节能项目管理，提高项目建设水平，发挥财政资金效益提供重要的参考依据，也为将来公共机构节能项目提供借鉴。</w:t>
      </w:r>
    </w:p>
    <w:p>
      <w:pPr>
        <w:snapToGrid w:val="0"/>
        <w:ind w:firstLine="482"/>
        <w:jc w:val="left"/>
        <w:outlineLvl w:val="1"/>
        <w:rPr>
          <w:rFonts w:ascii="Arial Narrow" w:hAnsi="Arial Narrow" w:cs="Arial Narrow"/>
          <w:b/>
          <w:bCs/>
        </w:rPr>
      </w:pPr>
      <w:bookmarkStart w:id="58" w:name="_Toc32317"/>
      <w:bookmarkStart w:id="59" w:name="_Toc32197"/>
      <w:bookmarkStart w:id="60" w:name="_Toc28758"/>
      <w:bookmarkStart w:id="61" w:name="_Toc406666359"/>
      <w:bookmarkStart w:id="62" w:name="_Toc361304684"/>
      <w:bookmarkStart w:id="63" w:name="_Toc406668033"/>
      <w:bookmarkStart w:id="64" w:name="_Toc361302025"/>
      <w:bookmarkStart w:id="65" w:name="_Toc387957809"/>
      <w:r>
        <w:rPr>
          <w:rFonts w:ascii="Arial Narrow" w:hAnsi="Arial Narrow" w:cs="Arial Narrow"/>
          <w:b/>
          <w:bCs/>
        </w:rPr>
        <w:t>（二）绩效评价工作过程</w:t>
      </w:r>
      <w:bookmarkEnd w:id="58"/>
      <w:bookmarkEnd w:id="59"/>
      <w:bookmarkEnd w:id="60"/>
    </w:p>
    <w:p>
      <w:pPr>
        <w:snapToGrid w:val="0"/>
        <w:ind w:firstLine="482"/>
        <w:rPr>
          <w:rFonts w:ascii="Arial Narrow" w:hAnsi="Arial Narrow" w:cs="Arial Narrow"/>
          <w:b/>
          <w:bCs/>
        </w:rPr>
      </w:pPr>
      <w:r>
        <w:rPr>
          <w:rFonts w:ascii="Arial Narrow" w:hAnsi="Arial Narrow" w:cs="Arial Narrow"/>
          <w:b/>
        </w:rPr>
        <w:drawing>
          <wp:inline distT="0" distB="0" distL="0" distR="0">
            <wp:extent cx="4495800" cy="2230755"/>
            <wp:effectExtent l="0" t="0" r="0" b="1714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9" cstate="print"/>
                    <a:srcRect/>
                    <a:stretch>
                      <a:fillRect/>
                    </a:stretch>
                  </pic:blipFill>
                  <pic:spPr>
                    <a:xfrm>
                      <a:off x="0" y="0"/>
                      <a:ext cx="4495800" cy="2230755"/>
                    </a:xfrm>
                    <a:prstGeom prst="rect">
                      <a:avLst/>
                    </a:prstGeom>
                    <a:noFill/>
                    <a:ln w="9525">
                      <a:noFill/>
                      <a:miter lim="800000"/>
                      <a:headEnd/>
                      <a:tailEnd/>
                    </a:ln>
                  </pic:spPr>
                </pic:pic>
              </a:graphicData>
            </a:graphic>
          </wp:inline>
        </w:drawing>
      </w:r>
    </w:p>
    <w:p>
      <w:pPr>
        <w:numPr>
          <w:ilvl w:val="0"/>
          <w:numId w:val="4"/>
        </w:numPr>
        <w:snapToGrid w:val="0"/>
        <w:ind w:firstLine="480"/>
        <w:rPr>
          <w:rFonts w:ascii="Arial Narrow" w:hAnsi="Arial Narrow" w:cs="Arial Narrow"/>
        </w:rPr>
      </w:pPr>
      <w:bookmarkStart w:id="66" w:name="_Toc4102"/>
      <w:r>
        <w:rPr>
          <w:rFonts w:ascii="Arial Narrow" w:hAnsi="Arial Narrow" w:cs="Arial Narrow"/>
        </w:rPr>
        <w:t>前期准备工作内容；</w:t>
      </w:r>
      <w:bookmarkEnd w:id="66"/>
    </w:p>
    <w:p>
      <w:pPr>
        <w:snapToGrid w:val="0"/>
        <w:ind w:firstLine="480"/>
        <w:rPr>
          <w:rFonts w:ascii="Arial Narrow" w:hAnsi="Arial Narrow" w:cs="Arial Narrow"/>
        </w:rPr>
      </w:pPr>
      <w:r>
        <w:rPr>
          <w:rFonts w:ascii="Arial Narrow" w:hAnsi="Arial Narrow" w:cs="Arial Narrow"/>
        </w:rPr>
        <w:t>首先，查阅项目的相关文件。通过查阅了武昌区机关运行保障中心关于“公共机构节能项目”相关文件，如《武昌区财政局关于武昌区机关运行保障中心2017年部门预算的批复》（武昌财预【2016】295号）、《关于做好2017年公共机构节约能源资源工作的通知》（武公节办【2017】2号）、《2017年机关工作手册》、公共机构能源资源消费统计系统软件统计表、以及各公共机构上报给本单位填写的2017年能耗基数情况等，结合《武昌区财政支出绩效评价管理暂行办法》的要求，绩效评价工作小组充分熟悉项目背景、项目内容、项目活动等信息，这为绩效评价工作小组后续制定绩效评价方案奠定了基础。</w:t>
      </w:r>
    </w:p>
    <w:p>
      <w:pPr>
        <w:snapToGrid w:val="0"/>
        <w:ind w:firstLine="480"/>
        <w:rPr>
          <w:rFonts w:ascii="Arial Narrow" w:hAnsi="Arial Narrow" w:cs="Arial Narrow"/>
        </w:rPr>
      </w:pPr>
      <w:r>
        <w:rPr>
          <w:rFonts w:ascii="Arial Narrow" w:hAnsi="Arial Narrow" w:cs="Arial Narrow"/>
        </w:rPr>
        <w:t>其次，根据项目具体情况设定共性指标与个性指标相结合的绩效评价指标体系。 “</w:t>
      </w:r>
      <w:r>
        <w:rPr>
          <w:rFonts w:ascii="Arial Narrow" w:hAnsi="Arial Narrow" w:cs="Arial Narrow"/>
          <w:bCs/>
        </w:rPr>
        <w:t>公共机构节能项目</w:t>
      </w:r>
      <w:r>
        <w:rPr>
          <w:rFonts w:ascii="Arial Narrow" w:hAnsi="Arial Narrow" w:cs="Arial Narrow"/>
        </w:rPr>
        <w:t>”绩效评价指标体系由4个一级指标、6个二级指标、22个三级指标构成。绩效评价指标体系包含12个定性指标，10个定量指标，定性定量指标相结合，量化程度较高。绩效评价工作小组针对绩效评价对象的特点设计了8个个性化指标，包括节能项目完工率、监督检查完成率、省级节能机构创建数、数据上报及时率、宣传方式多样性、人均能耗降低率、宣传知晓率、节能系统普及率、节能建设覆盖率等。</w:t>
      </w:r>
    </w:p>
    <w:p>
      <w:pPr>
        <w:snapToGrid w:val="0"/>
        <w:ind w:firstLine="480"/>
        <w:rPr>
          <w:rFonts w:ascii="Arial Narrow" w:hAnsi="Arial Narrow" w:cs="Arial Narrow"/>
        </w:rPr>
      </w:pPr>
      <w:r>
        <w:rPr>
          <w:rFonts w:ascii="Arial Narrow" w:hAnsi="Arial Narrow" w:cs="Arial Narrow"/>
        </w:rPr>
        <w:t>第三，设计绩效评价指标体系和评分标准。项目小组与武昌区机关运行保障中心就“</w:t>
      </w:r>
      <w:r>
        <w:rPr>
          <w:rFonts w:ascii="Arial Narrow" w:hAnsi="Arial Narrow" w:cs="Arial Narrow"/>
          <w:bCs/>
        </w:rPr>
        <w:t>公共机构节能项目</w:t>
      </w:r>
      <w:r>
        <w:rPr>
          <w:rFonts w:ascii="Arial Narrow" w:hAnsi="Arial Narrow" w:cs="Arial Narrow"/>
        </w:rPr>
        <w:t>”绩效评价相关事项进行了充分的讨论与研究，制定了绩效评价指标体系和评分标准。</w:t>
      </w:r>
    </w:p>
    <w:p>
      <w:pPr>
        <w:snapToGrid w:val="0"/>
        <w:ind w:firstLine="480"/>
        <w:rPr>
          <w:rFonts w:ascii="Arial Narrow" w:hAnsi="Arial Narrow" w:cs="Arial Narrow"/>
        </w:rPr>
      </w:pPr>
      <w:r>
        <w:rPr>
          <w:rFonts w:ascii="Arial Narrow" w:hAnsi="Arial Narrow" w:cs="Arial Narrow"/>
        </w:rPr>
        <w:t>最后，制定项目实施方案。实施方案明确了评价对象、依据、评价方法、评分办法、实施步骤、评价人员及分工等。实施方案对绩效评价工作小组具体工作内容和时间进一步细化，保证评价工作顺利开展。同时，为了保证得出科学、合理、公正的评价结果，绩效评价工作小组制定了专门的调查问卷、基础数据表、访谈大纲和资料清单，帮助绩效评价工作小组在报告后期对调查问卷、基础数据表和访谈记录等进行分析汇总。</w:t>
      </w:r>
    </w:p>
    <w:p>
      <w:pPr>
        <w:snapToGrid w:val="0"/>
        <w:ind w:firstLine="480"/>
        <w:rPr>
          <w:rFonts w:ascii="Arial Narrow" w:hAnsi="Arial Narrow" w:cs="Arial Narrow"/>
        </w:rPr>
      </w:pPr>
      <w:bookmarkStart w:id="67" w:name="_Toc7939"/>
      <w:r>
        <w:rPr>
          <w:rFonts w:ascii="Arial Narrow" w:hAnsi="Arial Narrow" w:cs="Arial Narrow"/>
        </w:rPr>
        <w:t>（2）组织实施过程内容</w:t>
      </w:r>
      <w:bookmarkEnd w:id="67"/>
    </w:p>
    <w:p>
      <w:pPr>
        <w:snapToGrid w:val="0"/>
        <w:ind w:firstLine="480"/>
        <w:rPr>
          <w:rFonts w:ascii="Arial Narrow" w:hAnsi="Arial Narrow" w:cs="Arial Narrow"/>
        </w:rPr>
      </w:pPr>
      <w:bookmarkStart w:id="68" w:name="_Toc20019"/>
      <w:r>
        <w:rPr>
          <w:rFonts w:ascii="Arial Narrow" w:hAnsi="Arial Narrow" w:cs="Arial Narrow"/>
        </w:rPr>
        <w:t>根据制定的绩效评价工作方案，绩效评价工作小组首先收集实施单位的项目有关材料，包括收集、审核基础资料；开展现场访谈，核实项目是否实施以及项目实施情况是否良好，并进行拍照留痕；对收集的证据运用科学的方法进行综合分析。</w:t>
      </w:r>
      <w:bookmarkEnd w:id="68"/>
    </w:p>
    <w:p>
      <w:pPr>
        <w:snapToGrid w:val="0"/>
        <w:ind w:firstLine="480"/>
        <w:rPr>
          <w:rFonts w:ascii="Arial Narrow" w:hAnsi="Arial Narrow" w:cs="Arial Narrow"/>
        </w:rPr>
      </w:pPr>
      <w:bookmarkStart w:id="69" w:name="_Toc28831"/>
      <w:r>
        <w:rPr>
          <w:rFonts w:ascii="Arial Narrow" w:hAnsi="Arial Narrow" w:cs="Arial Narrow"/>
        </w:rPr>
        <w:t>（3）分析评价工作内容</w:t>
      </w:r>
      <w:bookmarkEnd w:id="69"/>
    </w:p>
    <w:p>
      <w:pPr>
        <w:snapToGrid w:val="0"/>
        <w:ind w:firstLine="480"/>
        <w:rPr>
          <w:rFonts w:ascii="Arial Narrow" w:hAnsi="Arial Narrow" w:cs="Arial Narrow"/>
        </w:rPr>
      </w:pPr>
      <w:r>
        <w:rPr>
          <w:rFonts w:ascii="Arial Narrow" w:hAnsi="Arial Narrow" w:cs="Arial Narrow"/>
        </w:rPr>
        <w:t>根据绩效评价指标体系和评分标准、调查问卷、基础数据表、访谈大纲和资料清单后期对调查情况、基础数据、访谈记录分析后形成综合评价结果，将评价结果纳入已确定的各项指标临界区间进行比较，确定绩效评价等级（优、良、中、差）。最后，对评价工作进行总结，将项目基本情况、绩效评价工作情况、评价分析及评价结果、评价等级、经验及做法、问题及建议等形成书面报告。</w:t>
      </w:r>
    </w:p>
    <w:p>
      <w:pPr>
        <w:snapToGrid w:val="0"/>
        <w:ind w:firstLine="482"/>
        <w:jc w:val="left"/>
        <w:outlineLvl w:val="1"/>
        <w:rPr>
          <w:rFonts w:ascii="Arial Narrow" w:hAnsi="Arial Narrow" w:cs="Arial Narrow"/>
          <w:b/>
        </w:rPr>
      </w:pPr>
      <w:bookmarkStart w:id="70" w:name="_Toc27304"/>
      <w:r>
        <w:rPr>
          <w:rFonts w:ascii="Arial Narrow" w:hAnsi="Arial Narrow" w:cs="Arial Narrow"/>
          <w:b/>
        </w:rPr>
        <w:t>（三）绩效评价框架</w:t>
      </w:r>
      <w:bookmarkEnd w:id="70"/>
    </w:p>
    <w:p>
      <w:pPr>
        <w:snapToGrid w:val="0"/>
        <w:ind w:firstLine="482"/>
        <w:jc w:val="left"/>
        <w:rPr>
          <w:rFonts w:ascii="Arial Narrow" w:hAnsi="Arial Narrow" w:cs="Arial Narrow"/>
          <w:b/>
        </w:rPr>
      </w:pPr>
      <w:r>
        <w:rPr>
          <w:rFonts w:ascii="Arial Narrow" w:hAnsi="Arial Narrow" w:cs="Arial Narrow"/>
          <w:b/>
        </w:rPr>
        <w:t>1.评价原则</w:t>
      </w:r>
    </w:p>
    <w:p>
      <w:pPr>
        <w:snapToGrid w:val="0"/>
        <w:ind w:firstLine="482"/>
        <w:jc w:val="left"/>
        <w:rPr>
          <w:rFonts w:ascii="Arial Narrow" w:hAnsi="Arial Narrow" w:cs="Arial Narrow"/>
          <w:b/>
        </w:rPr>
      </w:pPr>
      <w:r>
        <w:rPr>
          <w:rFonts w:ascii="Arial Narrow" w:hAnsi="Arial Narrow" w:cs="Arial Narrow"/>
          <w:b/>
        </w:rPr>
        <w:drawing>
          <wp:inline distT="0" distB="0" distL="0" distR="0">
            <wp:extent cx="4893310" cy="1400175"/>
            <wp:effectExtent l="57150" t="0" r="59690" b="0"/>
            <wp:docPr id="2" name="图示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pPr>
        <w:snapToGrid w:val="0"/>
        <w:ind w:firstLine="480"/>
        <w:jc w:val="left"/>
        <w:rPr>
          <w:rFonts w:ascii="Arial Narrow" w:hAnsi="Arial Narrow" w:cs="Arial Narrow"/>
        </w:rPr>
      </w:pPr>
      <w:r>
        <w:rPr>
          <w:rFonts w:ascii="Arial Narrow" w:hAnsi="Arial Narrow" w:cs="Arial Narrow"/>
        </w:rPr>
        <w:t>本次绩效评价，我们遵循相关性原则、重要性原则、可比性原则、系统性原则、经济性原则。</w:t>
      </w:r>
    </w:p>
    <w:p>
      <w:pPr>
        <w:snapToGrid w:val="0"/>
        <w:ind w:firstLine="480"/>
        <w:jc w:val="left"/>
        <w:rPr>
          <w:rFonts w:ascii="Arial Narrow" w:hAnsi="Arial Narrow" w:cs="Arial Narrow"/>
        </w:rPr>
      </w:pPr>
      <w:r>
        <w:rPr>
          <w:rFonts w:ascii="Arial Narrow" w:hAnsi="Arial Narrow" w:cs="Arial Narrow"/>
        </w:rPr>
        <w:t>（1）相关性原则。绩效评价指标应当与绩效目标有直接的联系，能够恰当反映目标的实现程度。如节能项目完工率、人均能耗降低率等指标。</w:t>
      </w:r>
    </w:p>
    <w:p>
      <w:pPr>
        <w:snapToGrid w:val="0"/>
        <w:ind w:firstLine="480"/>
        <w:jc w:val="left"/>
        <w:rPr>
          <w:rFonts w:ascii="Arial Narrow" w:hAnsi="Arial Narrow" w:cs="Arial Narrow"/>
        </w:rPr>
      </w:pPr>
      <w:r>
        <w:rPr>
          <w:rFonts w:ascii="Arial Narrow" w:hAnsi="Arial Narrow" w:cs="Arial Narrow"/>
        </w:rPr>
        <w:t>（2）重要性原则。应当优先使用最具评价对象代表性、最能反映评价要求的核心指标。如数据上报及时率、宣传知晓率、节能建设覆盖率、政府部门及社会公众满意度等指标。</w:t>
      </w:r>
    </w:p>
    <w:p>
      <w:pPr>
        <w:snapToGrid w:val="0"/>
        <w:ind w:firstLine="480"/>
        <w:jc w:val="left"/>
        <w:rPr>
          <w:rFonts w:ascii="Arial Narrow" w:hAnsi="Arial Narrow" w:cs="Arial Narrow"/>
        </w:rPr>
      </w:pPr>
      <w:r>
        <w:rPr>
          <w:rFonts w:ascii="Arial Narrow" w:hAnsi="Arial Narrow" w:cs="Arial Narrow"/>
        </w:rPr>
        <w:t>（3）可比性原则。对同类评价对象要设定共性的绩效评价指标，以便于评价结果可以相互比较。完成及时率等指标按照可比性原则制定。</w:t>
      </w:r>
    </w:p>
    <w:p>
      <w:pPr>
        <w:snapToGrid w:val="0"/>
        <w:ind w:firstLine="480"/>
        <w:jc w:val="left"/>
        <w:rPr>
          <w:rFonts w:ascii="Arial Narrow" w:hAnsi="Arial Narrow" w:cs="Arial Narrow"/>
        </w:rPr>
      </w:pPr>
      <w:r>
        <w:rPr>
          <w:rFonts w:ascii="Arial Narrow" w:hAnsi="Arial Narrow" w:cs="Arial Narrow"/>
        </w:rPr>
        <w:t>（4）系统性原则。绩效评价指标的设置应当将定量指标与定性指标相结合，能系统反映财政支出所产生的社会效益和可持续影响等。宣传方式多样性、可持续性等指标为定性指标，节能项目完工率、数据上报及时率、节能建设覆盖率等指标为定量指标。</w:t>
      </w:r>
    </w:p>
    <w:p>
      <w:pPr>
        <w:snapToGrid w:val="0"/>
        <w:ind w:firstLine="480"/>
        <w:jc w:val="left"/>
        <w:rPr>
          <w:rFonts w:ascii="Arial Narrow" w:hAnsi="Arial Narrow" w:cs="Arial Narrow"/>
        </w:rPr>
      </w:pPr>
      <w:r>
        <w:rPr>
          <w:rFonts w:ascii="Arial Narrow" w:hAnsi="Arial Narrow" w:cs="Arial Narrow"/>
        </w:rPr>
        <w:t>（5）经济性原则。绩效评价指标设计应当通俗易懂、简便易行，数据的获得应当考虑现实条件和可操作性，符合成本效益原则。节能项目完工率、节能建设覆盖率等指标符合经济性原则。</w:t>
      </w:r>
    </w:p>
    <w:p>
      <w:pPr>
        <w:snapToGrid w:val="0"/>
        <w:ind w:firstLine="482"/>
        <w:jc w:val="left"/>
        <w:rPr>
          <w:rFonts w:ascii="Arial Narrow" w:hAnsi="Arial Narrow" w:cs="Arial Narrow"/>
          <w:b/>
        </w:rPr>
      </w:pPr>
      <w:r>
        <w:rPr>
          <w:rFonts w:ascii="Arial Narrow" w:hAnsi="Arial Narrow" w:cs="Arial Narrow"/>
          <w:b/>
        </w:rPr>
        <w:t>2.评价依据</w:t>
      </w:r>
    </w:p>
    <w:p>
      <w:pPr>
        <w:snapToGrid w:val="0"/>
        <w:ind w:firstLine="480"/>
        <w:jc w:val="left"/>
        <w:rPr>
          <w:rFonts w:ascii="Arial Narrow" w:hAnsi="Arial Narrow" w:cs="Arial Narrow"/>
        </w:rPr>
      </w:pPr>
      <w:r>
        <w:rPr>
          <w:rFonts w:ascii="Arial Narrow" w:hAnsi="Arial Narrow" w:cs="Arial Narrow"/>
        </w:rPr>
        <w:t>（1）项目行为依据</w:t>
      </w:r>
    </w:p>
    <w:p>
      <w:pPr>
        <w:snapToGrid w:val="0"/>
        <w:ind w:firstLine="480"/>
        <w:jc w:val="left"/>
        <w:rPr>
          <w:rFonts w:ascii="Arial Narrow" w:hAnsi="Arial Narrow" w:cs="Arial Narrow"/>
        </w:rPr>
      </w:pPr>
      <w:r>
        <w:rPr>
          <w:rFonts w:hint="eastAsia" w:ascii="宋体" w:hAnsi="宋体" w:eastAsia="宋体" w:cs="宋体"/>
        </w:rPr>
        <w:t>①</w:t>
      </w:r>
      <w:r>
        <w:rPr>
          <w:rFonts w:ascii="Arial Narrow" w:hAnsi="Arial Narrow" w:cs="Arial Narrow"/>
        </w:rPr>
        <w:t>《武昌区财政局关于武昌区机关运行保障中心2017年部门预算的批复》（武昌财预【2016】295号）；</w:t>
      </w:r>
    </w:p>
    <w:p>
      <w:pPr>
        <w:snapToGrid w:val="0"/>
        <w:ind w:firstLine="480"/>
        <w:jc w:val="left"/>
        <w:rPr>
          <w:rFonts w:ascii="Arial Narrow" w:hAnsi="Arial Narrow" w:cs="Arial Narrow"/>
        </w:rPr>
      </w:pPr>
      <w:r>
        <w:rPr>
          <w:rFonts w:hint="eastAsia" w:ascii="宋体" w:hAnsi="宋体" w:eastAsia="宋体" w:cs="宋体"/>
        </w:rPr>
        <w:t>②</w:t>
      </w:r>
      <w:r>
        <w:rPr>
          <w:rFonts w:ascii="Arial Narrow" w:hAnsi="Arial Narrow" w:cs="Arial Narrow"/>
        </w:rPr>
        <w:t>《关于做好2017年公共机构节约能源资源工作的通知》（武公节办【2017】2号）；</w:t>
      </w:r>
    </w:p>
    <w:p>
      <w:pPr>
        <w:snapToGrid w:val="0"/>
        <w:ind w:firstLine="480"/>
        <w:jc w:val="left"/>
        <w:rPr>
          <w:rFonts w:ascii="Arial Narrow" w:hAnsi="Arial Narrow" w:cs="Arial Narrow"/>
        </w:rPr>
      </w:pPr>
      <w:r>
        <w:rPr>
          <w:rFonts w:ascii="Arial Narrow" w:hAnsi="Arial Narrow" w:cs="Arial Narrow"/>
        </w:rPr>
        <w:t>（2）法律、法规依据</w:t>
      </w:r>
    </w:p>
    <w:p>
      <w:pPr>
        <w:snapToGrid w:val="0"/>
        <w:ind w:firstLine="480"/>
        <w:jc w:val="left"/>
        <w:rPr>
          <w:rFonts w:ascii="Arial Narrow" w:hAnsi="Arial Narrow" w:cs="Arial Narrow"/>
        </w:rPr>
      </w:pPr>
      <w:r>
        <w:rPr>
          <w:rFonts w:hint="eastAsia" w:ascii="宋体" w:hAnsi="宋体" w:eastAsia="宋体" w:cs="宋体"/>
        </w:rPr>
        <w:t>①</w:t>
      </w:r>
      <w:r>
        <w:rPr>
          <w:rFonts w:ascii="Arial Narrow" w:hAnsi="Arial Narrow" w:cs="Arial Narrow"/>
        </w:rPr>
        <w:t>《中华人民共和国节约能源法》；</w:t>
      </w:r>
    </w:p>
    <w:p>
      <w:pPr>
        <w:snapToGrid w:val="0"/>
        <w:ind w:firstLine="480"/>
        <w:jc w:val="left"/>
        <w:rPr>
          <w:rFonts w:ascii="Arial Narrow" w:hAnsi="Arial Narrow" w:cs="Arial Narrow"/>
        </w:rPr>
      </w:pPr>
      <w:r>
        <w:rPr>
          <w:rFonts w:hint="eastAsia" w:ascii="宋体" w:hAnsi="宋体" w:eastAsia="宋体" w:cs="宋体"/>
        </w:rPr>
        <w:t>②</w:t>
      </w:r>
      <w:r>
        <w:rPr>
          <w:rFonts w:ascii="Arial Narrow" w:hAnsi="Arial Narrow" w:cs="Arial Narrow"/>
        </w:rPr>
        <w:t>《武汉市实施&lt;公共机构能源资源消费统计制度&gt;工作方案》；</w:t>
      </w:r>
    </w:p>
    <w:p>
      <w:pPr>
        <w:snapToGrid w:val="0"/>
        <w:ind w:firstLine="480"/>
        <w:jc w:val="left"/>
        <w:rPr>
          <w:rFonts w:ascii="Arial Narrow" w:hAnsi="Arial Narrow" w:cs="Arial Narrow"/>
        </w:rPr>
      </w:pPr>
      <w:r>
        <w:rPr>
          <w:rFonts w:hint="eastAsia" w:ascii="宋体" w:hAnsi="宋体" w:eastAsia="宋体" w:cs="宋体"/>
        </w:rPr>
        <w:t>③</w:t>
      </w:r>
      <w:r>
        <w:rPr>
          <w:rFonts w:ascii="Arial Narrow" w:hAnsi="Arial Narrow" w:cs="Arial Narrow"/>
        </w:rPr>
        <w:t>《武昌区财政支出绩效评价管理暂行办法》；</w:t>
      </w:r>
    </w:p>
    <w:p>
      <w:pPr>
        <w:snapToGrid w:val="0"/>
        <w:ind w:firstLine="480"/>
        <w:jc w:val="left"/>
        <w:rPr>
          <w:rFonts w:ascii="Arial Narrow" w:hAnsi="Arial Narrow" w:cs="Arial Narrow"/>
        </w:rPr>
      </w:pPr>
      <w:r>
        <w:rPr>
          <w:rFonts w:hint="eastAsia" w:ascii="宋体" w:hAnsi="宋体" w:eastAsia="宋体" w:cs="宋体"/>
        </w:rPr>
        <w:t>④</w:t>
      </w:r>
      <w:r>
        <w:rPr>
          <w:rFonts w:ascii="Arial Narrow" w:hAnsi="Arial Narrow" w:cs="Arial Narrow"/>
        </w:rPr>
        <w:t>《公共机构节能工作条例》</w:t>
      </w:r>
    </w:p>
    <w:p>
      <w:pPr>
        <w:snapToGrid w:val="0"/>
        <w:ind w:firstLine="480"/>
        <w:jc w:val="left"/>
        <w:rPr>
          <w:rFonts w:ascii="Arial Narrow" w:hAnsi="Arial Narrow" w:cs="Arial Narrow"/>
        </w:rPr>
      </w:pPr>
      <w:r>
        <w:rPr>
          <w:rFonts w:ascii="Arial Narrow" w:hAnsi="Arial Narrow" w:cs="Arial Narrow"/>
        </w:rPr>
        <w:t>（3）项目财务资料依据</w:t>
      </w:r>
    </w:p>
    <w:p>
      <w:pPr>
        <w:snapToGrid w:val="0"/>
        <w:ind w:firstLine="480"/>
        <w:jc w:val="left"/>
        <w:rPr>
          <w:rFonts w:ascii="Arial Narrow" w:hAnsi="Arial Narrow" w:cs="Arial Narrow"/>
        </w:rPr>
      </w:pPr>
      <w:r>
        <w:rPr>
          <w:rFonts w:hint="eastAsia" w:ascii="宋体" w:hAnsi="宋体" w:eastAsia="宋体" w:cs="宋体"/>
        </w:rPr>
        <w:t>①</w:t>
      </w:r>
      <w:r>
        <w:rPr>
          <w:rFonts w:ascii="Arial Narrow" w:hAnsi="Arial Narrow" w:cs="Arial Narrow"/>
        </w:rPr>
        <w:t>《2017年机关工作手册》；</w:t>
      </w:r>
    </w:p>
    <w:p>
      <w:pPr>
        <w:snapToGrid w:val="0"/>
        <w:ind w:firstLine="480"/>
        <w:jc w:val="left"/>
        <w:rPr>
          <w:rFonts w:ascii="Arial Narrow" w:hAnsi="Arial Narrow" w:cs="Arial Narrow"/>
        </w:rPr>
      </w:pPr>
      <w:r>
        <w:rPr>
          <w:rFonts w:hint="eastAsia" w:ascii="宋体" w:hAnsi="宋体" w:eastAsia="宋体" w:cs="宋体"/>
        </w:rPr>
        <w:t>②</w:t>
      </w:r>
      <w:r>
        <w:rPr>
          <w:rFonts w:ascii="Arial Narrow" w:hAnsi="Arial Narrow" w:cs="Arial Narrow"/>
        </w:rPr>
        <w:t>各项目单位往来结算票据及记账凭证；</w:t>
      </w:r>
    </w:p>
    <w:p>
      <w:pPr>
        <w:snapToGrid w:val="0"/>
        <w:ind w:firstLine="480"/>
        <w:jc w:val="left"/>
        <w:rPr>
          <w:rFonts w:ascii="Arial Narrow" w:hAnsi="Arial Narrow" w:cs="Arial Narrow"/>
        </w:rPr>
      </w:pPr>
      <w:r>
        <w:rPr>
          <w:rFonts w:hint="eastAsia" w:ascii="宋体" w:hAnsi="宋体" w:eastAsia="宋体" w:cs="宋体"/>
        </w:rPr>
        <w:t>③</w:t>
      </w:r>
      <w:r>
        <w:rPr>
          <w:rFonts w:ascii="Arial Narrow" w:hAnsi="Arial Narrow" w:cs="Arial Narrow"/>
        </w:rPr>
        <w:t>武昌区机关运行保障中心对执行公共机构节能项目资金使用管理制度；</w:t>
      </w:r>
    </w:p>
    <w:p>
      <w:pPr>
        <w:snapToGrid w:val="0"/>
        <w:ind w:firstLine="480"/>
        <w:jc w:val="left"/>
        <w:rPr>
          <w:rFonts w:ascii="Arial Narrow" w:hAnsi="Arial Narrow" w:cs="Arial Narrow"/>
        </w:rPr>
      </w:pPr>
      <w:r>
        <w:rPr>
          <w:rFonts w:hint="eastAsia" w:ascii="宋体" w:hAnsi="宋体" w:eastAsia="宋体" w:cs="宋体"/>
        </w:rPr>
        <w:t>④</w:t>
      </w:r>
      <w:r>
        <w:rPr>
          <w:rFonts w:ascii="Arial Narrow" w:hAnsi="Arial Narrow" w:cs="Arial Narrow"/>
        </w:rPr>
        <w:t>会计核算管理制度、会计报表管理制度、会计档案管理制度、内部审计管理制度；</w:t>
      </w:r>
    </w:p>
    <w:p>
      <w:pPr>
        <w:numPr>
          <w:ilvl w:val="0"/>
          <w:numId w:val="5"/>
        </w:numPr>
        <w:snapToGrid w:val="0"/>
        <w:ind w:firstLine="480"/>
        <w:jc w:val="left"/>
        <w:rPr>
          <w:rFonts w:ascii="Arial Narrow" w:hAnsi="Arial Narrow" w:cs="Arial Narrow"/>
        </w:rPr>
      </w:pPr>
      <w:r>
        <w:rPr>
          <w:rFonts w:ascii="Arial Narrow" w:hAnsi="Arial Narrow" w:cs="Arial Narrow"/>
        </w:rPr>
        <w:t>基础数据、资料依据</w:t>
      </w:r>
    </w:p>
    <w:p>
      <w:pPr>
        <w:snapToGrid w:val="0"/>
        <w:ind w:firstLine="480"/>
        <w:jc w:val="left"/>
        <w:rPr>
          <w:rFonts w:ascii="Arial Narrow" w:hAnsi="Arial Narrow" w:cs="Arial Narrow"/>
        </w:rPr>
      </w:pPr>
      <w:r>
        <w:rPr>
          <w:rFonts w:hint="eastAsia" w:ascii="宋体" w:hAnsi="宋体" w:eastAsia="宋体" w:cs="宋体"/>
        </w:rPr>
        <w:t>①</w:t>
      </w:r>
      <w:r>
        <w:rPr>
          <w:rFonts w:ascii="Arial Narrow" w:hAnsi="Arial Narrow" w:cs="Arial Narrow"/>
        </w:rPr>
        <w:t>武汉市武昌区财政授权支付凭证；</w:t>
      </w:r>
    </w:p>
    <w:p>
      <w:pPr>
        <w:snapToGrid w:val="0"/>
        <w:ind w:firstLine="480" w:firstLineChars="0"/>
        <w:jc w:val="left"/>
        <w:rPr>
          <w:rFonts w:ascii="Arial Narrow" w:hAnsi="Arial Narrow" w:cs="Arial Narrow"/>
        </w:rPr>
      </w:pPr>
      <w:r>
        <w:rPr>
          <w:rFonts w:hint="eastAsia" w:ascii="宋体" w:hAnsi="宋体" w:eastAsia="宋体" w:cs="宋体"/>
        </w:rPr>
        <w:t>②</w:t>
      </w:r>
      <w:r>
        <w:rPr>
          <w:rFonts w:ascii="Arial Narrow" w:hAnsi="Arial Narrow" w:cs="Arial Narrow"/>
        </w:rPr>
        <w:t>公共机构能源资源消费统计系统；</w:t>
      </w:r>
    </w:p>
    <w:p>
      <w:pPr>
        <w:snapToGrid w:val="0"/>
        <w:ind w:firstLine="480" w:firstLineChars="0"/>
        <w:jc w:val="left"/>
        <w:rPr>
          <w:rFonts w:ascii="Arial Narrow" w:hAnsi="Arial Narrow" w:cs="Arial Narrow"/>
        </w:rPr>
      </w:pPr>
      <w:r>
        <w:rPr>
          <w:rFonts w:hint="eastAsia" w:ascii="宋体" w:hAnsi="宋体" w:eastAsia="宋体" w:cs="宋体"/>
        </w:rPr>
        <w:t>③</w:t>
      </w:r>
      <w:r>
        <w:rPr>
          <w:rFonts w:ascii="Arial Narrow" w:hAnsi="Arial Narrow" w:cs="Arial Narrow"/>
        </w:rPr>
        <w:t>武昌区机构运行保障中心“三重一大”事项上会报备表；</w:t>
      </w:r>
    </w:p>
    <w:p>
      <w:pPr>
        <w:snapToGrid w:val="0"/>
        <w:ind w:firstLine="480"/>
        <w:jc w:val="left"/>
        <w:rPr>
          <w:rFonts w:ascii="Arial Narrow" w:hAnsi="Arial Narrow" w:cs="Arial Narrow"/>
        </w:rPr>
      </w:pPr>
      <w:r>
        <w:rPr>
          <w:rFonts w:hint="eastAsia" w:ascii="宋体" w:hAnsi="宋体" w:eastAsia="宋体" w:cs="宋体"/>
        </w:rPr>
        <w:t>④</w:t>
      </w:r>
      <w:r>
        <w:rPr>
          <w:rFonts w:ascii="Arial Narrow" w:hAnsi="Arial Narrow" w:cs="Arial Narrow"/>
        </w:rPr>
        <w:t>《关于公布2017年湖北省公共机构节水型单位名单的通知》（鄂水利函【2017】760号）；</w:t>
      </w:r>
    </w:p>
    <w:p>
      <w:pPr>
        <w:snapToGrid w:val="0"/>
        <w:ind w:firstLine="482"/>
        <w:jc w:val="left"/>
        <w:rPr>
          <w:rFonts w:ascii="Arial Narrow" w:hAnsi="Arial Narrow" w:cs="Arial Narrow"/>
          <w:b/>
        </w:rPr>
      </w:pPr>
      <w:r>
        <w:rPr>
          <w:rFonts w:ascii="Arial Narrow" w:hAnsi="Arial Narrow" w:cs="Arial Narrow"/>
          <w:b/>
        </w:rPr>
        <w:t>3.评价指标体系</w:t>
      </w:r>
    </w:p>
    <w:p>
      <w:pPr>
        <w:snapToGrid w:val="0"/>
        <w:ind w:firstLine="480"/>
        <w:rPr>
          <w:rFonts w:ascii="Arial Narrow" w:hAnsi="Arial Narrow" w:cs="Arial Narrow"/>
          <w:kern w:val="0"/>
        </w:rPr>
      </w:pPr>
      <w:r>
        <w:rPr>
          <w:rFonts w:ascii="Arial Narrow" w:hAnsi="Arial Narrow" w:cs="Arial Narrow"/>
        </w:rPr>
        <w:t>绩效评价指标体系是开展绩效评价工作的核心。绩效评价工作小组在参考财政支出绩效评价指标框架的基础上，依据《武昌区财政支出绩效评价管理暂行办法》，结合</w:t>
      </w:r>
      <w:r>
        <w:rPr>
          <w:rFonts w:ascii="Arial Narrow" w:hAnsi="Arial Narrow" w:cs="Arial Narrow"/>
          <w:bCs/>
        </w:rPr>
        <w:t>公共机构节能项目</w:t>
      </w:r>
      <w:r>
        <w:rPr>
          <w:rFonts w:ascii="Arial Narrow" w:hAnsi="Arial Narrow" w:cs="Arial Narrow"/>
        </w:rPr>
        <w:t>的特点，运用定量定性原则，确定了绩效评价一级指标、二级指标和三级指标。</w:t>
      </w:r>
    </w:p>
    <w:p>
      <w:pPr>
        <w:widowControl/>
        <w:ind w:firstLine="0" w:firstLineChars="0"/>
        <w:jc w:val="center"/>
        <w:rPr>
          <w:rFonts w:ascii="Arial Narrow" w:hAnsi="Arial Narrow" w:cs="Arial Narrow"/>
          <w:kern w:val="0"/>
        </w:rPr>
      </w:pPr>
      <w:r>
        <w:rPr>
          <w:rFonts w:ascii="Arial Narrow" w:hAnsi="Arial Narrow" w:cs="宋体"/>
          <w:kern w:val="0"/>
        </w:rPr>
        <w:drawing>
          <wp:inline distT="0" distB="0" distL="114300" distR="114300">
            <wp:extent cx="5046980" cy="160655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25" cstate="print"/>
                    <a:srcRect t="5634" r="8357" b="2687"/>
                    <a:stretch>
                      <a:fillRect/>
                    </a:stretch>
                  </pic:blipFill>
                  <pic:spPr>
                    <a:xfrm>
                      <a:off x="0" y="0"/>
                      <a:ext cx="5050790" cy="1607712"/>
                    </a:xfrm>
                    <a:prstGeom prst="rect">
                      <a:avLst/>
                    </a:prstGeom>
                    <a:noFill/>
                    <a:ln w="9525">
                      <a:noFill/>
                    </a:ln>
                  </pic:spPr>
                </pic:pic>
              </a:graphicData>
            </a:graphic>
          </wp:inline>
        </w:drawing>
      </w:r>
    </w:p>
    <w:p>
      <w:pPr>
        <w:snapToGrid w:val="0"/>
        <w:ind w:firstLine="480"/>
        <w:jc w:val="left"/>
        <w:rPr>
          <w:rFonts w:ascii="Arial Narrow" w:hAnsi="Arial Narrow" w:cs="Arial Narrow"/>
        </w:rPr>
      </w:pPr>
    </w:p>
    <w:p>
      <w:pPr>
        <w:snapToGrid w:val="0"/>
        <w:ind w:firstLine="480"/>
        <w:rPr>
          <w:rFonts w:ascii="Arial Narrow" w:hAnsi="Arial Narrow" w:cs="Arial Narrow"/>
        </w:rPr>
      </w:pPr>
      <w:r>
        <w:rPr>
          <w:rFonts w:ascii="Arial Narrow" w:hAnsi="Arial Narrow" w:cs="Arial Narrow"/>
        </w:rPr>
        <w:t>绩效评价指标体系包括投入、过程、产出、效果四个方面。</w:t>
      </w:r>
    </w:p>
    <w:p>
      <w:pPr>
        <w:snapToGrid w:val="0"/>
        <w:ind w:firstLine="480"/>
        <w:rPr>
          <w:rFonts w:ascii="Arial Narrow" w:hAnsi="Arial Narrow" w:cs="Arial Narrow"/>
        </w:rPr>
      </w:pPr>
      <w:r>
        <w:rPr>
          <w:rFonts w:ascii="Arial Narrow" w:hAnsi="Arial Narrow" w:cs="Arial Narrow"/>
        </w:rPr>
        <w:t xml:space="preserve"> “投入”权重16分，下设二级指标“项目立项”、“资金落实”，主要评价项目立项规范性、绩效目标合理性、资金到位率、到位及时率，下设4个三级指标具体评价；</w:t>
      </w:r>
    </w:p>
    <w:p>
      <w:pPr>
        <w:snapToGrid w:val="0"/>
        <w:ind w:firstLine="480"/>
        <w:rPr>
          <w:rFonts w:ascii="Arial Narrow" w:hAnsi="Arial Narrow" w:cs="Arial Narrow"/>
        </w:rPr>
      </w:pPr>
      <w:r>
        <w:rPr>
          <w:rFonts w:ascii="Arial Narrow" w:hAnsi="Arial Narrow" w:cs="Arial Narrow"/>
        </w:rPr>
        <w:t>“过程”权重24分，下设二级指标“项目管理” 、“财务管理”，主要评价项目管理制度健全性、制度执行有效性、项目质量可控性、财务制度健全性、资金使用合规性、财务监控有效性，下设6个三级指标具体评价；</w:t>
      </w:r>
    </w:p>
    <w:p>
      <w:pPr>
        <w:snapToGrid w:val="0"/>
        <w:ind w:firstLine="480"/>
        <w:rPr>
          <w:rFonts w:ascii="Arial Narrow" w:hAnsi="Arial Narrow" w:cs="Arial Narrow"/>
        </w:rPr>
      </w:pPr>
      <w:r>
        <w:rPr>
          <w:rFonts w:ascii="Arial Narrow" w:hAnsi="Arial Narrow" w:cs="Arial Narrow"/>
        </w:rPr>
        <w:t>“产出”权重28分，下设二级指标“项目产出”，主要评价项目节能项目完工率、监督检查完成率、省级节能机构创建数、数据上报及时率、资金使用率、宣传方式多样性，下设6个三级指标具体评价；</w:t>
      </w:r>
    </w:p>
    <w:p>
      <w:pPr>
        <w:snapToGrid w:val="0"/>
        <w:ind w:firstLine="480"/>
        <w:rPr>
          <w:rFonts w:ascii="Arial Narrow" w:hAnsi="Arial Narrow" w:cs="Arial Narrow"/>
        </w:rPr>
      </w:pPr>
      <w:r>
        <w:rPr>
          <w:rFonts w:ascii="Arial Narrow" w:hAnsi="Arial Narrow" w:cs="Arial Narrow"/>
        </w:rPr>
        <w:t>“效果”权重32分，下设二级指标“项目效益”，主要评价项目实施后人均能耗降低率、宣传知晓率、节能系统普及率、节能建设覆盖率、可持续性、政府部门及社会公众满意度，下设6个三级指标具体评价。</w:t>
      </w:r>
    </w:p>
    <w:p>
      <w:pPr>
        <w:snapToGrid w:val="0"/>
        <w:ind w:firstLine="480"/>
        <w:rPr>
          <w:rFonts w:ascii="Arial Narrow" w:hAnsi="Arial Narrow" w:cs="Arial Narrow"/>
        </w:rPr>
      </w:pPr>
      <w:r>
        <w:rPr>
          <w:rFonts w:ascii="Arial Narrow" w:hAnsi="Arial Narrow" w:cs="Arial Narrow"/>
        </w:rPr>
        <w:t>具体指标的分布情况、权重、指标解释、指标说明如下表所示：</w:t>
      </w:r>
    </w:p>
    <w:p>
      <w:pPr>
        <w:snapToGrid w:val="0"/>
        <w:ind w:firstLine="480"/>
        <w:rPr>
          <w:rFonts w:ascii="Arial Narrow" w:hAnsi="Arial Narrow" w:cs="Arial Narrow"/>
        </w:rPr>
      </w:pPr>
    </w:p>
    <w:tbl>
      <w:tblPr>
        <w:tblStyle w:val="23"/>
        <w:tblW w:w="8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82"/>
        <w:gridCol w:w="851"/>
        <w:gridCol w:w="2268"/>
        <w:gridCol w:w="5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3" w:hRule="atLeast"/>
          <w:tblHeader/>
        </w:trPr>
        <w:tc>
          <w:tcPr>
            <w:tcW w:w="1433" w:type="dxa"/>
            <w:gridSpan w:val="2"/>
            <w:vAlign w:val="center"/>
          </w:tcPr>
          <w:p>
            <w:pPr>
              <w:widowControl/>
              <w:spacing w:line="280" w:lineRule="exact"/>
              <w:ind w:firstLine="0" w:firstLineChars="0"/>
              <w:jc w:val="center"/>
              <w:textAlignment w:val="center"/>
              <w:rPr>
                <w:rFonts w:ascii="Arial Narrow" w:hAnsi="Arial Narrow" w:cs="仿宋_GB2312"/>
                <w:sz w:val="20"/>
                <w:szCs w:val="20"/>
              </w:rPr>
            </w:pPr>
            <w:r>
              <w:rPr>
                <w:rFonts w:ascii="Arial Narrow" w:hAnsi="Arial Narrow" w:cs="仿宋_GB2312"/>
                <w:kern w:val="0"/>
                <w:sz w:val="20"/>
                <w:szCs w:val="20"/>
              </w:rPr>
              <w:t>指标名称（权重）</w:t>
            </w:r>
          </w:p>
        </w:tc>
        <w:tc>
          <w:tcPr>
            <w:tcW w:w="2268" w:type="dxa"/>
            <w:vAlign w:val="center"/>
          </w:tcPr>
          <w:p>
            <w:pPr>
              <w:widowControl/>
              <w:spacing w:line="280" w:lineRule="exact"/>
              <w:ind w:firstLine="0" w:firstLineChars="0"/>
              <w:jc w:val="center"/>
              <w:textAlignment w:val="center"/>
              <w:rPr>
                <w:rFonts w:ascii="Arial Narrow" w:hAnsi="Arial Narrow" w:cs="仿宋_GB2312"/>
                <w:sz w:val="20"/>
                <w:szCs w:val="20"/>
              </w:rPr>
            </w:pPr>
            <w:r>
              <w:rPr>
                <w:rFonts w:ascii="Arial Narrow" w:hAnsi="Arial Narrow" w:cs="仿宋_GB2312"/>
                <w:kern w:val="0"/>
                <w:sz w:val="20"/>
                <w:szCs w:val="20"/>
              </w:rPr>
              <w:t>指标解释</w:t>
            </w:r>
          </w:p>
        </w:tc>
        <w:tc>
          <w:tcPr>
            <w:tcW w:w="5029" w:type="dxa"/>
            <w:vAlign w:val="center"/>
          </w:tcPr>
          <w:p>
            <w:pPr>
              <w:widowControl/>
              <w:spacing w:line="280" w:lineRule="exact"/>
              <w:ind w:firstLine="0" w:firstLineChars="0"/>
              <w:jc w:val="center"/>
              <w:textAlignment w:val="center"/>
              <w:rPr>
                <w:rFonts w:ascii="Arial Narrow" w:hAnsi="Arial Narrow" w:cs="仿宋_GB2312"/>
                <w:sz w:val="20"/>
                <w:szCs w:val="20"/>
              </w:rPr>
            </w:pPr>
            <w:r>
              <w:rPr>
                <w:rFonts w:ascii="Arial Narrow" w:hAnsi="Arial Narrow" w:cs="仿宋_GB2312"/>
                <w:kern w:val="0"/>
                <w:sz w:val="20"/>
                <w:szCs w:val="20"/>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98" w:hRule="atLeast"/>
        </w:trPr>
        <w:tc>
          <w:tcPr>
            <w:tcW w:w="582" w:type="dxa"/>
            <w:vMerge w:val="restart"/>
            <w:vAlign w:val="center"/>
          </w:tcPr>
          <w:p>
            <w:pPr>
              <w:widowControl/>
              <w:spacing w:line="280" w:lineRule="exact"/>
              <w:ind w:firstLine="0" w:firstLineChars="0"/>
              <w:textAlignment w:val="center"/>
              <w:rPr>
                <w:rFonts w:hint="eastAsia" w:ascii="Arial Narrow" w:hAnsi="Arial Narrow" w:eastAsia="仿宋_GB2312" w:cs="仿宋_GB2312"/>
                <w:kern w:val="0"/>
                <w:sz w:val="20"/>
                <w:szCs w:val="20"/>
                <w:lang w:eastAsia="zh-CN"/>
              </w:rPr>
            </w:pPr>
            <w:r>
              <w:rPr>
                <w:rFonts w:ascii="Arial Narrow" w:hAnsi="Arial Narrow" w:cs="仿宋_GB2312"/>
                <w:kern w:val="0"/>
                <w:sz w:val="20"/>
                <w:szCs w:val="20"/>
              </w:rPr>
              <w:t>项目</w:t>
            </w:r>
          </w:p>
          <w:p>
            <w:pPr>
              <w:widowControl/>
              <w:spacing w:line="280" w:lineRule="exact"/>
              <w:ind w:firstLine="0" w:firstLineChars="0"/>
              <w:textAlignment w:val="center"/>
              <w:rPr>
                <w:rFonts w:ascii="Arial Narrow" w:hAnsi="Arial Narrow" w:cs="仿宋_GB2312"/>
                <w:sz w:val="20"/>
                <w:szCs w:val="20"/>
              </w:rPr>
            </w:pPr>
            <w:r>
              <w:rPr>
                <w:rFonts w:ascii="Arial Narrow" w:hAnsi="Arial Narrow" w:cs="仿宋_GB2312"/>
                <w:kern w:val="0"/>
                <w:sz w:val="20"/>
                <w:szCs w:val="20"/>
              </w:rPr>
              <w:t>立项</w:t>
            </w:r>
          </w:p>
        </w:tc>
        <w:tc>
          <w:tcPr>
            <w:tcW w:w="851"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项目立项规范性（4分）</w:t>
            </w:r>
          </w:p>
        </w:tc>
        <w:tc>
          <w:tcPr>
            <w:tcW w:w="226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项目的申请、设立过程是否符合相关要求，用以反映和考核项目立项的规范情况。</w:t>
            </w:r>
          </w:p>
        </w:tc>
        <w:tc>
          <w:tcPr>
            <w:tcW w:w="5029" w:type="dxa"/>
            <w:vAlign w:val="center"/>
          </w:tcPr>
          <w:p>
            <w:pPr>
              <w:widowControl/>
              <w:spacing w:line="280" w:lineRule="exact"/>
              <w:ind w:firstLine="0" w:firstLineChars="0"/>
              <w:jc w:val="left"/>
              <w:textAlignment w:val="center"/>
              <w:rPr>
                <w:rFonts w:hint="eastAsia" w:ascii="Arial Narrow" w:hAnsi="Arial Narrow" w:eastAsia="仿宋_GB2312" w:cs="仿宋_GB2312"/>
                <w:kern w:val="0"/>
                <w:sz w:val="20"/>
                <w:szCs w:val="20"/>
                <w:lang w:eastAsia="zh-CN"/>
              </w:rPr>
            </w:pPr>
            <w:r>
              <w:rPr>
                <w:rFonts w:ascii="Arial Narrow" w:hAnsi="Arial Narrow" w:cs="仿宋_GB2312"/>
                <w:kern w:val="0"/>
                <w:sz w:val="20"/>
                <w:szCs w:val="20"/>
              </w:rPr>
              <w:t>评价要点：</w:t>
            </w:r>
          </w:p>
          <w:p>
            <w:pPr>
              <w:widowControl/>
              <w:spacing w:line="280" w:lineRule="exact"/>
              <w:ind w:firstLine="0" w:firstLineChars="0"/>
              <w:jc w:val="left"/>
              <w:textAlignment w:val="center"/>
              <w:rPr>
                <w:rFonts w:hint="eastAsia" w:ascii="Arial Narrow" w:hAnsi="Arial Narrow" w:eastAsia="仿宋_GB2312" w:cs="仿宋_GB2312"/>
                <w:kern w:val="0"/>
                <w:sz w:val="20"/>
                <w:szCs w:val="20"/>
                <w:lang w:eastAsia="zh-CN"/>
              </w:rPr>
            </w:pPr>
            <w:r>
              <w:rPr>
                <w:rFonts w:ascii="Arial Narrow" w:hAnsi="Arial Narrow" w:cs="仿宋_GB2312"/>
                <w:kern w:val="0"/>
                <w:sz w:val="20"/>
                <w:szCs w:val="20"/>
              </w:rPr>
              <w:t>总项目：</w:t>
            </w:r>
          </w:p>
          <w:p>
            <w:pPr>
              <w:widowControl/>
              <w:spacing w:line="280" w:lineRule="exact"/>
              <w:ind w:firstLine="0" w:firstLineChars="0"/>
              <w:jc w:val="left"/>
              <w:textAlignment w:val="center"/>
              <w:rPr>
                <w:rFonts w:hint="eastAsia" w:ascii="Arial Narrow" w:hAnsi="Arial Narrow" w:eastAsia="仿宋_GB2312" w:cs="仿宋_GB2312"/>
                <w:kern w:val="0"/>
                <w:sz w:val="20"/>
                <w:szCs w:val="20"/>
                <w:lang w:eastAsia="zh-CN"/>
              </w:rPr>
            </w:pPr>
            <w:r>
              <w:rPr>
                <w:rFonts w:hint="eastAsia" w:ascii="宋体" w:hAnsi="宋体" w:eastAsia="宋体" w:cs="宋体"/>
                <w:kern w:val="0"/>
                <w:sz w:val="20"/>
                <w:szCs w:val="20"/>
              </w:rPr>
              <w:t>①</w:t>
            </w:r>
            <w:r>
              <w:rPr>
                <w:rFonts w:ascii="Arial Narrow" w:hAnsi="Arial Narrow" w:cs="仿宋_GB2312"/>
                <w:kern w:val="0"/>
                <w:sz w:val="20"/>
                <w:szCs w:val="20"/>
              </w:rPr>
              <w:t>是否有规划；</w:t>
            </w:r>
          </w:p>
          <w:p>
            <w:pPr>
              <w:widowControl/>
              <w:spacing w:line="280" w:lineRule="exact"/>
              <w:ind w:firstLine="0" w:firstLineChars="0"/>
              <w:jc w:val="left"/>
              <w:textAlignment w:val="center"/>
              <w:rPr>
                <w:rFonts w:hint="eastAsia" w:ascii="Arial Narrow" w:hAnsi="Arial Narrow" w:eastAsia="仿宋_GB2312" w:cs="仿宋_GB2312"/>
                <w:kern w:val="0"/>
                <w:sz w:val="20"/>
                <w:szCs w:val="20"/>
                <w:lang w:eastAsia="zh-CN"/>
              </w:rPr>
            </w:pPr>
            <w:r>
              <w:rPr>
                <w:rFonts w:hint="eastAsia" w:ascii="宋体" w:hAnsi="宋体" w:eastAsia="宋体" w:cs="宋体"/>
                <w:kern w:val="0"/>
                <w:sz w:val="20"/>
                <w:szCs w:val="20"/>
              </w:rPr>
              <w:t>②</w:t>
            </w:r>
            <w:r>
              <w:rPr>
                <w:rFonts w:ascii="Arial Narrow" w:hAnsi="Arial Narrow" w:cs="仿宋_GB2312"/>
                <w:kern w:val="0"/>
                <w:sz w:val="20"/>
                <w:szCs w:val="20"/>
              </w:rPr>
              <w:t>是否按管理办法和分配办法分配资金。</w:t>
            </w:r>
          </w:p>
          <w:p>
            <w:pPr>
              <w:widowControl/>
              <w:spacing w:line="280" w:lineRule="exact"/>
              <w:ind w:firstLine="0" w:firstLineChars="0"/>
              <w:jc w:val="left"/>
              <w:textAlignment w:val="center"/>
              <w:rPr>
                <w:rFonts w:hint="eastAsia" w:ascii="Arial Narrow" w:hAnsi="Arial Narrow" w:eastAsia="仿宋_GB2312" w:cs="仿宋_GB2312"/>
                <w:kern w:val="0"/>
                <w:sz w:val="20"/>
                <w:szCs w:val="20"/>
                <w:lang w:eastAsia="zh-CN"/>
              </w:rPr>
            </w:pPr>
            <w:r>
              <w:rPr>
                <w:rFonts w:ascii="Arial Narrow" w:hAnsi="Arial Narrow" w:cs="仿宋_GB2312"/>
                <w:kern w:val="0"/>
                <w:sz w:val="20"/>
                <w:szCs w:val="20"/>
              </w:rPr>
              <w:t>具体项目：</w:t>
            </w:r>
          </w:p>
          <w:p>
            <w:pPr>
              <w:widowControl/>
              <w:spacing w:line="280" w:lineRule="exact"/>
              <w:ind w:firstLine="0" w:firstLineChars="0"/>
              <w:jc w:val="left"/>
              <w:textAlignment w:val="center"/>
              <w:rPr>
                <w:rFonts w:hint="eastAsia" w:ascii="Arial Narrow" w:hAnsi="Arial Narrow" w:eastAsia="仿宋_GB2312" w:cs="仿宋_GB2312"/>
                <w:kern w:val="0"/>
                <w:sz w:val="20"/>
                <w:szCs w:val="20"/>
                <w:lang w:eastAsia="zh-CN"/>
              </w:rPr>
            </w:pPr>
            <w:r>
              <w:rPr>
                <w:rFonts w:hint="eastAsia" w:ascii="宋体" w:hAnsi="宋体" w:eastAsia="宋体" w:cs="宋体"/>
                <w:kern w:val="0"/>
                <w:sz w:val="20"/>
                <w:szCs w:val="20"/>
              </w:rPr>
              <w:t>①</w:t>
            </w:r>
            <w:r>
              <w:rPr>
                <w:rFonts w:ascii="Arial Narrow" w:hAnsi="Arial Narrow" w:cs="仿宋_GB2312"/>
                <w:kern w:val="0"/>
                <w:sz w:val="20"/>
                <w:szCs w:val="20"/>
              </w:rPr>
              <w:t>是否有规划；</w:t>
            </w:r>
          </w:p>
          <w:p>
            <w:pPr>
              <w:widowControl/>
              <w:spacing w:line="280" w:lineRule="exact"/>
              <w:ind w:firstLine="0" w:firstLineChars="0"/>
              <w:jc w:val="left"/>
              <w:textAlignment w:val="center"/>
              <w:rPr>
                <w:rFonts w:hint="eastAsia" w:ascii="Arial Narrow" w:hAnsi="Arial Narrow" w:eastAsia="仿宋_GB2312" w:cs="仿宋_GB2312"/>
                <w:kern w:val="0"/>
                <w:sz w:val="20"/>
                <w:szCs w:val="20"/>
                <w:lang w:eastAsia="zh-CN"/>
              </w:rPr>
            </w:pPr>
            <w:r>
              <w:rPr>
                <w:rFonts w:hint="eastAsia" w:ascii="宋体" w:hAnsi="宋体" w:eastAsia="宋体" w:cs="宋体"/>
                <w:kern w:val="0"/>
                <w:sz w:val="20"/>
                <w:szCs w:val="20"/>
              </w:rPr>
              <w:t>②</w:t>
            </w:r>
            <w:r>
              <w:rPr>
                <w:rFonts w:ascii="Arial Narrow" w:hAnsi="Arial Narrow" w:cs="仿宋_GB2312"/>
                <w:kern w:val="0"/>
                <w:sz w:val="20"/>
                <w:szCs w:val="20"/>
              </w:rPr>
              <w:t>项目是否按照规定的程序申请设立；</w:t>
            </w:r>
          </w:p>
          <w:p>
            <w:pPr>
              <w:widowControl/>
              <w:spacing w:line="280" w:lineRule="exact"/>
              <w:ind w:firstLine="0" w:firstLineChars="0"/>
              <w:jc w:val="left"/>
              <w:textAlignment w:val="center"/>
              <w:rPr>
                <w:rFonts w:hint="eastAsia" w:ascii="Arial Narrow" w:hAnsi="Arial Narrow" w:eastAsia="仿宋_GB2312" w:cs="仿宋_GB2312"/>
                <w:kern w:val="0"/>
                <w:sz w:val="20"/>
                <w:szCs w:val="20"/>
                <w:lang w:eastAsia="zh-CN"/>
              </w:rPr>
            </w:pPr>
            <w:r>
              <w:rPr>
                <w:rFonts w:hint="eastAsia" w:ascii="宋体" w:hAnsi="宋体" w:eastAsia="宋体" w:cs="宋体"/>
                <w:kern w:val="0"/>
                <w:sz w:val="20"/>
                <w:szCs w:val="20"/>
              </w:rPr>
              <w:t>③</w:t>
            </w:r>
            <w:r>
              <w:rPr>
                <w:rFonts w:ascii="Arial Narrow" w:hAnsi="Arial Narrow" w:cs="仿宋_GB2312"/>
                <w:kern w:val="0"/>
                <w:sz w:val="20"/>
                <w:szCs w:val="20"/>
              </w:rPr>
              <w:t>所提交的文件、材料是否符合相关要求；</w:t>
            </w:r>
          </w:p>
          <w:p>
            <w:pPr>
              <w:widowControl/>
              <w:spacing w:line="280" w:lineRule="exact"/>
              <w:ind w:firstLine="0" w:firstLineChars="0"/>
              <w:jc w:val="left"/>
              <w:textAlignment w:val="center"/>
              <w:rPr>
                <w:rFonts w:ascii="Arial Narrow" w:hAnsi="Arial Narrow" w:cs="仿宋_GB2312"/>
                <w:kern w:val="0"/>
                <w:sz w:val="20"/>
                <w:szCs w:val="20"/>
              </w:rPr>
            </w:pPr>
            <w:r>
              <w:rPr>
                <w:rFonts w:hint="eastAsia" w:ascii="宋体" w:hAnsi="宋体" w:eastAsia="宋体" w:cs="宋体"/>
                <w:kern w:val="0"/>
                <w:sz w:val="20"/>
                <w:szCs w:val="20"/>
              </w:rPr>
              <w:t>④</w:t>
            </w:r>
            <w:r>
              <w:rPr>
                <w:rFonts w:ascii="Arial Narrow" w:hAnsi="Arial Narrow" w:cs="仿宋_GB2312"/>
                <w:kern w:val="0"/>
                <w:sz w:val="20"/>
                <w:szCs w:val="20"/>
              </w:rPr>
              <w:t>项目执行时是否发生重大调整。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7" w:hRule="atLeast"/>
        </w:trPr>
        <w:tc>
          <w:tcPr>
            <w:tcW w:w="582" w:type="dxa"/>
            <w:vMerge w:val="continue"/>
            <w:vAlign w:val="center"/>
          </w:tcPr>
          <w:p>
            <w:pPr>
              <w:widowControl/>
              <w:spacing w:line="280" w:lineRule="exact"/>
              <w:ind w:firstLine="0" w:firstLineChars="0"/>
              <w:jc w:val="center"/>
              <w:rPr>
                <w:rFonts w:ascii="Arial Narrow" w:hAnsi="Arial Narrow" w:cs="仿宋_GB2312"/>
                <w:sz w:val="20"/>
                <w:szCs w:val="20"/>
              </w:rPr>
            </w:pPr>
          </w:p>
        </w:tc>
        <w:tc>
          <w:tcPr>
            <w:tcW w:w="851"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绩效目标合理性（4分）</w:t>
            </w:r>
          </w:p>
        </w:tc>
        <w:tc>
          <w:tcPr>
            <w:tcW w:w="226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项目所设定的绩效目标和指标是否依据充分，是否符合客观实际，用以反映和考核项目绩效目标与项目实施的相符情况。</w:t>
            </w:r>
          </w:p>
        </w:tc>
        <w:tc>
          <w:tcPr>
            <w:tcW w:w="5029" w:type="dxa"/>
            <w:vAlign w:val="center"/>
          </w:tcPr>
          <w:p>
            <w:pPr>
              <w:widowControl/>
              <w:spacing w:line="280" w:lineRule="exact"/>
              <w:ind w:firstLine="0" w:firstLineChars="0"/>
              <w:jc w:val="left"/>
              <w:textAlignment w:val="center"/>
              <w:rPr>
                <w:rFonts w:hint="eastAsia" w:ascii="Arial Narrow" w:hAnsi="Arial Narrow" w:eastAsia="仿宋_GB2312" w:cs="仿宋_GB2312"/>
                <w:kern w:val="0"/>
                <w:sz w:val="20"/>
                <w:szCs w:val="20"/>
                <w:lang w:eastAsia="zh-CN"/>
              </w:rPr>
            </w:pPr>
            <w:r>
              <w:rPr>
                <w:rFonts w:ascii="Arial Narrow" w:hAnsi="Arial Narrow" w:cs="仿宋_GB2312"/>
                <w:kern w:val="0"/>
                <w:sz w:val="20"/>
                <w:szCs w:val="20"/>
              </w:rPr>
              <w:t>评价要点：</w:t>
            </w:r>
          </w:p>
          <w:p>
            <w:pPr>
              <w:widowControl/>
              <w:spacing w:line="280" w:lineRule="exact"/>
              <w:ind w:firstLine="0" w:firstLineChars="0"/>
              <w:jc w:val="left"/>
              <w:textAlignment w:val="center"/>
              <w:rPr>
                <w:rFonts w:hint="eastAsia" w:ascii="Arial Narrow" w:hAnsi="Arial Narrow" w:eastAsia="仿宋_GB2312" w:cs="仿宋_GB2312"/>
                <w:kern w:val="0"/>
                <w:sz w:val="20"/>
                <w:szCs w:val="20"/>
                <w:lang w:eastAsia="zh-CN"/>
              </w:rPr>
            </w:pPr>
            <w:r>
              <w:rPr>
                <w:rFonts w:hint="eastAsia" w:ascii="宋体" w:hAnsi="宋体" w:eastAsia="宋体" w:cs="宋体"/>
                <w:kern w:val="0"/>
                <w:sz w:val="20"/>
                <w:szCs w:val="20"/>
              </w:rPr>
              <w:t>①</w:t>
            </w:r>
            <w:r>
              <w:rPr>
                <w:rFonts w:ascii="Arial Narrow" w:hAnsi="Arial Narrow" w:cs="仿宋_GB2312"/>
                <w:kern w:val="0"/>
                <w:sz w:val="20"/>
                <w:szCs w:val="20"/>
              </w:rPr>
              <w:t>是否设定长期目标、年度目标和绩效指标；</w:t>
            </w:r>
          </w:p>
          <w:p>
            <w:pPr>
              <w:widowControl/>
              <w:spacing w:line="280" w:lineRule="exact"/>
              <w:ind w:firstLine="0" w:firstLineChars="0"/>
              <w:jc w:val="left"/>
              <w:textAlignment w:val="center"/>
              <w:rPr>
                <w:rFonts w:hint="eastAsia" w:ascii="Arial Narrow" w:hAnsi="Arial Narrow" w:eastAsia="仿宋_GB2312" w:cs="仿宋_GB2312"/>
                <w:kern w:val="0"/>
                <w:sz w:val="20"/>
                <w:szCs w:val="20"/>
                <w:lang w:eastAsia="zh-CN"/>
              </w:rPr>
            </w:pPr>
            <w:r>
              <w:rPr>
                <w:rFonts w:hint="eastAsia" w:ascii="宋体" w:hAnsi="宋体" w:eastAsia="宋体" w:cs="宋体"/>
                <w:kern w:val="0"/>
                <w:sz w:val="20"/>
                <w:szCs w:val="20"/>
              </w:rPr>
              <w:t>②</w:t>
            </w:r>
            <w:r>
              <w:rPr>
                <w:rFonts w:ascii="Arial Narrow" w:hAnsi="Arial Narrow" w:cs="仿宋_GB2312"/>
                <w:kern w:val="0"/>
                <w:sz w:val="20"/>
                <w:szCs w:val="20"/>
              </w:rPr>
              <w:t>目标和指标的设计是否符合目标管理规范；</w:t>
            </w:r>
          </w:p>
          <w:p>
            <w:pPr>
              <w:widowControl/>
              <w:spacing w:line="280" w:lineRule="exact"/>
              <w:ind w:firstLine="0" w:firstLineChars="0"/>
              <w:jc w:val="left"/>
              <w:textAlignment w:val="center"/>
              <w:rPr>
                <w:rFonts w:hint="eastAsia" w:ascii="Arial Narrow" w:hAnsi="Arial Narrow" w:eastAsia="仿宋_GB2312" w:cs="仿宋_GB2312"/>
                <w:kern w:val="0"/>
                <w:sz w:val="20"/>
                <w:szCs w:val="20"/>
                <w:lang w:eastAsia="zh-CN"/>
              </w:rPr>
            </w:pPr>
            <w:r>
              <w:rPr>
                <w:rFonts w:hint="eastAsia" w:ascii="宋体" w:hAnsi="宋体" w:eastAsia="宋体" w:cs="宋体"/>
                <w:kern w:val="0"/>
                <w:sz w:val="20"/>
                <w:szCs w:val="20"/>
              </w:rPr>
              <w:t>③</w:t>
            </w:r>
            <w:r>
              <w:rPr>
                <w:rFonts w:ascii="Arial Narrow" w:hAnsi="Arial Narrow" w:cs="仿宋_GB2312"/>
                <w:kern w:val="0"/>
                <w:sz w:val="20"/>
                <w:szCs w:val="20"/>
              </w:rPr>
              <w:t>根据绩效目标和完成情况的对比考核目标设立的合理性；</w:t>
            </w:r>
          </w:p>
          <w:p>
            <w:pPr>
              <w:widowControl/>
              <w:spacing w:line="280" w:lineRule="exact"/>
              <w:ind w:firstLine="0" w:firstLineChars="0"/>
              <w:jc w:val="left"/>
              <w:textAlignment w:val="center"/>
              <w:rPr>
                <w:rFonts w:ascii="Arial Narrow" w:hAnsi="Arial Narrow" w:cs="仿宋_GB2312"/>
                <w:kern w:val="0"/>
                <w:sz w:val="20"/>
                <w:szCs w:val="20"/>
              </w:rPr>
            </w:pPr>
            <w:r>
              <w:rPr>
                <w:rFonts w:hint="eastAsia" w:ascii="宋体" w:hAnsi="宋体" w:eastAsia="宋体" w:cs="宋体"/>
                <w:kern w:val="0"/>
                <w:sz w:val="20"/>
                <w:szCs w:val="20"/>
              </w:rPr>
              <w:t>④</w:t>
            </w:r>
            <w:r>
              <w:rPr>
                <w:rFonts w:ascii="Arial Narrow" w:hAnsi="Arial Narrow" w:cs="仿宋_GB2312"/>
                <w:kern w:val="0"/>
                <w:sz w:val="20"/>
                <w:szCs w:val="20"/>
              </w:rPr>
              <w:t>绩效指标是否具有可测性。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7" w:hRule="atLeast"/>
        </w:trPr>
        <w:tc>
          <w:tcPr>
            <w:tcW w:w="582" w:type="dxa"/>
            <w:vMerge w:val="restart"/>
            <w:vAlign w:val="center"/>
          </w:tcPr>
          <w:p>
            <w:pPr>
              <w:widowControl/>
              <w:spacing w:line="280" w:lineRule="exact"/>
              <w:ind w:firstLine="0" w:firstLineChars="0"/>
              <w:jc w:val="center"/>
              <w:textAlignment w:val="center"/>
              <w:rPr>
                <w:rFonts w:hint="eastAsia" w:ascii="Arial Narrow" w:hAnsi="Arial Narrow" w:eastAsia="仿宋_GB2312" w:cs="仿宋_GB2312"/>
                <w:kern w:val="0"/>
                <w:sz w:val="20"/>
                <w:szCs w:val="20"/>
                <w:lang w:eastAsia="zh-CN"/>
              </w:rPr>
            </w:pPr>
            <w:r>
              <w:rPr>
                <w:rFonts w:ascii="Arial Narrow" w:hAnsi="Arial Narrow" w:cs="仿宋_GB2312"/>
                <w:kern w:val="0"/>
                <w:sz w:val="20"/>
                <w:szCs w:val="20"/>
              </w:rPr>
              <w:t>资金</w:t>
            </w:r>
          </w:p>
          <w:p>
            <w:pPr>
              <w:widowControl/>
              <w:spacing w:line="280" w:lineRule="exact"/>
              <w:ind w:firstLine="0" w:firstLineChars="0"/>
              <w:jc w:val="center"/>
              <w:textAlignment w:val="center"/>
              <w:rPr>
                <w:rFonts w:ascii="Arial Narrow" w:hAnsi="Arial Narrow" w:cs="仿宋_GB2312"/>
                <w:sz w:val="20"/>
                <w:szCs w:val="20"/>
              </w:rPr>
            </w:pPr>
            <w:r>
              <w:rPr>
                <w:rFonts w:ascii="Arial Narrow" w:hAnsi="Arial Narrow" w:cs="仿宋_GB2312"/>
                <w:kern w:val="0"/>
                <w:sz w:val="20"/>
                <w:szCs w:val="20"/>
              </w:rPr>
              <w:t>落实</w:t>
            </w:r>
          </w:p>
        </w:tc>
        <w:tc>
          <w:tcPr>
            <w:tcW w:w="851"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资金到位率（4分）</w:t>
            </w:r>
          </w:p>
        </w:tc>
        <w:tc>
          <w:tcPr>
            <w:tcW w:w="226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实际到位资金与计划投入资金的比率，用以反映和考核资金落实情况对项目实施的总体保障程度。</w:t>
            </w:r>
          </w:p>
        </w:tc>
        <w:tc>
          <w:tcPr>
            <w:tcW w:w="5029" w:type="dxa"/>
            <w:vAlign w:val="center"/>
          </w:tcPr>
          <w:p>
            <w:pPr>
              <w:widowControl/>
              <w:spacing w:line="280" w:lineRule="exact"/>
              <w:ind w:firstLine="0" w:firstLineChars="0"/>
              <w:jc w:val="left"/>
              <w:textAlignment w:val="center"/>
              <w:rPr>
                <w:rFonts w:hint="eastAsia" w:ascii="Arial Narrow" w:hAnsi="Arial Narrow" w:eastAsia="仿宋_GB2312" w:cs="仿宋_GB2312"/>
                <w:kern w:val="0"/>
                <w:sz w:val="20"/>
                <w:szCs w:val="20"/>
                <w:lang w:eastAsia="zh-CN"/>
              </w:rPr>
            </w:pPr>
            <w:r>
              <w:rPr>
                <w:rFonts w:ascii="Arial Narrow" w:hAnsi="Arial Narrow" w:cs="仿宋_GB2312"/>
                <w:kern w:val="0"/>
                <w:sz w:val="20"/>
                <w:szCs w:val="20"/>
              </w:rPr>
              <w:t>资金到位率=（实际到位资金/计划投入资金）×100%。</w:t>
            </w:r>
          </w:p>
          <w:p>
            <w:pPr>
              <w:widowControl/>
              <w:spacing w:line="280" w:lineRule="exact"/>
              <w:ind w:firstLine="0" w:firstLineChars="0"/>
              <w:jc w:val="left"/>
              <w:textAlignment w:val="center"/>
              <w:rPr>
                <w:rFonts w:hint="eastAsia" w:ascii="Arial Narrow" w:hAnsi="Arial Narrow" w:eastAsia="仿宋_GB2312" w:cs="仿宋_GB2312"/>
                <w:kern w:val="0"/>
                <w:sz w:val="20"/>
                <w:szCs w:val="20"/>
                <w:lang w:eastAsia="zh-CN"/>
              </w:rPr>
            </w:pPr>
            <w:r>
              <w:rPr>
                <w:rFonts w:ascii="Arial Narrow" w:hAnsi="Arial Narrow" w:cs="仿宋_GB2312"/>
                <w:kern w:val="0"/>
                <w:sz w:val="20"/>
                <w:szCs w:val="20"/>
              </w:rPr>
              <w:t>实际到位资金：一定时期（本年度或项目期）内实际落实到具体项目的资金。</w:t>
            </w:r>
          </w:p>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计划投入资金：一定时期（本年度或项目期）内计划投入到具体项目的资金。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3" w:hRule="atLeast"/>
        </w:trPr>
        <w:tc>
          <w:tcPr>
            <w:tcW w:w="582" w:type="dxa"/>
            <w:vMerge w:val="continue"/>
            <w:vAlign w:val="center"/>
          </w:tcPr>
          <w:p>
            <w:pPr>
              <w:widowControl/>
              <w:spacing w:line="280" w:lineRule="exact"/>
              <w:ind w:firstLine="0" w:firstLineChars="0"/>
              <w:jc w:val="center"/>
              <w:rPr>
                <w:rFonts w:ascii="Arial Narrow" w:hAnsi="Arial Narrow" w:cs="仿宋_GB2312"/>
                <w:sz w:val="20"/>
                <w:szCs w:val="20"/>
              </w:rPr>
            </w:pPr>
          </w:p>
        </w:tc>
        <w:tc>
          <w:tcPr>
            <w:tcW w:w="851"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到位及时率（4分）</w:t>
            </w:r>
          </w:p>
        </w:tc>
        <w:tc>
          <w:tcPr>
            <w:tcW w:w="226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及时到位资金与应到位资金的比率，用以反映和考核项目资金落实的及时性程度。</w:t>
            </w:r>
          </w:p>
        </w:tc>
        <w:tc>
          <w:tcPr>
            <w:tcW w:w="5029" w:type="dxa"/>
            <w:vAlign w:val="center"/>
          </w:tcPr>
          <w:p>
            <w:pPr>
              <w:widowControl/>
              <w:spacing w:line="280" w:lineRule="exact"/>
              <w:ind w:firstLine="0" w:firstLineChars="0"/>
              <w:jc w:val="left"/>
              <w:textAlignment w:val="center"/>
              <w:rPr>
                <w:rFonts w:hint="eastAsia" w:ascii="Arial Narrow" w:hAnsi="Arial Narrow" w:eastAsia="仿宋_GB2312" w:cs="仿宋_GB2312"/>
                <w:kern w:val="0"/>
                <w:sz w:val="20"/>
                <w:szCs w:val="20"/>
                <w:lang w:eastAsia="zh-CN"/>
              </w:rPr>
            </w:pPr>
            <w:r>
              <w:rPr>
                <w:rFonts w:ascii="Arial Narrow" w:hAnsi="Arial Narrow" w:cs="仿宋_GB2312"/>
                <w:kern w:val="0"/>
                <w:sz w:val="20"/>
                <w:szCs w:val="20"/>
              </w:rPr>
              <w:t>到位及时率=（及时到位资金/应到位资金）×100%。</w:t>
            </w:r>
          </w:p>
          <w:p>
            <w:pPr>
              <w:widowControl/>
              <w:spacing w:line="280" w:lineRule="exact"/>
              <w:ind w:firstLine="0" w:firstLineChars="0"/>
              <w:jc w:val="left"/>
              <w:textAlignment w:val="center"/>
              <w:rPr>
                <w:rFonts w:hint="eastAsia" w:ascii="Arial Narrow" w:hAnsi="Arial Narrow" w:eastAsia="仿宋_GB2312" w:cs="仿宋_GB2312"/>
                <w:kern w:val="0"/>
                <w:sz w:val="20"/>
                <w:szCs w:val="20"/>
                <w:lang w:eastAsia="zh-CN"/>
              </w:rPr>
            </w:pPr>
            <w:r>
              <w:rPr>
                <w:rFonts w:ascii="Arial Narrow" w:hAnsi="Arial Narrow" w:cs="仿宋_GB2312"/>
                <w:kern w:val="0"/>
                <w:sz w:val="20"/>
                <w:szCs w:val="20"/>
              </w:rPr>
              <w:t>及时到位资金：截至规定时点实际落实到具体项目的资金。</w:t>
            </w:r>
          </w:p>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应到位资金：按照合同或项目进度要求截至规定时点应落实到具体项目的资金。（注：分预算资金、配套资金、自筹资金评价）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2" w:hRule="atLeast"/>
        </w:trPr>
        <w:tc>
          <w:tcPr>
            <w:tcW w:w="582" w:type="dxa"/>
            <w:vMerge w:val="restart"/>
            <w:vAlign w:val="center"/>
          </w:tcPr>
          <w:p>
            <w:pPr>
              <w:widowControl/>
              <w:spacing w:line="280" w:lineRule="exact"/>
              <w:ind w:firstLine="0" w:firstLineChars="0"/>
              <w:jc w:val="center"/>
              <w:textAlignment w:val="center"/>
              <w:rPr>
                <w:rFonts w:hint="eastAsia" w:ascii="Arial Narrow" w:hAnsi="Arial Narrow" w:eastAsia="仿宋_GB2312" w:cs="仿宋_GB2312"/>
                <w:kern w:val="0"/>
                <w:sz w:val="20"/>
                <w:szCs w:val="20"/>
                <w:lang w:eastAsia="zh-CN"/>
              </w:rPr>
            </w:pPr>
            <w:r>
              <w:rPr>
                <w:rFonts w:ascii="Arial Narrow" w:hAnsi="Arial Narrow" w:cs="仿宋_GB2312"/>
                <w:kern w:val="0"/>
                <w:sz w:val="20"/>
                <w:szCs w:val="20"/>
              </w:rPr>
              <w:t>项目</w:t>
            </w:r>
          </w:p>
          <w:p>
            <w:pPr>
              <w:widowControl/>
              <w:spacing w:line="280" w:lineRule="exact"/>
              <w:ind w:firstLine="0" w:firstLineChars="0"/>
              <w:jc w:val="center"/>
              <w:textAlignment w:val="center"/>
              <w:rPr>
                <w:rFonts w:ascii="Arial Narrow" w:hAnsi="Arial Narrow" w:cs="仿宋_GB2312"/>
                <w:sz w:val="20"/>
                <w:szCs w:val="20"/>
              </w:rPr>
            </w:pPr>
            <w:r>
              <w:rPr>
                <w:rFonts w:ascii="Arial Narrow" w:hAnsi="Arial Narrow" w:cs="仿宋_GB2312"/>
                <w:kern w:val="0"/>
                <w:sz w:val="20"/>
                <w:szCs w:val="20"/>
              </w:rPr>
              <w:t>管理</w:t>
            </w:r>
          </w:p>
        </w:tc>
        <w:tc>
          <w:tcPr>
            <w:tcW w:w="851"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管理制度健全性（4分）</w:t>
            </w:r>
          </w:p>
        </w:tc>
        <w:tc>
          <w:tcPr>
            <w:tcW w:w="226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项目管理制度是否健全，用以反映和考核项目管理制度对项目顺利实施的保障情况。</w:t>
            </w:r>
          </w:p>
        </w:tc>
        <w:tc>
          <w:tcPr>
            <w:tcW w:w="5029" w:type="dxa"/>
            <w:vAlign w:val="center"/>
          </w:tcPr>
          <w:p>
            <w:pPr>
              <w:widowControl/>
              <w:spacing w:line="280" w:lineRule="exact"/>
              <w:ind w:firstLine="0" w:firstLineChars="0"/>
              <w:jc w:val="left"/>
              <w:textAlignment w:val="center"/>
              <w:rPr>
                <w:rFonts w:hint="eastAsia" w:ascii="Arial Narrow" w:hAnsi="Arial Narrow" w:eastAsia="仿宋_GB2312" w:cs="仿宋_GB2312"/>
                <w:kern w:val="0"/>
                <w:sz w:val="20"/>
                <w:szCs w:val="20"/>
                <w:lang w:eastAsia="zh-CN"/>
              </w:rPr>
            </w:pPr>
            <w:r>
              <w:rPr>
                <w:rFonts w:ascii="Arial Narrow" w:hAnsi="Arial Narrow" w:cs="仿宋_GB2312"/>
                <w:kern w:val="0"/>
                <w:sz w:val="20"/>
                <w:szCs w:val="20"/>
              </w:rPr>
              <w:t>评价要点：</w:t>
            </w:r>
          </w:p>
          <w:p>
            <w:pPr>
              <w:widowControl/>
              <w:spacing w:line="280" w:lineRule="exact"/>
              <w:ind w:firstLine="0" w:firstLineChars="0"/>
              <w:jc w:val="left"/>
              <w:textAlignment w:val="center"/>
              <w:rPr>
                <w:rFonts w:hint="eastAsia" w:ascii="Arial Narrow" w:hAnsi="Arial Narrow" w:eastAsia="仿宋_GB2312" w:cs="仿宋_GB2312"/>
                <w:kern w:val="0"/>
                <w:sz w:val="20"/>
                <w:szCs w:val="20"/>
                <w:lang w:eastAsia="zh-CN"/>
              </w:rPr>
            </w:pPr>
            <w:r>
              <w:rPr>
                <w:rFonts w:hint="eastAsia" w:ascii="宋体" w:hAnsi="宋体" w:eastAsia="宋体" w:cs="宋体"/>
                <w:kern w:val="0"/>
                <w:sz w:val="20"/>
                <w:szCs w:val="20"/>
              </w:rPr>
              <w:t>①</w:t>
            </w:r>
            <w:r>
              <w:rPr>
                <w:rFonts w:ascii="Arial Narrow" w:hAnsi="Arial Narrow" w:cs="仿宋_GB2312"/>
                <w:kern w:val="0"/>
                <w:sz w:val="20"/>
                <w:szCs w:val="20"/>
              </w:rPr>
              <w:t>是否制定相应的项目管理制度；</w:t>
            </w:r>
          </w:p>
          <w:p>
            <w:pPr>
              <w:widowControl/>
              <w:spacing w:line="280" w:lineRule="exact"/>
              <w:ind w:firstLine="0" w:firstLineChars="0"/>
              <w:jc w:val="left"/>
              <w:textAlignment w:val="center"/>
              <w:rPr>
                <w:rFonts w:ascii="Arial Narrow" w:hAnsi="Arial Narrow" w:cs="仿宋_GB2312"/>
                <w:kern w:val="0"/>
                <w:sz w:val="20"/>
                <w:szCs w:val="20"/>
              </w:rPr>
            </w:pPr>
            <w:r>
              <w:rPr>
                <w:rFonts w:hint="eastAsia" w:ascii="宋体" w:hAnsi="宋体" w:eastAsia="宋体" w:cs="宋体"/>
                <w:kern w:val="0"/>
                <w:sz w:val="20"/>
                <w:szCs w:val="20"/>
              </w:rPr>
              <w:t>②</w:t>
            </w:r>
            <w:r>
              <w:rPr>
                <w:rFonts w:ascii="Arial Narrow" w:hAnsi="Arial Narrow" w:cs="仿宋_GB2312"/>
                <w:kern w:val="0"/>
                <w:sz w:val="20"/>
                <w:szCs w:val="20"/>
              </w:rPr>
              <w:t>项目管理制度是否合法、合规。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82" w:type="dxa"/>
            <w:vMerge w:val="continue"/>
            <w:vAlign w:val="center"/>
          </w:tcPr>
          <w:p>
            <w:pPr>
              <w:widowControl/>
              <w:spacing w:line="280" w:lineRule="exact"/>
              <w:ind w:firstLine="0" w:firstLineChars="0"/>
              <w:jc w:val="center"/>
              <w:rPr>
                <w:rFonts w:ascii="Arial Narrow" w:hAnsi="Arial Narrow" w:cs="仿宋_GB2312"/>
                <w:sz w:val="20"/>
                <w:szCs w:val="20"/>
              </w:rPr>
            </w:pPr>
          </w:p>
        </w:tc>
        <w:tc>
          <w:tcPr>
            <w:tcW w:w="851"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制度执行有效性（4分）</w:t>
            </w:r>
          </w:p>
        </w:tc>
        <w:tc>
          <w:tcPr>
            <w:tcW w:w="226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项目实施是否符合相关项目管理规定，用以反映和考核项目管理制度的有效执行情况。</w:t>
            </w:r>
          </w:p>
        </w:tc>
        <w:tc>
          <w:tcPr>
            <w:tcW w:w="5029" w:type="dxa"/>
            <w:vAlign w:val="center"/>
          </w:tcPr>
          <w:p>
            <w:pPr>
              <w:widowControl/>
              <w:spacing w:line="280" w:lineRule="exact"/>
              <w:ind w:firstLine="0" w:firstLineChars="0"/>
              <w:jc w:val="left"/>
              <w:textAlignment w:val="center"/>
              <w:rPr>
                <w:rFonts w:hint="eastAsia" w:ascii="Arial Narrow" w:hAnsi="Arial Narrow" w:eastAsia="仿宋_GB2312" w:cs="仿宋_GB2312"/>
                <w:kern w:val="0"/>
                <w:sz w:val="20"/>
                <w:szCs w:val="20"/>
                <w:lang w:eastAsia="zh-CN"/>
              </w:rPr>
            </w:pPr>
            <w:r>
              <w:rPr>
                <w:rFonts w:ascii="Arial Narrow" w:hAnsi="Arial Narrow" w:cs="仿宋_GB2312"/>
                <w:kern w:val="0"/>
                <w:sz w:val="20"/>
                <w:szCs w:val="20"/>
              </w:rPr>
              <w:t>评价要点：</w:t>
            </w:r>
          </w:p>
          <w:p>
            <w:pPr>
              <w:widowControl/>
              <w:spacing w:line="280" w:lineRule="exact"/>
              <w:ind w:firstLine="0" w:firstLineChars="0"/>
              <w:jc w:val="left"/>
              <w:textAlignment w:val="center"/>
              <w:rPr>
                <w:rFonts w:hint="eastAsia" w:ascii="Arial Narrow" w:hAnsi="Arial Narrow" w:eastAsia="仿宋_GB2312" w:cs="仿宋_GB2312"/>
                <w:kern w:val="0"/>
                <w:sz w:val="20"/>
                <w:szCs w:val="20"/>
                <w:lang w:eastAsia="zh-CN"/>
              </w:rPr>
            </w:pPr>
            <w:r>
              <w:rPr>
                <w:rFonts w:hint="eastAsia" w:ascii="宋体" w:hAnsi="宋体" w:eastAsia="宋体" w:cs="宋体"/>
                <w:kern w:val="0"/>
                <w:sz w:val="20"/>
                <w:szCs w:val="20"/>
              </w:rPr>
              <w:t>①</w:t>
            </w:r>
            <w:r>
              <w:rPr>
                <w:rFonts w:ascii="Arial Narrow" w:hAnsi="Arial Narrow" w:cs="仿宋_GB2312"/>
                <w:kern w:val="0"/>
                <w:sz w:val="20"/>
                <w:szCs w:val="20"/>
              </w:rPr>
              <w:t>是否遵守《中华人民共和国节约能源法》规定；</w:t>
            </w:r>
          </w:p>
          <w:p>
            <w:pPr>
              <w:widowControl/>
              <w:spacing w:line="280" w:lineRule="exact"/>
              <w:ind w:firstLine="0" w:firstLineChars="0"/>
              <w:jc w:val="left"/>
              <w:textAlignment w:val="center"/>
              <w:rPr>
                <w:rFonts w:ascii="Arial Narrow" w:hAnsi="Arial Narrow" w:cs="仿宋_GB2312"/>
                <w:kern w:val="0"/>
                <w:sz w:val="20"/>
                <w:szCs w:val="20"/>
              </w:rPr>
            </w:pPr>
            <w:r>
              <w:rPr>
                <w:rFonts w:hint="eastAsia" w:ascii="宋体" w:hAnsi="宋体" w:eastAsia="宋体" w:cs="宋体"/>
                <w:kern w:val="0"/>
                <w:sz w:val="20"/>
                <w:szCs w:val="20"/>
              </w:rPr>
              <w:t>②</w:t>
            </w:r>
            <w:r>
              <w:rPr>
                <w:rFonts w:ascii="Arial Narrow" w:hAnsi="Arial Narrow" w:cs="仿宋_GB2312"/>
                <w:kern w:val="0"/>
                <w:sz w:val="20"/>
                <w:szCs w:val="20"/>
              </w:rPr>
              <w:t>是否严格执行项目管理程序及制定相应的项目管理制度，如工作制度、考核检查制度等。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0" w:hRule="atLeast"/>
        </w:trPr>
        <w:tc>
          <w:tcPr>
            <w:tcW w:w="582" w:type="dxa"/>
            <w:vMerge w:val="continue"/>
            <w:vAlign w:val="center"/>
          </w:tcPr>
          <w:p>
            <w:pPr>
              <w:widowControl/>
              <w:spacing w:line="280" w:lineRule="exact"/>
              <w:ind w:firstLine="0" w:firstLineChars="0"/>
              <w:jc w:val="center"/>
              <w:rPr>
                <w:rFonts w:ascii="Arial Narrow" w:hAnsi="Arial Narrow" w:cs="仿宋_GB2312"/>
                <w:sz w:val="20"/>
                <w:szCs w:val="20"/>
              </w:rPr>
            </w:pPr>
          </w:p>
        </w:tc>
        <w:tc>
          <w:tcPr>
            <w:tcW w:w="851"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项目质量可控性（4分）</w:t>
            </w:r>
          </w:p>
        </w:tc>
        <w:tc>
          <w:tcPr>
            <w:tcW w:w="226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项目实施单位是否为达到项目质量要求而采取了必需的措施,用以反映和考核项目实施单位对项目质量的控制情况。</w:t>
            </w:r>
          </w:p>
        </w:tc>
        <w:tc>
          <w:tcPr>
            <w:tcW w:w="5029" w:type="dxa"/>
            <w:vAlign w:val="center"/>
          </w:tcPr>
          <w:p>
            <w:pPr>
              <w:widowControl/>
              <w:spacing w:line="280" w:lineRule="exact"/>
              <w:ind w:firstLine="0" w:firstLineChars="0"/>
              <w:jc w:val="left"/>
              <w:textAlignment w:val="center"/>
              <w:rPr>
                <w:rFonts w:hint="eastAsia" w:ascii="Arial Narrow" w:hAnsi="Arial Narrow" w:eastAsia="仿宋_GB2312" w:cs="仿宋_GB2312"/>
                <w:kern w:val="0"/>
                <w:sz w:val="20"/>
                <w:szCs w:val="20"/>
                <w:lang w:eastAsia="zh-CN"/>
              </w:rPr>
            </w:pPr>
            <w:r>
              <w:rPr>
                <w:rFonts w:ascii="Arial Narrow" w:hAnsi="Arial Narrow" w:cs="仿宋_GB2312"/>
                <w:kern w:val="0"/>
                <w:sz w:val="20"/>
                <w:szCs w:val="20"/>
              </w:rPr>
              <w:t>评价要点：</w:t>
            </w:r>
          </w:p>
          <w:p>
            <w:pPr>
              <w:widowControl/>
              <w:spacing w:line="280" w:lineRule="exact"/>
              <w:ind w:firstLine="0" w:firstLineChars="0"/>
              <w:jc w:val="left"/>
              <w:textAlignment w:val="center"/>
              <w:rPr>
                <w:rFonts w:hint="eastAsia" w:ascii="Arial Narrow" w:hAnsi="Arial Narrow" w:eastAsia="仿宋_GB2312" w:cs="仿宋_GB2312"/>
                <w:kern w:val="0"/>
                <w:sz w:val="20"/>
                <w:szCs w:val="20"/>
                <w:lang w:eastAsia="zh-CN"/>
              </w:rPr>
            </w:pPr>
            <w:r>
              <w:rPr>
                <w:rFonts w:hint="eastAsia" w:ascii="宋体" w:hAnsi="宋体" w:eastAsia="宋体" w:cs="宋体"/>
                <w:kern w:val="0"/>
                <w:sz w:val="20"/>
                <w:szCs w:val="20"/>
              </w:rPr>
              <w:t>①</w:t>
            </w:r>
            <w:r>
              <w:rPr>
                <w:rFonts w:ascii="Arial Narrow" w:hAnsi="Arial Narrow" w:cs="仿宋_GB2312"/>
                <w:kern w:val="0"/>
                <w:sz w:val="20"/>
                <w:szCs w:val="20"/>
              </w:rPr>
              <w:t>制定或具有相应的项目质量要求或</w:t>
            </w:r>
            <w:r>
              <w:rPr>
                <w:rFonts w:hint="eastAsia" w:ascii="Arial Narrow" w:hAnsi="Arial Narrow" w:cs="仿宋_GB2312"/>
                <w:kern w:val="0"/>
                <w:sz w:val="20"/>
                <w:szCs w:val="20"/>
                <w:lang w:val="en-US" w:eastAsia="zh-CN"/>
              </w:rPr>
              <w:t>者</w:t>
            </w:r>
            <w:r>
              <w:rPr>
                <w:rFonts w:ascii="Arial Narrow" w:hAnsi="Arial Narrow" w:cs="仿宋_GB2312"/>
                <w:kern w:val="0"/>
                <w:sz w:val="20"/>
                <w:szCs w:val="20"/>
              </w:rPr>
              <w:t>考核办法；</w:t>
            </w:r>
          </w:p>
          <w:p>
            <w:pPr>
              <w:widowControl/>
              <w:spacing w:line="280" w:lineRule="exact"/>
              <w:ind w:firstLine="0" w:firstLineChars="0"/>
              <w:jc w:val="left"/>
              <w:textAlignment w:val="center"/>
              <w:rPr>
                <w:rFonts w:hint="eastAsia" w:ascii="Arial Narrow" w:hAnsi="Arial Narrow" w:eastAsia="仿宋_GB2312" w:cs="仿宋_GB2312"/>
                <w:kern w:val="0"/>
                <w:sz w:val="20"/>
                <w:szCs w:val="20"/>
                <w:lang w:eastAsia="zh-CN"/>
              </w:rPr>
            </w:pPr>
            <w:r>
              <w:rPr>
                <w:rFonts w:hint="eastAsia" w:ascii="宋体" w:hAnsi="宋体" w:eastAsia="宋体" w:cs="宋体"/>
                <w:kern w:val="0"/>
                <w:sz w:val="20"/>
                <w:szCs w:val="20"/>
              </w:rPr>
              <w:t>②</w:t>
            </w:r>
            <w:r>
              <w:rPr>
                <w:rFonts w:ascii="Arial Narrow" w:hAnsi="Arial Narrow" w:cs="仿宋_GB2312"/>
                <w:kern w:val="0"/>
                <w:sz w:val="20"/>
                <w:szCs w:val="20"/>
              </w:rPr>
              <w:t>采取了相应的项目质量检查、验收等必需的控制措施或手段；</w:t>
            </w:r>
          </w:p>
          <w:p>
            <w:pPr>
              <w:widowControl/>
              <w:spacing w:line="280" w:lineRule="exact"/>
              <w:ind w:firstLine="0" w:firstLineChars="0"/>
              <w:jc w:val="left"/>
              <w:textAlignment w:val="center"/>
              <w:rPr>
                <w:rFonts w:ascii="Arial Narrow" w:hAnsi="Arial Narrow" w:cs="仿宋_GB2312"/>
                <w:kern w:val="0"/>
                <w:sz w:val="20"/>
                <w:szCs w:val="20"/>
              </w:rPr>
            </w:pPr>
            <w:r>
              <w:rPr>
                <w:rFonts w:hint="eastAsia" w:ascii="宋体" w:hAnsi="宋体" w:eastAsia="宋体" w:cs="宋体"/>
                <w:kern w:val="0"/>
                <w:sz w:val="20"/>
                <w:szCs w:val="20"/>
              </w:rPr>
              <w:t>③</w:t>
            </w:r>
            <w:r>
              <w:rPr>
                <w:rFonts w:ascii="Arial Narrow" w:hAnsi="Arial Narrow" w:cs="仿宋_GB2312"/>
                <w:kern w:val="0"/>
                <w:sz w:val="20"/>
                <w:szCs w:val="20"/>
              </w:rPr>
              <w:t>项目档案资料完整。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4" w:hRule="atLeast"/>
        </w:trPr>
        <w:tc>
          <w:tcPr>
            <w:tcW w:w="582" w:type="dxa"/>
            <w:vMerge w:val="restart"/>
            <w:vAlign w:val="center"/>
          </w:tcPr>
          <w:p>
            <w:pPr>
              <w:widowControl/>
              <w:spacing w:line="280" w:lineRule="exact"/>
              <w:ind w:firstLine="0" w:firstLineChars="0"/>
              <w:jc w:val="center"/>
              <w:textAlignment w:val="center"/>
              <w:rPr>
                <w:rFonts w:ascii="Arial Narrow" w:hAnsi="Arial Narrow" w:cs="仿宋_GB2312"/>
                <w:kern w:val="0"/>
                <w:sz w:val="20"/>
                <w:szCs w:val="20"/>
              </w:rPr>
            </w:pPr>
          </w:p>
          <w:p>
            <w:pPr>
              <w:widowControl/>
              <w:spacing w:line="280" w:lineRule="exact"/>
              <w:ind w:firstLine="0" w:firstLineChars="0"/>
              <w:textAlignment w:val="center"/>
              <w:rPr>
                <w:rFonts w:ascii="Arial Narrow" w:hAnsi="Arial Narrow" w:cs="仿宋_GB2312"/>
                <w:kern w:val="0"/>
                <w:sz w:val="20"/>
                <w:szCs w:val="20"/>
              </w:rPr>
            </w:pPr>
          </w:p>
          <w:p>
            <w:pPr>
              <w:widowControl/>
              <w:spacing w:line="280" w:lineRule="exact"/>
              <w:ind w:firstLine="0" w:firstLineChars="0"/>
              <w:jc w:val="center"/>
              <w:textAlignment w:val="center"/>
              <w:rPr>
                <w:rFonts w:hint="eastAsia" w:ascii="Arial Narrow" w:hAnsi="Arial Narrow" w:eastAsia="仿宋_GB2312" w:cs="仿宋_GB2312"/>
                <w:kern w:val="0"/>
                <w:sz w:val="20"/>
                <w:szCs w:val="20"/>
                <w:lang w:eastAsia="zh-CN"/>
              </w:rPr>
            </w:pPr>
            <w:r>
              <w:rPr>
                <w:rFonts w:ascii="Arial Narrow" w:hAnsi="Arial Narrow" w:cs="仿宋_GB2312"/>
                <w:kern w:val="0"/>
                <w:sz w:val="20"/>
                <w:szCs w:val="20"/>
              </w:rPr>
              <w:t>财务</w:t>
            </w:r>
          </w:p>
          <w:p>
            <w:pPr>
              <w:widowControl/>
              <w:spacing w:line="280" w:lineRule="exact"/>
              <w:ind w:firstLine="0" w:firstLineChars="0"/>
              <w:jc w:val="center"/>
              <w:textAlignment w:val="center"/>
              <w:rPr>
                <w:rFonts w:ascii="Arial Narrow" w:hAnsi="Arial Narrow" w:cs="仿宋_GB2312"/>
                <w:sz w:val="20"/>
                <w:szCs w:val="20"/>
              </w:rPr>
            </w:pPr>
            <w:r>
              <w:rPr>
                <w:rFonts w:ascii="Arial Narrow" w:hAnsi="Arial Narrow" w:cs="仿宋_GB2312"/>
                <w:kern w:val="0"/>
                <w:sz w:val="20"/>
                <w:szCs w:val="20"/>
              </w:rPr>
              <w:t>管理</w:t>
            </w:r>
          </w:p>
        </w:tc>
        <w:tc>
          <w:tcPr>
            <w:tcW w:w="851"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财务制度健全性（4分）</w:t>
            </w:r>
          </w:p>
        </w:tc>
        <w:tc>
          <w:tcPr>
            <w:tcW w:w="226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项目实施单位的财务制度是否健全，用以反映和考核财务管理制度对资金规范、安全运行的保障情况。</w:t>
            </w:r>
          </w:p>
        </w:tc>
        <w:tc>
          <w:tcPr>
            <w:tcW w:w="5029" w:type="dxa"/>
            <w:vAlign w:val="center"/>
          </w:tcPr>
          <w:p>
            <w:pPr>
              <w:widowControl/>
              <w:spacing w:line="280" w:lineRule="exact"/>
              <w:ind w:firstLine="0" w:firstLineChars="0"/>
              <w:jc w:val="left"/>
              <w:textAlignment w:val="center"/>
              <w:rPr>
                <w:rFonts w:hint="eastAsia" w:ascii="Arial Narrow" w:hAnsi="Arial Narrow" w:eastAsia="仿宋_GB2312" w:cs="仿宋_GB2312"/>
                <w:kern w:val="0"/>
                <w:sz w:val="20"/>
                <w:szCs w:val="20"/>
                <w:lang w:eastAsia="zh-CN"/>
              </w:rPr>
            </w:pPr>
            <w:r>
              <w:rPr>
                <w:rFonts w:ascii="Arial Narrow" w:hAnsi="Arial Narrow" w:cs="仿宋_GB2312"/>
                <w:kern w:val="0"/>
                <w:sz w:val="20"/>
                <w:szCs w:val="20"/>
              </w:rPr>
              <w:t>评价要点：</w:t>
            </w:r>
          </w:p>
          <w:p>
            <w:pPr>
              <w:widowControl/>
              <w:spacing w:line="280" w:lineRule="exact"/>
              <w:ind w:firstLine="0" w:firstLineChars="0"/>
              <w:jc w:val="left"/>
              <w:textAlignment w:val="center"/>
              <w:rPr>
                <w:rFonts w:hint="eastAsia" w:ascii="Arial Narrow" w:hAnsi="Arial Narrow" w:eastAsia="仿宋_GB2312" w:cs="仿宋_GB2312"/>
                <w:kern w:val="0"/>
                <w:sz w:val="20"/>
                <w:szCs w:val="20"/>
                <w:lang w:eastAsia="zh-CN"/>
              </w:rPr>
            </w:pPr>
            <w:r>
              <w:rPr>
                <w:rFonts w:hint="eastAsia" w:ascii="宋体" w:hAnsi="宋体" w:eastAsia="宋体" w:cs="宋体"/>
                <w:kern w:val="0"/>
                <w:sz w:val="20"/>
                <w:szCs w:val="20"/>
              </w:rPr>
              <w:t>①</w:t>
            </w:r>
            <w:r>
              <w:rPr>
                <w:rFonts w:ascii="Arial Narrow" w:hAnsi="Arial Narrow" w:cs="仿宋_GB2312"/>
                <w:kern w:val="0"/>
                <w:sz w:val="20"/>
                <w:szCs w:val="20"/>
              </w:rPr>
              <w:t>是否已制定或具有相应的财务管理制度；</w:t>
            </w:r>
          </w:p>
          <w:p>
            <w:pPr>
              <w:widowControl/>
              <w:spacing w:line="280" w:lineRule="exact"/>
              <w:ind w:firstLine="0" w:firstLineChars="0"/>
              <w:jc w:val="left"/>
              <w:textAlignment w:val="center"/>
              <w:rPr>
                <w:rFonts w:ascii="Arial Narrow" w:hAnsi="Arial Narrow" w:cs="仿宋_GB2312"/>
                <w:kern w:val="0"/>
                <w:sz w:val="20"/>
                <w:szCs w:val="20"/>
              </w:rPr>
            </w:pPr>
            <w:r>
              <w:rPr>
                <w:rFonts w:hint="eastAsia" w:ascii="宋体" w:hAnsi="宋体" w:eastAsia="宋体" w:cs="宋体"/>
                <w:kern w:val="0"/>
                <w:sz w:val="20"/>
                <w:szCs w:val="20"/>
              </w:rPr>
              <w:t>②</w:t>
            </w:r>
            <w:r>
              <w:rPr>
                <w:rFonts w:ascii="Arial Narrow" w:hAnsi="Arial Narrow" w:cs="仿宋_GB2312"/>
                <w:kern w:val="0"/>
                <w:sz w:val="20"/>
                <w:szCs w:val="20"/>
              </w:rPr>
              <w:t>项目资金管理办法是否符合相关财务会计制度的规定。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2" w:hRule="atLeast"/>
        </w:trPr>
        <w:tc>
          <w:tcPr>
            <w:tcW w:w="582" w:type="dxa"/>
            <w:vMerge w:val="continue"/>
            <w:vAlign w:val="center"/>
          </w:tcPr>
          <w:p>
            <w:pPr>
              <w:widowControl/>
              <w:spacing w:line="280" w:lineRule="exact"/>
              <w:ind w:firstLine="0" w:firstLineChars="0"/>
              <w:jc w:val="center"/>
              <w:rPr>
                <w:rFonts w:ascii="Arial Narrow" w:hAnsi="Arial Narrow" w:cs="仿宋_GB2312"/>
                <w:sz w:val="20"/>
                <w:szCs w:val="20"/>
              </w:rPr>
            </w:pPr>
          </w:p>
        </w:tc>
        <w:tc>
          <w:tcPr>
            <w:tcW w:w="851"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资金使用合规性（4分）</w:t>
            </w:r>
          </w:p>
        </w:tc>
        <w:tc>
          <w:tcPr>
            <w:tcW w:w="226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项目资金使用是否符合相关的财务管理制度规定，用以反映和考核项目资金的规范运行情况。</w:t>
            </w:r>
          </w:p>
        </w:tc>
        <w:tc>
          <w:tcPr>
            <w:tcW w:w="5029" w:type="dxa"/>
            <w:vAlign w:val="center"/>
          </w:tcPr>
          <w:p>
            <w:pPr>
              <w:widowControl/>
              <w:spacing w:line="280" w:lineRule="exact"/>
              <w:ind w:firstLine="0" w:firstLineChars="0"/>
              <w:jc w:val="left"/>
              <w:textAlignment w:val="center"/>
              <w:rPr>
                <w:rFonts w:hint="eastAsia" w:ascii="Arial Narrow" w:hAnsi="Arial Narrow" w:eastAsia="仿宋_GB2312" w:cs="仿宋_GB2312"/>
                <w:kern w:val="0"/>
                <w:sz w:val="20"/>
                <w:szCs w:val="20"/>
                <w:lang w:eastAsia="zh-CN"/>
              </w:rPr>
            </w:pPr>
            <w:r>
              <w:rPr>
                <w:rFonts w:ascii="Arial Narrow" w:hAnsi="Arial Narrow" w:cs="仿宋_GB2312"/>
                <w:kern w:val="0"/>
                <w:sz w:val="20"/>
                <w:szCs w:val="20"/>
              </w:rPr>
              <w:t>评价要点：</w:t>
            </w:r>
          </w:p>
          <w:p>
            <w:pPr>
              <w:widowControl/>
              <w:spacing w:line="280" w:lineRule="exact"/>
              <w:ind w:firstLine="0" w:firstLineChars="0"/>
              <w:jc w:val="left"/>
              <w:textAlignment w:val="center"/>
              <w:rPr>
                <w:rFonts w:hint="eastAsia" w:ascii="Arial Narrow" w:hAnsi="Arial Narrow" w:eastAsia="仿宋_GB2312" w:cs="仿宋_GB2312"/>
                <w:kern w:val="0"/>
                <w:sz w:val="20"/>
                <w:szCs w:val="20"/>
                <w:lang w:eastAsia="zh-CN"/>
              </w:rPr>
            </w:pPr>
            <w:r>
              <w:rPr>
                <w:rFonts w:hint="eastAsia" w:ascii="宋体" w:hAnsi="宋体" w:eastAsia="宋体" w:cs="宋体"/>
                <w:kern w:val="0"/>
                <w:sz w:val="20"/>
                <w:szCs w:val="20"/>
              </w:rPr>
              <w:t>①</w:t>
            </w:r>
            <w:r>
              <w:rPr>
                <w:rFonts w:ascii="Arial Narrow" w:hAnsi="Arial Narrow" w:cs="仿宋_GB2312"/>
                <w:kern w:val="0"/>
                <w:sz w:val="20"/>
                <w:szCs w:val="20"/>
              </w:rPr>
              <w:t>是否符合国家财经法规和财务管理制度以及有关专项资金管理办法的规定；</w:t>
            </w:r>
          </w:p>
          <w:p>
            <w:pPr>
              <w:widowControl/>
              <w:spacing w:line="280" w:lineRule="exact"/>
              <w:ind w:firstLine="0" w:firstLineChars="0"/>
              <w:jc w:val="left"/>
              <w:textAlignment w:val="center"/>
              <w:rPr>
                <w:rFonts w:ascii="Arial Narrow" w:hAnsi="Arial Narrow" w:cs="仿宋_GB2312"/>
                <w:kern w:val="0"/>
                <w:sz w:val="20"/>
                <w:szCs w:val="20"/>
              </w:rPr>
            </w:pPr>
            <w:r>
              <w:rPr>
                <w:rFonts w:hint="eastAsia" w:ascii="宋体" w:hAnsi="宋体" w:eastAsia="宋体" w:cs="宋体"/>
                <w:kern w:val="0"/>
                <w:sz w:val="20"/>
                <w:szCs w:val="20"/>
              </w:rPr>
              <w:t>②</w:t>
            </w:r>
            <w:r>
              <w:rPr>
                <w:rFonts w:ascii="Arial Narrow" w:hAnsi="Arial Narrow" w:cs="仿宋_GB2312"/>
                <w:kern w:val="0"/>
                <w:sz w:val="20"/>
                <w:szCs w:val="20"/>
              </w:rPr>
              <w:t>是否存在截留、挤占、挪用、虚列支出等情况。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8" w:hRule="atLeast"/>
        </w:trPr>
        <w:tc>
          <w:tcPr>
            <w:tcW w:w="582" w:type="dxa"/>
            <w:vMerge w:val="continue"/>
            <w:vAlign w:val="center"/>
          </w:tcPr>
          <w:p>
            <w:pPr>
              <w:widowControl/>
              <w:spacing w:line="280" w:lineRule="exact"/>
              <w:ind w:firstLine="0" w:firstLineChars="0"/>
              <w:jc w:val="center"/>
              <w:rPr>
                <w:rFonts w:ascii="Arial Narrow" w:hAnsi="Arial Narrow" w:cs="仿宋_GB2312"/>
                <w:sz w:val="20"/>
                <w:szCs w:val="20"/>
              </w:rPr>
            </w:pPr>
          </w:p>
        </w:tc>
        <w:tc>
          <w:tcPr>
            <w:tcW w:w="851"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财务监控有效性（4分）</w:t>
            </w:r>
          </w:p>
        </w:tc>
        <w:tc>
          <w:tcPr>
            <w:tcW w:w="226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项目实施单位是否为保障资金的安全、规范运行而采取了必要的监控措施，用以反映和考核项目实施单位对资金运行的控制情况。</w:t>
            </w:r>
          </w:p>
        </w:tc>
        <w:tc>
          <w:tcPr>
            <w:tcW w:w="5029" w:type="dxa"/>
            <w:vAlign w:val="center"/>
          </w:tcPr>
          <w:p>
            <w:pPr>
              <w:widowControl/>
              <w:spacing w:line="280" w:lineRule="exact"/>
              <w:ind w:firstLine="0" w:firstLineChars="0"/>
              <w:jc w:val="left"/>
              <w:textAlignment w:val="center"/>
              <w:rPr>
                <w:rFonts w:hint="eastAsia" w:ascii="Arial Narrow" w:hAnsi="Arial Narrow" w:eastAsia="仿宋_GB2312" w:cs="仿宋_GB2312"/>
                <w:kern w:val="0"/>
                <w:sz w:val="20"/>
                <w:szCs w:val="20"/>
                <w:lang w:eastAsia="zh-CN"/>
              </w:rPr>
            </w:pPr>
            <w:r>
              <w:rPr>
                <w:rFonts w:ascii="Arial Narrow" w:hAnsi="Arial Narrow" w:cs="仿宋_GB2312"/>
                <w:kern w:val="0"/>
                <w:sz w:val="20"/>
                <w:szCs w:val="20"/>
              </w:rPr>
              <w:t>评价要点：</w:t>
            </w:r>
          </w:p>
          <w:p>
            <w:pPr>
              <w:widowControl/>
              <w:spacing w:line="280" w:lineRule="exact"/>
              <w:ind w:firstLine="0" w:firstLineChars="0"/>
              <w:jc w:val="left"/>
              <w:textAlignment w:val="center"/>
              <w:rPr>
                <w:rFonts w:hint="eastAsia" w:ascii="Arial Narrow" w:hAnsi="Arial Narrow" w:eastAsia="仿宋_GB2312" w:cs="仿宋_GB2312"/>
                <w:kern w:val="0"/>
                <w:sz w:val="20"/>
                <w:szCs w:val="20"/>
                <w:lang w:eastAsia="zh-CN"/>
              </w:rPr>
            </w:pPr>
            <w:r>
              <w:rPr>
                <w:rFonts w:hint="eastAsia" w:ascii="宋体" w:hAnsi="宋体" w:eastAsia="宋体" w:cs="宋体"/>
                <w:kern w:val="0"/>
                <w:sz w:val="20"/>
                <w:szCs w:val="20"/>
              </w:rPr>
              <w:t>①</w:t>
            </w:r>
            <w:r>
              <w:rPr>
                <w:rFonts w:ascii="Arial Narrow" w:hAnsi="Arial Narrow" w:cs="仿宋_GB2312"/>
                <w:kern w:val="0"/>
                <w:sz w:val="20"/>
                <w:szCs w:val="20"/>
              </w:rPr>
              <w:t>项目的重大开支是否经过集体决策和评估认证；</w:t>
            </w:r>
          </w:p>
          <w:p>
            <w:pPr>
              <w:widowControl/>
              <w:spacing w:line="280" w:lineRule="exact"/>
              <w:ind w:firstLine="0" w:firstLineChars="0"/>
              <w:jc w:val="left"/>
              <w:textAlignment w:val="center"/>
              <w:rPr>
                <w:rFonts w:ascii="Arial Narrow" w:hAnsi="Arial Narrow" w:cs="仿宋_GB2312"/>
                <w:kern w:val="0"/>
                <w:sz w:val="20"/>
                <w:szCs w:val="20"/>
              </w:rPr>
            </w:pPr>
            <w:r>
              <w:rPr>
                <w:rFonts w:hint="eastAsia" w:ascii="宋体" w:hAnsi="宋体" w:eastAsia="宋体" w:cs="宋体"/>
                <w:kern w:val="0"/>
                <w:sz w:val="20"/>
                <w:szCs w:val="20"/>
              </w:rPr>
              <w:t>②</w:t>
            </w:r>
            <w:r>
              <w:rPr>
                <w:rFonts w:ascii="Arial Narrow" w:hAnsi="Arial Narrow" w:cs="仿宋_GB2312"/>
                <w:kern w:val="0"/>
                <w:sz w:val="20"/>
                <w:szCs w:val="20"/>
              </w:rPr>
              <w:t>资金的拨付是否有完整的审批程序和手续。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3" w:hRule="atLeast"/>
        </w:trPr>
        <w:tc>
          <w:tcPr>
            <w:tcW w:w="582" w:type="dxa"/>
            <w:vMerge w:val="restart"/>
            <w:vAlign w:val="center"/>
          </w:tcPr>
          <w:p>
            <w:pPr>
              <w:widowControl/>
              <w:spacing w:line="280" w:lineRule="exact"/>
              <w:ind w:firstLine="0" w:firstLineChars="0"/>
              <w:jc w:val="center"/>
              <w:textAlignment w:val="center"/>
              <w:rPr>
                <w:rFonts w:ascii="Arial Narrow" w:hAnsi="Arial Narrow" w:cs="仿宋_GB2312"/>
                <w:kern w:val="0"/>
                <w:sz w:val="20"/>
                <w:szCs w:val="20"/>
              </w:rPr>
            </w:pPr>
          </w:p>
          <w:p>
            <w:pPr>
              <w:widowControl/>
              <w:spacing w:line="280" w:lineRule="exact"/>
              <w:ind w:firstLine="0" w:firstLineChars="0"/>
              <w:jc w:val="center"/>
              <w:textAlignment w:val="center"/>
              <w:rPr>
                <w:rFonts w:ascii="Arial Narrow" w:hAnsi="Arial Narrow" w:cs="仿宋_GB2312"/>
                <w:kern w:val="0"/>
                <w:sz w:val="20"/>
                <w:szCs w:val="20"/>
              </w:rPr>
            </w:pPr>
          </w:p>
          <w:p>
            <w:pPr>
              <w:widowControl/>
              <w:spacing w:line="280" w:lineRule="exact"/>
              <w:ind w:firstLine="0" w:firstLineChars="0"/>
              <w:jc w:val="center"/>
              <w:textAlignment w:val="center"/>
              <w:rPr>
                <w:rFonts w:ascii="Arial Narrow" w:hAnsi="Arial Narrow" w:cs="仿宋_GB2312"/>
                <w:kern w:val="0"/>
                <w:sz w:val="20"/>
                <w:szCs w:val="20"/>
              </w:rPr>
            </w:pPr>
          </w:p>
          <w:p>
            <w:pPr>
              <w:widowControl/>
              <w:spacing w:line="280" w:lineRule="exact"/>
              <w:ind w:firstLine="0" w:firstLineChars="0"/>
              <w:jc w:val="center"/>
              <w:textAlignment w:val="center"/>
              <w:rPr>
                <w:rFonts w:ascii="Arial Narrow" w:hAnsi="Arial Narrow" w:cs="仿宋_GB2312"/>
                <w:kern w:val="0"/>
                <w:sz w:val="20"/>
                <w:szCs w:val="20"/>
              </w:rPr>
            </w:pPr>
          </w:p>
          <w:p>
            <w:pPr>
              <w:widowControl/>
              <w:spacing w:line="280" w:lineRule="exact"/>
              <w:ind w:firstLine="0" w:firstLineChars="0"/>
              <w:jc w:val="center"/>
              <w:textAlignment w:val="center"/>
              <w:rPr>
                <w:rFonts w:ascii="Arial Narrow" w:hAnsi="Arial Narrow" w:cs="仿宋_GB2312"/>
                <w:kern w:val="0"/>
                <w:sz w:val="20"/>
                <w:szCs w:val="20"/>
              </w:rPr>
            </w:pPr>
          </w:p>
          <w:p>
            <w:pPr>
              <w:widowControl/>
              <w:spacing w:line="280" w:lineRule="exact"/>
              <w:ind w:firstLine="0" w:firstLineChars="0"/>
              <w:jc w:val="center"/>
              <w:textAlignment w:val="center"/>
              <w:rPr>
                <w:rFonts w:ascii="Arial Narrow" w:hAnsi="Arial Narrow" w:cs="仿宋_GB2312"/>
                <w:kern w:val="0"/>
                <w:sz w:val="20"/>
                <w:szCs w:val="20"/>
              </w:rPr>
            </w:pPr>
          </w:p>
          <w:p>
            <w:pPr>
              <w:widowControl/>
              <w:spacing w:line="280" w:lineRule="exact"/>
              <w:ind w:firstLine="0" w:firstLineChars="0"/>
              <w:jc w:val="center"/>
              <w:textAlignment w:val="center"/>
              <w:rPr>
                <w:rFonts w:ascii="Arial Narrow" w:hAnsi="Arial Narrow" w:cs="仿宋_GB2312"/>
                <w:kern w:val="0"/>
                <w:sz w:val="20"/>
                <w:szCs w:val="20"/>
              </w:rPr>
            </w:pPr>
          </w:p>
          <w:p>
            <w:pPr>
              <w:widowControl/>
              <w:spacing w:line="280" w:lineRule="exact"/>
              <w:ind w:firstLine="0" w:firstLineChars="0"/>
              <w:jc w:val="center"/>
              <w:textAlignment w:val="center"/>
              <w:rPr>
                <w:rFonts w:ascii="Arial Narrow" w:hAnsi="Arial Narrow" w:cs="仿宋_GB2312"/>
                <w:kern w:val="0"/>
                <w:sz w:val="20"/>
                <w:szCs w:val="20"/>
              </w:rPr>
            </w:pPr>
          </w:p>
          <w:p>
            <w:pPr>
              <w:widowControl/>
              <w:spacing w:line="280" w:lineRule="exact"/>
              <w:ind w:firstLine="0" w:firstLineChars="0"/>
              <w:jc w:val="center"/>
              <w:textAlignment w:val="center"/>
              <w:rPr>
                <w:rFonts w:ascii="Arial Narrow" w:hAnsi="Arial Narrow" w:cs="仿宋_GB2312"/>
                <w:kern w:val="0"/>
                <w:sz w:val="20"/>
                <w:szCs w:val="20"/>
              </w:rPr>
            </w:pPr>
          </w:p>
          <w:p>
            <w:pPr>
              <w:widowControl/>
              <w:spacing w:line="280" w:lineRule="exact"/>
              <w:ind w:firstLine="0" w:firstLineChars="0"/>
              <w:jc w:val="center"/>
              <w:textAlignment w:val="center"/>
              <w:rPr>
                <w:rFonts w:ascii="Arial Narrow" w:hAnsi="Arial Narrow" w:cs="仿宋_GB2312"/>
                <w:kern w:val="0"/>
                <w:sz w:val="20"/>
                <w:szCs w:val="20"/>
              </w:rPr>
            </w:pPr>
          </w:p>
          <w:p>
            <w:pPr>
              <w:widowControl/>
              <w:spacing w:line="280" w:lineRule="exact"/>
              <w:ind w:firstLine="0" w:firstLineChars="0"/>
              <w:jc w:val="center"/>
              <w:textAlignment w:val="center"/>
              <w:rPr>
                <w:rFonts w:ascii="Arial Narrow" w:hAnsi="Arial Narrow" w:cs="仿宋_GB2312"/>
                <w:kern w:val="0"/>
                <w:sz w:val="20"/>
                <w:szCs w:val="20"/>
              </w:rPr>
            </w:pPr>
          </w:p>
          <w:p>
            <w:pPr>
              <w:widowControl/>
              <w:spacing w:line="280" w:lineRule="exact"/>
              <w:ind w:firstLine="0" w:firstLineChars="0"/>
              <w:jc w:val="center"/>
              <w:textAlignment w:val="center"/>
              <w:rPr>
                <w:rFonts w:ascii="Arial Narrow" w:hAnsi="Arial Narrow" w:cs="仿宋_GB2312"/>
                <w:kern w:val="0"/>
                <w:sz w:val="20"/>
                <w:szCs w:val="20"/>
              </w:rPr>
            </w:pPr>
          </w:p>
          <w:p>
            <w:pPr>
              <w:widowControl/>
              <w:spacing w:line="280" w:lineRule="exact"/>
              <w:ind w:firstLine="0" w:firstLineChars="0"/>
              <w:jc w:val="center"/>
              <w:textAlignment w:val="center"/>
              <w:rPr>
                <w:rFonts w:ascii="Arial Narrow" w:hAnsi="Arial Narrow" w:cs="仿宋_GB2312"/>
                <w:kern w:val="0"/>
                <w:sz w:val="20"/>
                <w:szCs w:val="20"/>
              </w:rPr>
            </w:pPr>
          </w:p>
          <w:p>
            <w:pPr>
              <w:widowControl/>
              <w:spacing w:line="280" w:lineRule="exact"/>
              <w:ind w:firstLine="0" w:firstLineChars="0"/>
              <w:jc w:val="center"/>
              <w:textAlignment w:val="center"/>
              <w:rPr>
                <w:rFonts w:ascii="Arial Narrow" w:hAnsi="Arial Narrow" w:cs="仿宋_GB2312"/>
                <w:kern w:val="0"/>
                <w:sz w:val="20"/>
                <w:szCs w:val="20"/>
              </w:rPr>
            </w:pPr>
          </w:p>
          <w:p>
            <w:pPr>
              <w:widowControl/>
              <w:spacing w:line="280" w:lineRule="exact"/>
              <w:ind w:firstLine="0" w:firstLineChars="0"/>
              <w:jc w:val="center"/>
              <w:textAlignment w:val="center"/>
              <w:rPr>
                <w:rFonts w:ascii="Arial Narrow" w:hAnsi="Arial Narrow" w:cs="仿宋_GB2312"/>
                <w:kern w:val="0"/>
                <w:sz w:val="20"/>
                <w:szCs w:val="20"/>
              </w:rPr>
            </w:pPr>
          </w:p>
          <w:p>
            <w:pPr>
              <w:widowControl/>
              <w:spacing w:line="280" w:lineRule="exact"/>
              <w:ind w:firstLine="0" w:firstLineChars="0"/>
              <w:jc w:val="center"/>
              <w:textAlignment w:val="center"/>
              <w:rPr>
                <w:rFonts w:ascii="Arial Narrow" w:hAnsi="Arial Narrow" w:cs="仿宋_GB2312"/>
                <w:kern w:val="0"/>
                <w:sz w:val="20"/>
                <w:szCs w:val="20"/>
              </w:rPr>
            </w:pPr>
          </w:p>
          <w:p>
            <w:pPr>
              <w:widowControl/>
              <w:spacing w:line="280" w:lineRule="exact"/>
              <w:ind w:firstLine="0" w:firstLineChars="0"/>
              <w:jc w:val="center"/>
              <w:textAlignment w:val="center"/>
              <w:rPr>
                <w:rFonts w:ascii="Arial Narrow" w:hAnsi="Arial Narrow" w:cs="仿宋_GB2312"/>
                <w:kern w:val="0"/>
                <w:sz w:val="20"/>
                <w:szCs w:val="20"/>
              </w:rPr>
            </w:pPr>
          </w:p>
          <w:p>
            <w:pPr>
              <w:widowControl/>
              <w:spacing w:line="280" w:lineRule="exact"/>
              <w:ind w:firstLine="0" w:firstLineChars="0"/>
              <w:jc w:val="center"/>
              <w:textAlignment w:val="center"/>
              <w:rPr>
                <w:rFonts w:ascii="Arial Narrow" w:hAnsi="Arial Narrow" w:cs="仿宋_GB2312"/>
                <w:kern w:val="0"/>
                <w:sz w:val="20"/>
                <w:szCs w:val="20"/>
              </w:rPr>
            </w:pPr>
          </w:p>
          <w:p>
            <w:pPr>
              <w:widowControl/>
              <w:spacing w:line="280" w:lineRule="exact"/>
              <w:ind w:firstLine="0" w:firstLineChars="0"/>
              <w:jc w:val="center"/>
              <w:textAlignment w:val="center"/>
              <w:rPr>
                <w:rFonts w:ascii="Arial Narrow" w:hAnsi="Arial Narrow" w:cs="仿宋_GB2312"/>
                <w:sz w:val="20"/>
                <w:szCs w:val="20"/>
              </w:rPr>
            </w:pPr>
            <w:r>
              <w:rPr>
                <w:rFonts w:ascii="Arial Narrow" w:hAnsi="Arial Narrow" w:cs="仿宋_GB2312"/>
                <w:kern w:val="0"/>
                <w:sz w:val="20"/>
                <w:szCs w:val="20"/>
              </w:rPr>
              <w:t>项目产出</w:t>
            </w:r>
          </w:p>
        </w:tc>
        <w:tc>
          <w:tcPr>
            <w:tcW w:w="851"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节能项目完工率（5分）</w:t>
            </w:r>
          </w:p>
        </w:tc>
        <w:tc>
          <w:tcPr>
            <w:tcW w:w="226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项目实施后，是否按照计划完成节能改造项目，用以反映和考核项目数量指标的完成程度。</w:t>
            </w:r>
          </w:p>
        </w:tc>
        <w:tc>
          <w:tcPr>
            <w:tcW w:w="5029"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评价要点：</w:t>
            </w:r>
            <w:r>
              <w:rPr>
                <w:rFonts w:ascii="Arial Narrow" w:hAnsi="Arial Narrow" w:cs="仿宋_GB2312"/>
                <w:kern w:val="0"/>
                <w:sz w:val="20"/>
                <w:szCs w:val="20"/>
              </w:rPr>
              <w:br w:type="page"/>
            </w:r>
            <w:r>
              <w:rPr>
                <w:rFonts w:hint="eastAsia" w:ascii="宋体" w:hAnsi="宋体" w:eastAsia="宋体" w:cs="宋体"/>
                <w:kern w:val="0"/>
                <w:sz w:val="20"/>
                <w:szCs w:val="20"/>
              </w:rPr>
              <w:t>①</w:t>
            </w:r>
            <w:r>
              <w:rPr>
                <w:rFonts w:ascii="Arial Narrow" w:hAnsi="Arial Narrow" w:cs="仿宋_GB2312"/>
                <w:kern w:val="0"/>
                <w:sz w:val="20"/>
                <w:szCs w:val="20"/>
              </w:rPr>
              <w:t>节能项目完工率=实际完成数/计划项目数*100%；</w:t>
            </w:r>
            <w:r>
              <w:rPr>
                <w:rFonts w:ascii="Arial Narrow" w:hAnsi="Arial Narrow" w:cs="仿宋_GB2312"/>
                <w:kern w:val="0"/>
                <w:sz w:val="20"/>
                <w:szCs w:val="20"/>
              </w:rPr>
              <w:br w:type="page"/>
            </w:r>
            <w:r>
              <w:rPr>
                <w:rFonts w:hint="eastAsia" w:ascii="宋体" w:hAnsi="宋体" w:eastAsia="宋体" w:cs="宋体"/>
                <w:kern w:val="0"/>
                <w:sz w:val="20"/>
                <w:szCs w:val="20"/>
              </w:rPr>
              <w:t>②</w:t>
            </w:r>
            <w:r>
              <w:rPr>
                <w:rFonts w:ascii="Arial Narrow" w:hAnsi="Arial Narrow" w:cs="仿宋_GB2312"/>
                <w:kern w:val="0"/>
                <w:sz w:val="20"/>
                <w:szCs w:val="20"/>
              </w:rPr>
              <w:t>节能项目验收合格率=实际完成验收的项目数/项目总数*100%。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9" w:hRule="atLeast"/>
        </w:trPr>
        <w:tc>
          <w:tcPr>
            <w:tcW w:w="582" w:type="dxa"/>
            <w:vMerge w:val="continue"/>
            <w:vAlign w:val="center"/>
          </w:tcPr>
          <w:p>
            <w:pPr>
              <w:widowControl/>
              <w:spacing w:line="280" w:lineRule="exact"/>
              <w:ind w:firstLine="0" w:firstLineChars="0"/>
              <w:jc w:val="center"/>
              <w:rPr>
                <w:rFonts w:ascii="Arial Narrow" w:hAnsi="Arial Narrow" w:cs="仿宋_GB2312"/>
                <w:sz w:val="20"/>
                <w:szCs w:val="20"/>
              </w:rPr>
            </w:pPr>
          </w:p>
        </w:tc>
        <w:tc>
          <w:tcPr>
            <w:tcW w:w="851"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监督检查完成率（5分）</w:t>
            </w:r>
          </w:p>
        </w:tc>
        <w:tc>
          <w:tcPr>
            <w:tcW w:w="226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项目单位是否对各公共机构节能建设情况进行检查，用以反映和考核项目监督检查力度。</w:t>
            </w:r>
          </w:p>
        </w:tc>
        <w:tc>
          <w:tcPr>
            <w:tcW w:w="5029"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评价要点：                                                                                                                                               监督检查完成率=（已完成监测机构数/全区节能机构总数）*100%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2" w:hRule="atLeast"/>
        </w:trPr>
        <w:tc>
          <w:tcPr>
            <w:tcW w:w="582" w:type="dxa"/>
            <w:vMerge w:val="continue"/>
            <w:vAlign w:val="center"/>
          </w:tcPr>
          <w:p>
            <w:pPr>
              <w:widowControl/>
              <w:spacing w:line="280" w:lineRule="exact"/>
              <w:ind w:firstLine="0" w:firstLineChars="0"/>
              <w:jc w:val="center"/>
              <w:rPr>
                <w:rFonts w:ascii="Arial Narrow" w:hAnsi="Arial Narrow" w:cs="仿宋_GB2312"/>
                <w:sz w:val="20"/>
                <w:szCs w:val="20"/>
              </w:rPr>
            </w:pPr>
          </w:p>
        </w:tc>
        <w:tc>
          <w:tcPr>
            <w:tcW w:w="851"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省级节能机构创建数（5分）</w:t>
            </w:r>
          </w:p>
        </w:tc>
        <w:tc>
          <w:tcPr>
            <w:tcW w:w="226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项目实施后节水节能机构的创建个数，用以反映项目数量目标的完成情况。</w:t>
            </w:r>
          </w:p>
        </w:tc>
        <w:tc>
          <w:tcPr>
            <w:tcW w:w="5029" w:type="dxa"/>
            <w:vAlign w:val="center"/>
          </w:tcPr>
          <w:p>
            <w:pPr>
              <w:widowControl/>
              <w:spacing w:line="280" w:lineRule="exact"/>
              <w:ind w:firstLine="0" w:firstLineChars="0"/>
              <w:jc w:val="left"/>
              <w:textAlignment w:val="center"/>
              <w:rPr>
                <w:rFonts w:hint="eastAsia" w:ascii="Arial Narrow" w:hAnsi="Arial Narrow" w:eastAsia="仿宋_GB2312" w:cs="仿宋_GB2312"/>
                <w:kern w:val="0"/>
                <w:sz w:val="20"/>
                <w:szCs w:val="20"/>
                <w:lang w:eastAsia="zh-CN"/>
              </w:rPr>
            </w:pPr>
            <w:r>
              <w:rPr>
                <w:rFonts w:ascii="Arial Narrow" w:hAnsi="Arial Narrow" w:cs="仿宋_GB2312"/>
                <w:kern w:val="0"/>
                <w:sz w:val="20"/>
                <w:szCs w:val="20"/>
              </w:rPr>
              <w:t>评价要点：</w:t>
            </w:r>
          </w:p>
          <w:p>
            <w:pPr>
              <w:widowControl/>
              <w:spacing w:line="280" w:lineRule="exact"/>
              <w:ind w:firstLine="0" w:firstLineChars="0"/>
              <w:jc w:val="left"/>
              <w:textAlignment w:val="center"/>
              <w:rPr>
                <w:rFonts w:ascii="Arial Narrow" w:hAnsi="Arial Narrow" w:cs="仿宋_GB2312"/>
                <w:kern w:val="0"/>
                <w:sz w:val="20"/>
                <w:szCs w:val="20"/>
              </w:rPr>
            </w:pPr>
            <w:r>
              <w:rPr>
                <w:rFonts w:hint="eastAsia" w:ascii="宋体" w:hAnsi="宋体" w:eastAsia="宋体" w:cs="宋体"/>
                <w:kern w:val="0"/>
                <w:sz w:val="20"/>
                <w:szCs w:val="20"/>
              </w:rPr>
              <w:t>①</w:t>
            </w:r>
            <w:r>
              <w:rPr>
                <w:rFonts w:ascii="Arial Narrow" w:hAnsi="Arial Narrow" w:cs="仿宋_GB2312"/>
                <w:kern w:val="0"/>
                <w:sz w:val="20"/>
                <w:szCs w:val="20"/>
              </w:rPr>
              <w:t>省级创建公共机构节水型单位2个。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6" w:hRule="atLeast"/>
        </w:trPr>
        <w:tc>
          <w:tcPr>
            <w:tcW w:w="582" w:type="dxa"/>
            <w:vMerge w:val="continue"/>
            <w:vAlign w:val="center"/>
          </w:tcPr>
          <w:p>
            <w:pPr>
              <w:widowControl/>
              <w:spacing w:line="280" w:lineRule="exact"/>
              <w:ind w:firstLine="0" w:firstLineChars="0"/>
              <w:jc w:val="center"/>
              <w:rPr>
                <w:rFonts w:ascii="Arial Narrow" w:hAnsi="Arial Narrow" w:cs="仿宋_GB2312"/>
                <w:sz w:val="20"/>
                <w:szCs w:val="20"/>
              </w:rPr>
            </w:pPr>
          </w:p>
        </w:tc>
        <w:tc>
          <w:tcPr>
            <w:tcW w:w="851"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数据上报及时率（4分）</w:t>
            </w:r>
          </w:p>
        </w:tc>
        <w:tc>
          <w:tcPr>
            <w:tcW w:w="226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项目实际提前完成时间与计划完成时间的比率，用以反映和考核项目产出时效目标的实现程度。</w:t>
            </w:r>
          </w:p>
        </w:tc>
        <w:tc>
          <w:tcPr>
            <w:tcW w:w="5029" w:type="dxa"/>
            <w:vAlign w:val="center"/>
          </w:tcPr>
          <w:p>
            <w:pPr>
              <w:widowControl/>
              <w:spacing w:line="280" w:lineRule="exact"/>
              <w:ind w:firstLine="0" w:firstLineChars="0"/>
              <w:jc w:val="left"/>
              <w:textAlignment w:val="center"/>
              <w:rPr>
                <w:rFonts w:hint="eastAsia" w:ascii="Arial Narrow" w:hAnsi="Arial Narrow" w:eastAsia="仿宋_GB2312" w:cs="仿宋_GB2312"/>
                <w:kern w:val="0"/>
                <w:sz w:val="20"/>
                <w:szCs w:val="20"/>
                <w:lang w:eastAsia="zh-CN"/>
              </w:rPr>
            </w:pPr>
            <w:r>
              <w:rPr>
                <w:rFonts w:ascii="Arial Narrow" w:hAnsi="Arial Narrow" w:cs="仿宋_GB2312"/>
                <w:kern w:val="0"/>
                <w:sz w:val="20"/>
                <w:szCs w:val="20"/>
              </w:rPr>
              <w:t>数据上报及时率=（计划上报时间-实际上报时间）/计划上报时间]×100%。</w:t>
            </w:r>
          </w:p>
          <w:p>
            <w:pPr>
              <w:widowControl/>
              <w:spacing w:line="280" w:lineRule="exact"/>
              <w:ind w:firstLine="0" w:firstLineChars="0"/>
              <w:jc w:val="left"/>
              <w:textAlignment w:val="center"/>
              <w:rPr>
                <w:rFonts w:hint="eastAsia" w:ascii="Arial Narrow" w:hAnsi="Arial Narrow" w:eastAsia="仿宋_GB2312" w:cs="仿宋_GB2312"/>
                <w:kern w:val="0"/>
                <w:sz w:val="20"/>
                <w:szCs w:val="20"/>
                <w:lang w:eastAsia="zh-CN"/>
              </w:rPr>
            </w:pPr>
            <w:r>
              <w:rPr>
                <w:rFonts w:ascii="Arial Narrow" w:hAnsi="Arial Narrow" w:cs="仿宋_GB2312"/>
                <w:kern w:val="0"/>
                <w:sz w:val="20"/>
                <w:szCs w:val="20"/>
              </w:rPr>
              <w:t>实际上报时间：项目实施单位完成该项目上报数据实际所耗用的时间。</w:t>
            </w:r>
          </w:p>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计划上报时间：按照项目实施计划或相关规定完成该项目上报数据所需的时间。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1" w:hRule="atLeast"/>
        </w:trPr>
        <w:tc>
          <w:tcPr>
            <w:tcW w:w="582" w:type="dxa"/>
            <w:vMerge w:val="continue"/>
            <w:vAlign w:val="center"/>
          </w:tcPr>
          <w:p>
            <w:pPr>
              <w:widowControl/>
              <w:spacing w:line="280" w:lineRule="exact"/>
              <w:ind w:firstLine="0" w:firstLineChars="0"/>
              <w:jc w:val="center"/>
              <w:rPr>
                <w:rFonts w:ascii="Arial Narrow" w:hAnsi="Arial Narrow" w:cs="仿宋_GB2312"/>
                <w:sz w:val="20"/>
                <w:szCs w:val="20"/>
              </w:rPr>
            </w:pPr>
          </w:p>
        </w:tc>
        <w:tc>
          <w:tcPr>
            <w:tcW w:w="851"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资金使用率（4分）</w:t>
            </w:r>
          </w:p>
        </w:tc>
        <w:tc>
          <w:tcPr>
            <w:tcW w:w="226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项目实际支出与项目到位资金的比率，用以反映和考核项目资金使用情况。</w:t>
            </w:r>
          </w:p>
        </w:tc>
        <w:tc>
          <w:tcPr>
            <w:tcW w:w="5029" w:type="dxa"/>
            <w:vAlign w:val="center"/>
          </w:tcPr>
          <w:p>
            <w:pPr>
              <w:widowControl/>
              <w:spacing w:line="280" w:lineRule="exact"/>
              <w:ind w:firstLine="0" w:firstLineChars="0"/>
              <w:jc w:val="left"/>
              <w:textAlignment w:val="center"/>
              <w:rPr>
                <w:rFonts w:hint="eastAsia" w:ascii="Arial Narrow" w:hAnsi="Arial Narrow" w:eastAsia="仿宋_GB2312" w:cs="仿宋_GB2312"/>
                <w:kern w:val="0"/>
                <w:sz w:val="20"/>
                <w:szCs w:val="20"/>
                <w:lang w:eastAsia="zh-CN"/>
              </w:rPr>
            </w:pPr>
            <w:r>
              <w:rPr>
                <w:rFonts w:ascii="Arial Narrow" w:hAnsi="Arial Narrow" w:cs="仿宋_GB2312"/>
                <w:kern w:val="0"/>
                <w:sz w:val="20"/>
                <w:szCs w:val="20"/>
              </w:rPr>
              <w:t>资金使用率=项目实际支出/项目到位资金×100%。</w:t>
            </w:r>
          </w:p>
          <w:p>
            <w:pPr>
              <w:widowControl/>
              <w:spacing w:line="280" w:lineRule="exact"/>
              <w:ind w:firstLine="0" w:firstLineChars="0"/>
              <w:jc w:val="left"/>
              <w:textAlignment w:val="center"/>
              <w:rPr>
                <w:rFonts w:hint="eastAsia" w:ascii="Arial Narrow" w:hAnsi="Arial Narrow" w:eastAsia="仿宋_GB2312" w:cs="仿宋_GB2312"/>
                <w:kern w:val="0"/>
                <w:sz w:val="20"/>
                <w:szCs w:val="20"/>
                <w:lang w:eastAsia="zh-CN"/>
              </w:rPr>
            </w:pPr>
            <w:r>
              <w:rPr>
                <w:rFonts w:ascii="Arial Narrow" w:hAnsi="Arial Narrow" w:cs="仿宋_GB2312"/>
                <w:kern w:val="0"/>
                <w:sz w:val="20"/>
                <w:szCs w:val="20"/>
              </w:rPr>
              <w:t>实际支出：项目实施单位为完成既定工作目标一定时期（本年度或项目期）内实际所耗费的支出。</w:t>
            </w:r>
          </w:p>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到位资金：一定时期（本年度或项目期）内实际落实到具体项目的资金。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6" w:hRule="atLeast"/>
        </w:trPr>
        <w:tc>
          <w:tcPr>
            <w:tcW w:w="582" w:type="dxa"/>
            <w:vMerge w:val="continue"/>
            <w:vAlign w:val="center"/>
          </w:tcPr>
          <w:p>
            <w:pPr>
              <w:widowControl/>
              <w:spacing w:line="280" w:lineRule="exact"/>
              <w:ind w:firstLine="0" w:firstLineChars="0"/>
              <w:jc w:val="center"/>
              <w:rPr>
                <w:rFonts w:ascii="Arial Narrow" w:hAnsi="Arial Narrow" w:cs="仿宋_GB2312"/>
                <w:sz w:val="20"/>
                <w:szCs w:val="20"/>
              </w:rPr>
            </w:pPr>
          </w:p>
        </w:tc>
        <w:tc>
          <w:tcPr>
            <w:tcW w:w="851"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宣传方式多样性（5分）</w:t>
            </w:r>
          </w:p>
        </w:tc>
        <w:tc>
          <w:tcPr>
            <w:tcW w:w="226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项目实施后，节能机构创建活动的宣传方式是否多样，用以反映和考核项目的社会效益。</w:t>
            </w:r>
          </w:p>
        </w:tc>
        <w:tc>
          <w:tcPr>
            <w:tcW w:w="5029" w:type="dxa"/>
            <w:vAlign w:val="center"/>
          </w:tcPr>
          <w:p>
            <w:pPr>
              <w:widowControl/>
              <w:spacing w:line="280" w:lineRule="exact"/>
              <w:ind w:firstLine="0" w:firstLineChars="0"/>
              <w:jc w:val="left"/>
              <w:textAlignment w:val="center"/>
              <w:rPr>
                <w:rFonts w:hint="eastAsia" w:ascii="Arial Narrow" w:hAnsi="Arial Narrow" w:eastAsia="仿宋_GB2312" w:cs="仿宋_GB2312"/>
                <w:kern w:val="0"/>
                <w:sz w:val="20"/>
                <w:szCs w:val="20"/>
                <w:lang w:eastAsia="zh-CN"/>
              </w:rPr>
            </w:pPr>
            <w:r>
              <w:rPr>
                <w:rFonts w:ascii="Arial Narrow" w:hAnsi="Arial Narrow" w:cs="仿宋_GB2312"/>
                <w:kern w:val="0"/>
                <w:sz w:val="20"/>
                <w:szCs w:val="20"/>
              </w:rPr>
              <w:t>评价要点：</w:t>
            </w:r>
          </w:p>
          <w:p>
            <w:pPr>
              <w:widowControl/>
              <w:spacing w:line="280" w:lineRule="exact"/>
              <w:ind w:firstLine="0" w:firstLineChars="0"/>
              <w:jc w:val="left"/>
              <w:textAlignment w:val="center"/>
              <w:rPr>
                <w:rFonts w:ascii="Arial Narrow" w:hAnsi="Arial Narrow" w:cs="仿宋_GB2312"/>
                <w:kern w:val="0"/>
                <w:sz w:val="20"/>
                <w:szCs w:val="20"/>
              </w:rPr>
            </w:pPr>
            <w:r>
              <w:rPr>
                <w:rFonts w:hint="eastAsia" w:ascii="宋体" w:hAnsi="宋体" w:eastAsia="宋体" w:cs="宋体"/>
                <w:kern w:val="0"/>
                <w:sz w:val="20"/>
                <w:szCs w:val="20"/>
              </w:rPr>
              <w:t>①</w:t>
            </w:r>
            <w:r>
              <w:rPr>
                <w:rFonts w:ascii="Arial Narrow" w:hAnsi="Arial Narrow" w:cs="仿宋_GB2312"/>
                <w:kern w:val="0"/>
                <w:sz w:val="20"/>
                <w:szCs w:val="20"/>
              </w:rPr>
              <w:t>对创建节能机构活动宣传方式的种类在三种以上（如：海报、手册宣传，小讲座，活动等）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2" w:hRule="atLeast"/>
        </w:trPr>
        <w:tc>
          <w:tcPr>
            <w:tcW w:w="582" w:type="dxa"/>
            <w:vMerge w:val="restart"/>
            <w:vAlign w:val="center"/>
          </w:tcPr>
          <w:p>
            <w:pPr>
              <w:widowControl/>
              <w:spacing w:line="280" w:lineRule="exact"/>
              <w:ind w:firstLine="0" w:firstLineChars="0"/>
              <w:jc w:val="center"/>
              <w:textAlignment w:val="center"/>
              <w:rPr>
                <w:rFonts w:ascii="Arial Narrow" w:hAnsi="Arial Narrow" w:cs="仿宋_GB2312"/>
                <w:kern w:val="0"/>
                <w:sz w:val="20"/>
                <w:szCs w:val="20"/>
              </w:rPr>
            </w:pPr>
          </w:p>
          <w:p>
            <w:pPr>
              <w:widowControl/>
              <w:spacing w:line="280" w:lineRule="exact"/>
              <w:ind w:firstLine="0" w:firstLineChars="0"/>
              <w:jc w:val="center"/>
              <w:textAlignment w:val="center"/>
              <w:rPr>
                <w:rFonts w:ascii="Arial Narrow" w:hAnsi="Arial Narrow" w:cs="仿宋_GB2312"/>
                <w:kern w:val="0"/>
                <w:sz w:val="20"/>
                <w:szCs w:val="20"/>
              </w:rPr>
            </w:pPr>
          </w:p>
          <w:p>
            <w:pPr>
              <w:widowControl/>
              <w:spacing w:line="280" w:lineRule="exact"/>
              <w:ind w:firstLine="0" w:firstLineChars="0"/>
              <w:jc w:val="center"/>
              <w:textAlignment w:val="center"/>
              <w:rPr>
                <w:rFonts w:ascii="Arial Narrow" w:hAnsi="Arial Narrow" w:cs="仿宋_GB2312"/>
                <w:kern w:val="0"/>
                <w:sz w:val="20"/>
                <w:szCs w:val="20"/>
              </w:rPr>
            </w:pPr>
          </w:p>
          <w:p>
            <w:pPr>
              <w:widowControl/>
              <w:spacing w:line="280" w:lineRule="exact"/>
              <w:ind w:firstLine="0" w:firstLineChars="0"/>
              <w:jc w:val="center"/>
              <w:textAlignment w:val="center"/>
              <w:rPr>
                <w:rFonts w:ascii="Arial Narrow" w:hAnsi="Arial Narrow" w:cs="仿宋_GB2312"/>
                <w:kern w:val="0"/>
                <w:sz w:val="20"/>
                <w:szCs w:val="20"/>
              </w:rPr>
            </w:pPr>
          </w:p>
          <w:p>
            <w:pPr>
              <w:widowControl/>
              <w:spacing w:line="280" w:lineRule="exact"/>
              <w:ind w:firstLine="0" w:firstLineChars="0"/>
              <w:jc w:val="center"/>
              <w:textAlignment w:val="center"/>
              <w:rPr>
                <w:rFonts w:ascii="Arial Narrow" w:hAnsi="Arial Narrow" w:cs="仿宋_GB2312"/>
                <w:kern w:val="0"/>
                <w:sz w:val="20"/>
                <w:szCs w:val="20"/>
              </w:rPr>
            </w:pPr>
          </w:p>
          <w:p>
            <w:pPr>
              <w:widowControl/>
              <w:spacing w:line="280" w:lineRule="exact"/>
              <w:ind w:firstLine="0" w:firstLineChars="0"/>
              <w:jc w:val="center"/>
              <w:textAlignment w:val="center"/>
              <w:rPr>
                <w:rFonts w:ascii="Arial Narrow" w:hAnsi="Arial Narrow" w:cs="仿宋_GB2312"/>
                <w:kern w:val="0"/>
                <w:sz w:val="20"/>
                <w:szCs w:val="20"/>
              </w:rPr>
            </w:pPr>
          </w:p>
          <w:p>
            <w:pPr>
              <w:widowControl/>
              <w:spacing w:line="280" w:lineRule="exact"/>
              <w:ind w:firstLine="0" w:firstLineChars="0"/>
              <w:jc w:val="center"/>
              <w:textAlignment w:val="center"/>
              <w:rPr>
                <w:rFonts w:ascii="Arial Narrow" w:hAnsi="Arial Narrow" w:cs="仿宋_GB2312"/>
                <w:kern w:val="0"/>
                <w:sz w:val="20"/>
                <w:szCs w:val="20"/>
              </w:rPr>
            </w:pPr>
          </w:p>
          <w:p>
            <w:pPr>
              <w:widowControl/>
              <w:spacing w:line="280" w:lineRule="exact"/>
              <w:ind w:firstLine="0" w:firstLineChars="0"/>
              <w:jc w:val="center"/>
              <w:textAlignment w:val="center"/>
              <w:rPr>
                <w:rFonts w:ascii="Arial Narrow" w:hAnsi="Arial Narrow" w:cs="仿宋_GB2312"/>
                <w:kern w:val="0"/>
                <w:sz w:val="20"/>
                <w:szCs w:val="20"/>
              </w:rPr>
            </w:pPr>
          </w:p>
          <w:p>
            <w:pPr>
              <w:widowControl/>
              <w:spacing w:line="280" w:lineRule="exact"/>
              <w:ind w:firstLine="0" w:firstLineChars="0"/>
              <w:jc w:val="center"/>
              <w:textAlignment w:val="center"/>
              <w:rPr>
                <w:rFonts w:ascii="Arial Narrow" w:hAnsi="Arial Narrow" w:cs="仿宋_GB2312"/>
                <w:kern w:val="0"/>
                <w:sz w:val="20"/>
                <w:szCs w:val="20"/>
              </w:rPr>
            </w:pPr>
          </w:p>
          <w:p>
            <w:pPr>
              <w:widowControl/>
              <w:spacing w:line="280" w:lineRule="exact"/>
              <w:ind w:firstLine="0" w:firstLineChars="0"/>
              <w:jc w:val="center"/>
              <w:textAlignment w:val="center"/>
              <w:rPr>
                <w:rFonts w:hint="eastAsia" w:ascii="Arial Narrow" w:hAnsi="Arial Narrow" w:eastAsia="仿宋_GB2312" w:cs="仿宋_GB2312"/>
                <w:kern w:val="0"/>
                <w:sz w:val="20"/>
                <w:szCs w:val="20"/>
                <w:lang w:eastAsia="zh-CN"/>
              </w:rPr>
            </w:pPr>
            <w:r>
              <w:rPr>
                <w:rFonts w:ascii="Arial Narrow" w:hAnsi="Arial Narrow" w:cs="仿宋_GB2312"/>
                <w:kern w:val="0"/>
                <w:sz w:val="20"/>
                <w:szCs w:val="20"/>
              </w:rPr>
              <w:t>项目</w:t>
            </w:r>
          </w:p>
          <w:p>
            <w:pPr>
              <w:widowControl/>
              <w:spacing w:line="280" w:lineRule="exact"/>
              <w:ind w:firstLine="0" w:firstLineChars="0"/>
              <w:jc w:val="center"/>
              <w:textAlignment w:val="center"/>
              <w:rPr>
                <w:rFonts w:ascii="Arial Narrow" w:hAnsi="Arial Narrow" w:cs="仿宋_GB2312"/>
                <w:sz w:val="20"/>
                <w:szCs w:val="20"/>
              </w:rPr>
            </w:pPr>
            <w:r>
              <w:rPr>
                <w:rFonts w:ascii="Arial Narrow" w:hAnsi="Arial Narrow" w:cs="仿宋_GB2312"/>
                <w:kern w:val="0"/>
                <w:sz w:val="20"/>
                <w:szCs w:val="20"/>
              </w:rPr>
              <w:t>效益</w:t>
            </w:r>
          </w:p>
        </w:tc>
        <w:tc>
          <w:tcPr>
            <w:tcW w:w="851"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人均能耗降低率（5分）</w:t>
            </w:r>
          </w:p>
        </w:tc>
        <w:tc>
          <w:tcPr>
            <w:tcW w:w="226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项目实施后，本年人均能耗相比上年下降程度，用以反映和考核项目的社会效益。</w:t>
            </w:r>
          </w:p>
        </w:tc>
        <w:tc>
          <w:tcPr>
            <w:tcW w:w="5029"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人均能耗降低率=（本年人均能耗-上年人均能耗）/本年人均能耗*100%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30" w:hRule="atLeast"/>
        </w:trPr>
        <w:tc>
          <w:tcPr>
            <w:tcW w:w="582" w:type="dxa"/>
            <w:vMerge w:val="continue"/>
            <w:vAlign w:val="center"/>
          </w:tcPr>
          <w:p>
            <w:pPr>
              <w:widowControl/>
              <w:spacing w:line="280" w:lineRule="exact"/>
              <w:ind w:firstLine="0" w:firstLineChars="0"/>
              <w:jc w:val="center"/>
              <w:rPr>
                <w:rFonts w:ascii="Arial Narrow" w:hAnsi="Arial Narrow" w:cs="仿宋_GB2312"/>
                <w:sz w:val="20"/>
                <w:szCs w:val="20"/>
              </w:rPr>
            </w:pPr>
          </w:p>
        </w:tc>
        <w:tc>
          <w:tcPr>
            <w:tcW w:w="851"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宣传知晓率（6分）</w:t>
            </w:r>
          </w:p>
        </w:tc>
        <w:tc>
          <w:tcPr>
            <w:tcW w:w="226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项目实施后，通过问卷调查了解辖区居民对节能机构建设知晓情况，用以反应项目的社会效益。</w:t>
            </w:r>
          </w:p>
        </w:tc>
        <w:tc>
          <w:tcPr>
            <w:tcW w:w="5029" w:type="dxa"/>
            <w:vAlign w:val="center"/>
          </w:tcPr>
          <w:p>
            <w:pPr>
              <w:widowControl/>
              <w:spacing w:line="280" w:lineRule="exact"/>
              <w:ind w:firstLine="0" w:firstLineChars="0"/>
              <w:jc w:val="left"/>
              <w:textAlignment w:val="center"/>
              <w:rPr>
                <w:rFonts w:hint="eastAsia" w:ascii="Arial Narrow" w:hAnsi="Arial Narrow" w:eastAsia="仿宋_GB2312" w:cs="仿宋_GB2312"/>
                <w:kern w:val="0"/>
                <w:sz w:val="20"/>
                <w:szCs w:val="20"/>
                <w:lang w:eastAsia="zh-CN"/>
              </w:rPr>
            </w:pPr>
            <w:r>
              <w:rPr>
                <w:rFonts w:ascii="Arial Narrow" w:hAnsi="Arial Narrow" w:cs="仿宋_GB2312"/>
                <w:kern w:val="0"/>
                <w:sz w:val="20"/>
                <w:szCs w:val="20"/>
              </w:rPr>
              <w:t>评价要点：</w:t>
            </w:r>
          </w:p>
          <w:p>
            <w:pPr>
              <w:widowControl/>
              <w:spacing w:line="280" w:lineRule="exact"/>
              <w:ind w:firstLine="0" w:firstLineChars="0"/>
              <w:jc w:val="left"/>
              <w:textAlignment w:val="center"/>
              <w:rPr>
                <w:rFonts w:ascii="Arial Narrow" w:hAnsi="Arial Narrow" w:cs="仿宋_GB2312"/>
                <w:kern w:val="0"/>
                <w:sz w:val="20"/>
                <w:szCs w:val="20"/>
              </w:rPr>
            </w:pPr>
            <w:r>
              <w:rPr>
                <w:rFonts w:hint="eastAsia" w:ascii="宋体" w:hAnsi="宋体" w:eastAsia="宋体" w:cs="宋体"/>
                <w:kern w:val="0"/>
                <w:sz w:val="20"/>
                <w:szCs w:val="20"/>
              </w:rPr>
              <w:t>①</w:t>
            </w:r>
            <w:r>
              <w:rPr>
                <w:rFonts w:ascii="Arial Narrow" w:hAnsi="Arial Narrow" w:cs="仿宋_GB2312"/>
                <w:kern w:val="0"/>
                <w:sz w:val="20"/>
                <w:szCs w:val="20"/>
              </w:rPr>
              <w:t>宣传知晓率=项目结束后知晓节能机构人数/样本总人数*100%。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8" w:hRule="atLeast"/>
        </w:trPr>
        <w:tc>
          <w:tcPr>
            <w:tcW w:w="582" w:type="dxa"/>
            <w:vMerge w:val="continue"/>
            <w:vAlign w:val="center"/>
          </w:tcPr>
          <w:p>
            <w:pPr>
              <w:widowControl/>
              <w:spacing w:line="280" w:lineRule="exact"/>
              <w:ind w:firstLine="0" w:firstLineChars="0"/>
              <w:jc w:val="center"/>
              <w:rPr>
                <w:rFonts w:ascii="Arial Narrow" w:hAnsi="Arial Narrow" w:cs="仿宋_GB2312"/>
                <w:sz w:val="20"/>
                <w:szCs w:val="20"/>
              </w:rPr>
            </w:pPr>
          </w:p>
        </w:tc>
        <w:tc>
          <w:tcPr>
            <w:tcW w:w="851"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节能系统普及率（5分）</w:t>
            </w:r>
          </w:p>
        </w:tc>
        <w:tc>
          <w:tcPr>
            <w:tcW w:w="226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项目实施后，各节能机构是否按计划完成节能软件的安装，用以反映和考核节能软件普及程度。</w:t>
            </w:r>
          </w:p>
        </w:tc>
        <w:tc>
          <w:tcPr>
            <w:tcW w:w="5029"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节能系统普及率=(安装节能系统软件的机构/全区节能机构总数）*100%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8" w:hRule="atLeast"/>
        </w:trPr>
        <w:tc>
          <w:tcPr>
            <w:tcW w:w="582" w:type="dxa"/>
            <w:vMerge w:val="continue"/>
            <w:vAlign w:val="center"/>
          </w:tcPr>
          <w:p>
            <w:pPr>
              <w:widowControl/>
              <w:spacing w:line="280" w:lineRule="exact"/>
              <w:ind w:firstLine="0" w:firstLineChars="0"/>
              <w:jc w:val="center"/>
              <w:rPr>
                <w:rFonts w:ascii="Arial Narrow" w:hAnsi="Arial Narrow" w:cs="仿宋_GB2312"/>
                <w:sz w:val="20"/>
                <w:szCs w:val="20"/>
              </w:rPr>
            </w:pPr>
          </w:p>
        </w:tc>
        <w:tc>
          <w:tcPr>
            <w:tcW w:w="851"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节能建设覆盖率（5分）</w:t>
            </w:r>
          </w:p>
        </w:tc>
        <w:tc>
          <w:tcPr>
            <w:tcW w:w="226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项目实施后公共机构安装节能建设数量，用以反映和考核项目实施产生的社会效益</w:t>
            </w:r>
          </w:p>
        </w:tc>
        <w:tc>
          <w:tcPr>
            <w:tcW w:w="5029"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节能建设覆盖率=（开展节能机构公共建设数/全区公共机构总数）*100%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60" w:hRule="atLeast"/>
        </w:trPr>
        <w:tc>
          <w:tcPr>
            <w:tcW w:w="582" w:type="dxa"/>
            <w:vMerge w:val="continue"/>
            <w:vAlign w:val="center"/>
          </w:tcPr>
          <w:p>
            <w:pPr>
              <w:widowControl/>
              <w:spacing w:line="280" w:lineRule="exact"/>
              <w:ind w:firstLine="0" w:firstLineChars="0"/>
              <w:jc w:val="center"/>
              <w:rPr>
                <w:rFonts w:ascii="Arial Narrow" w:hAnsi="Arial Narrow" w:cs="仿宋_GB2312"/>
                <w:sz w:val="20"/>
                <w:szCs w:val="20"/>
              </w:rPr>
            </w:pPr>
          </w:p>
        </w:tc>
        <w:tc>
          <w:tcPr>
            <w:tcW w:w="851"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可持续性（5分）</w:t>
            </w:r>
          </w:p>
        </w:tc>
        <w:tc>
          <w:tcPr>
            <w:tcW w:w="226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项目实施单位是否支持项目长期运行，是否有相关的管理机构及人力资源满足项目实施的要求，用以反映和考核项目的可持续性。</w:t>
            </w:r>
          </w:p>
        </w:tc>
        <w:tc>
          <w:tcPr>
            <w:tcW w:w="5029" w:type="dxa"/>
            <w:vAlign w:val="center"/>
          </w:tcPr>
          <w:p>
            <w:pPr>
              <w:widowControl/>
              <w:spacing w:line="280" w:lineRule="exact"/>
              <w:ind w:firstLine="0" w:firstLineChars="0"/>
              <w:jc w:val="left"/>
              <w:textAlignment w:val="center"/>
              <w:rPr>
                <w:rFonts w:hint="eastAsia" w:ascii="Arial Narrow" w:hAnsi="Arial Narrow" w:eastAsia="仿宋_GB2312" w:cs="仿宋_GB2312"/>
                <w:kern w:val="0"/>
                <w:sz w:val="20"/>
                <w:szCs w:val="20"/>
                <w:lang w:eastAsia="zh-CN"/>
              </w:rPr>
            </w:pPr>
            <w:r>
              <w:rPr>
                <w:rFonts w:ascii="Arial Narrow" w:hAnsi="Arial Narrow" w:cs="仿宋_GB2312"/>
                <w:kern w:val="0"/>
                <w:sz w:val="20"/>
                <w:szCs w:val="20"/>
              </w:rPr>
              <w:t>评价要点：</w:t>
            </w:r>
          </w:p>
          <w:p>
            <w:pPr>
              <w:widowControl/>
              <w:spacing w:line="280" w:lineRule="exact"/>
              <w:ind w:firstLine="0" w:firstLineChars="0"/>
              <w:jc w:val="left"/>
              <w:textAlignment w:val="center"/>
              <w:rPr>
                <w:rFonts w:hint="eastAsia" w:ascii="Arial Narrow" w:hAnsi="Arial Narrow" w:eastAsia="仿宋_GB2312" w:cs="仿宋_GB2312"/>
                <w:kern w:val="0"/>
                <w:sz w:val="20"/>
                <w:szCs w:val="20"/>
                <w:lang w:eastAsia="zh-CN"/>
              </w:rPr>
            </w:pPr>
            <w:r>
              <w:rPr>
                <w:rFonts w:hint="eastAsia" w:ascii="宋体" w:hAnsi="宋体" w:eastAsia="宋体" w:cs="宋体"/>
                <w:kern w:val="0"/>
                <w:sz w:val="20"/>
                <w:szCs w:val="20"/>
              </w:rPr>
              <w:t>①</w:t>
            </w:r>
            <w:r>
              <w:rPr>
                <w:rFonts w:ascii="Arial Narrow" w:hAnsi="Arial Narrow" w:cs="仿宋_GB2312"/>
                <w:kern w:val="0"/>
                <w:sz w:val="20"/>
                <w:szCs w:val="20"/>
              </w:rPr>
              <w:t xml:space="preserve">项目实施单位是否设置机构；        </w:t>
            </w:r>
          </w:p>
          <w:p>
            <w:pPr>
              <w:widowControl/>
              <w:spacing w:line="280" w:lineRule="exact"/>
              <w:ind w:firstLine="0" w:firstLineChars="0"/>
              <w:jc w:val="left"/>
              <w:textAlignment w:val="center"/>
              <w:rPr>
                <w:rFonts w:ascii="Arial Narrow" w:hAnsi="Arial Narrow" w:cs="仿宋_GB2312"/>
                <w:kern w:val="0"/>
                <w:sz w:val="20"/>
                <w:szCs w:val="20"/>
              </w:rPr>
            </w:pPr>
            <w:r>
              <w:rPr>
                <w:rFonts w:hint="eastAsia" w:ascii="宋体" w:hAnsi="宋体" w:eastAsia="宋体" w:cs="宋体"/>
                <w:kern w:val="0"/>
                <w:sz w:val="20"/>
                <w:szCs w:val="20"/>
              </w:rPr>
              <w:t>②</w:t>
            </w:r>
            <w:r>
              <w:rPr>
                <w:rFonts w:ascii="Arial Narrow" w:hAnsi="Arial Narrow" w:cs="仿宋_GB2312"/>
                <w:kern w:val="0"/>
                <w:sz w:val="20"/>
                <w:szCs w:val="20"/>
              </w:rPr>
              <w:t>充足的人员配备支持项目实施的后续运行。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2" w:hRule="atLeast"/>
        </w:trPr>
        <w:tc>
          <w:tcPr>
            <w:tcW w:w="582" w:type="dxa"/>
            <w:vMerge w:val="continue"/>
            <w:vAlign w:val="center"/>
          </w:tcPr>
          <w:p>
            <w:pPr>
              <w:widowControl/>
              <w:spacing w:line="280" w:lineRule="exact"/>
              <w:ind w:firstLine="0" w:firstLineChars="0"/>
              <w:jc w:val="center"/>
              <w:rPr>
                <w:rFonts w:ascii="Arial Narrow" w:hAnsi="Arial Narrow" w:cs="仿宋_GB2312"/>
                <w:sz w:val="20"/>
                <w:szCs w:val="20"/>
              </w:rPr>
            </w:pPr>
          </w:p>
        </w:tc>
        <w:tc>
          <w:tcPr>
            <w:tcW w:w="851"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政府部门及社会公众满意度（6</w:t>
            </w:r>
          </w:p>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分）</w:t>
            </w:r>
          </w:p>
        </w:tc>
        <w:tc>
          <w:tcPr>
            <w:tcW w:w="2268"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社区和街道服务人员、创建节能机构及节能机构工作人员，以及民众对项目实施效果的满意程度。</w:t>
            </w:r>
          </w:p>
        </w:tc>
        <w:tc>
          <w:tcPr>
            <w:tcW w:w="5029" w:type="dxa"/>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通过调查问卷的方式获取，社区和街道服务人员对数据使用的满意程度、创建节能机构及节能机构工作人员的满意程度、民众知晓度的满意程度。政府部门和社会公众整体满意度通过上述满意度加权计算。</w:t>
            </w:r>
          </w:p>
        </w:tc>
      </w:tr>
    </w:tbl>
    <w:p>
      <w:pPr>
        <w:spacing w:before="204" w:beforeLines="50"/>
        <w:ind w:firstLine="0" w:firstLineChars="0"/>
        <w:rPr>
          <w:rFonts w:ascii="Arial Narrow" w:hAnsi="Arial Narrow" w:cs="仿宋_GB2312"/>
        </w:rPr>
      </w:pPr>
      <w:r>
        <w:rPr>
          <w:rFonts w:ascii="Arial Narrow" w:hAnsi="Arial Narrow" w:cs="仿宋_GB2312"/>
        </w:rPr>
        <w:t>具体指标目标值、绩效标准、评分细则如下表所示：</w:t>
      </w:r>
    </w:p>
    <w:tbl>
      <w:tblPr>
        <w:tblStyle w:val="23"/>
        <w:tblW w:w="8641" w:type="dxa"/>
        <w:tblInd w:w="0" w:type="dxa"/>
        <w:tblLayout w:type="fixed"/>
        <w:tblCellMar>
          <w:top w:w="15" w:type="dxa"/>
          <w:left w:w="15" w:type="dxa"/>
          <w:bottom w:w="15" w:type="dxa"/>
          <w:right w:w="15" w:type="dxa"/>
        </w:tblCellMar>
      </w:tblPr>
      <w:tblGrid>
        <w:gridCol w:w="567"/>
        <w:gridCol w:w="1291"/>
        <w:gridCol w:w="567"/>
        <w:gridCol w:w="5245"/>
        <w:gridCol w:w="971"/>
      </w:tblGrid>
      <w:tr>
        <w:tblPrEx>
          <w:tblCellMar>
            <w:top w:w="15" w:type="dxa"/>
            <w:left w:w="15" w:type="dxa"/>
            <w:bottom w:w="15" w:type="dxa"/>
            <w:right w:w="15" w:type="dxa"/>
          </w:tblCellMar>
        </w:tblPrEx>
        <w:trPr>
          <w:trHeight w:val="482" w:hRule="atLeast"/>
          <w:tblHeader/>
        </w:trPr>
        <w:tc>
          <w:tcPr>
            <w:tcW w:w="185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center"/>
              <w:textAlignment w:val="center"/>
              <w:rPr>
                <w:rFonts w:ascii="Arial Narrow" w:hAnsi="Arial Narrow" w:cs="仿宋_GB2312"/>
                <w:sz w:val="20"/>
                <w:szCs w:val="20"/>
              </w:rPr>
            </w:pPr>
            <w:r>
              <w:rPr>
                <w:rFonts w:ascii="Arial Narrow" w:hAnsi="Arial Narrow" w:cs="仿宋_GB2312"/>
                <w:kern w:val="0"/>
                <w:sz w:val="20"/>
                <w:szCs w:val="20"/>
              </w:rPr>
              <w:t>指标名称（权重）</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center"/>
              <w:textAlignment w:val="center"/>
              <w:rPr>
                <w:rFonts w:ascii="Arial Narrow" w:hAnsi="Arial Narrow" w:cs="仿宋_GB2312"/>
                <w:sz w:val="20"/>
                <w:szCs w:val="20"/>
              </w:rPr>
            </w:pPr>
            <w:r>
              <w:rPr>
                <w:rFonts w:ascii="Arial Narrow" w:hAnsi="Arial Narrow" w:cs="仿宋_GB2312"/>
                <w:kern w:val="0"/>
                <w:sz w:val="20"/>
                <w:szCs w:val="20"/>
              </w:rPr>
              <w:t>参照值</w:t>
            </w:r>
          </w:p>
        </w:tc>
        <w:tc>
          <w:tcPr>
            <w:tcW w:w="5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center"/>
              <w:textAlignment w:val="center"/>
              <w:rPr>
                <w:rFonts w:ascii="Arial Narrow" w:hAnsi="Arial Narrow" w:cs="仿宋_GB2312"/>
                <w:sz w:val="20"/>
                <w:szCs w:val="20"/>
              </w:rPr>
            </w:pPr>
            <w:r>
              <w:rPr>
                <w:rFonts w:ascii="Arial Narrow" w:hAnsi="Arial Narrow" w:cs="仿宋_GB2312"/>
                <w:kern w:val="0"/>
                <w:sz w:val="20"/>
                <w:szCs w:val="20"/>
              </w:rPr>
              <w:t>评分细则</w:t>
            </w:r>
          </w:p>
        </w:tc>
        <w:tc>
          <w:tcPr>
            <w:tcW w:w="97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center"/>
              <w:textAlignment w:val="center"/>
              <w:rPr>
                <w:rFonts w:ascii="Arial Narrow" w:hAnsi="Arial Narrow" w:cs="仿宋_GB2312"/>
                <w:kern w:val="0"/>
                <w:sz w:val="20"/>
                <w:szCs w:val="20"/>
              </w:rPr>
            </w:pPr>
            <w:r>
              <w:rPr>
                <w:rFonts w:ascii="Arial Narrow" w:hAnsi="Arial Narrow" w:cs="仿宋_GB2312"/>
                <w:kern w:val="0"/>
                <w:sz w:val="20"/>
                <w:szCs w:val="20"/>
              </w:rPr>
              <w:t>绩效标准</w:t>
            </w:r>
          </w:p>
        </w:tc>
      </w:tr>
      <w:tr>
        <w:tblPrEx>
          <w:tblCellMar>
            <w:top w:w="15" w:type="dxa"/>
            <w:left w:w="15" w:type="dxa"/>
            <w:bottom w:w="15" w:type="dxa"/>
            <w:right w:w="15" w:type="dxa"/>
          </w:tblCellMar>
        </w:tblPrEx>
        <w:trPr>
          <w:trHeight w:val="580" w:hRule="atLeast"/>
        </w:trPr>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center"/>
              <w:textAlignment w:val="center"/>
              <w:rPr>
                <w:rFonts w:hint="eastAsia" w:ascii="Arial Narrow" w:hAnsi="Arial Narrow" w:eastAsia="仿宋_GB2312" w:cs="仿宋_GB2312"/>
                <w:kern w:val="0"/>
                <w:sz w:val="20"/>
                <w:szCs w:val="20"/>
                <w:lang w:eastAsia="zh-CN"/>
              </w:rPr>
            </w:pPr>
            <w:r>
              <w:rPr>
                <w:rFonts w:ascii="Arial Narrow" w:hAnsi="Arial Narrow" w:cs="仿宋_GB2312"/>
                <w:kern w:val="0"/>
                <w:sz w:val="20"/>
                <w:szCs w:val="20"/>
              </w:rPr>
              <w:t>项目</w:t>
            </w:r>
          </w:p>
          <w:p>
            <w:pPr>
              <w:widowControl/>
              <w:spacing w:line="280" w:lineRule="exact"/>
              <w:ind w:firstLine="0" w:firstLineChars="0"/>
              <w:jc w:val="center"/>
              <w:textAlignment w:val="center"/>
              <w:rPr>
                <w:rFonts w:ascii="Arial Narrow" w:hAnsi="Arial Narrow" w:cs="仿宋_GB2312"/>
                <w:sz w:val="20"/>
                <w:szCs w:val="20"/>
              </w:rPr>
            </w:pPr>
            <w:r>
              <w:rPr>
                <w:rFonts w:ascii="Arial Narrow" w:hAnsi="Arial Narrow" w:cs="仿宋_GB2312"/>
                <w:kern w:val="0"/>
                <w:sz w:val="20"/>
                <w:szCs w:val="20"/>
              </w:rPr>
              <w:t>立项</w:t>
            </w:r>
          </w:p>
        </w:tc>
        <w:tc>
          <w:tcPr>
            <w:tcW w:w="12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项目立项规范性（4分）</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　</w:t>
            </w:r>
          </w:p>
        </w:tc>
        <w:tc>
          <w:tcPr>
            <w:tcW w:w="5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hint="eastAsia" w:ascii="Arial Narrow" w:hAnsi="Arial Narrow" w:eastAsia="仿宋_GB2312" w:cs="仿宋_GB2312"/>
                <w:kern w:val="0"/>
                <w:sz w:val="20"/>
                <w:szCs w:val="20"/>
                <w:lang w:eastAsia="zh-CN"/>
              </w:rPr>
            </w:pPr>
            <w:r>
              <w:rPr>
                <w:rFonts w:ascii="Arial Narrow" w:hAnsi="Arial Narrow" w:cs="仿宋_GB2312"/>
                <w:kern w:val="0"/>
                <w:sz w:val="20"/>
                <w:szCs w:val="20"/>
              </w:rPr>
              <w:t>项目按照武汉市公共机构节能办要求规划相关的公共节能机构项目，计2分，</w:t>
            </w:r>
          </w:p>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项目按照规定的程序申请设立，提交的文件、材料符合相关要求，计2分。</w:t>
            </w:r>
          </w:p>
        </w:tc>
        <w:tc>
          <w:tcPr>
            <w:tcW w:w="97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　</w:t>
            </w:r>
          </w:p>
        </w:tc>
      </w:tr>
      <w:tr>
        <w:tblPrEx>
          <w:tblCellMar>
            <w:top w:w="15" w:type="dxa"/>
            <w:left w:w="15" w:type="dxa"/>
            <w:bottom w:w="15" w:type="dxa"/>
            <w:right w:w="15" w:type="dxa"/>
          </w:tblCellMar>
        </w:tblPrEx>
        <w:trPr>
          <w:trHeight w:val="770"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center"/>
              <w:rPr>
                <w:rFonts w:ascii="Arial Narrow" w:hAnsi="Arial Narrow" w:cs="仿宋_GB2312"/>
                <w:sz w:val="20"/>
                <w:szCs w:val="20"/>
              </w:rPr>
            </w:pPr>
          </w:p>
        </w:tc>
        <w:tc>
          <w:tcPr>
            <w:tcW w:w="12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绩效目标合理性（4分）</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　</w:t>
            </w:r>
          </w:p>
        </w:tc>
        <w:tc>
          <w:tcPr>
            <w:tcW w:w="5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项目设定长期目标、年度目标和绩效指标，计1分，                                                                                                              目标和指标的设计符合目标管理规范，计1分，                                                                                                                      绩效目标和完成情况的对比考核目标设立的合理性，计1分，                                                                                                             绩效指标具有可测性，计1分。</w:t>
            </w:r>
          </w:p>
        </w:tc>
        <w:tc>
          <w:tcPr>
            <w:tcW w:w="97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　</w:t>
            </w:r>
          </w:p>
        </w:tc>
      </w:tr>
      <w:tr>
        <w:tblPrEx>
          <w:tblCellMar>
            <w:top w:w="15" w:type="dxa"/>
            <w:left w:w="15" w:type="dxa"/>
            <w:bottom w:w="15" w:type="dxa"/>
            <w:right w:w="15" w:type="dxa"/>
          </w:tblCellMar>
        </w:tblPrEx>
        <w:trPr>
          <w:trHeight w:val="245" w:hRule="atLeast"/>
        </w:trPr>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center"/>
              <w:textAlignment w:val="center"/>
              <w:rPr>
                <w:rFonts w:hint="eastAsia" w:ascii="Arial Narrow" w:hAnsi="Arial Narrow" w:eastAsia="仿宋_GB2312" w:cs="仿宋_GB2312"/>
                <w:kern w:val="0"/>
                <w:sz w:val="20"/>
                <w:szCs w:val="20"/>
                <w:lang w:eastAsia="zh-CN"/>
              </w:rPr>
            </w:pPr>
            <w:r>
              <w:rPr>
                <w:rFonts w:ascii="Arial Narrow" w:hAnsi="Arial Narrow" w:cs="仿宋_GB2312"/>
                <w:kern w:val="0"/>
                <w:sz w:val="20"/>
                <w:szCs w:val="20"/>
              </w:rPr>
              <w:t>资金</w:t>
            </w:r>
          </w:p>
          <w:p>
            <w:pPr>
              <w:widowControl/>
              <w:spacing w:line="280" w:lineRule="exact"/>
              <w:ind w:firstLine="0" w:firstLineChars="0"/>
              <w:jc w:val="center"/>
              <w:textAlignment w:val="center"/>
              <w:rPr>
                <w:rFonts w:ascii="Arial Narrow" w:hAnsi="Arial Narrow" w:cs="仿宋_GB2312"/>
                <w:sz w:val="20"/>
                <w:szCs w:val="20"/>
              </w:rPr>
            </w:pPr>
            <w:r>
              <w:rPr>
                <w:rFonts w:ascii="Arial Narrow" w:hAnsi="Arial Narrow" w:cs="仿宋_GB2312"/>
                <w:kern w:val="0"/>
                <w:sz w:val="20"/>
                <w:szCs w:val="20"/>
              </w:rPr>
              <w:t>落实</w:t>
            </w:r>
          </w:p>
        </w:tc>
        <w:tc>
          <w:tcPr>
            <w:tcW w:w="12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资金到位率（4分）</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100%</w:t>
            </w:r>
          </w:p>
        </w:tc>
        <w:tc>
          <w:tcPr>
            <w:tcW w:w="5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资金到位率达到100%，计4分，每降低10%，扣1分。</w:t>
            </w:r>
          </w:p>
        </w:tc>
        <w:tc>
          <w:tcPr>
            <w:tcW w:w="97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计划标准</w:t>
            </w:r>
          </w:p>
        </w:tc>
      </w:tr>
      <w:tr>
        <w:tblPrEx>
          <w:tblCellMar>
            <w:top w:w="15" w:type="dxa"/>
            <w:left w:w="15" w:type="dxa"/>
            <w:bottom w:w="15" w:type="dxa"/>
            <w:right w:w="15" w:type="dxa"/>
          </w:tblCellMar>
        </w:tblPrEx>
        <w:trPr>
          <w:trHeight w:val="211"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center"/>
              <w:rPr>
                <w:rFonts w:ascii="Arial Narrow" w:hAnsi="Arial Narrow" w:cs="仿宋_GB2312"/>
                <w:sz w:val="20"/>
                <w:szCs w:val="20"/>
              </w:rPr>
            </w:pPr>
          </w:p>
        </w:tc>
        <w:tc>
          <w:tcPr>
            <w:tcW w:w="12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到位及时率（4分）</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100%</w:t>
            </w:r>
          </w:p>
        </w:tc>
        <w:tc>
          <w:tcPr>
            <w:tcW w:w="5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资金的到位及时率达到100%计4分，每降低10%，扣1分。</w:t>
            </w:r>
          </w:p>
        </w:tc>
        <w:tc>
          <w:tcPr>
            <w:tcW w:w="97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计划标准</w:t>
            </w:r>
          </w:p>
        </w:tc>
      </w:tr>
      <w:tr>
        <w:tblPrEx>
          <w:tblCellMar>
            <w:top w:w="15" w:type="dxa"/>
            <w:left w:w="15" w:type="dxa"/>
            <w:bottom w:w="15" w:type="dxa"/>
            <w:right w:w="15" w:type="dxa"/>
          </w:tblCellMar>
        </w:tblPrEx>
        <w:trPr>
          <w:trHeight w:val="509" w:hRule="atLeast"/>
        </w:trPr>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center"/>
              <w:textAlignment w:val="center"/>
              <w:rPr>
                <w:rFonts w:hint="eastAsia" w:ascii="Arial Narrow" w:hAnsi="Arial Narrow" w:eastAsia="仿宋_GB2312" w:cs="仿宋_GB2312"/>
                <w:kern w:val="0"/>
                <w:sz w:val="20"/>
                <w:szCs w:val="20"/>
                <w:lang w:eastAsia="zh-CN"/>
              </w:rPr>
            </w:pPr>
            <w:r>
              <w:rPr>
                <w:rFonts w:ascii="Arial Narrow" w:hAnsi="Arial Narrow" w:cs="仿宋_GB2312"/>
                <w:kern w:val="0"/>
                <w:sz w:val="20"/>
                <w:szCs w:val="20"/>
              </w:rPr>
              <w:t>项目</w:t>
            </w:r>
          </w:p>
          <w:p>
            <w:pPr>
              <w:widowControl/>
              <w:spacing w:line="280" w:lineRule="exact"/>
              <w:ind w:firstLine="0" w:firstLineChars="0"/>
              <w:jc w:val="center"/>
              <w:textAlignment w:val="center"/>
              <w:rPr>
                <w:rFonts w:ascii="Arial Narrow" w:hAnsi="Arial Narrow" w:cs="仿宋_GB2312"/>
                <w:sz w:val="20"/>
                <w:szCs w:val="20"/>
              </w:rPr>
            </w:pPr>
            <w:r>
              <w:rPr>
                <w:rFonts w:ascii="Arial Narrow" w:hAnsi="Arial Narrow" w:cs="仿宋_GB2312"/>
                <w:kern w:val="0"/>
                <w:sz w:val="20"/>
                <w:szCs w:val="20"/>
              </w:rPr>
              <w:t>管理</w:t>
            </w:r>
          </w:p>
        </w:tc>
        <w:tc>
          <w:tcPr>
            <w:tcW w:w="12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管理制度健全性（4分）</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　</w:t>
            </w:r>
          </w:p>
        </w:tc>
        <w:tc>
          <w:tcPr>
            <w:tcW w:w="5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项目实施单位已制定或具有相应的项目管理制度，计2分；                                                                                                                   项目管理制度符合武汉市公共机构节能办的相关规定，计2分。</w:t>
            </w:r>
          </w:p>
        </w:tc>
        <w:tc>
          <w:tcPr>
            <w:tcW w:w="97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　</w:t>
            </w:r>
          </w:p>
        </w:tc>
      </w:tr>
      <w:tr>
        <w:tblPrEx>
          <w:tblCellMar>
            <w:top w:w="15" w:type="dxa"/>
            <w:left w:w="15" w:type="dxa"/>
            <w:bottom w:w="15" w:type="dxa"/>
            <w:right w:w="15" w:type="dxa"/>
          </w:tblCellMar>
        </w:tblPrEx>
        <w:trPr>
          <w:trHeight w:val="650"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center"/>
              <w:rPr>
                <w:rFonts w:ascii="Arial Narrow" w:hAnsi="Arial Narrow" w:cs="仿宋_GB2312"/>
                <w:sz w:val="20"/>
                <w:szCs w:val="20"/>
              </w:rPr>
            </w:pPr>
          </w:p>
        </w:tc>
        <w:tc>
          <w:tcPr>
            <w:tcW w:w="12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制度执行有效性（4分）</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　</w:t>
            </w:r>
          </w:p>
        </w:tc>
        <w:tc>
          <w:tcPr>
            <w:tcW w:w="5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项目实施过程遵守《中华人民共和国节约能源法》，计2分；                                                                                                              执行项目管理程序及制定相应的项目管理制度，如工作制度、考核检查制度等，计2分；</w:t>
            </w:r>
          </w:p>
        </w:tc>
        <w:tc>
          <w:tcPr>
            <w:tcW w:w="97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　</w:t>
            </w:r>
          </w:p>
        </w:tc>
      </w:tr>
      <w:tr>
        <w:tblPrEx>
          <w:tblCellMar>
            <w:top w:w="15" w:type="dxa"/>
            <w:left w:w="15" w:type="dxa"/>
            <w:bottom w:w="15" w:type="dxa"/>
            <w:right w:w="15" w:type="dxa"/>
          </w:tblCellMar>
        </w:tblPrEx>
        <w:trPr>
          <w:trHeight w:val="1233"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center"/>
              <w:rPr>
                <w:rFonts w:ascii="Arial Narrow" w:hAnsi="Arial Narrow" w:cs="仿宋_GB2312"/>
                <w:sz w:val="20"/>
                <w:szCs w:val="20"/>
              </w:rPr>
            </w:pPr>
          </w:p>
        </w:tc>
        <w:tc>
          <w:tcPr>
            <w:tcW w:w="12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项目质量可控性（4分）</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　</w:t>
            </w:r>
          </w:p>
        </w:tc>
        <w:tc>
          <w:tcPr>
            <w:tcW w:w="5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制定或具有相应的项目质量要求或考核办法，计1分；                                                                                                       采取了相应的项目质量检查、验收等必需的控制措施或手段，计2分；                                                                                                                                                  项目档案资料完整并及时整理归档，计1分。</w:t>
            </w:r>
          </w:p>
        </w:tc>
        <w:tc>
          <w:tcPr>
            <w:tcW w:w="97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　</w:t>
            </w:r>
          </w:p>
        </w:tc>
      </w:tr>
      <w:tr>
        <w:tblPrEx>
          <w:tblCellMar>
            <w:top w:w="15" w:type="dxa"/>
            <w:left w:w="15" w:type="dxa"/>
            <w:bottom w:w="15" w:type="dxa"/>
            <w:right w:w="15" w:type="dxa"/>
          </w:tblCellMar>
        </w:tblPrEx>
        <w:trPr>
          <w:trHeight w:val="460" w:hRule="atLeast"/>
        </w:trPr>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center"/>
              <w:textAlignment w:val="center"/>
              <w:rPr>
                <w:rFonts w:hint="eastAsia" w:ascii="Arial Narrow" w:hAnsi="Arial Narrow" w:eastAsia="仿宋_GB2312" w:cs="仿宋_GB2312"/>
                <w:kern w:val="0"/>
                <w:sz w:val="20"/>
                <w:szCs w:val="20"/>
                <w:lang w:eastAsia="zh-CN"/>
              </w:rPr>
            </w:pPr>
            <w:r>
              <w:rPr>
                <w:rFonts w:ascii="Arial Narrow" w:hAnsi="Arial Narrow" w:cs="仿宋_GB2312"/>
                <w:kern w:val="0"/>
                <w:sz w:val="20"/>
                <w:szCs w:val="20"/>
              </w:rPr>
              <w:t>财务</w:t>
            </w:r>
          </w:p>
          <w:p>
            <w:pPr>
              <w:widowControl/>
              <w:spacing w:line="280" w:lineRule="exact"/>
              <w:ind w:firstLine="0" w:firstLineChars="0"/>
              <w:jc w:val="center"/>
              <w:textAlignment w:val="center"/>
              <w:rPr>
                <w:rFonts w:ascii="Arial Narrow" w:hAnsi="Arial Narrow" w:cs="仿宋_GB2312"/>
                <w:sz w:val="20"/>
                <w:szCs w:val="20"/>
              </w:rPr>
            </w:pPr>
            <w:r>
              <w:rPr>
                <w:rFonts w:ascii="Arial Narrow" w:hAnsi="Arial Narrow" w:cs="仿宋_GB2312"/>
                <w:kern w:val="0"/>
                <w:sz w:val="20"/>
                <w:szCs w:val="20"/>
              </w:rPr>
              <w:t>管理</w:t>
            </w:r>
          </w:p>
        </w:tc>
        <w:tc>
          <w:tcPr>
            <w:tcW w:w="12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财务制度健全性（4分）</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　</w:t>
            </w:r>
          </w:p>
        </w:tc>
        <w:tc>
          <w:tcPr>
            <w:tcW w:w="5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项目实施单位已制定或具有相应的财务管理制度，如会计核算管理制度、会计报表管理制度、经费报销规定、公积金及医保管理办法等，计3分，每减少一种管理制度，扣1分；                                                                                                                                    项目资金管理办法符合相关财务会计制度的规定，计1分。</w:t>
            </w:r>
          </w:p>
        </w:tc>
        <w:tc>
          <w:tcPr>
            <w:tcW w:w="97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　</w:t>
            </w:r>
          </w:p>
        </w:tc>
      </w:tr>
      <w:tr>
        <w:tblPrEx>
          <w:tblCellMar>
            <w:top w:w="15" w:type="dxa"/>
            <w:left w:w="15" w:type="dxa"/>
            <w:bottom w:w="15" w:type="dxa"/>
            <w:right w:w="15" w:type="dxa"/>
          </w:tblCellMar>
        </w:tblPrEx>
        <w:trPr>
          <w:trHeight w:val="480"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center"/>
              <w:rPr>
                <w:rFonts w:ascii="Arial Narrow" w:hAnsi="Arial Narrow" w:cs="仿宋_GB2312"/>
                <w:sz w:val="20"/>
                <w:szCs w:val="20"/>
              </w:rPr>
            </w:pPr>
          </w:p>
        </w:tc>
        <w:tc>
          <w:tcPr>
            <w:tcW w:w="12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资金使用合规性（4分）</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　</w:t>
            </w:r>
          </w:p>
        </w:tc>
        <w:tc>
          <w:tcPr>
            <w:tcW w:w="5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hint="eastAsia" w:ascii="Arial Narrow" w:hAnsi="Arial Narrow" w:eastAsia="仿宋_GB2312" w:cs="仿宋_GB2312"/>
                <w:kern w:val="0"/>
                <w:sz w:val="20"/>
                <w:szCs w:val="20"/>
                <w:lang w:eastAsia="zh-CN"/>
              </w:rPr>
            </w:pPr>
            <w:r>
              <w:rPr>
                <w:rFonts w:ascii="Arial Narrow" w:hAnsi="Arial Narrow" w:cs="仿宋_GB2312"/>
                <w:kern w:val="0"/>
                <w:sz w:val="20"/>
                <w:szCs w:val="20"/>
              </w:rPr>
              <w:t>项目支出符合国家财经法规和财务管理制度以及有关专项资金管理办法的规定，计2分；</w:t>
            </w:r>
          </w:p>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不存在截留、挤占、挪用、虚列支出等情况，计2分。</w:t>
            </w:r>
          </w:p>
        </w:tc>
        <w:tc>
          <w:tcPr>
            <w:tcW w:w="97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　</w:t>
            </w:r>
          </w:p>
        </w:tc>
      </w:tr>
      <w:tr>
        <w:tblPrEx>
          <w:tblCellMar>
            <w:top w:w="15" w:type="dxa"/>
            <w:left w:w="15" w:type="dxa"/>
            <w:bottom w:w="15" w:type="dxa"/>
            <w:right w:w="15" w:type="dxa"/>
          </w:tblCellMar>
        </w:tblPrEx>
        <w:trPr>
          <w:trHeight w:val="925"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center"/>
              <w:rPr>
                <w:rFonts w:ascii="Arial Narrow" w:hAnsi="Arial Narrow" w:cs="仿宋_GB2312"/>
                <w:sz w:val="20"/>
                <w:szCs w:val="20"/>
              </w:rPr>
            </w:pPr>
          </w:p>
        </w:tc>
        <w:tc>
          <w:tcPr>
            <w:tcW w:w="12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财务监控有效性（4分）</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　</w:t>
            </w:r>
          </w:p>
        </w:tc>
        <w:tc>
          <w:tcPr>
            <w:tcW w:w="5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hint="eastAsia" w:ascii="Arial Narrow" w:hAnsi="Arial Narrow" w:eastAsia="仿宋_GB2312" w:cs="仿宋_GB2312"/>
                <w:kern w:val="0"/>
                <w:sz w:val="20"/>
                <w:szCs w:val="20"/>
                <w:lang w:eastAsia="zh-CN"/>
              </w:rPr>
            </w:pPr>
            <w:r>
              <w:rPr>
                <w:rFonts w:ascii="Arial Narrow" w:hAnsi="Arial Narrow" w:cs="仿宋_GB2312"/>
                <w:kern w:val="0"/>
                <w:sz w:val="20"/>
                <w:szCs w:val="20"/>
              </w:rPr>
              <w:t>对于项目的重大开支，项目实施单位有进行集体决策和评估认证计2分；</w:t>
            </w:r>
          </w:p>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资金的拨付有完整的审批程序和手续，计2分。</w:t>
            </w:r>
          </w:p>
        </w:tc>
        <w:tc>
          <w:tcPr>
            <w:tcW w:w="97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　</w:t>
            </w:r>
          </w:p>
        </w:tc>
      </w:tr>
      <w:tr>
        <w:tblPrEx>
          <w:tblCellMar>
            <w:top w:w="15" w:type="dxa"/>
            <w:left w:w="15" w:type="dxa"/>
            <w:bottom w:w="15" w:type="dxa"/>
            <w:right w:w="15" w:type="dxa"/>
          </w:tblCellMar>
        </w:tblPrEx>
        <w:trPr>
          <w:trHeight w:val="930" w:hRule="atLeast"/>
        </w:trPr>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center"/>
              <w:textAlignment w:val="center"/>
              <w:rPr>
                <w:rFonts w:hint="eastAsia" w:ascii="Arial Narrow" w:hAnsi="Arial Narrow" w:eastAsia="仿宋_GB2312" w:cs="仿宋_GB2312"/>
                <w:kern w:val="0"/>
                <w:sz w:val="20"/>
                <w:szCs w:val="20"/>
                <w:lang w:eastAsia="zh-CN"/>
              </w:rPr>
            </w:pPr>
            <w:r>
              <w:rPr>
                <w:rFonts w:ascii="Arial Narrow" w:hAnsi="Arial Narrow" w:cs="仿宋_GB2312"/>
                <w:kern w:val="0"/>
                <w:sz w:val="20"/>
                <w:szCs w:val="20"/>
              </w:rPr>
              <w:t>项目</w:t>
            </w:r>
          </w:p>
          <w:p>
            <w:pPr>
              <w:widowControl/>
              <w:spacing w:line="280" w:lineRule="exact"/>
              <w:ind w:firstLine="0" w:firstLineChars="0"/>
              <w:jc w:val="center"/>
              <w:textAlignment w:val="center"/>
              <w:rPr>
                <w:rFonts w:ascii="Arial Narrow" w:hAnsi="Arial Narrow" w:cs="仿宋_GB2312"/>
                <w:sz w:val="20"/>
                <w:szCs w:val="20"/>
              </w:rPr>
            </w:pPr>
            <w:r>
              <w:rPr>
                <w:rFonts w:ascii="Arial Narrow" w:hAnsi="Arial Narrow" w:cs="仿宋_GB2312"/>
                <w:kern w:val="0"/>
                <w:sz w:val="20"/>
                <w:szCs w:val="20"/>
              </w:rPr>
              <w:t>产出</w:t>
            </w:r>
          </w:p>
        </w:tc>
        <w:tc>
          <w:tcPr>
            <w:tcW w:w="12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节能项目完工率（5分）</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100%</w:t>
            </w:r>
          </w:p>
        </w:tc>
        <w:tc>
          <w:tcPr>
            <w:tcW w:w="5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节能项目完工率达到100%，计3分，每减少10%，扣1分。</w:t>
            </w:r>
            <w:r>
              <w:rPr>
                <w:rFonts w:ascii="Arial Narrow" w:hAnsi="Arial Narrow" w:cs="仿宋_GB2312"/>
                <w:kern w:val="0"/>
                <w:sz w:val="20"/>
                <w:szCs w:val="20"/>
              </w:rPr>
              <w:br w:type="page"/>
            </w:r>
            <w:r>
              <w:rPr>
                <w:rFonts w:ascii="Arial Narrow" w:hAnsi="Arial Narrow" w:cs="仿宋_GB2312"/>
                <w:kern w:val="0"/>
                <w:sz w:val="20"/>
                <w:szCs w:val="20"/>
              </w:rPr>
              <w:t>节能项目验收合格率达到100%，计2分，验收合格率达到50%，计1分，否则0分。</w:t>
            </w:r>
          </w:p>
        </w:tc>
        <w:tc>
          <w:tcPr>
            <w:tcW w:w="97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计划标准</w:t>
            </w:r>
          </w:p>
        </w:tc>
      </w:tr>
      <w:tr>
        <w:tblPrEx>
          <w:tblCellMar>
            <w:top w:w="15" w:type="dxa"/>
            <w:left w:w="15" w:type="dxa"/>
            <w:bottom w:w="15" w:type="dxa"/>
            <w:right w:w="15" w:type="dxa"/>
          </w:tblCellMar>
        </w:tblPrEx>
        <w:trPr>
          <w:trHeight w:val="412"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center"/>
              <w:rPr>
                <w:rFonts w:ascii="Arial Narrow" w:hAnsi="Arial Narrow" w:cs="仿宋_GB2312"/>
                <w:sz w:val="20"/>
                <w:szCs w:val="20"/>
              </w:rPr>
            </w:pPr>
          </w:p>
        </w:tc>
        <w:tc>
          <w:tcPr>
            <w:tcW w:w="12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监督检查完成率（5分）</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100%</w:t>
            </w:r>
          </w:p>
        </w:tc>
        <w:tc>
          <w:tcPr>
            <w:tcW w:w="5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监督检查完成率达到100%，计5分，每减少10%，扣0.5分。</w:t>
            </w:r>
          </w:p>
        </w:tc>
        <w:tc>
          <w:tcPr>
            <w:tcW w:w="97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计划标准</w:t>
            </w:r>
          </w:p>
        </w:tc>
      </w:tr>
      <w:tr>
        <w:tblPrEx>
          <w:tblCellMar>
            <w:top w:w="15" w:type="dxa"/>
            <w:left w:w="15" w:type="dxa"/>
            <w:bottom w:w="15" w:type="dxa"/>
            <w:right w:w="15" w:type="dxa"/>
          </w:tblCellMar>
        </w:tblPrEx>
        <w:trPr>
          <w:trHeight w:val="55"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center"/>
              <w:rPr>
                <w:rFonts w:ascii="Arial Narrow" w:hAnsi="Arial Narrow" w:cs="仿宋_GB2312"/>
                <w:sz w:val="20"/>
                <w:szCs w:val="20"/>
              </w:rPr>
            </w:pPr>
          </w:p>
        </w:tc>
        <w:tc>
          <w:tcPr>
            <w:tcW w:w="12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省级节能机构创建数（5分）</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2</w:t>
            </w:r>
          </w:p>
        </w:tc>
        <w:tc>
          <w:tcPr>
            <w:tcW w:w="5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全部完成计5分，一项未完成，扣2分。</w:t>
            </w:r>
          </w:p>
        </w:tc>
        <w:tc>
          <w:tcPr>
            <w:tcW w:w="97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计划标准</w:t>
            </w:r>
          </w:p>
        </w:tc>
      </w:tr>
      <w:tr>
        <w:tblPrEx>
          <w:tblCellMar>
            <w:top w:w="15" w:type="dxa"/>
            <w:left w:w="15" w:type="dxa"/>
            <w:bottom w:w="15" w:type="dxa"/>
            <w:right w:w="15" w:type="dxa"/>
          </w:tblCellMar>
        </w:tblPrEx>
        <w:trPr>
          <w:trHeight w:val="339"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center"/>
              <w:rPr>
                <w:rFonts w:ascii="Arial Narrow" w:hAnsi="Arial Narrow" w:cs="仿宋_GB2312"/>
                <w:sz w:val="20"/>
                <w:szCs w:val="20"/>
              </w:rPr>
            </w:pPr>
          </w:p>
        </w:tc>
        <w:tc>
          <w:tcPr>
            <w:tcW w:w="12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数据上报及时率（4分）</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100%</w:t>
            </w:r>
          </w:p>
        </w:tc>
        <w:tc>
          <w:tcPr>
            <w:tcW w:w="5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数据上报及时率达到100%计4分，每降低10%，扣1分。</w:t>
            </w:r>
          </w:p>
        </w:tc>
        <w:tc>
          <w:tcPr>
            <w:tcW w:w="97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计划标准</w:t>
            </w:r>
          </w:p>
        </w:tc>
      </w:tr>
      <w:tr>
        <w:tblPrEx>
          <w:tblCellMar>
            <w:top w:w="15" w:type="dxa"/>
            <w:left w:w="15" w:type="dxa"/>
            <w:bottom w:w="15" w:type="dxa"/>
            <w:right w:w="15" w:type="dxa"/>
          </w:tblCellMar>
        </w:tblPrEx>
        <w:trPr>
          <w:trHeight w:val="311"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center"/>
              <w:rPr>
                <w:rFonts w:ascii="Arial Narrow" w:hAnsi="Arial Narrow" w:cs="仿宋_GB2312"/>
                <w:sz w:val="20"/>
                <w:szCs w:val="20"/>
              </w:rPr>
            </w:pPr>
          </w:p>
        </w:tc>
        <w:tc>
          <w:tcPr>
            <w:tcW w:w="12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资金使用率（4分）</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≥95%</w:t>
            </w:r>
          </w:p>
        </w:tc>
        <w:tc>
          <w:tcPr>
            <w:tcW w:w="5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资金使用率超过95%计4分，每降低10%，扣1分。</w:t>
            </w:r>
          </w:p>
        </w:tc>
        <w:tc>
          <w:tcPr>
            <w:tcW w:w="97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计划标准</w:t>
            </w:r>
          </w:p>
        </w:tc>
      </w:tr>
      <w:tr>
        <w:tblPrEx>
          <w:tblCellMar>
            <w:top w:w="15" w:type="dxa"/>
            <w:left w:w="15" w:type="dxa"/>
            <w:bottom w:w="15" w:type="dxa"/>
            <w:right w:w="15" w:type="dxa"/>
          </w:tblCellMar>
        </w:tblPrEx>
        <w:trPr>
          <w:trHeight w:val="419"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center"/>
              <w:rPr>
                <w:rFonts w:ascii="Arial Narrow" w:hAnsi="Arial Narrow" w:cs="仿宋_GB2312"/>
                <w:sz w:val="20"/>
                <w:szCs w:val="20"/>
              </w:rPr>
            </w:pPr>
          </w:p>
        </w:tc>
        <w:tc>
          <w:tcPr>
            <w:tcW w:w="12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宣传方式多样性（5分）</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3</w:t>
            </w:r>
          </w:p>
        </w:tc>
        <w:tc>
          <w:tcPr>
            <w:tcW w:w="5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项目实施过程中，所采取的宣传活动的形式超过3种，计5分，每少一类扣1分。</w:t>
            </w:r>
          </w:p>
        </w:tc>
        <w:tc>
          <w:tcPr>
            <w:tcW w:w="97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计划标准</w:t>
            </w:r>
          </w:p>
        </w:tc>
      </w:tr>
      <w:tr>
        <w:tblPrEx>
          <w:tblCellMar>
            <w:top w:w="15" w:type="dxa"/>
            <w:left w:w="15" w:type="dxa"/>
            <w:bottom w:w="15" w:type="dxa"/>
            <w:right w:w="15" w:type="dxa"/>
          </w:tblCellMar>
        </w:tblPrEx>
        <w:trPr>
          <w:trHeight w:val="55" w:hRule="atLeast"/>
        </w:trPr>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center"/>
              <w:textAlignment w:val="center"/>
              <w:rPr>
                <w:rFonts w:hint="eastAsia" w:ascii="Arial Narrow" w:hAnsi="Arial Narrow" w:eastAsia="仿宋_GB2312" w:cs="仿宋_GB2312"/>
                <w:kern w:val="0"/>
                <w:sz w:val="20"/>
                <w:szCs w:val="20"/>
                <w:lang w:eastAsia="zh-CN"/>
              </w:rPr>
            </w:pPr>
            <w:r>
              <w:rPr>
                <w:rFonts w:ascii="Arial Narrow" w:hAnsi="Arial Narrow" w:cs="仿宋_GB2312"/>
                <w:kern w:val="0"/>
                <w:sz w:val="20"/>
                <w:szCs w:val="20"/>
              </w:rPr>
              <w:t>项目</w:t>
            </w:r>
          </w:p>
          <w:p>
            <w:pPr>
              <w:widowControl/>
              <w:spacing w:line="280" w:lineRule="exact"/>
              <w:ind w:firstLine="0" w:firstLineChars="0"/>
              <w:jc w:val="center"/>
              <w:textAlignment w:val="center"/>
              <w:rPr>
                <w:rFonts w:ascii="Arial Narrow" w:hAnsi="Arial Narrow" w:cs="仿宋_GB2312"/>
                <w:sz w:val="20"/>
                <w:szCs w:val="20"/>
              </w:rPr>
            </w:pPr>
            <w:r>
              <w:rPr>
                <w:rFonts w:ascii="Arial Narrow" w:hAnsi="Arial Narrow" w:cs="仿宋_GB2312"/>
                <w:kern w:val="0"/>
                <w:sz w:val="20"/>
                <w:szCs w:val="20"/>
              </w:rPr>
              <w:t>效益</w:t>
            </w:r>
          </w:p>
        </w:tc>
        <w:tc>
          <w:tcPr>
            <w:tcW w:w="12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人均能耗降低率（5分）</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100%</w:t>
            </w:r>
          </w:p>
        </w:tc>
        <w:tc>
          <w:tcPr>
            <w:tcW w:w="5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人均能耗降低率达到100%，计4分，每降低10%，扣0.5分。</w:t>
            </w:r>
          </w:p>
        </w:tc>
        <w:tc>
          <w:tcPr>
            <w:tcW w:w="97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计划标准</w:t>
            </w:r>
          </w:p>
        </w:tc>
      </w:tr>
      <w:tr>
        <w:tblPrEx>
          <w:tblCellMar>
            <w:top w:w="15" w:type="dxa"/>
            <w:left w:w="15" w:type="dxa"/>
            <w:bottom w:w="15" w:type="dxa"/>
            <w:right w:w="15" w:type="dxa"/>
          </w:tblCellMar>
        </w:tblPrEx>
        <w:trPr>
          <w:trHeight w:val="351"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center"/>
              <w:rPr>
                <w:rFonts w:ascii="Arial Narrow" w:hAnsi="Arial Narrow" w:cs="仿宋_GB2312"/>
                <w:sz w:val="20"/>
                <w:szCs w:val="20"/>
              </w:rPr>
            </w:pPr>
          </w:p>
        </w:tc>
        <w:tc>
          <w:tcPr>
            <w:tcW w:w="12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宣传知晓率（6分）</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≥80%</w:t>
            </w:r>
          </w:p>
        </w:tc>
        <w:tc>
          <w:tcPr>
            <w:tcW w:w="5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 xml:space="preserve">宣传知晓率超过80%，计3分，每降低10%，扣1分；                                                                                                              </w:t>
            </w:r>
          </w:p>
        </w:tc>
        <w:tc>
          <w:tcPr>
            <w:tcW w:w="97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计划标准</w:t>
            </w:r>
          </w:p>
        </w:tc>
      </w:tr>
      <w:tr>
        <w:tblPrEx>
          <w:tblCellMar>
            <w:top w:w="15" w:type="dxa"/>
            <w:left w:w="15" w:type="dxa"/>
            <w:bottom w:w="15" w:type="dxa"/>
            <w:right w:w="15" w:type="dxa"/>
          </w:tblCellMar>
        </w:tblPrEx>
        <w:trPr>
          <w:trHeight w:val="90"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center"/>
              <w:rPr>
                <w:rFonts w:ascii="Arial Narrow" w:hAnsi="Arial Narrow" w:cs="仿宋_GB2312"/>
                <w:sz w:val="20"/>
                <w:szCs w:val="20"/>
              </w:rPr>
            </w:pPr>
          </w:p>
        </w:tc>
        <w:tc>
          <w:tcPr>
            <w:tcW w:w="12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节能系统普及率（5分）</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≥50%</w:t>
            </w:r>
          </w:p>
        </w:tc>
        <w:tc>
          <w:tcPr>
            <w:tcW w:w="5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节能系统普及率超过50%计5分，每降低10%，扣0.5分。</w:t>
            </w:r>
          </w:p>
        </w:tc>
        <w:tc>
          <w:tcPr>
            <w:tcW w:w="97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计划标准</w:t>
            </w:r>
          </w:p>
        </w:tc>
      </w:tr>
      <w:tr>
        <w:tblPrEx>
          <w:tblCellMar>
            <w:top w:w="15" w:type="dxa"/>
            <w:left w:w="15" w:type="dxa"/>
            <w:bottom w:w="15" w:type="dxa"/>
            <w:right w:w="15" w:type="dxa"/>
          </w:tblCellMar>
        </w:tblPrEx>
        <w:trPr>
          <w:trHeight w:val="480"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center"/>
              <w:rPr>
                <w:rFonts w:ascii="Arial Narrow" w:hAnsi="Arial Narrow" w:cs="仿宋_GB2312"/>
                <w:sz w:val="20"/>
                <w:szCs w:val="20"/>
              </w:rPr>
            </w:pPr>
          </w:p>
        </w:tc>
        <w:tc>
          <w:tcPr>
            <w:tcW w:w="12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节能建设覆盖率（5分）</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≥90%</w:t>
            </w:r>
          </w:p>
        </w:tc>
        <w:tc>
          <w:tcPr>
            <w:tcW w:w="5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节能机构建设覆盖率超过90%计5分，每降低10%，扣1分。</w:t>
            </w:r>
          </w:p>
        </w:tc>
        <w:tc>
          <w:tcPr>
            <w:tcW w:w="97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计划标准</w:t>
            </w:r>
          </w:p>
        </w:tc>
      </w:tr>
      <w:tr>
        <w:tblPrEx>
          <w:tblCellMar>
            <w:top w:w="15" w:type="dxa"/>
            <w:left w:w="15" w:type="dxa"/>
            <w:bottom w:w="15" w:type="dxa"/>
            <w:right w:w="15" w:type="dxa"/>
          </w:tblCellMar>
        </w:tblPrEx>
        <w:trPr>
          <w:trHeight w:val="249"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center"/>
              <w:rPr>
                <w:rFonts w:ascii="Arial Narrow" w:hAnsi="Arial Narrow" w:cs="仿宋_GB2312"/>
                <w:sz w:val="20"/>
                <w:szCs w:val="20"/>
              </w:rPr>
            </w:pPr>
          </w:p>
        </w:tc>
        <w:tc>
          <w:tcPr>
            <w:tcW w:w="12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可持续性（5分）</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　</w:t>
            </w:r>
          </w:p>
        </w:tc>
        <w:tc>
          <w:tcPr>
            <w:tcW w:w="5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项目实施单位有设置机构，计2分，                                                                                                                                充足的人员配备，计3分。</w:t>
            </w:r>
          </w:p>
        </w:tc>
        <w:tc>
          <w:tcPr>
            <w:tcW w:w="97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　</w:t>
            </w:r>
          </w:p>
        </w:tc>
      </w:tr>
      <w:tr>
        <w:tblPrEx>
          <w:tblCellMar>
            <w:top w:w="15" w:type="dxa"/>
            <w:left w:w="15" w:type="dxa"/>
            <w:bottom w:w="15" w:type="dxa"/>
            <w:right w:w="15" w:type="dxa"/>
          </w:tblCellMar>
        </w:tblPrEx>
        <w:trPr>
          <w:trHeight w:val="439"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center"/>
              <w:rPr>
                <w:rFonts w:ascii="Arial Narrow" w:hAnsi="Arial Narrow" w:cs="仿宋_GB2312"/>
                <w:sz w:val="20"/>
                <w:szCs w:val="20"/>
              </w:rPr>
            </w:pPr>
          </w:p>
        </w:tc>
        <w:tc>
          <w:tcPr>
            <w:tcW w:w="129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政府部门及社会公众满意度（6分）</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≥95%</w:t>
            </w:r>
          </w:p>
        </w:tc>
        <w:tc>
          <w:tcPr>
            <w:tcW w:w="524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政府部门及社会公众满意度达到95%以上，计6分，每降低10%，扣0.5分。</w:t>
            </w:r>
          </w:p>
        </w:tc>
        <w:tc>
          <w:tcPr>
            <w:tcW w:w="97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0" w:firstLineChars="0"/>
              <w:jc w:val="left"/>
              <w:textAlignment w:val="center"/>
              <w:rPr>
                <w:rFonts w:ascii="Arial Narrow" w:hAnsi="Arial Narrow" w:cs="仿宋_GB2312"/>
                <w:kern w:val="0"/>
                <w:sz w:val="20"/>
                <w:szCs w:val="20"/>
              </w:rPr>
            </w:pPr>
            <w:r>
              <w:rPr>
                <w:rFonts w:ascii="Arial Narrow" w:hAnsi="Arial Narrow" w:cs="仿宋_GB2312"/>
                <w:kern w:val="0"/>
                <w:sz w:val="20"/>
                <w:szCs w:val="20"/>
              </w:rPr>
              <w:t>计划标准</w:t>
            </w:r>
          </w:p>
        </w:tc>
      </w:tr>
    </w:tbl>
    <w:p>
      <w:pPr>
        <w:snapToGrid w:val="0"/>
        <w:ind w:firstLine="0" w:firstLineChars="0"/>
        <w:jc w:val="left"/>
        <w:rPr>
          <w:rFonts w:ascii="Arial Narrow" w:hAnsi="Arial Narrow" w:cs="Arial Narrow"/>
          <w:b/>
        </w:rPr>
      </w:pPr>
    </w:p>
    <w:p>
      <w:pPr>
        <w:snapToGrid w:val="0"/>
        <w:ind w:firstLine="482"/>
        <w:jc w:val="left"/>
        <w:rPr>
          <w:rFonts w:ascii="Arial Narrow" w:hAnsi="Arial Narrow" w:cs="Arial Narrow"/>
          <w:b/>
        </w:rPr>
      </w:pPr>
      <w:r>
        <w:rPr>
          <w:rFonts w:ascii="Arial Narrow" w:hAnsi="Arial Narrow" w:cs="Arial Narrow"/>
          <w:b/>
        </w:rPr>
        <w:t>4. 绩效评价指标体系补充说明</w:t>
      </w:r>
    </w:p>
    <w:p>
      <w:pPr>
        <w:snapToGrid w:val="0"/>
        <w:ind w:firstLine="482"/>
        <w:jc w:val="left"/>
        <w:rPr>
          <w:rFonts w:ascii="Arial Narrow" w:hAnsi="Arial Narrow" w:cs="Arial Narrow"/>
          <w:b/>
        </w:rPr>
      </w:pPr>
      <w:r>
        <w:rPr>
          <w:rFonts w:ascii="Arial Narrow" w:hAnsi="Arial Narrow" w:cs="Arial Narrow"/>
          <w:b/>
        </w:rPr>
        <w:t>武昌区2017年度公共机构节能项目年初没有项目申报表，故以下评价指标均为新增，调整情况如下：</w:t>
      </w:r>
    </w:p>
    <w:p>
      <w:pPr>
        <w:snapToGrid w:val="0"/>
        <w:ind w:firstLine="480"/>
        <w:rPr>
          <w:rFonts w:ascii="Arial Narrow" w:hAnsi="Arial Narrow" w:cs="Arial Narrow"/>
        </w:rPr>
      </w:pPr>
      <w:r>
        <w:rPr>
          <w:rFonts w:hint="eastAsia" w:ascii="宋体" w:hAnsi="宋体" w:eastAsia="宋体" w:cs="宋体"/>
        </w:rPr>
        <w:t>①</w:t>
      </w:r>
      <w:r>
        <w:rPr>
          <w:rFonts w:ascii="Arial Narrow" w:hAnsi="Arial Narrow" w:cs="Arial Narrow"/>
        </w:rPr>
        <w:t>新增“节能项目完工率”、“监督检查完成率”、“省级节能机构创建数”、“数据上报及时率”、“宣传方式多样性”、“人均能耗降低率”、“宣传知晓率”、“节能系统普及率”等指标，调整原因：根据项目实际产出与社会效益，新增上述指标以反映项目数量、质量目标的实现程度以及项目的社会效益。</w:t>
      </w:r>
    </w:p>
    <w:p>
      <w:pPr>
        <w:snapToGrid w:val="0"/>
        <w:ind w:firstLine="480"/>
        <w:rPr>
          <w:rFonts w:ascii="Arial Narrow" w:hAnsi="Arial Narrow" w:cs="Arial Narrow"/>
        </w:rPr>
      </w:pPr>
      <w:r>
        <w:rPr>
          <w:rFonts w:hint="eastAsia" w:ascii="宋体" w:hAnsi="宋体" w:eastAsia="宋体" w:cs="宋体"/>
        </w:rPr>
        <w:t>②</w:t>
      </w:r>
      <w:r>
        <w:rPr>
          <w:rFonts w:ascii="Arial Narrow" w:hAnsi="Arial Narrow" w:cs="Arial Narrow"/>
        </w:rPr>
        <w:t>新增 “政府部门及社会公众满意度”，调整原因：根据项目实际产出与社会效益，新增上述指标反映项目的社会效益。</w:t>
      </w:r>
    </w:p>
    <w:p>
      <w:pPr>
        <w:snapToGrid w:val="0"/>
        <w:ind w:firstLine="482"/>
        <w:jc w:val="left"/>
        <w:rPr>
          <w:rFonts w:ascii="Arial Narrow" w:hAnsi="Arial Narrow" w:cs="Arial Narrow"/>
          <w:b/>
        </w:rPr>
      </w:pPr>
      <w:r>
        <w:rPr>
          <w:rFonts w:ascii="Arial Narrow" w:hAnsi="Arial Narrow" w:cs="Arial Narrow"/>
          <w:b/>
        </w:rPr>
        <w:t>5.评价方法</w:t>
      </w:r>
    </w:p>
    <w:p>
      <w:pPr>
        <w:snapToGrid w:val="0"/>
        <w:ind w:firstLine="482"/>
        <w:jc w:val="center"/>
        <w:rPr>
          <w:rFonts w:ascii="Arial Narrow" w:hAnsi="Arial Narrow" w:cs="Arial Narrow"/>
          <w:b/>
        </w:rPr>
      </w:pPr>
      <w:r>
        <w:rPr>
          <w:rFonts w:ascii="Arial Narrow" w:hAnsi="Arial Narrow" w:cs="Arial Narrow"/>
          <w:b/>
          <w:bCs/>
        </w:rPr>
        <w:drawing>
          <wp:inline distT="0" distB="0" distL="0" distR="0">
            <wp:extent cx="3695065" cy="1410335"/>
            <wp:effectExtent l="76200" t="0" r="76835" b="0"/>
            <wp:docPr id="6" name="组织结构图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pPr>
        <w:snapToGrid w:val="0"/>
        <w:ind w:firstLine="480"/>
        <w:rPr>
          <w:rFonts w:ascii="Arial Narrow" w:hAnsi="Arial Narrow" w:cs="Arial Narrow"/>
        </w:rPr>
      </w:pPr>
      <w:r>
        <w:rPr>
          <w:rFonts w:ascii="Arial Narrow" w:hAnsi="Arial Narrow" w:cs="Arial Narrow"/>
        </w:rPr>
        <w:t>（1）综合评分方法</w:t>
      </w:r>
    </w:p>
    <w:p>
      <w:pPr>
        <w:snapToGrid w:val="0"/>
        <w:ind w:firstLine="480"/>
        <w:rPr>
          <w:rFonts w:ascii="Arial Narrow" w:hAnsi="Arial Narrow" w:cs="Arial Narrow"/>
        </w:rPr>
      </w:pPr>
      <w:r>
        <w:rPr>
          <w:rFonts w:ascii="Arial Narrow" w:hAnsi="Arial Narrow" w:cs="Arial Narrow"/>
        </w:rPr>
        <w:t>评价采用加权平均法进行综合评分，通过对公共机构节能项目绩效目标与实际实施效果的对比，综合分析其绩效目标实现程度，对各项指标要素评分，结合各项评分值与指标要素权重得出评价综合分值。</w:t>
      </w:r>
    </w:p>
    <w:p>
      <w:pPr>
        <w:snapToGrid w:val="0"/>
        <w:ind w:firstLine="480"/>
        <w:rPr>
          <w:rFonts w:ascii="Arial Narrow" w:hAnsi="Arial Narrow" w:cs="Arial Narrow"/>
        </w:rPr>
      </w:pPr>
      <w:r>
        <w:rPr>
          <w:rFonts w:ascii="Arial Narrow" w:hAnsi="Arial Narrow" w:cs="Arial Narrow"/>
        </w:rPr>
        <w:t>（2）指标计算方法</w:t>
      </w:r>
    </w:p>
    <w:p>
      <w:pPr>
        <w:snapToGrid w:val="0"/>
        <w:ind w:firstLine="480"/>
        <w:rPr>
          <w:rFonts w:ascii="Arial Narrow" w:hAnsi="Arial Narrow" w:cs="Arial Narrow"/>
        </w:rPr>
      </w:pPr>
      <w:r>
        <w:rPr>
          <w:rFonts w:ascii="Arial Narrow" w:hAnsi="Arial Narrow" w:cs="Arial Narrow"/>
        </w:rPr>
        <w:t>评价采用比率法对指标进行计算，先计算出指标实现值与指标标准值的比率，再将该项比率和对应指标满分值相乘，取整后得出指标评分值。</w:t>
      </w:r>
    </w:p>
    <w:p>
      <w:pPr>
        <w:snapToGrid w:val="0"/>
        <w:ind w:firstLine="480"/>
        <w:rPr>
          <w:rFonts w:ascii="Arial Narrow" w:hAnsi="Arial Narrow" w:cs="Arial Narrow"/>
        </w:rPr>
      </w:pPr>
      <w:r>
        <w:rPr>
          <w:rFonts w:ascii="Arial Narrow" w:hAnsi="Arial Narrow" w:cs="Arial Narrow"/>
        </w:rPr>
        <w:t>（3）权重确定方法</w:t>
      </w:r>
    </w:p>
    <w:p>
      <w:pPr>
        <w:snapToGrid w:val="0"/>
        <w:ind w:firstLine="480"/>
        <w:rPr>
          <w:rFonts w:ascii="Arial Narrow" w:hAnsi="Arial Narrow" w:cs="Arial Narrow"/>
        </w:rPr>
      </w:pPr>
      <w:r>
        <w:rPr>
          <w:rFonts w:ascii="Arial Narrow" w:hAnsi="Arial Narrow" w:cs="Arial Narrow"/>
        </w:rPr>
        <w:t>评价指标的权重量化参考《武昌区财政支出绩效评价管理暂行办法》，同时采用了逐项对比法和层次分析法，对每个层次的指标根据重要性依次进行比较并确定权重值。</w:t>
      </w:r>
    </w:p>
    <w:p>
      <w:pPr>
        <w:snapToGrid w:val="0"/>
        <w:ind w:firstLine="480"/>
        <w:rPr>
          <w:rFonts w:ascii="Arial Narrow" w:hAnsi="Arial Narrow" w:cs="Arial Narrow"/>
        </w:rPr>
      </w:pPr>
      <w:r>
        <w:rPr>
          <w:rFonts w:ascii="Arial Narrow" w:hAnsi="Arial Narrow" w:cs="Arial Narrow"/>
        </w:rPr>
        <w:t>（4）标准值的确定方法</w:t>
      </w:r>
    </w:p>
    <w:p>
      <w:pPr>
        <w:snapToGrid w:val="0"/>
        <w:ind w:firstLine="480"/>
        <w:rPr>
          <w:rFonts w:ascii="Arial Narrow" w:hAnsi="Arial Narrow" w:cs="Arial Narrow"/>
        </w:rPr>
      </w:pPr>
      <w:r>
        <w:rPr>
          <w:rFonts w:ascii="Arial Narrow" w:hAnsi="Arial Narrow" w:cs="Arial Narrow"/>
        </w:rPr>
        <w:t>本次评价采用了计划标准、经验标准来确定标准值。以预先制定的目标、计划、预算、定额等数据作为评价标准，或者参照同类指标的经验数据确定标准值。</w:t>
      </w:r>
    </w:p>
    <w:p>
      <w:pPr>
        <w:snapToGrid w:val="0"/>
        <w:ind w:firstLine="482"/>
        <w:jc w:val="left"/>
        <w:outlineLvl w:val="1"/>
        <w:rPr>
          <w:rFonts w:ascii="Arial Narrow" w:hAnsi="Arial Narrow" w:cs="Arial Narrow"/>
          <w:b/>
        </w:rPr>
      </w:pPr>
      <w:bookmarkStart w:id="71" w:name="_Toc26099"/>
      <w:r>
        <w:rPr>
          <w:rFonts w:ascii="Arial Narrow" w:hAnsi="Arial Narrow" w:cs="Arial Narrow"/>
          <w:b/>
        </w:rPr>
        <w:t>（四）证据收集方式</w:t>
      </w:r>
      <w:bookmarkEnd w:id="71"/>
    </w:p>
    <w:p>
      <w:pPr>
        <w:snapToGrid w:val="0"/>
        <w:ind w:firstLine="480"/>
        <w:rPr>
          <w:rFonts w:ascii="Arial Narrow" w:hAnsi="Arial Narrow" w:cs="Arial Narrow"/>
        </w:rPr>
      </w:pPr>
      <w:r>
        <w:rPr>
          <w:rFonts w:ascii="Arial Narrow" w:hAnsi="Arial Narrow" w:cs="Arial Narrow"/>
        </w:rPr>
        <w:t>“公共机构节能项目”绩效评价计划采取现场访谈、查阅相关资料、核查财务凭证等证据收集方法，获取大量高质量和准确可靠的数据信息，同时武昌区公共机构发放调查问卷，收集绩效评价所需的基础性资料。</w:t>
      </w:r>
    </w:p>
    <w:p>
      <w:pPr>
        <w:snapToGrid w:val="0"/>
        <w:ind w:firstLine="480"/>
        <w:rPr>
          <w:rFonts w:ascii="Arial Narrow" w:hAnsi="Arial Narrow" w:cs="Arial Narrow"/>
        </w:rPr>
      </w:pPr>
      <w:r>
        <w:rPr>
          <w:rFonts w:ascii="Arial Narrow" w:hAnsi="Arial Narrow" w:cs="Arial Narrow"/>
        </w:rPr>
        <w:t>（1）评价信息资料的收集途径。评价小组对机关运行保障中心负责公共机构节能项目的负责人和财务人员进行访谈，收集相关资料文件，了解各项目的开展过程和效果，并在武昌区公共机构直接发放调查问卷采集信息。</w:t>
      </w:r>
    </w:p>
    <w:p>
      <w:pPr>
        <w:snapToGrid w:val="0"/>
        <w:ind w:firstLine="480"/>
        <w:rPr>
          <w:rFonts w:ascii="Arial Narrow" w:hAnsi="Arial Narrow" w:cs="Arial Narrow"/>
        </w:rPr>
      </w:pPr>
      <w:r>
        <w:rPr>
          <w:rFonts w:ascii="Arial Narrow" w:hAnsi="Arial Narrow" w:cs="Arial Narrow"/>
        </w:rPr>
        <w:t>（2）信息资料的验证方式。财务数据方面，评价小组在项目现场查阅项目经费使用凭证、经费支出明细表及原始附件，将统计表与凭证明细进行核对，与项目相关人员进行经费使用情况的核实；项目实施方面，评价小组通过现场访谈、调查问卷的方式，从项目实施单位和服务对象多方面了解，将了解的信息与收集的资料进行对比验证。</w:t>
      </w:r>
    </w:p>
    <w:p>
      <w:pPr>
        <w:snapToGrid w:val="0"/>
        <w:ind w:firstLine="480"/>
        <w:rPr>
          <w:rFonts w:ascii="Arial Narrow" w:hAnsi="Arial Narrow" w:cs="Arial Narrow"/>
        </w:rPr>
      </w:pPr>
      <w:r>
        <w:rPr>
          <w:rFonts w:ascii="Arial Narrow" w:hAnsi="Arial Narrow" w:cs="Arial Narrow"/>
        </w:rPr>
        <w:t>（3）调查访谈、现场查勘方式与安排。2018年05月02日到2018年05月08日在现场收集、整理资料并了解情况，并对机构运行保障中心负责公共机构节能项目的负责人进行访谈；2018年05月03日对社区居民进行问卷调查，收集相关证据。</w:t>
      </w:r>
    </w:p>
    <w:p>
      <w:pPr>
        <w:snapToGrid w:val="0"/>
        <w:ind w:firstLine="480"/>
        <w:rPr>
          <w:rFonts w:ascii="Arial Narrow" w:hAnsi="Arial Narrow" w:cs="Arial Narrow"/>
          <w:b/>
        </w:rPr>
      </w:pPr>
      <w:r>
        <w:rPr>
          <w:rFonts w:ascii="Arial Narrow" w:hAnsi="Arial Narrow" w:cs="Arial Narrow"/>
        </w:rPr>
        <w:t>（4）调查问卷的制作与安排。调查问卷由绩效评价小组根据项目资料，结合绩效指标框架，针对项目实际情况，设计合理的调查问题，收集相关、有效的问卷信息，综合分析调查结果，便于对项目进行评价。评价小组根据统计抽样法从武昌区公共机构，随机发放了20份调查问卷。</w:t>
      </w:r>
    </w:p>
    <w:bookmarkEnd w:id="61"/>
    <w:bookmarkEnd w:id="62"/>
    <w:bookmarkEnd w:id="63"/>
    <w:bookmarkEnd w:id="64"/>
    <w:bookmarkEnd w:id="65"/>
    <w:p>
      <w:pPr>
        <w:snapToGrid w:val="0"/>
        <w:ind w:firstLine="482"/>
        <w:outlineLvl w:val="0"/>
        <w:rPr>
          <w:rFonts w:ascii="Arial Narrow" w:hAnsi="Arial Narrow" w:cs="Arial Narrow"/>
          <w:b/>
        </w:rPr>
      </w:pPr>
      <w:bookmarkStart w:id="72" w:name="_Toc387957819"/>
      <w:bookmarkStart w:id="73" w:name="_Toc406668044"/>
      <w:bookmarkStart w:id="74" w:name="_Toc18443"/>
      <w:bookmarkStart w:id="75" w:name="_Toc406666370"/>
      <w:bookmarkStart w:id="76" w:name="_Toc361304693"/>
      <w:bookmarkStart w:id="77" w:name="_Toc14335"/>
      <w:bookmarkStart w:id="78" w:name="_Toc27667"/>
      <w:r>
        <w:rPr>
          <w:rFonts w:ascii="Arial Narrow" w:hAnsi="Arial Narrow" w:cs="Arial Narrow"/>
          <w:b/>
        </w:rPr>
        <w:t>三、绩效分析</w:t>
      </w:r>
      <w:bookmarkEnd w:id="72"/>
      <w:bookmarkEnd w:id="73"/>
      <w:bookmarkEnd w:id="74"/>
      <w:bookmarkEnd w:id="75"/>
      <w:bookmarkEnd w:id="76"/>
      <w:bookmarkEnd w:id="77"/>
      <w:bookmarkEnd w:id="78"/>
    </w:p>
    <w:p>
      <w:pPr>
        <w:snapToGrid w:val="0"/>
        <w:ind w:firstLine="482"/>
        <w:outlineLvl w:val="1"/>
        <w:rPr>
          <w:rFonts w:ascii="Arial Narrow" w:hAnsi="Arial Narrow" w:cs="Arial Narrow"/>
          <w:b/>
        </w:rPr>
      </w:pPr>
      <w:bookmarkStart w:id="79" w:name="_Toc2992"/>
      <w:bookmarkStart w:id="80" w:name="_Toc11780"/>
      <w:bookmarkStart w:id="81" w:name="_Toc406668047"/>
      <w:bookmarkStart w:id="82" w:name="_Toc387957822"/>
      <w:bookmarkStart w:id="83" w:name="_Toc406666373"/>
      <w:bookmarkStart w:id="84" w:name="_Toc361302034"/>
      <w:bookmarkStart w:id="85" w:name="_Toc361304697"/>
      <w:r>
        <w:rPr>
          <w:rFonts w:ascii="Arial Narrow" w:hAnsi="Arial Narrow" w:cs="Arial Narrow"/>
          <w:b/>
        </w:rPr>
        <w:t>（一）项目</w:t>
      </w:r>
      <w:bookmarkStart w:id="86" w:name="_Toc394181010"/>
      <w:r>
        <w:rPr>
          <w:rFonts w:ascii="Arial Narrow" w:hAnsi="Arial Narrow" w:cs="Arial Narrow"/>
          <w:b/>
        </w:rPr>
        <w:t>投入（16分）</w:t>
      </w:r>
      <w:bookmarkEnd w:id="79"/>
      <w:bookmarkEnd w:id="80"/>
      <w:bookmarkEnd w:id="86"/>
    </w:p>
    <w:p>
      <w:pPr>
        <w:snapToGrid w:val="0"/>
        <w:ind w:firstLine="480"/>
        <w:rPr>
          <w:rFonts w:ascii="Arial Narrow" w:hAnsi="Arial Narrow" w:cs="Arial Narrow"/>
        </w:rPr>
      </w:pPr>
      <w:bookmarkStart w:id="87" w:name="_Toc394181009"/>
      <w:bookmarkStart w:id="88" w:name="_Toc394490596"/>
      <w:r>
        <w:rPr>
          <w:rFonts w:ascii="Arial Narrow" w:hAnsi="Arial Narrow" w:cs="Arial Narrow"/>
        </w:rPr>
        <w:t>根据评价原则，项目决策评价得分为15分，评价结果为优 。</w:t>
      </w:r>
      <w:bookmarkEnd w:id="87"/>
      <w:bookmarkEnd w:id="88"/>
      <w:bookmarkStart w:id="89" w:name="_Toc394490597"/>
    </w:p>
    <w:p>
      <w:pPr>
        <w:snapToGrid w:val="0"/>
        <w:ind w:firstLine="480"/>
        <w:jc w:val="center"/>
        <w:rPr>
          <w:rFonts w:ascii="Arial Narrow" w:hAnsi="Arial Narrow" w:cs="Arial Narrow"/>
        </w:rPr>
      </w:pPr>
      <w:r>
        <w:rPr>
          <w:rFonts w:ascii="Arial Narrow" w:hAnsi="Arial Narrow" w:cs="Arial Narrow"/>
        </w:rPr>
        <w:drawing>
          <wp:inline distT="0" distB="0" distL="114300" distR="114300">
            <wp:extent cx="4709160" cy="2901315"/>
            <wp:effectExtent l="4445" t="4445" r="10795" b="889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snapToGrid w:val="0"/>
        <w:ind w:firstLine="480"/>
        <w:rPr>
          <w:rFonts w:ascii="Arial Narrow" w:hAnsi="Arial Narrow" w:cs="Arial Narrow"/>
        </w:rPr>
      </w:pPr>
      <w:r>
        <w:rPr>
          <w:rFonts w:ascii="Arial Narrow" w:hAnsi="Arial Narrow" w:cs="Arial Narrow"/>
        </w:rPr>
        <w:t>投入方面主要评价项目立项规范性，绩效目标的合理性，资金到位率和到位及时率。对于该项的评价，评价小组主要采取了案卷研究方式进行资料收集、整理和分析，我们还查看了《关于做好全市2017年公共机构节约能源资源工作的通知》、《武昌区财政局关于武昌区机关运行保障中心2017年部门预算的批复》（武昌财预【2016】295号）、《武汉市实施&lt;公共机构能源资源消费统计制度&gt;工作方案》等资料，结合现场访谈记录，对项目投入涉及的指标进行打分。经过综合计分，投入指标得分为15分，评价等级为优。</w:t>
      </w:r>
    </w:p>
    <w:bookmarkEnd w:id="89"/>
    <w:p>
      <w:pPr>
        <w:pStyle w:val="49"/>
        <w:numPr>
          <w:ilvl w:val="0"/>
          <w:numId w:val="6"/>
        </w:numPr>
        <w:snapToGrid w:val="0"/>
        <w:ind w:firstLineChars="0"/>
        <w:rPr>
          <w:rFonts w:ascii="Arial Narrow" w:hAnsi="Arial Narrow" w:cs="Arial Narrow"/>
          <w:b/>
          <w:bCs/>
        </w:rPr>
      </w:pPr>
      <w:r>
        <w:rPr>
          <w:rFonts w:ascii="Arial Narrow" w:hAnsi="Arial Narrow" w:cs="Arial Narrow"/>
          <w:b/>
          <w:bCs/>
        </w:rPr>
        <w:t>项目立项（8分）</w:t>
      </w:r>
    </w:p>
    <w:p>
      <w:pPr>
        <w:snapToGrid w:val="0"/>
        <w:ind w:firstLine="480"/>
        <w:rPr>
          <w:rFonts w:ascii="Arial Narrow" w:hAnsi="Arial Narrow" w:cs="Arial Narrow"/>
          <w:b/>
          <w:bCs/>
        </w:rPr>
      </w:pPr>
      <w:r>
        <w:rPr>
          <w:rFonts w:ascii="Arial Narrow" w:hAnsi="Arial Narrow" w:cs="Arial Narrow"/>
        </w:rPr>
        <w:t>项目立项是指项目的申请、设立过程是否符合相关要求，所设定的绩效目标是否参考相关的依据，并且对项目的具体目标进行细化、量化。项目立项主要通过项目立项规范性和绩效目标合理性两个指标反映。该项指标评价得分为7分，评价结果为优。</w:t>
      </w:r>
    </w:p>
    <w:p>
      <w:pPr>
        <w:snapToGrid w:val="0"/>
        <w:ind w:firstLine="0" w:firstLineChars="0"/>
        <w:rPr>
          <w:rFonts w:ascii="Arial Narrow" w:hAnsi="Arial Narrow" w:cs="Arial Narrow"/>
        </w:rPr>
      </w:pPr>
      <w:r>
        <w:rPr>
          <w:rFonts w:ascii="Arial Narrow" w:hAnsi="Arial Narrow" w:cs="Arial Narrow"/>
        </w:rPr>
        <w:t xml:space="preserve">   （1）项目立项规范性（4分）指标是指项目的申请、设立过程是否符合相关要求，用以反映和考核项目立项的规范情况。评价小组查阅《武汉市实施&lt;公共机构能源资源消费统计制度&gt;工作方案》和《武昌区财政局关于武昌区机关运行保障中心2017年部门预算的批复》（武昌财预【2016】295号），了解到该项目立项依据充分且设立程序合规，但未提交绩效目标与规划，扣0.5分。根据评价标准，该指标得分为3.5分。</w:t>
      </w:r>
    </w:p>
    <w:p>
      <w:pPr>
        <w:snapToGrid w:val="0"/>
        <w:ind w:firstLine="480"/>
        <w:rPr>
          <w:rFonts w:ascii="Arial Narrow" w:hAnsi="Arial Narrow" w:cs="Arial Narrow"/>
        </w:rPr>
      </w:pPr>
      <w:r>
        <w:rPr>
          <w:rFonts w:ascii="Arial Narrow" w:hAnsi="Arial Narrow" w:cs="Arial Narrow"/>
        </w:rPr>
        <w:t>（2）绩效目标合理性（4分）指标是指项目所设定的绩效目标是否依据充分，是否符合客观实际，用以反映和考核项目绩效目标与项目实施的相符情况。根据武汉市公共机构节能工作领导小组办公室印发的《关于做好全市2017年公共机构节约能源资源工作的通知》（武公节办【2017】2号）设立并执行，同时对2017年公共机构人均综合能耗、人均用水量、单位建筑面积等设立了具体的目标，并下发了各区公共机构节能目标工作任务分解表。但项目单位未根据项目资金额度和本区域具体情况设置本项目的财政支出绩效目标与指标，扣0.5分。根据评价标准，该指标得分为3.5分。</w:t>
      </w:r>
    </w:p>
    <w:p>
      <w:pPr>
        <w:snapToGrid w:val="0"/>
        <w:ind w:firstLine="318" w:firstLineChars="132"/>
        <w:rPr>
          <w:rFonts w:ascii="Arial Narrow" w:hAnsi="Arial Narrow" w:cs="Arial Narrow"/>
          <w:b/>
          <w:bCs/>
        </w:rPr>
      </w:pPr>
      <w:r>
        <w:rPr>
          <w:rFonts w:ascii="Arial Narrow" w:hAnsi="Arial Narrow" w:cs="Arial Narrow"/>
          <w:b/>
          <w:bCs/>
        </w:rPr>
        <w:t>2、资金落实（8分）</w:t>
      </w:r>
    </w:p>
    <w:bookmarkEnd w:id="81"/>
    <w:bookmarkEnd w:id="82"/>
    <w:bookmarkEnd w:id="83"/>
    <w:bookmarkEnd w:id="84"/>
    <w:bookmarkEnd w:id="85"/>
    <w:p>
      <w:pPr>
        <w:snapToGrid w:val="0"/>
        <w:ind w:firstLine="480" w:firstLineChars="0"/>
        <w:rPr>
          <w:rFonts w:ascii="Arial Narrow" w:hAnsi="Arial Narrow" w:cs="Arial Narrow"/>
        </w:rPr>
      </w:pPr>
      <w:bookmarkStart w:id="90" w:name="_Toc11787"/>
      <w:bookmarkStart w:id="91" w:name="_Toc387957823"/>
      <w:bookmarkStart w:id="92" w:name="_Toc361304699"/>
      <w:bookmarkStart w:id="93" w:name="_Toc406666374"/>
      <w:bookmarkStart w:id="94" w:name="_Toc406668048"/>
      <w:bookmarkStart w:id="95" w:name="_Toc361302036"/>
      <w:r>
        <w:rPr>
          <w:rFonts w:ascii="Arial Narrow" w:hAnsi="Arial Narrow" w:cs="Arial Narrow"/>
        </w:rPr>
        <w:t>资金落实情况主要评价财政预算资金是否全额发放、资金到位是否及时。该情况通过资金到位率和到位及时率两个指标来反映。该项指标评价得分为8分，评价结果为优。</w:t>
      </w:r>
    </w:p>
    <w:p>
      <w:pPr>
        <w:snapToGrid w:val="0"/>
        <w:ind w:firstLine="480"/>
        <w:rPr>
          <w:rFonts w:ascii="Arial Narrow" w:hAnsi="Arial Narrow" w:cs="Arial Narrow"/>
        </w:rPr>
      </w:pPr>
      <w:r>
        <w:rPr>
          <w:rFonts w:ascii="Arial Narrow" w:hAnsi="Arial Narrow" w:cs="Arial Narrow"/>
        </w:rPr>
        <w:t>（1）资金到位率（4分）指标是指实际到位资金与计划投入资金的比率，用以反映和考核资金落实情况对项目实施的总体保障程度。根据《武昌区财政局关于武昌区机关运行保障中心2017年部门预算的批复》（武昌财预【2016】295号），公共机构节能经费5万元全部到位，资金到位率为100%。根据评价标准，该指标得分为4分。</w:t>
      </w:r>
    </w:p>
    <w:p>
      <w:pPr>
        <w:snapToGrid w:val="0"/>
        <w:ind w:firstLine="480"/>
        <w:rPr>
          <w:rFonts w:ascii="Arial Narrow" w:hAnsi="Arial Narrow" w:cs="Arial Narrow"/>
        </w:rPr>
      </w:pPr>
      <w:r>
        <w:rPr>
          <w:rFonts w:ascii="Arial Narrow" w:hAnsi="Arial Narrow" w:cs="Arial Narrow"/>
        </w:rPr>
        <w:t>（2）到位及时率（4分）指标是指到位资金与应到位资金的比率，用以反映和考核项目资金落实的及时性程度。根据武汉市武昌区财政局办公室2016年12月26日下发的《武昌区财政局关于武昌区机关运行保障中心2017年部门预算的批复》（武昌财预【2016】295号），公共机构节能经费5万元全部到位，到位及时率100%。根据评价标准，该指标得分为4分。</w:t>
      </w:r>
    </w:p>
    <w:p>
      <w:pPr>
        <w:snapToGrid w:val="0"/>
        <w:ind w:firstLine="482"/>
        <w:outlineLvl w:val="1"/>
        <w:rPr>
          <w:rFonts w:ascii="Arial Narrow" w:hAnsi="Arial Narrow" w:cs="Arial Narrow"/>
          <w:b/>
        </w:rPr>
      </w:pPr>
      <w:bookmarkStart w:id="96" w:name="_Toc8106"/>
      <w:r>
        <w:rPr>
          <w:rFonts w:ascii="Arial Narrow" w:hAnsi="Arial Narrow" w:cs="Arial Narrow"/>
          <w:b/>
        </w:rPr>
        <w:t>（二）项目过程（24分）</w:t>
      </w:r>
      <w:bookmarkEnd w:id="90"/>
      <w:bookmarkEnd w:id="96"/>
    </w:p>
    <w:p>
      <w:pPr>
        <w:snapToGrid w:val="0"/>
        <w:ind w:firstLine="480"/>
        <w:rPr>
          <w:rFonts w:ascii="Arial Narrow" w:hAnsi="Arial Narrow" w:cs="Arial Narrow"/>
        </w:rPr>
      </w:pPr>
      <w:bookmarkStart w:id="97" w:name="_Toc394181012"/>
      <w:bookmarkStart w:id="98" w:name="_Toc394490599"/>
      <w:r>
        <w:rPr>
          <w:rFonts w:ascii="Arial Narrow" w:hAnsi="Arial Narrow" w:cs="Arial Narrow"/>
        </w:rPr>
        <w:t>根据评价原则，项目过程评价得分为20分，评价结果为良。</w:t>
      </w:r>
      <w:bookmarkEnd w:id="97"/>
      <w:bookmarkEnd w:id="98"/>
    </w:p>
    <w:p>
      <w:pPr>
        <w:snapToGrid w:val="0"/>
        <w:ind w:firstLine="480"/>
        <w:jc w:val="center"/>
        <w:rPr>
          <w:rFonts w:ascii="Arial Narrow" w:hAnsi="Arial Narrow" w:cs="Arial Narrow"/>
        </w:rPr>
      </w:pPr>
      <w:r>
        <w:rPr>
          <w:rFonts w:ascii="Arial Narrow" w:hAnsi="Arial Narrow" w:cs="Arial Narrow"/>
        </w:rPr>
        <w:drawing>
          <wp:inline distT="0" distB="0" distL="114300" distR="114300">
            <wp:extent cx="4714875" cy="2776220"/>
            <wp:effectExtent l="4445" t="4445" r="5080" b="1968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snapToGrid w:val="0"/>
        <w:ind w:firstLine="480"/>
        <w:rPr>
          <w:rFonts w:ascii="Arial Narrow" w:hAnsi="Arial Narrow" w:cs="Arial Narrow"/>
        </w:rPr>
      </w:pPr>
      <w:r>
        <w:rPr>
          <w:rFonts w:ascii="Arial Narrow" w:hAnsi="Arial Narrow" w:cs="Arial Narrow"/>
        </w:rPr>
        <w:t>过程指标主要从项目管理和财务管理两个方面来具体评价；主要考核项目实施单位项目管理制度的健全性、有效性和可控性，财务管理制度的健全性、合规性及有效性。对于该项的评价，评价小组主要采取了案卷研究、访谈等方式进行资料收集、整理和分析，收集了项目实施单位的业务管理制度及财务管理制度，查看了财政专项资金的支付凭证，核查其账务处理是否符合规范、资金安全能否得到保障。同时评价小组通过查看了《武昌区财政局关于武昌区机关运行保障中心2017年部门预算的批复》（武昌财预【2016】295号）、《武汉市实施&lt;公共机构能源资源消费统计制度&gt;工作方案》、《公共机构节能工作制度》、《财务管理制度汇编》以及武汉市支付凭证等资料，对项目过程涉及的指标进行打分。经过综合计分，过程指标得分为20分，评价等级为良。</w:t>
      </w:r>
    </w:p>
    <w:p>
      <w:pPr>
        <w:snapToGrid w:val="0"/>
        <w:ind w:firstLine="482"/>
        <w:rPr>
          <w:rFonts w:ascii="Arial Narrow" w:hAnsi="Arial Narrow" w:cs="Arial Narrow"/>
          <w:b/>
          <w:bCs/>
        </w:rPr>
      </w:pPr>
      <w:r>
        <w:rPr>
          <w:rFonts w:ascii="Arial Narrow" w:hAnsi="Arial Narrow" w:cs="Arial Narrow"/>
          <w:b/>
          <w:bCs/>
        </w:rPr>
        <w:t>1、项目管理（12分）</w:t>
      </w:r>
    </w:p>
    <w:p>
      <w:pPr>
        <w:snapToGrid w:val="0"/>
        <w:ind w:firstLine="480"/>
        <w:rPr>
          <w:rFonts w:ascii="Arial Narrow" w:hAnsi="Arial Narrow" w:cs="Arial Narrow"/>
        </w:rPr>
      </w:pPr>
      <w:r>
        <w:rPr>
          <w:rFonts w:ascii="Arial Narrow" w:hAnsi="Arial Narrow" w:cs="Arial Narrow"/>
        </w:rPr>
        <w:t>项目管理情况主要考核项目管理制度对项目顺利实施的保障情况，项目管理制度的有效执行情况及项目实施单位对项目质量的控制情况。该情况主要从管理制度健全性、制度执行有效性、项目质量可控性三方面具体评价。该项指标评价得分为9分，评价结果为中。</w:t>
      </w:r>
    </w:p>
    <w:p>
      <w:pPr>
        <w:snapToGrid w:val="0"/>
        <w:ind w:firstLine="480"/>
        <w:rPr>
          <w:rFonts w:ascii="Arial Narrow" w:hAnsi="Arial Narrow" w:cs="Arial Narrow"/>
        </w:rPr>
      </w:pPr>
      <w:r>
        <w:rPr>
          <w:rFonts w:ascii="Arial Narrow" w:hAnsi="Arial Narrow" w:cs="Arial Narrow"/>
        </w:rPr>
        <w:t>（1）管理制度健全性（4分）指标是指项目实施单位的项目管理制度是否健全，用以反映和考核项目管理制度对项目顺利实施的保障情况。《武汉市实施&lt;公共机构能源资源消费统计制度&gt;工作方案》中对公共机构能源统计工作进行了规定，同时项目单位制定了《公共机构节能工作制度》对全区公共机构节能工作的内容、要求、工作措施和重点进行了规定，业务管理制度健全。根据评价标准，该指标得分为4分。</w:t>
      </w:r>
    </w:p>
    <w:p>
      <w:pPr>
        <w:snapToGrid w:val="0"/>
        <w:ind w:firstLine="480"/>
        <w:rPr>
          <w:rFonts w:ascii="Arial Narrow" w:hAnsi="Arial Narrow" w:cs="Arial Narrow"/>
        </w:rPr>
      </w:pPr>
      <w:r>
        <w:rPr>
          <w:rFonts w:ascii="Arial Narrow" w:hAnsi="Arial Narrow" w:cs="Arial Narrow"/>
        </w:rPr>
        <w:t>（2）制度执行有效性（4分）指标是指项目实施是否符合相关项目管理规定，用以反映和考核项目管理制度的有效执行情况。项目在实施过程中严格遵守《中华人民共和国节约能源法》，并按照上级工作方案和本单位《公共机构节能工作制度》开展工作，但工作制定中进行监督检查和考核评价工作未落实到位，扣1分。根据评价标准，该指标得分为3分。</w:t>
      </w:r>
    </w:p>
    <w:p>
      <w:pPr>
        <w:snapToGrid w:val="0"/>
        <w:ind w:firstLine="480"/>
        <w:rPr>
          <w:rFonts w:ascii="Arial Narrow" w:hAnsi="Arial Narrow" w:cs="Arial Narrow"/>
        </w:rPr>
      </w:pPr>
      <w:r>
        <w:rPr>
          <w:rFonts w:ascii="Arial Narrow" w:hAnsi="Arial Narrow" w:cs="Arial Narrow"/>
        </w:rPr>
        <w:t>（3）项目质量的可控性是指项目实施单位是否为达到项目质量要求而采取了必需的措施,用以反映和考核项目实施单位对项目质量的控制情况。项目单位根据《2017机关工作指导手册》和《公共机构节能条例》对各公共机构的数据进行汇总，但未制定相应的质量要求或考核标准，扣0.5分；未开展监督检查和考核评价工作，扣1分；由于工作人员频繁变动，公共机构的纸质报送资料部分未保存完好，其他资料也未及时整理成册，扣0.5分。根据评价标准，该指标得分为2分。</w:t>
      </w:r>
    </w:p>
    <w:p>
      <w:pPr>
        <w:snapToGrid w:val="0"/>
        <w:ind w:firstLine="482"/>
        <w:jc w:val="left"/>
        <w:rPr>
          <w:rFonts w:ascii="Arial Narrow" w:hAnsi="Arial Narrow" w:cs="Arial Narrow"/>
          <w:b/>
          <w:bCs/>
        </w:rPr>
      </w:pPr>
      <w:r>
        <w:rPr>
          <w:rFonts w:ascii="Arial Narrow" w:hAnsi="Arial Narrow" w:cs="Arial Narrow"/>
          <w:b/>
          <w:bCs/>
        </w:rPr>
        <w:t>2、财务管理（12分）</w:t>
      </w:r>
    </w:p>
    <w:p>
      <w:pPr>
        <w:snapToGrid w:val="0"/>
        <w:ind w:firstLine="480"/>
        <w:rPr>
          <w:rFonts w:ascii="Arial Narrow" w:hAnsi="Arial Narrow" w:cs="Arial Narrow"/>
        </w:rPr>
      </w:pPr>
      <w:r>
        <w:rPr>
          <w:rFonts w:ascii="Arial Narrow" w:hAnsi="Arial Narrow" w:cs="Arial Narrow"/>
        </w:rPr>
        <w:t>财务管理情况主要考核财务管理制度对资金规范、安全运行的保障情况，项目资金的规范运行情况及项目实施单位对资金运行的控制情况。该情况主要从财务制度健全性、资金使用合规性、财务监控有效性三方面具体评价。该项指标评价得分为11分，评价结果为优。</w:t>
      </w:r>
    </w:p>
    <w:p>
      <w:pPr>
        <w:snapToGrid w:val="0"/>
        <w:ind w:firstLine="480"/>
        <w:rPr>
          <w:rFonts w:ascii="Arial Narrow" w:hAnsi="Arial Narrow" w:cs="Arial Narrow"/>
        </w:rPr>
      </w:pPr>
      <w:r>
        <w:rPr>
          <w:rFonts w:ascii="Arial Narrow" w:hAnsi="Arial Narrow" w:cs="Arial Narrow"/>
        </w:rPr>
        <w:t>（1）管理制度的健全性（4分）指标是指项目实施单位的财务制度是否健全，用以反映和考核财务管理制度对资金规范、安全运行的保障情况。项目实施单位制定并严格按照财务管理制度执行工作，对票据报销、资产管理等方面的财务管理进行具体说明，符合财务会计制度要求，但尚未建立起项目资金管理办法，规范项目的支出方向、支出标准等，根据评分标准，扣1分。根据评价标准，该指标得分为3分。</w:t>
      </w:r>
    </w:p>
    <w:p>
      <w:pPr>
        <w:snapToGrid w:val="0"/>
        <w:ind w:firstLine="480"/>
        <w:rPr>
          <w:rFonts w:ascii="Arial Narrow" w:hAnsi="Arial Narrow" w:cs="Arial Narrow"/>
        </w:rPr>
      </w:pPr>
      <w:r>
        <w:rPr>
          <w:rFonts w:ascii="Arial Narrow" w:hAnsi="Arial Narrow" w:cs="Arial Narrow"/>
        </w:rPr>
        <w:t>（2）资金使用合规性（4分）指标是指项目资金使用是否符合相关的财务管理制度规定，用以反映和考核项目资金的规范运行情况。评价小组通过分析明细账以及抽查凭证了解到，项目支出符合国家财经法规和财务管理制度，资金的拨付有完整的审批程序和手续，符合项目预算批复或合同规定的用途；公共机构节能项目规定了资金的使用范围，有严格的资金审核制度，不存在截留、挤占、挪用、虚列支出等情况。根据评价标准，该指标得分为4分。</w:t>
      </w:r>
    </w:p>
    <w:p>
      <w:pPr>
        <w:snapToGrid w:val="0"/>
        <w:ind w:firstLine="480"/>
        <w:rPr>
          <w:rFonts w:ascii="Arial Narrow" w:hAnsi="Arial Narrow" w:cs="Arial Narrow"/>
        </w:rPr>
      </w:pPr>
      <w:r>
        <w:rPr>
          <w:rFonts w:ascii="Arial Narrow" w:hAnsi="Arial Narrow" w:cs="Arial Narrow"/>
        </w:rPr>
        <w:t>（3）财务监控有效性指标是指项目实施单位是否为保障资金的安全、规范运行而采取了必要的监控措施，用以反映和考核项目实施单位对资金运行的控制情况。</w:t>
      </w:r>
      <w:bookmarkEnd w:id="91"/>
      <w:bookmarkEnd w:id="92"/>
      <w:bookmarkEnd w:id="93"/>
      <w:bookmarkEnd w:id="94"/>
      <w:bookmarkEnd w:id="95"/>
      <w:bookmarkStart w:id="99" w:name="_Toc5732"/>
      <w:bookmarkStart w:id="100" w:name="_Toc406666375"/>
      <w:bookmarkStart w:id="101" w:name="_Toc387957824"/>
      <w:bookmarkStart w:id="102" w:name="_Toc406668049"/>
      <w:r>
        <w:rPr>
          <w:rFonts w:ascii="Arial Narrow" w:hAnsi="Arial Narrow" w:cs="Arial Narrow"/>
        </w:rPr>
        <w:t>根据访谈记录和查询记账凭证，项目单位重要支出事前均经过申请审批，审批程序和手续完整，且重大的开支均由相关部门开会通过，财务监控有效。根据评价标准，该指标得分为4分。</w:t>
      </w:r>
    </w:p>
    <w:p>
      <w:pPr>
        <w:snapToGrid w:val="0"/>
        <w:ind w:firstLine="482"/>
        <w:outlineLvl w:val="1"/>
        <w:rPr>
          <w:rFonts w:ascii="Arial Narrow" w:hAnsi="Arial Narrow" w:cs="Arial Narrow"/>
          <w:b/>
        </w:rPr>
      </w:pPr>
      <w:bookmarkStart w:id="103" w:name="_Toc18180"/>
      <w:r>
        <w:rPr>
          <w:rFonts w:ascii="Arial Narrow" w:hAnsi="Arial Narrow" w:cs="Arial Narrow"/>
          <w:b/>
        </w:rPr>
        <w:t>（三）项目产出（28分）</w:t>
      </w:r>
      <w:bookmarkEnd w:id="99"/>
      <w:bookmarkEnd w:id="103"/>
    </w:p>
    <w:p>
      <w:pPr>
        <w:snapToGrid w:val="0"/>
        <w:ind w:firstLine="480"/>
        <w:rPr>
          <w:rFonts w:ascii="Arial Narrow" w:hAnsi="Arial Narrow" w:cs="Arial Narrow"/>
        </w:rPr>
      </w:pPr>
      <w:bookmarkStart w:id="104" w:name="_Toc394490602"/>
      <w:bookmarkStart w:id="105" w:name="_Toc394181015"/>
      <w:r>
        <w:rPr>
          <w:rFonts w:ascii="Arial Narrow" w:hAnsi="Arial Narrow" w:cs="Arial Narrow"/>
        </w:rPr>
        <w:t>根据评价原则，绩效评价得分为24分，评价结果为良 。</w:t>
      </w:r>
      <w:bookmarkEnd w:id="104"/>
      <w:bookmarkEnd w:id="105"/>
    </w:p>
    <w:p>
      <w:pPr>
        <w:snapToGrid w:val="0"/>
        <w:ind w:firstLine="482"/>
        <w:jc w:val="center"/>
        <w:rPr>
          <w:rFonts w:ascii="Arial Narrow" w:hAnsi="Arial Narrow" w:cs="Arial Narrow"/>
          <w:b/>
          <w:bCs/>
        </w:rPr>
      </w:pPr>
      <w:bookmarkStart w:id="106" w:name="_Toc394181016"/>
      <w:bookmarkStart w:id="107" w:name="_Toc394490603"/>
      <w:r>
        <w:rPr>
          <w:rFonts w:ascii="Arial Narrow" w:hAnsi="Arial Narrow" w:cs="Arial Narrow"/>
          <w:b/>
          <w:bCs/>
        </w:rPr>
        <w:drawing>
          <wp:inline distT="0" distB="0" distL="114300" distR="114300">
            <wp:extent cx="4476750" cy="2893060"/>
            <wp:effectExtent l="4445" t="4445" r="14605" b="1714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snapToGrid w:val="0"/>
        <w:ind w:firstLine="480"/>
        <w:rPr>
          <w:rFonts w:ascii="Arial Narrow" w:hAnsi="Arial Narrow" w:cs="Arial Narrow"/>
        </w:rPr>
      </w:pPr>
      <w:r>
        <w:rPr>
          <w:rFonts w:ascii="Arial Narrow" w:hAnsi="Arial Narrow" w:cs="Arial Narrow"/>
        </w:rPr>
        <w:t>项目产出方面主要从节能项目完工率、监督检查完成率、省级节能机构创建数、数据上报及时率、资金使用率及宣传方式多样性六个方面来进行评价。主要评价项目申报实施内容的完成情况，包括完成数量、质量以及时效。对于该项的评价，评价小组主要采取了案卷研究、现场访谈等方式进行资料收集、整理和分析，对项目产出涉及的指标进行打分。经过综合计分，产出指标得分为24分，评价等级为良。</w:t>
      </w:r>
    </w:p>
    <w:p>
      <w:pPr>
        <w:snapToGrid w:val="0"/>
        <w:ind w:firstLine="482"/>
        <w:rPr>
          <w:rFonts w:ascii="Arial Narrow" w:hAnsi="Arial Narrow" w:cs="Arial Narrow"/>
          <w:b/>
          <w:bCs/>
        </w:rPr>
      </w:pPr>
      <w:r>
        <w:rPr>
          <w:rFonts w:ascii="Arial Narrow" w:hAnsi="Arial Narrow" w:cs="Arial Narrow"/>
          <w:b/>
          <w:bCs/>
        </w:rPr>
        <w:t>1、项目产出（28分）</w:t>
      </w:r>
    </w:p>
    <w:bookmarkEnd w:id="100"/>
    <w:bookmarkEnd w:id="101"/>
    <w:bookmarkEnd w:id="102"/>
    <w:bookmarkEnd w:id="106"/>
    <w:bookmarkEnd w:id="107"/>
    <w:p>
      <w:pPr>
        <w:snapToGrid w:val="0"/>
        <w:ind w:firstLine="480"/>
        <w:rPr>
          <w:rFonts w:ascii="Arial Narrow" w:hAnsi="Arial Narrow" w:cs="Arial Narrow"/>
        </w:rPr>
      </w:pPr>
      <w:bookmarkStart w:id="108" w:name="_Toc394181022"/>
      <w:bookmarkStart w:id="109" w:name="_Toc361302038"/>
      <w:bookmarkStart w:id="110" w:name="_Toc406666377"/>
      <w:bookmarkStart w:id="111" w:name="_Toc406668051"/>
      <w:bookmarkStart w:id="112" w:name="_Toc387957826"/>
      <w:bookmarkStart w:id="113" w:name="_Toc361304701"/>
      <w:r>
        <w:rPr>
          <w:rFonts w:ascii="Arial Narrow" w:hAnsi="Arial Narrow" w:cs="Arial Narrow"/>
        </w:rPr>
        <w:t>（1）节能项目完工率（5分）指标是指项目实施后，公共机构节能项目是否按照计划完成节能改造项目， 用以反映和考核项目数量指标的完成程度。包括节能项目完工率和节能项目验收合格率。评价小组根据现场访谈，本年计划完成武昌区人力资源局节水节电整治项目和三角路小学节能减排项目已全部完工，各单位已自行验收，但未上报武昌区运行保障中心，扣1分。根据评价标准，该指标得分为4分。</w:t>
      </w:r>
    </w:p>
    <w:p>
      <w:pPr>
        <w:snapToGrid w:val="0"/>
        <w:ind w:firstLine="480"/>
        <w:rPr>
          <w:rFonts w:ascii="Arial Narrow" w:hAnsi="Arial Narrow" w:cs="Arial Narrow"/>
        </w:rPr>
      </w:pPr>
      <w:r>
        <w:rPr>
          <w:rFonts w:ascii="Arial Narrow" w:hAnsi="Arial Narrow" w:cs="Arial Narrow"/>
        </w:rPr>
        <w:t>（2）监督检查完成率（5分）指标是指项目实施过程中项目单位是否对各公共机构节能建设情况进行检查，用以反映和考核项目监督检查力度。评价小组根据现场访谈和武昌区使用公共机构能源资源消费统计系统软件统计表，各节能机构定期通过公共机构能源消费统计系统软件和纸质资料上报数据到武昌区机构运行保障中心，但运保中心没有对各项目单位的上报的数据进行真实性检查，也没有设立相应的标准对各公共机构节能建设情况进行验收检查，扣2分。根据评价标准，该指标得分为3分。</w:t>
      </w:r>
    </w:p>
    <w:p>
      <w:pPr>
        <w:snapToGrid w:val="0"/>
        <w:ind w:firstLine="480"/>
        <w:rPr>
          <w:rFonts w:ascii="Arial Narrow" w:hAnsi="Arial Narrow" w:cs="Arial Narrow"/>
        </w:rPr>
      </w:pPr>
      <w:r>
        <w:rPr>
          <w:rFonts w:ascii="Arial Narrow" w:hAnsi="Arial Narrow" w:cs="Arial Narrow"/>
        </w:rPr>
        <w:t>（3）省级节能机构创建数（5分）指标主要是指项目实施后节水节能机构的创建个数，用以反映项目数量目标的完成情况。评价小组根据现场访谈和湖北省水利厅2017年12月13日下发的《关于公布2017年湖北省公共机构节水型单位名单的通知》（鄂水利函【2017】760号），本年规划的2个节水型单位已创建成功。根据评价标准，该指标得分为5分。</w:t>
      </w:r>
    </w:p>
    <w:p>
      <w:pPr>
        <w:snapToGrid w:val="0"/>
        <w:ind w:firstLine="480" w:firstLineChars="0"/>
        <w:rPr>
          <w:rFonts w:ascii="Arial Narrow" w:hAnsi="Arial Narrow" w:cs="Arial Narrow"/>
        </w:rPr>
      </w:pPr>
      <w:r>
        <w:rPr>
          <w:rFonts w:ascii="Arial Narrow" w:hAnsi="Arial Narrow" w:cs="Arial Narrow"/>
        </w:rPr>
        <w:t>（4）数据上报及时率（4分）指标是指项目实际提前完成时间与计划完成时间的比率，用以反映和考核项目产出时效目标的实现程度。评价小组根据现场访谈和《武汉市实施&lt;公共机构能源资源消费统计制度&gt;工作方案》的要求，将半年报数据汇总情况在当年7月10日前上报市公共机构节能办，年度数据汇总情况在次年2月20日前上报市公共机构节能办。根据评价标准，该指标得分为4分。</w:t>
      </w:r>
    </w:p>
    <w:p>
      <w:pPr>
        <w:snapToGrid w:val="0"/>
        <w:ind w:firstLine="480" w:firstLineChars="0"/>
        <w:rPr>
          <w:rFonts w:ascii="Arial Narrow" w:hAnsi="Arial Narrow" w:cs="Arial Narrow"/>
        </w:rPr>
      </w:pPr>
      <w:r>
        <w:rPr>
          <w:rFonts w:ascii="Arial Narrow" w:hAnsi="Arial Narrow" w:cs="Arial Narrow"/>
        </w:rPr>
        <w:t>（5）资金使用率（4分）指标是指项目实际支出与项目到位资金的比率，用以反映和考核项目资金使用情况。评价小组根据项目资金支出明细表，项目实际支出金额为5万元，项目预算金额为5万元，资金使用率为100%。根据评价标准，该指标得分为4分。</w:t>
      </w:r>
    </w:p>
    <w:p>
      <w:pPr>
        <w:snapToGrid w:val="0"/>
        <w:ind w:firstLine="480"/>
        <w:rPr>
          <w:rFonts w:ascii="Arial Narrow" w:hAnsi="Arial Narrow" w:cs="Arial Narrow"/>
        </w:rPr>
      </w:pPr>
      <w:r>
        <w:rPr>
          <w:rFonts w:ascii="Arial Narrow" w:hAnsi="Arial Narrow" w:cs="Arial Narrow"/>
        </w:rPr>
        <w:t>（6）宣传方式多样性（5分）指标是指项目实施后，节能机构创建活动的宣传方式是否多样，用以反映和考核项目的社会效益。评价小组根据现场访谈了解武昌区运保中心仅通过社区宣传栏、宣传手册和举行绿色出行活动等两种宣传方式对公共节能机构进行宣传，宣传方式不具有多样性，扣1分。根据评价标准，该指标得分为4分。</w:t>
      </w:r>
    </w:p>
    <w:p>
      <w:pPr>
        <w:snapToGrid w:val="0"/>
        <w:ind w:firstLine="482"/>
        <w:outlineLvl w:val="1"/>
        <w:rPr>
          <w:rFonts w:ascii="Arial Narrow" w:hAnsi="Arial Narrow" w:cs="Arial Narrow"/>
          <w:b/>
        </w:rPr>
      </w:pPr>
      <w:bookmarkStart w:id="114" w:name="_Toc13765"/>
      <w:r>
        <w:rPr>
          <w:rFonts w:ascii="Arial Narrow" w:hAnsi="Arial Narrow" w:cs="Arial Narrow"/>
          <w:b/>
        </w:rPr>
        <w:t>（四）项目效益（32分）</w:t>
      </w:r>
      <w:bookmarkEnd w:id="114"/>
    </w:p>
    <w:p>
      <w:pPr>
        <w:snapToGrid w:val="0"/>
        <w:ind w:firstLine="480"/>
        <w:rPr>
          <w:rFonts w:ascii="Arial Narrow" w:hAnsi="Arial Narrow" w:cs="Arial Narrow"/>
        </w:rPr>
      </w:pPr>
      <w:r>
        <w:rPr>
          <w:rFonts w:ascii="Arial Narrow" w:hAnsi="Arial Narrow" w:cs="Arial Narrow"/>
        </w:rPr>
        <w:t>根据评价原则，效益评价得分为25.5分，评价结果为良 。</w:t>
      </w:r>
    </w:p>
    <w:p>
      <w:pPr>
        <w:snapToGrid w:val="0"/>
        <w:ind w:firstLine="482" w:firstLineChars="0"/>
        <w:jc w:val="center"/>
        <w:rPr>
          <w:rFonts w:ascii="Arial Narrow" w:hAnsi="Arial Narrow" w:cs="Arial Narrow"/>
        </w:rPr>
      </w:pPr>
      <w:r>
        <w:rPr>
          <w:rFonts w:ascii="Arial Narrow" w:hAnsi="Arial Narrow" w:cs="Arial Narrow"/>
        </w:rPr>
        <w:drawing>
          <wp:inline distT="0" distB="0" distL="114300" distR="114300">
            <wp:extent cx="4628515" cy="2876550"/>
            <wp:effectExtent l="4445" t="4445" r="15240" b="1460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pPr>
        <w:snapToGrid w:val="0"/>
        <w:ind w:firstLine="482" w:firstLineChars="0"/>
        <w:rPr>
          <w:rFonts w:ascii="Arial Narrow" w:hAnsi="Arial Narrow" w:cs="Arial Narrow"/>
          <w:b/>
        </w:rPr>
      </w:pPr>
      <w:r>
        <w:rPr>
          <w:rFonts w:ascii="Arial Narrow" w:hAnsi="Arial Narrow" w:cs="Arial Narrow"/>
        </w:rPr>
        <w:t>效益方面主要评价项目实施所产生的社会效益，以及对社会的需求和发展所带来的直接或间接影响，反映项目后续运行及成效发挥的可持续影响情况。主要评价的指标是人均能耗降低率、宣传知晓率、节能系统普及率、节能建设覆盖率、可持续性及政府部门及社会公众满意度。对于该项的评价，评价小组主要采取了案卷研究和现场访谈进行资料收集、整理和分析，在武昌区公共机构发放调查问卷，采集相关信息，对项目效果涉及的指标进行打分。经过综合计分，效益指标得分为25.5分，评价等级为良。</w:t>
      </w:r>
    </w:p>
    <w:p>
      <w:pPr>
        <w:numPr>
          <w:ilvl w:val="0"/>
          <w:numId w:val="7"/>
        </w:numPr>
        <w:snapToGrid w:val="0"/>
        <w:ind w:firstLine="482"/>
        <w:rPr>
          <w:rFonts w:ascii="Arial Narrow" w:hAnsi="Arial Narrow" w:cs="Arial Narrow"/>
          <w:b/>
          <w:bCs/>
        </w:rPr>
      </w:pPr>
      <w:r>
        <w:rPr>
          <w:rFonts w:ascii="Arial Narrow" w:hAnsi="Arial Narrow" w:cs="Arial Narrow"/>
          <w:b/>
          <w:bCs/>
        </w:rPr>
        <w:t>项目效益（32分）</w:t>
      </w:r>
    </w:p>
    <w:p>
      <w:pPr>
        <w:numPr>
          <w:ilvl w:val="0"/>
          <w:numId w:val="8"/>
        </w:numPr>
        <w:snapToGrid w:val="0"/>
        <w:ind w:firstLine="480" w:firstLineChars="0"/>
        <w:rPr>
          <w:rFonts w:ascii="Arial Narrow" w:hAnsi="Arial Narrow" w:cs="Arial Narrow"/>
        </w:rPr>
      </w:pPr>
      <w:r>
        <w:rPr>
          <w:rFonts w:ascii="Arial Narrow" w:hAnsi="Arial Narrow" w:cs="Arial Narrow"/>
        </w:rPr>
        <w:t>人均能耗降低率（5分）指标是指项目实施后，本年人均能耗相比上年下降程度，用以反映和考核项目的社会效益。根据现场访谈，人均能耗降低率达到《关于做好全市2017年公共机构节约能源资源工作的通知》（武公节办【2017】2号）文件要求的3%， 但是项目档案资料未留存 ，扣0.5分。根据评价标准，该指标得分为4.5分。</w:t>
      </w:r>
    </w:p>
    <w:p>
      <w:pPr>
        <w:snapToGrid w:val="0"/>
        <w:ind w:firstLine="480"/>
        <w:rPr>
          <w:rFonts w:ascii="Arial Narrow" w:hAnsi="Arial Narrow" w:cs="Arial Narrow"/>
        </w:rPr>
      </w:pPr>
      <w:r>
        <w:rPr>
          <w:rFonts w:ascii="Arial Narrow" w:hAnsi="Arial Narrow" w:cs="Arial Narrow"/>
        </w:rPr>
        <w:t xml:space="preserve">（2）宣传知晓率（6分）指标是指项目实施后，通过问卷调查了解各公共机构对节能机构建设知晓情况，用以反映和考核项目的社会效益。评价小组在武昌区公共机构随机抽取20人填写调查问卷，有4人表示了解公共机构节能项目，7人表示比较了解公共机构节能项目，9人表示不太了解公共机构节能项目；根据【了解度计算公式=了解人数*3+比较了解人数*2+不太了解人数*1+不了解人数*0）/被访人数*3×100%】，得出宣传知晓率为58.33%，扣2分。根据评价标准，该指标得分为4分。                                                                               </w:t>
      </w:r>
    </w:p>
    <w:p>
      <w:pPr>
        <w:snapToGrid w:val="0"/>
        <w:ind w:firstLine="480"/>
        <w:rPr>
          <w:rFonts w:ascii="Arial Narrow" w:hAnsi="Arial Narrow" w:cs="Arial Narrow"/>
        </w:rPr>
      </w:pPr>
      <w:r>
        <w:rPr>
          <w:rFonts w:ascii="Arial Narrow" w:hAnsi="Arial Narrow" w:cs="Arial Narrow"/>
        </w:rPr>
        <w:t>（3）节能系统普及率（5分）指标是指项目实施后，各节能机构是否完成节能软件的安装，用以反映和考核节能软件普及程度。根据现场访谈和武昌区使用公共机构能源资源消费统计系统软件统计表，2017年一共有160家公共节能机构，其中有43家公共节能机构使用系统软件，目前节能系统普及率为26.86%，扣1分。根据评价标准，该指标得分为4分。</w:t>
      </w:r>
    </w:p>
    <w:p>
      <w:pPr>
        <w:snapToGrid w:val="0"/>
        <w:ind w:firstLine="480"/>
        <w:rPr>
          <w:rFonts w:ascii="Arial Narrow" w:hAnsi="Arial Narrow" w:cs="Arial Narrow"/>
        </w:rPr>
      </w:pPr>
      <w:r>
        <w:rPr>
          <w:rFonts w:ascii="Arial Narrow" w:hAnsi="Arial Narrow" w:cs="Arial Narrow"/>
        </w:rPr>
        <w:t>（4）节能建设覆盖率（5分）指标是指项目实施过程中，是否对统计系统内的项目单位进行考核，用以反映和考核项目质量指标的实现程度。根据现场访谈，武昌区运保中心所在辖区的社区中属于财政拨款的单位已开展公共机构节能项目的建设。根据评价标准，该指标得分为5分。</w:t>
      </w:r>
    </w:p>
    <w:p>
      <w:pPr>
        <w:snapToGrid w:val="0"/>
        <w:ind w:firstLine="480"/>
        <w:rPr>
          <w:rFonts w:ascii="Arial Narrow" w:hAnsi="Arial Narrow" w:cs="Arial Narrow"/>
        </w:rPr>
      </w:pPr>
      <w:r>
        <w:rPr>
          <w:rFonts w:ascii="Arial Narrow" w:hAnsi="Arial Narrow" w:cs="Arial Narrow"/>
        </w:rPr>
        <w:t>（5）可持续性（5分）指标是指项目实施单位是否支持项目长期运行，是否有相关的管理机构及人力资源满足项目实施的要求，用以反映和考核项目的可持续性。根据现场访谈，武昌区机关运行保障中心负责公共机构节能项目的开展，但仅配备一名员工兼顾本项目的开展且人员的变动较大，没有充分的人力满足项目的长期运行，扣2分。根据评价标准，该指标得分为3分。</w:t>
      </w:r>
    </w:p>
    <w:p>
      <w:pPr>
        <w:snapToGrid w:val="0"/>
        <w:ind w:firstLine="480"/>
        <w:rPr>
          <w:rFonts w:ascii="Arial Narrow" w:hAnsi="Arial Narrow" w:cs="Arial Narrow"/>
        </w:rPr>
      </w:pPr>
      <w:r>
        <w:rPr>
          <w:rFonts w:ascii="Arial Narrow" w:hAnsi="Arial Narrow" w:cs="Arial Narrow"/>
        </w:rPr>
        <w:t>（6）政府部门及社会公众满意度（6分）指标是指社区和街道服务人员、创建节能机构及节能机构工作人员，以及民众对项目实施效果的满意程度。评价小组在武昌区公共机构随机抽取20人填写调查问卷，有7人对开展公共机构节能项目表示满意，10人对开展公共机构节能项目表示比较满意，3人对开展公共机构节能项目表示不太满意；根据【满意度计算公式=（满意人数*3+比较满意人数*2+不太满意人数*1+不满意人数*0）/被访人数*3×100%】得出满意度为73.33%，扣1分。根据评价标准，该指标得分为5分。</w:t>
      </w:r>
    </w:p>
    <w:bookmarkEnd w:id="108"/>
    <w:p>
      <w:pPr>
        <w:snapToGrid w:val="0"/>
        <w:ind w:firstLine="482"/>
        <w:outlineLvl w:val="0"/>
        <w:rPr>
          <w:rFonts w:ascii="Arial Narrow" w:hAnsi="Arial Narrow" w:cs="Arial Narrow"/>
          <w:b/>
          <w:bCs/>
        </w:rPr>
      </w:pPr>
      <w:bookmarkStart w:id="115" w:name="_Toc28164"/>
      <w:bookmarkStart w:id="116" w:name="_Toc14716"/>
      <w:bookmarkStart w:id="117" w:name="_Toc17932"/>
      <w:r>
        <w:rPr>
          <w:rFonts w:ascii="Arial Narrow" w:hAnsi="Arial Narrow" w:cs="Arial Narrow"/>
          <w:b/>
          <w:bCs/>
        </w:rPr>
        <w:t>四、评价结论</w:t>
      </w:r>
      <w:bookmarkEnd w:id="109"/>
      <w:bookmarkEnd w:id="110"/>
      <w:bookmarkEnd w:id="111"/>
      <w:bookmarkEnd w:id="112"/>
      <w:bookmarkEnd w:id="113"/>
      <w:bookmarkEnd w:id="115"/>
      <w:bookmarkEnd w:id="116"/>
      <w:bookmarkEnd w:id="117"/>
      <w:bookmarkStart w:id="118" w:name="_Toc361304702"/>
      <w:bookmarkStart w:id="119" w:name="_Toc361302039"/>
    </w:p>
    <w:bookmarkEnd w:id="118"/>
    <w:bookmarkEnd w:id="119"/>
    <w:p>
      <w:pPr>
        <w:snapToGrid w:val="0"/>
        <w:ind w:firstLine="480" w:firstLineChars="0"/>
        <w:rPr>
          <w:rFonts w:ascii="Arial Narrow" w:hAnsi="Arial Narrow" w:cs="Arial Narrow"/>
          <w:b/>
          <w:bCs/>
        </w:rPr>
      </w:pPr>
      <w:r>
        <w:rPr>
          <w:rFonts w:ascii="Arial Narrow" w:hAnsi="Arial Narrow" w:cs="Arial Narrow"/>
          <w:b/>
        </w:rPr>
        <w:t>（一）</w:t>
      </w:r>
      <w:r>
        <w:rPr>
          <w:rFonts w:ascii="Arial Narrow" w:hAnsi="Arial Narrow" w:cs="Arial Narrow"/>
          <w:b/>
          <w:bCs/>
        </w:rPr>
        <w:t>评分结果</w:t>
      </w:r>
    </w:p>
    <w:p>
      <w:pPr>
        <w:snapToGrid w:val="0"/>
        <w:ind w:firstLine="480"/>
        <w:rPr>
          <w:rFonts w:ascii="Arial Narrow" w:hAnsi="Arial Narrow" w:cs="Arial Narrow"/>
        </w:rPr>
      </w:pPr>
      <w:r>
        <w:rPr>
          <w:rFonts w:ascii="Arial Narrow" w:hAnsi="Arial Narrow" w:cs="Arial Narrow"/>
        </w:rPr>
        <w:t>公共机构节能项目绩效评价得分为84.5分，评价结果为良，具体各指标评分情况如下：</w:t>
      </w:r>
    </w:p>
    <w:p>
      <w:pPr>
        <w:snapToGrid w:val="0"/>
        <w:ind w:firstLine="0" w:firstLineChars="0"/>
        <w:jc w:val="center"/>
        <w:rPr>
          <w:rFonts w:ascii="Arial Narrow" w:hAnsi="Arial Narrow" w:cs="Arial Narrow"/>
        </w:rPr>
      </w:pPr>
      <w:r>
        <w:rPr>
          <w:rFonts w:ascii="Arial Narrow" w:hAnsi="Arial Narrow" w:cs="Arial Narrow"/>
        </w:rPr>
        <w:drawing>
          <wp:inline distT="0" distB="0" distL="114300" distR="114300">
            <wp:extent cx="4469130" cy="2735580"/>
            <wp:effectExtent l="4445" t="4445" r="22225" b="2222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pPr>
        <w:snapToGrid w:val="0"/>
        <w:ind w:firstLine="480" w:firstLineChars="0"/>
        <w:rPr>
          <w:rFonts w:ascii="Arial Narrow" w:hAnsi="Arial Narrow" w:cs="Arial Narrow"/>
          <w:b/>
          <w:bCs/>
        </w:rPr>
      </w:pPr>
      <w:bookmarkStart w:id="120" w:name="_Toc387957829"/>
      <w:bookmarkStart w:id="121" w:name="_Toc361304705"/>
      <w:bookmarkStart w:id="122" w:name="_Toc406668054"/>
      <w:bookmarkStart w:id="123" w:name="_Toc406666380"/>
      <w:r>
        <w:rPr>
          <w:rFonts w:ascii="Arial Narrow" w:hAnsi="Arial Narrow" w:cs="Arial Narrow"/>
          <w:b/>
          <w:bCs/>
        </w:rPr>
        <w:t>（二）主要结论</w:t>
      </w:r>
    </w:p>
    <w:p>
      <w:pPr>
        <w:snapToGrid w:val="0"/>
        <w:ind w:firstLine="480" w:firstLineChars="0"/>
        <w:rPr>
          <w:rFonts w:ascii="Arial Narrow" w:hAnsi="Arial Narrow" w:cs="Arial Narrow"/>
        </w:rPr>
      </w:pPr>
      <w:r>
        <w:rPr>
          <w:rFonts w:ascii="Arial Narrow" w:hAnsi="Arial Narrow" w:cs="Arial Narrow"/>
        </w:rPr>
        <w:t>1、项目投入指标评分结果为15分，评价等级为优。项目投入分为项目立项和资金落实两个方面。项目申报时申请依据充分且立项规范，但未提交绩效目标或项目规划，申报资料不齐全；项目单位设立了具体的指标，但未根据项目资金额度和本区域具体情况设置本项目的财政支出绩效目标与指标；根据武汉市武昌区财政局2016年12月26日下发的批复文件，项目资金5万元全部及时到位。</w:t>
      </w:r>
    </w:p>
    <w:p>
      <w:pPr>
        <w:snapToGrid w:val="0"/>
        <w:ind w:firstLine="480" w:firstLineChars="0"/>
        <w:rPr>
          <w:rFonts w:ascii="Arial Narrow" w:hAnsi="Arial Narrow" w:cs="Arial Narrow"/>
        </w:rPr>
      </w:pPr>
      <w:r>
        <w:rPr>
          <w:rFonts w:ascii="Arial Narrow" w:hAnsi="Arial Narrow" w:cs="Arial Narrow"/>
        </w:rPr>
        <w:t>2、项目过程指标评分结果为20分，评价等级为良。项目过程分为项目管理和财务管理两个方面。项目管理上，武昌区运保中心规定了公共机构能源统计工作、制定了《公共机构节能工作制度》以及规定了全区公共机构节能工作的内容、要求、工作措施和重点；但项目的监督检查和考核评价等工作未落实到位，且人员变动性大、纸质资料保存不当。财务管理方面，财务管理制度齐全，资金使用合规且监控有效；但尚未建立起项目资金管理办法，规范项目的支出方向、支出标准等。</w:t>
      </w:r>
    </w:p>
    <w:p>
      <w:pPr>
        <w:snapToGrid w:val="0"/>
        <w:ind w:firstLine="480" w:firstLineChars="0"/>
        <w:rPr>
          <w:rFonts w:ascii="Arial Narrow" w:hAnsi="Arial Narrow" w:cs="Arial Narrow"/>
        </w:rPr>
      </w:pPr>
      <w:r>
        <w:rPr>
          <w:rFonts w:ascii="Arial Narrow" w:hAnsi="Arial Narrow" w:cs="Arial Narrow"/>
        </w:rPr>
        <w:t>3、项目产出指标评分结果为24分，评价等级为良。各类公共机构节能项目大部分保质保量完成</w:t>
      </w:r>
      <w:r>
        <w:rPr>
          <w:rFonts w:ascii="Arial Narrow" w:hAnsi="Arial Narrow"/>
        </w:rPr>
        <w:t>且资金使用率为100%</w:t>
      </w:r>
      <w:r>
        <w:rPr>
          <w:rFonts w:ascii="Arial Narrow" w:hAnsi="Arial Narrow" w:cs="Arial Narrow"/>
        </w:rPr>
        <w:t>，其中：节能</w:t>
      </w:r>
      <w:r>
        <w:rPr>
          <w:rFonts w:ascii="Arial Narrow" w:hAnsi="Arial Narrow"/>
        </w:rPr>
        <w:t>改造工程</w:t>
      </w:r>
      <w:r>
        <w:rPr>
          <w:rFonts w:ascii="Arial Narrow" w:hAnsi="Arial Narrow" w:cs="Arial Narrow"/>
        </w:rPr>
        <w:t>项目完工率为100%，并且省级节能机构创建数为2个，但</w:t>
      </w:r>
      <w:r>
        <w:rPr>
          <w:rFonts w:ascii="Arial Narrow" w:hAnsi="Arial Narrow"/>
        </w:rPr>
        <w:t>节能改造工程完工后未及时验收项目单位根据上级要求按时上报各单位节能数据，但</w:t>
      </w:r>
      <w:r>
        <w:rPr>
          <w:rFonts w:ascii="Arial Narrow" w:hAnsi="Arial Narrow" w:cs="Arial Narrow"/>
          <w:bCs/>
        </w:rPr>
        <w:t>没有对各项目单位的上报的数据进行真实性检查，也没有设立相应的标准对各公共机构节能建设情况进行验收检查。</w:t>
      </w:r>
    </w:p>
    <w:p>
      <w:pPr>
        <w:snapToGrid w:val="0"/>
        <w:ind w:firstLine="480" w:firstLineChars="0"/>
        <w:rPr>
          <w:rFonts w:ascii="Arial Narrow" w:hAnsi="Arial Narrow" w:cs="Arial Narrow"/>
        </w:rPr>
      </w:pPr>
      <w:r>
        <w:rPr>
          <w:rFonts w:ascii="Arial Narrow" w:hAnsi="Arial Narrow" w:cs="Arial Narrow"/>
        </w:rPr>
        <w:t>4、项目效益指标评分结果为25.5分，评价等级为良。</w:t>
      </w:r>
      <w:bookmarkStart w:id="124" w:name="_Toc14373"/>
      <w:r>
        <w:rPr>
          <w:rFonts w:ascii="Arial Narrow" w:hAnsi="Arial Narrow"/>
        </w:rPr>
        <w:t>在项目单位的组织带头下，武昌区共有160家公共机构开展节能建设，节能建设覆盖率达到100%，并且根据现场访谈，人均能到降低率达到了</w:t>
      </w:r>
      <w:r>
        <w:rPr>
          <w:rFonts w:ascii="Arial Narrow" w:hAnsi="Arial Narrow" w:cs="Arial Narrow"/>
        </w:rPr>
        <w:t>《关于做好2017年公共机构节约能源资源工作的通知》</w:t>
      </w:r>
      <w:r>
        <w:rPr>
          <w:rFonts w:ascii="Arial Narrow" w:hAnsi="Arial Narrow"/>
        </w:rPr>
        <w:t>的目标任务，但相关资料未及时留存；另外，</w:t>
      </w:r>
      <w:r>
        <w:rPr>
          <w:rFonts w:ascii="Arial Narrow" w:hAnsi="Arial Narrow" w:cs="Arial Narrow"/>
        </w:rPr>
        <w:t>节能系统普及率为26.86%且项目单位人员变动性大，不能为可持续性发展提供保障。宣传知晓率为58.33%，政府部门及社会公众满意度为73.33%，项目的宣传教育方式和效果有待进一步加强。</w:t>
      </w:r>
    </w:p>
    <w:p>
      <w:pPr>
        <w:snapToGrid w:val="0"/>
        <w:ind w:firstLine="482"/>
        <w:outlineLvl w:val="0"/>
        <w:rPr>
          <w:rFonts w:ascii="Arial Narrow" w:hAnsi="Arial Narrow" w:cs="Arial Narrow"/>
          <w:b/>
        </w:rPr>
      </w:pPr>
      <w:bookmarkStart w:id="125" w:name="_Toc6692"/>
      <w:bookmarkStart w:id="126" w:name="_Toc24309"/>
      <w:r>
        <w:rPr>
          <w:rFonts w:ascii="Arial Narrow" w:hAnsi="Arial Narrow" w:cs="Arial Narrow"/>
          <w:b/>
        </w:rPr>
        <w:t>五、</w:t>
      </w:r>
      <w:bookmarkEnd w:id="120"/>
      <w:bookmarkEnd w:id="121"/>
      <w:bookmarkEnd w:id="122"/>
      <w:bookmarkEnd w:id="123"/>
      <w:r>
        <w:rPr>
          <w:rFonts w:ascii="Arial Narrow" w:hAnsi="Arial Narrow" w:cs="Arial Narrow"/>
          <w:b/>
        </w:rPr>
        <w:t>主要经验及做法、存在的问题和建议</w:t>
      </w:r>
      <w:bookmarkEnd w:id="124"/>
      <w:bookmarkEnd w:id="125"/>
      <w:bookmarkEnd w:id="126"/>
    </w:p>
    <w:p>
      <w:pPr>
        <w:snapToGrid w:val="0"/>
        <w:ind w:firstLine="482"/>
        <w:outlineLvl w:val="1"/>
        <w:rPr>
          <w:rFonts w:ascii="Arial Narrow" w:hAnsi="Arial Narrow" w:cs="Arial Narrow"/>
          <w:b/>
          <w:bCs/>
        </w:rPr>
      </w:pPr>
      <w:bookmarkStart w:id="127" w:name="_Toc361304706"/>
      <w:bookmarkStart w:id="128" w:name="_Toc387957830"/>
      <w:bookmarkStart w:id="129" w:name="_Toc27928"/>
      <w:bookmarkStart w:id="130" w:name="_Toc406666381"/>
      <w:bookmarkStart w:id="131" w:name="_Toc2434"/>
      <w:bookmarkStart w:id="132" w:name="_Toc406668055"/>
      <w:bookmarkStart w:id="133" w:name="_Toc17652"/>
      <w:r>
        <w:rPr>
          <w:rFonts w:ascii="Arial Narrow" w:hAnsi="Arial Narrow" w:cs="Arial Narrow"/>
          <w:b/>
          <w:bCs/>
        </w:rPr>
        <w:t>（一）主要经验及做法</w:t>
      </w:r>
      <w:bookmarkEnd w:id="127"/>
      <w:bookmarkEnd w:id="128"/>
      <w:bookmarkEnd w:id="129"/>
      <w:bookmarkEnd w:id="130"/>
      <w:bookmarkEnd w:id="131"/>
      <w:bookmarkEnd w:id="132"/>
      <w:bookmarkEnd w:id="133"/>
    </w:p>
    <w:p>
      <w:pPr>
        <w:snapToGrid w:val="0"/>
        <w:ind w:firstLine="480" w:firstLineChars="0"/>
        <w:rPr>
          <w:rFonts w:ascii="Arial Narrow" w:hAnsi="Arial Narrow" w:cs="Arial Narrow"/>
        </w:rPr>
      </w:pPr>
      <w:r>
        <w:rPr>
          <w:rFonts w:ascii="Arial Narrow" w:hAnsi="Arial Narrow" w:cs="Arial Narrow"/>
        </w:rPr>
        <w:t>武昌区运保中心以节电、节水为重点，创新机制，加强管理，广泛开展了公共机构节能工作。</w:t>
      </w:r>
      <w:bookmarkStart w:id="134" w:name="_Toc406668056"/>
      <w:bookmarkStart w:id="135" w:name="_Toc406666382"/>
      <w:bookmarkStart w:id="136" w:name="_Toc16696"/>
      <w:bookmarkStart w:id="137" w:name="_Toc387957833"/>
      <w:r>
        <w:rPr>
          <w:rFonts w:ascii="Arial Narrow" w:hAnsi="Arial Narrow" w:cs="Arial Narrow"/>
        </w:rPr>
        <w:t>在公共机构能源统计工作中武昌区运保中心对其进行了规定，同时项目单位制定了《公共机构节能工作制度》以及对全区公共机构节能工作的内容、要求、工作措施和重点进行了规定；并且武汉市公共机构节能工作领导小组办公室印发了《关于做好全市2017年公共机构节约能源资源工作的通知》（武公节办【2017】2号），对项目单位2017年公共机构人均综合能耗、人均用水量、单位建筑面积等设立了具体的目标，并下发了各区公共机构节能目标工作任务分解表，为创建公共节能示范单位做准备。</w:t>
      </w:r>
    </w:p>
    <w:p>
      <w:pPr>
        <w:numPr>
          <w:ilvl w:val="0"/>
          <w:numId w:val="9"/>
        </w:numPr>
        <w:snapToGrid w:val="0"/>
        <w:ind w:firstLine="482"/>
        <w:outlineLvl w:val="1"/>
        <w:rPr>
          <w:rFonts w:ascii="Arial Narrow" w:hAnsi="Arial Narrow" w:cs="Arial Narrow"/>
          <w:b/>
          <w:bCs/>
        </w:rPr>
      </w:pPr>
      <w:bookmarkStart w:id="138" w:name="_Toc10206"/>
      <w:bookmarkStart w:id="139" w:name="_Toc29290"/>
      <w:r>
        <w:rPr>
          <w:rFonts w:ascii="Arial Narrow" w:hAnsi="Arial Narrow" w:cs="Arial Narrow"/>
          <w:b/>
          <w:bCs/>
        </w:rPr>
        <w:t>存在的问题</w:t>
      </w:r>
      <w:bookmarkEnd w:id="134"/>
      <w:bookmarkEnd w:id="135"/>
      <w:bookmarkEnd w:id="136"/>
      <w:bookmarkEnd w:id="138"/>
      <w:bookmarkEnd w:id="139"/>
    </w:p>
    <w:p>
      <w:pPr>
        <w:numPr>
          <w:ilvl w:val="0"/>
          <w:numId w:val="10"/>
        </w:numPr>
        <w:snapToGrid w:val="0"/>
        <w:ind w:firstLine="480" w:firstLineChars="0"/>
        <w:rPr>
          <w:rFonts w:ascii="Arial Narrow" w:hAnsi="Arial Narrow" w:cs="Arial Narrow"/>
          <w:bCs/>
        </w:rPr>
      </w:pPr>
      <w:r>
        <w:rPr>
          <w:rFonts w:ascii="Arial Narrow" w:hAnsi="Arial Narrow" w:cs="Arial Narrow"/>
        </w:rPr>
        <w:t>项目未制定监督检查与考核评价标准，</w:t>
      </w:r>
      <w:r>
        <w:rPr>
          <w:rFonts w:ascii="Arial Narrow" w:hAnsi="Arial Narrow"/>
        </w:rPr>
        <w:t>也未落实对节能建设情况的考核检查</w:t>
      </w:r>
      <w:r>
        <w:rPr>
          <w:rFonts w:ascii="Arial Narrow" w:hAnsi="Arial Narrow" w:cs="Arial Narrow"/>
        </w:rPr>
        <w:t>。</w:t>
      </w:r>
      <w:r>
        <w:rPr>
          <w:rFonts w:ascii="Arial Narrow" w:hAnsi="Arial Narrow" w:cs="Arial Narrow"/>
          <w:bCs/>
        </w:rPr>
        <w:t>项目实施后，运保中心汇总了各公共机构上报的节能数据，但对上报的节能数据没有进行真实性检查，也没有设立相应的标准对各公共机构节能建设情况进行验收检查，不利于项目质量的控制。</w:t>
      </w:r>
    </w:p>
    <w:p>
      <w:pPr>
        <w:numPr>
          <w:ilvl w:val="0"/>
          <w:numId w:val="10"/>
        </w:numPr>
        <w:snapToGrid w:val="0"/>
        <w:ind w:firstLine="480" w:firstLineChars="0"/>
        <w:rPr>
          <w:rFonts w:ascii="Arial Narrow" w:hAnsi="Arial Narrow" w:cs="Arial Narrow"/>
          <w:bCs/>
        </w:rPr>
      </w:pPr>
      <w:r>
        <w:rPr>
          <w:rFonts w:ascii="Arial Narrow" w:hAnsi="Arial Narrow" w:cs="Arial Narrow"/>
        </w:rPr>
        <w:t>宣传知晓率不高。</w:t>
      </w:r>
      <w:r>
        <w:rPr>
          <w:rFonts w:ascii="Arial Narrow" w:hAnsi="Arial Narrow" w:cs="Arial Narrow"/>
          <w:bCs/>
        </w:rPr>
        <w:t>项目在实施过程中通过张贴海报、发放宣传手册和举办绿色出行活动两种宣传方式，宣传的方式单一、不具有创新多样性、且参与度不高，导致公共机构节能项目的宣传效果不佳、知晓度偏低；另外</w:t>
      </w:r>
      <w:r>
        <w:rPr>
          <w:rFonts w:ascii="Arial Narrow" w:hAnsi="Arial Narrow"/>
        </w:rPr>
        <w:t>大部分公共机构对创建成功的节能示范单位不了解，示范单位的带头作用不明显</w:t>
      </w:r>
      <w:r>
        <w:rPr>
          <w:rFonts w:ascii="Arial Narrow" w:hAnsi="Arial Narrow" w:cs="Arial Narrow"/>
          <w:bCs/>
        </w:rPr>
        <w:t>。</w:t>
      </w:r>
    </w:p>
    <w:p>
      <w:pPr>
        <w:numPr>
          <w:ilvl w:val="0"/>
          <w:numId w:val="10"/>
        </w:numPr>
        <w:snapToGrid w:val="0"/>
        <w:ind w:firstLine="480" w:firstLineChars="0"/>
        <w:rPr>
          <w:rFonts w:ascii="Arial Narrow" w:hAnsi="Arial Narrow" w:cs="Arial Narrow"/>
          <w:bCs/>
        </w:rPr>
      </w:pPr>
      <w:r>
        <w:rPr>
          <w:rFonts w:ascii="Arial Narrow" w:hAnsi="Arial Narrow" w:cs="Arial Narrow"/>
          <w:bCs/>
        </w:rPr>
        <w:t>节能系统普及率不高</w:t>
      </w:r>
      <w:r>
        <w:rPr>
          <w:rFonts w:ascii="Arial Narrow" w:hAnsi="Arial Narrow"/>
        </w:rPr>
        <w:t>，部分单位只能报送纸质资料，效率较低且不易保存</w:t>
      </w:r>
      <w:r>
        <w:rPr>
          <w:rFonts w:ascii="Arial Narrow" w:hAnsi="Arial Narrow" w:cs="Arial Narrow"/>
          <w:bCs/>
        </w:rPr>
        <w:t>。根据现场访谈和武昌区使用公共机构能源资源消费统计系统软件统计表，2017年一共有160家公共节能机构，其中有43家公共节能机构使用系统软件，目前节能系统普及率为26.86%。而通过纸质资料上报节能数据的公共机构工作效率低下，且纸质资料不易保存。</w:t>
      </w:r>
    </w:p>
    <w:p>
      <w:pPr>
        <w:numPr>
          <w:ilvl w:val="0"/>
          <w:numId w:val="10"/>
        </w:numPr>
        <w:snapToGrid w:val="0"/>
        <w:ind w:firstLine="480" w:firstLineChars="0"/>
        <w:rPr>
          <w:rFonts w:ascii="Arial Narrow" w:hAnsi="Arial Narrow" w:cs="Arial Narrow"/>
          <w:bCs/>
        </w:rPr>
      </w:pPr>
      <w:r>
        <w:rPr>
          <w:rFonts w:ascii="Arial Narrow" w:hAnsi="Arial Narrow"/>
        </w:rPr>
        <w:t>项目负责人员配备不足且</w:t>
      </w:r>
      <w:r>
        <w:rPr>
          <w:rFonts w:ascii="Arial Narrow" w:hAnsi="Arial Narrow" w:cs="Arial Narrow"/>
          <w:bCs/>
        </w:rPr>
        <w:t>人员变动较大。根据现场访谈，武昌区机关运行保障中心负责公共机构节能项目的开展，但仅配备一名员工兼顾本项目的开展且人员的变动较大，没有充分的人力满足项目的长期运行。</w:t>
      </w:r>
    </w:p>
    <w:p>
      <w:pPr>
        <w:numPr>
          <w:ilvl w:val="0"/>
          <w:numId w:val="9"/>
        </w:numPr>
        <w:snapToGrid w:val="0"/>
        <w:ind w:firstLine="482"/>
        <w:outlineLvl w:val="1"/>
        <w:rPr>
          <w:rFonts w:ascii="Arial Narrow" w:hAnsi="Arial Narrow" w:cs="Arial Narrow"/>
          <w:b/>
          <w:bCs/>
        </w:rPr>
      </w:pPr>
      <w:bookmarkStart w:id="140" w:name="_Toc14333"/>
      <w:bookmarkStart w:id="141" w:name="_Toc28128"/>
      <w:bookmarkStart w:id="142" w:name="_Toc7159"/>
      <w:r>
        <w:rPr>
          <w:rFonts w:ascii="Arial Narrow" w:hAnsi="Arial Narrow" w:cs="Arial Narrow"/>
          <w:b/>
          <w:bCs/>
        </w:rPr>
        <w:t>建议</w:t>
      </w:r>
      <w:bookmarkEnd w:id="137"/>
      <w:bookmarkEnd w:id="140"/>
      <w:bookmarkEnd w:id="141"/>
      <w:bookmarkEnd w:id="142"/>
      <w:bookmarkStart w:id="143" w:name="_Toc387957834"/>
    </w:p>
    <w:p>
      <w:pPr>
        <w:numPr>
          <w:ilvl w:val="0"/>
          <w:numId w:val="11"/>
        </w:numPr>
        <w:snapToGrid w:val="0"/>
        <w:ind w:firstLine="480"/>
        <w:rPr>
          <w:rFonts w:ascii="Arial Narrow" w:hAnsi="Arial Narrow" w:cs="Arial Narrow"/>
        </w:rPr>
      </w:pPr>
      <w:r>
        <w:rPr>
          <w:rFonts w:ascii="Arial Narrow" w:hAnsi="Arial Narrow" w:cs="Arial Narrow"/>
        </w:rPr>
        <w:t>加强全区工作落实情况的监督检查和考核评价。区机关运行保障中心应当将节能目标与指标分解落实到各单位，制定公共机构节能考核评价方法，建立公共机构节能目标。对公共机构节能监督检查中发现的问题，应当下达节能整改意见，</w:t>
      </w:r>
      <w:r>
        <w:rPr>
          <w:rFonts w:ascii="Arial Narrow" w:hAnsi="Arial Narrow"/>
        </w:rPr>
        <w:t>督促单位落实整改，不断规范全区的节能建设工作</w:t>
      </w:r>
      <w:r>
        <w:rPr>
          <w:rFonts w:ascii="Arial Narrow" w:hAnsi="Arial Narrow" w:cs="Arial Narrow"/>
        </w:rPr>
        <w:t>。</w:t>
      </w:r>
    </w:p>
    <w:p>
      <w:pPr>
        <w:snapToGrid w:val="0"/>
        <w:ind w:firstLine="480"/>
        <w:rPr>
          <w:rFonts w:ascii="Arial Narrow" w:hAnsi="Arial Narrow" w:cs="Arial Narrow"/>
          <w:bCs/>
        </w:rPr>
      </w:pPr>
      <w:r>
        <w:rPr>
          <w:rFonts w:ascii="Arial Narrow" w:hAnsi="Arial Narrow" w:cs="Arial Narrow"/>
          <w:bCs/>
        </w:rPr>
        <w:t>2、强化公共机构节能宣传教育，体现公共机构在全社会节能工作中的带头作用。按年度制定公共机构节能宣传、教育和培训方案，采取多种形式广泛开展公共机构节能宣传活动</w:t>
      </w:r>
      <w:r>
        <w:rPr>
          <w:rFonts w:ascii="Arial Narrow" w:hAnsi="Arial Narrow"/>
        </w:rPr>
        <w:t>；同时，关注宣传教育的效果，提高宣传对象的参与度</w:t>
      </w:r>
      <w:r>
        <w:rPr>
          <w:rFonts w:ascii="Arial Narrow" w:hAnsi="Arial Narrow" w:cs="Arial Narrow"/>
          <w:bCs/>
        </w:rPr>
        <w:t>。</w:t>
      </w:r>
    </w:p>
    <w:p>
      <w:pPr>
        <w:snapToGrid w:val="0"/>
        <w:ind w:firstLine="480"/>
        <w:rPr>
          <w:rFonts w:ascii="Arial Narrow" w:hAnsi="Arial Narrow" w:cs="Arial Narrow"/>
          <w:bCs/>
        </w:rPr>
      </w:pPr>
      <w:r>
        <w:rPr>
          <w:rFonts w:ascii="Arial Narrow" w:hAnsi="Arial Narrow" w:cs="Arial Narrow"/>
          <w:bCs/>
        </w:rPr>
        <w:t>3、</w:t>
      </w:r>
      <w:r>
        <w:rPr>
          <w:rFonts w:ascii="Arial Narrow" w:hAnsi="Arial Narrow"/>
        </w:rPr>
        <w:t>推进能源统计系统的普及，提高能源统计效率。在全区范围内推进能源系统的普及，加强节能系统和设备的运行管理，配备专业技术人员进行咨询维护，降低系统操作难度，推进能源统计系统全覆盖，提高工作效率，规范能源统计数据的填</w:t>
      </w:r>
      <w:r>
        <w:rPr>
          <w:rFonts w:ascii="Arial Narrow" w:hAnsi="Arial Narrow" w:cs="Arial Narrow"/>
          <w:bCs/>
        </w:rPr>
        <w:t>报。</w:t>
      </w:r>
    </w:p>
    <w:p>
      <w:pPr>
        <w:snapToGrid w:val="0"/>
        <w:ind w:firstLine="480"/>
        <w:rPr>
          <w:rFonts w:ascii="Arial Narrow" w:hAnsi="Arial Narrow" w:cs="Arial Narrow"/>
          <w:bCs/>
        </w:rPr>
      </w:pPr>
      <w:r>
        <w:rPr>
          <w:rFonts w:ascii="Arial Narrow" w:hAnsi="Arial Narrow" w:cs="Arial Narrow"/>
          <w:bCs/>
        </w:rPr>
        <w:t>4、</w:t>
      </w:r>
      <w:bookmarkEnd w:id="143"/>
      <w:bookmarkStart w:id="144" w:name="_Toc387957836"/>
      <w:bookmarkStart w:id="145" w:name="_Toc5673"/>
      <w:bookmarkStart w:id="146" w:name="_Toc406666387"/>
      <w:bookmarkStart w:id="147" w:name="_Toc406668061"/>
      <w:r>
        <w:rPr>
          <w:rFonts w:ascii="Arial Narrow" w:hAnsi="Arial Narrow" w:cs="Arial Narrow"/>
          <w:bCs/>
        </w:rPr>
        <w:t>落实项目人员配置，有序开展各项工作。配备充足的人员开展公共机构节能项目并减少人员变动，按照文件精神和上级部署，制定全年工作计划，落实到人，保障各项工作任务的有序进行，为公共机构节能项目的持续性发展提供保障。</w:t>
      </w:r>
    </w:p>
    <w:p>
      <w:pPr>
        <w:snapToGrid w:val="0"/>
        <w:ind w:firstLine="482"/>
        <w:outlineLvl w:val="0"/>
        <w:rPr>
          <w:rFonts w:ascii="Arial Narrow" w:hAnsi="Arial Narrow" w:cs="Arial Narrow"/>
          <w:b/>
        </w:rPr>
      </w:pPr>
      <w:bookmarkStart w:id="148" w:name="_Toc29121"/>
      <w:bookmarkStart w:id="149" w:name="_Toc22710"/>
      <w:r>
        <w:rPr>
          <w:rFonts w:ascii="Arial Narrow" w:hAnsi="Arial Narrow" w:cs="Arial Narrow"/>
          <w:b/>
        </w:rPr>
        <w:t>六、其他需说明的问题</w:t>
      </w:r>
      <w:bookmarkEnd w:id="148"/>
      <w:bookmarkEnd w:id="149"/>
    </w:p>
    <w:p>
      <w:pPr>
        <w:snapToGrid w:val="0"/>
        <w:ind w:firstLine="482"/>
        <w:outlineLvl w:val="1"/>
        <w:rPr>
          <w:rFonts w:ascii="Arial Narrow" w:hAnsi="Arial Narrow" w:cs="Arial Narrow"/>
          <w:b/>
          <w:bCs/>
        </w:rPr>
      </w:pPr>
      <w:bookmarkStart w:id="150" w:name="_Toc9691"/>
      <w:bookmarkStart w:id="151" w:name="_Toc954"/>
      <w:r>
        <w:rPr>
          <w:rFonts w:ascii="Arial Narrow" w:hAnsi="Arial Narrow" w:cs="Arial Narrow"/>
          <w:b/>
          <w:bCs/>
        </w:rPr>
        <w:t>（一）关于评价责任的说明</w:t>
      </w:r>
      <w:bookmarkEnd w:id="150"/>
      <w:bookmarkEnd w:id="151"/>
    </w:p>
    <w:p>
      <w:pPr>
        <w:snapToGrid w:val="0"/>
        <w:ind w:firstLine="480"/>
        <w:rPr>
          <w:rFonts w:ascii="Arial Narrow" w:hAnsi="Arial Narrow" w:cs="Arial Narrow"/>
        </w:rPr>
      </w:pPr>
      <w:r>
        <w:rPr>
          <w:rFonts w:ascii="Arial Narrow" w:hAnsi="Arial Narrow" w:cs="Arial Narrow"/>
        </w:rPr>
        <w:t>本评价结果依据评价客体提供的各项基础资料，运用规定的评价方法，评价工作组保证本次评价工作全过程的公正和公平，各项评价基础资料的真实性与完整性由评价客体负责，未经评价组织机构同意，任何单位和个人不得将本评价结果对外公布。</w:t>
      </w:r>
    </w:p>
    <w:p>
      <w:pPr>
        <w:snapToGrid w:val="0"/>
        <w:ind w:firstLine="482"/>
        <w:outlineLvl w:val="1"/>
        <w:rPr>
          <w:rFonts w:ascii="Arial Narrow" w:hAnsi="Arial Narrow" w:cs="Arial Narrow"/>
          <w:b/>
          <w:bCs/>
        </w:rPr>
      </w:pPr>
      <w:bookmarkStart w:id="152" w:name="_Toc30358"/>
      <w:bookmarkStart w:id="153" w:name="_Toc21288"/>
      <w:r>
        <w:rPr>
          <w:rFonts w:ascii="Arial Narrow" w:hAnsi="Arial Narrow" w:cs="Arial Narrow"/>
          <w:b/>
          <w:bCs/>
        </w:rPr>
        <w:t>（二）关于本项目评价中局限性的说明</w:t>
      </w:r>
      <w:bookmarkEnd w:id="152"/>
      <w:bookmarkEnd w:id="153"/>
    </w:p>
    <w:p>
      <w:pPr>
        <w:snapToGrid w:val="0"/>
        <w:ind w:firstLine="480"/>
        <w:rPr>
          <w:rFonts w:ascii="Arial Narrow" w:hAnsi="Arial Narrow" w:cs="Arial Narrow"/>
        </w:rPr>
      </w:pPr>
      <w:r>
        <w:rPr>
          <w:rFonts w:ascii="Arial Narrow" w:hAnsi="Arial Narrow" w:cs="Arial Narrow"/>
        </w:rPr>
        <w:t>1、评价结论是致同会计师事务所（特殊普通合伙）武汉分所出具的，受具体参加本次项目的评价人员的水平和能力的限制。鉴于这种评价工作存在资料的有限性和调查、分析、判断的局限性，因此，评价结论无法考虑影响资金使用的所有因素，评价结论存在一定的局限性。</w:t>
      </w:r>
    </w:p>
    <w:p>
      <w:pPr>
        <w:snapToGrid w:val="0"/>
        <w:ind w:firstLine="480"/>
        <w:rPr>
          <w:rFonts w:ascii="Arial Narrow" w:hAnsi="Arial Narrow" w:cs="Arial Narrow"/>
        </w:rPr>
      </w:pPr>
      <w:r>
        <w:rPr>
          <w:rFonts w:ascii="Arial Narrow" w:hAnsi="Arial Narrow" w:cs="Arial Narrow"/>
        </w:rPr>
        <w:t>2、本项目是经常性的资金使用项目，而且专业性较强。受具体参加本次项目的评价人员的专业能力的影响，对专业指标设定的全面性以及问题、建议提出的专业性可能存在一定的局限性。</w:t>
      </w:r>
    </w:p>
    <w:p>
      <w:pPr>
        <w:snapToGrid w:val="0"/>
        <w:ind w:firstLine="480" w:firstLineChars="0"/>
        <w:rPr>
          <w:rFonts w:ascii="Arial Narrow" w:hAnsi="Arial Narrow" w:cs="Arial Narrow"/>
          <w:bCs/>
        </w:rPr>
      </w:pPr>
    </w:p>
    <w:p>
      <w:pPr>
        <w:snapToGrid w:val="0"/>
        <w:ind w:firstLine="480" w:firstLineChars="0"/>
        <w:rPr>
          <w:rFonts w:ascii="Arial Narrow" w:hAnsi="Arial Narrow" w:cs="Arial Narrow"/>
          <w:bCs/>
        </w:rPr>
      </w:pPr>
    </w:p>
    <w:p>
      <w:pPr>
        <w:snapToGrid w:val="0"/>
        <w:ind w:firstLine="0" w:firstLineChars="0"/>
        <w:outlineLvl w:val="1"/>
        <w:rPr>
          <w:rFonts w:ascii="Arial Narrow" w:hAnsi="Arial Narrow" w:cs="Arial Narrow"/>
        </w:rPr>
      </w:pPr>
      <w:bookmarkStart w:id="154" w:name="_Toc15158"/>
      <w:bookmarkStart w:id="155" w:name="_Toc29726"/>
      <w:r>
        <w:rPr>
          <w:rFonts w:ascii="Arial Narrow" w:hAnsi="Arial Narrow" w:cs="Arial Narrow"/>
          <w:b/>
          <w:bCs/>
        </w:rPr>
        <w:t>附件</w:t>
      </w:r>
      <w:bookmarkEnd w:id="144"/>
      <w:r>
        <w:rPr>
          <w:rFonts w:ascii="Arial Narrow" w:hAnsi="Arial Narrow" w:cs="Arial Narrow"/>
          <w:b/>
          <w:bCs/>
        </w:rPr>
        <w:t>：</w:t>
      </w:r>
      <w:bookmarkEnd w:id="145"/>
      <w:bookmarkEnd w:id="146"/>
      <w:bookmarkEnd w:id="147"/>
      <w:bookmarkEnd w:id="154"/>
      <w:bookmarkEnd w:id="155"/>
    </w:p>
    <w:p>
      <w:pPr>
        <w:snapToGrid w:val="0"/>
        <w:ind w:firstLine="480"/>
        <w:rPr>
          <w:rFonts w:ascii="Arial Narrow" w:hAnsi="Arial Narrow" w:cs="Arial Narrow"/>
        </w:rPr>
      </w:pPr>
      <w:r>
        <w:rPr>
          <w:rFonts w:ascii="Arial Narrow" w:hAnsi="Arial Narrow" w:cs="Arial Narrow"/>
        </w:rPr>
        <w:t>1：项目绩效评价评分表及说明</w:t>
      </w:r>
    </w:p>
    <w:p>
      <w:pPr>
        <w:snapToGrid w:val="0"/>
        <w:ind w:firstLine="480"/>
        <w:rPr>
          <w:rFonts w:ascii="Arial Narrow" w:hAnsi="Arial Narrow" w:cs="Arial Narrow"/>
        </w:rPr>
      </w:pPr>
      <w:r>
        <w:rPr>
          <w:rFonts w:ascii="Arial Narrow" w:hAnsi="Arial Narrow" w:cs="Arial Narrow"/>
        </w:rPr>
        <w:t>2：绩效目标完成情况对比表</w:t>
      </w:r>
    </w:p>
    <w:p>
      <w:pPr>
        <w:snapToGrid w:val="0"/>
        <w:ind w:firstLine="480"/>
        <w:rPr>
          <w:rFonts w:ascii="Arial Narrow" w:hAnsi="Arial Narrow" w:cs="Arial Narrow"/>
        </w:rPr>
      </w:pPr>
      <w:r>
        <w:rPr>
          <w:rFonts w:ascii="Arial Narrow" w:hAnsi="Arial Narrow" w:cs="Arial Narrow"/>
        </w:rPr>
        <w:t>3：基础数据表</w:t>
      </w:r>
    </w:p>
    <w:p>
      <w:pPr>
        <w:snapToGrid w:val="0"/>
        <w:ind w:firstLine="480"/>
        <w:rPr>
          <w:rFonts w:ascii="Arial Narrow" w:hAnsi="Arial Narrow" w:cs="Arial Narrow"/>
        </w:rPr>
      </w:pPr>
      <w:r>
        <w:rPr>
          <w:rFonts w:ascii="Arial Narrow" w:hAnsi="Arial Narrow" w:cs="Arial Narrow"/>
        </w:rPr>
        <w:t>4：访谈大纲</w:t>
      </w:r>
    </w:p>
    <w:p>
      <w:pPr>
        <w:snapToGrid w:val="0"/>
        <w:ind w:firstLine="480"/>
        <w:rPr>
          <w:rFonts w:ascii="Arial Narrow" w:hAnsi="Arial Narrow" w:cs="Arial Narrow"/>
        </w:rPr>
      </w:pPr>
      <w:r>
        <w:rPr>
          <w:rFonts w:ascii="Arial Narrow" w:hAnsi="Arial Narrow" w:cs="Arial Narrow"/>
        </w:rPr>
        <w:t>5：访谈记录</w:t>
      </w:r>
    </w:p>
    <w:p>
      <w:pPr>
        <w:snapToGrid w:val="0"/>
        <w:ind w:firstLine="480"/>
        <w:rPr>
          <w:rFonts w:ascii="Arial Narrow" w:hAnsi="Arial Narrow" w:cs="Arial Narrow"/>
        </w:rPr>
      </w:pPr>
      <w:r>
        <w:rPr>
          <w:rFonts w:ascii="Arial Narrow" w:hAnsi="Arial Narrow" w:cs="Arial Narrow"/>
        </w:rPr>
        <w:t>6：调查问卷</w:t>
      </w:r>
    </w:p>
    <w:p>
      <w:pPr>
        <w:snapToGrid w:val="0"/>
        <w:ind w:firstLine="480"/>
        <w:rPr>
          <w:rFonts w:ascii="Arial Narrow" w:hAnsi="Arial Narrow" w:cs="Arial Narrow"/>
        </w:rPr>
      </w:pPr>
      <w:r>
        <w:rPr>
          <w:rFonts w:ascii="Arial Narrow" w:hAnsi="Arial Narrow" w:cs="Arial Narrow"/>
        </w:rPr>
        <w:t>7：调查问卷分析</w:t>
      </w:r>
    </w:p>
    <w:p>
      <w:pPr>
        <w:snapToGrid w:val="0"/>
        <w:ind w:firstLine="480"/>
        <w:rPr>
          <w:rFonts w:ascii="Arial Narrow" w:hAnsi="Arial Narrow" w:cs="Arial Narrow"/>
        </w:rPr>
      </w:pPr>
      <w:r>
        <w:rPr>
          <w:rFonts w:ascii="Arial Narrow" w:hAnsi="Arial Narrow" w:cs="Arial Narrow"/>
        </w:rPr>
        <w:t>8：评价现场照片</w:t>
      </w:r>
    </w:p>
    <w:p>
      <w:pPr>
        <w:snapToGrid w:val="0"/>
        <w:ind w:firstLine="480"/>
        <w:rPr>
          <w:rFonts w:ascii="Arial Narrow" w:hAnsi="Arial Narrow" w:cs="Arial Narrow"/>
        </w:rPr>
      </w:pPr>
      <w:r>
        <w:rPr>
          <w:rFonts w:ascii="Arial Narrow" w:hAnsi="Arial Narrow" w:cs="Arial Narrow"/>
        </w:rPr>
        <w:t>9：绩效评价实施方案</w:t>
      </w:r>
    </w:p>
    <w:p>
      <w:pPr>
        <w:snapToGrid w:val="0"/>
        <w:ind w:firstLine="480"/>
        <w:rPr>
          <w:rFonts w:ascii="Arial Narrow" w:hAnsi="Arial Narrow" w:cs="Arial Narrow"/>
        </w:rPr>
      </w:pPr>
      <w:r>
        <w:rPr>
          <w:rFonts w:ascii="Arial Narrow" w:hAnsi="Arial Narrow" w:cs="Arial Narrow"/>
        </w:rPr>
        <w:t>10:其他支持评价结论的相关资料</w:t>
      </w:r>
    </w:p>
    <w:p>
      <w:pPr>
        <w:snapToGrid w:val="0"/>
        <w:ind w:firstLine="480"/>
        <w:rPr>
          <w:rFonts w:ascii="Arial Narrow" w:hAnsi="Arial Narrow" w:cs="Arial Narrow"/>
        </w:rPr>
      </w:pPr>
      <w:r>
        <w:rPr>
          <w:rFonts w:ascii="Arial Narrow" w:hAnsi="Arial Narrow" w:cs="Arial Narrow"/>
        </w:rPr>
        <w:t>11:评价机构营业执照（复印件）</w:t>
      </w:r>
    </w:p>
    <w:p>
      <w:pPr>
        <w:snapToGrid w:val="0"/>
        <w:ind w:firstLine="480"/>
        <w:rPr>
          <w:rFonts w:ascii="Arial Narrow" w:hAnsi="Arial Narrow" w:cs="Arial Narrow"/>
        </w:rPr>
      </w:pPr>
      <w:r>
        <w:rPr>
          <w:rFonts w:ascii="Arial Narrow" w:hAnsi="Arial Narrow" w:cs="Arial Narrow"/>
        </w:rPr>
        <w:t>12:相关评价人员执业证明文件（复印件）</w:t>
      </w:r>
    </w:p>
    <w:p>
      <w:pPr>
        <w:snapToGrid w:val="0"/>
        <w:ind w:firstLine="480"/>
        <w:rPr>
          <w:rFonts w:ascii="Arial Narrow" w:hAnsi="Arial Narrow" w:cs="Arial Narrow"/>
        </w:rPr>
      </w:pPr>
    </w:p>
    <w:p>
      <w:pPr>
        <w:snapToGrid w:val="0"/>
        <w:ind w:firstLine="480"/>
        <w:rPr>
          <w:rFonts w:ascii="Arial Narrow" w:hAnsi="Arial Narrow" w:cs="Arial Narrow"/>
        </w:rPr>
      </w:pPr>
    </w:p>
    <w:p>
      <w:pPr>
        <w:snapToGrid w:val="0"/>
        <w:ind w:firstLine="480"/>
        <w:jc w:val="right"/>
        <w:rPr>
          <w:rFonts w:ascii="Arial Narrow" w:hAnsi="Arial Narrow" w:cs="Arial Narrow"/>
        </w:rPr>
      </w:pPr>
      <w:r>
        <w:rPr>
          <w:rFonts w:ascii="Arial Narrow" w:hAnsi="Arial Narrow" w:cs="Arial Narrow"/>
        </w:rPr>
        <w:t>致同会计师事务所（特殊普通合伙）</w:t>
      </w:r>
    </w:p>
    <w:p>
      <w:pPr>
        <w:snapToGrid w:val="0"/>
        <w:ind w:firstLine="480"/>
        <w:jc w:val="center"/>
        <w:rPr>
          <w:rFonts w:ascii="Arial Narrow" w:hAnsi="Arial Narrow" w:cs="Arial Narrow"/>
        </w:rPr>
      </w:pPr>
      <w:r>
        <w:rPr>
          <w:rFonts w:ascii="Arial Narrow" w:hAnsi="Arial Narrow" w:cs="Arial Narrow"/>
        </w:rPr>
        <w:t xml:space="preserve">                                                          武汉分所</w:t>
      </w:r>
    </w:p>
    <w:p>
      <w:pPr>
        <w:snapToGrid w:val="0"/>
        <w:ind w:firstLine="480"/>
        <w:jc w:val="right"/>
        <w:rPr>
          <w:rFonts w:ascii="Arial Narrow" w:hAnsi="Arial Narrow" w:cs="Arial Narrow"/>
        </w:rPr>
      </w:pPr>
      <w:r>
        <w:rPr>
          <w:rFonts w:ascii="Arial Narrow" w:hAnsi="Arial Narrow" w:cs="Arial Narrow"/>
        </w:rPr>
        <w:t>2018年5月</w:t>
      </w:r>
      <w:r>
        <w:rPr>
          <w:rFonts w:hint="eastAsia" w:ascii="Arial Narrow" w:hAnsi="Arial Narrow" w:cs="Arial Narrow"/>
        </w:rPr>
        <w:t>31</w:t>
      </w:r>
      <w:r>
        <w:rPr>
          <w:rFonts w:ascii="Arial Narrow" w:hAnsi="Arial Narrow" w:cs="Arial Narrow"/>
        </w:rPr>
        <w:t>日</w:t>
      </w:r>
    </w:p>
    <w:sectPr>
      <w:headerReference r:id="rId15" w:type="default"/>
      <w:footerReference r:id="rId16" w:type="default"/>
      <w:pgSz w:w="11906" w:h="16838"/>
      <w:pgMar w:top="1440" w:right="1406" w:bottom="1089" w:left="1800" w:header="1587" w:footer="1077" w:gutter="0"/>
      <w:pgNumType w:start="1"/>
      <w:cols w:space="720"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swiss"/>
    <w:pitch w:val="default"/>
    <w:sig w:usb0="00000287" w:usb1="080F0000" w:usb2="00000000" w:usb3="00000000" w:csb0="0004009F" w:csb1="DFD70000"/>
  </w:font>
  <w:font w:name="Calibri">
    <w:panose1 w:val="020F0502020204030204"/>
    <w:charset w:val="01"/>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350"/>
        <w:tab w:val="clear" w:pos="4153"/>
      </w:tabs>
      <w:ind w:firstLine="360"/>
    </w:pP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350"/>
        <w:tab w:val="clear" w:pos="4153"/>
      </w:tabs>
      <w:ind w:firstLine="360"/>
    </w:pPr>
    <w:r>
      <w:rPr>
        <w:rFonts w:hint="eastAsia"/>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350"/>
        <w:tab w:val="clear" w:pos="4153"/>
      </w:tabs>
      <w:ind w:firstLine="360"/>
    </w:pPr>
    <w:r>
      <w:pict>
        <v:shape id="_x0000_s3077" o:spid="_x0000_s3077"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0" w:firstLineChars="0"/>
      <w:jc w:val="both"/>
    </w:pPr>
    <w:r>
      <w:rPr>
        <w:rFonts w:ascii="Calibri" w:hAnsi="Calibri" w:eastAsia="黑体" w:cs="黑体"/>
        <w:b/>
        <w:sz w:val="14"/>
        <w:szCs w:val="14"/>
      </w:rPr>
      <w:pict>
        <v:rect id="文本框 26" o:spid="_x0000_s3073" o:spt="1" style="position:absolute;left:0pt;margin-left:359.05pt;margin-top:39.95pt;height:74.45pt;width:150.15pt;mso-position-horizontal-relative:page;mso-position-vertical-relative:page;z-index:251659264;mso-width-relative:page;mso-height-relative:page;" filled="f" stroked="f" coordsize="21600,21600" o:gfxdata="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HEzMPDbAAAACwEAAA8AAAAAAAAAAQAg&#10;AAAAIgAAAGRycy9kb3ducmV2LnhtbFBLAQIUABQAAAAIAIdO4kCxkznsmQEAAA4DAAAOAAAAAAAA&#10;AAEAIAAAACoBAABkcnMvZTJvRG9jLnhtbFBLBQYAAAAABgAGAFkBAAA1BQAAAAA=&#10;">
          <v:path/>
          <v:fill on="f" focussize="0,0"/>
          <v:stroke on="f"/>
          <v:imagedata o:title=""/>
          <o:lock v:ext="edit"/>
          <v:textbox>
            <w:txbxContent>
              <w:p>
                <w:pPr>
                  <w:ind w:firstLine="280"/>
                  <w:rPr>
                    <w:rFonts w:ascii="Arial Narrow" w:hAnsi="Arial Narrow" w:eastAsia="黑体" w:cs="Arial Narrow"/>
                    <w:sz w:val="14"/>
                    <w:szCs w:val="14"/>
                  </w:rPr>
                </w:pPr>
              </w:p>
            </w:txbxContent>
          </v:textbox>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0" w:firstLineChars="0"/>
      <w:jc w:val="both"/>
    </w:pPr>
    <w:r>
      <w:rPr>
        <w:rFonts w:ascii="Calibri" w:hAnsi="Calibri" w:eastAsia="黑体" w:cs="黑体"/>
        <w:b/>
        <w:sz w:val="14"/>
        <w:szCs w:val="14"/>
      </w:rPr>
      <w:pict>
        <v:rect id="矩形 1034" o:spid="_x0000_s3075" o:spt="1" style="position:absolute;left:0pt;margin-left:371.05pt;margin-top:26.25pt;height:74.45pt;width:150.15pt;mso-position-horizontal-relative:page;mso-position-vertical-relative:page;z-index:251663360;mso-width-relative:page;mso-height-relative:page;" filled="f" stroked="f" coordsize="21600,21600" o:gfxdata="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zp3bu2wAAAAsBAAAPAAAAAAAAAAEAIAAAACIAAABk&#10;cnMvZG93bnJldi54bWxQSwECFAAUAAAACACHTuJAftnD3JEBAAAAAwAADgAAAAAAAAABACAAAAAq&#10;AQAAZHJzL2Uyb0RvYy54bWxQSwUGAAAAAAYABgBZAQAALQUAAAAA&#10;">
          <v:path/>
          <v:fill on="f" focussize="0,0"/>
          <v:stroke on="f"/>
          <v:imagedata o:title=""/>
          <o:lock v:ext="edit"/>
          <v:textbox>
            <w:txbxContent>
              <w:p>
                <w:pPr>
                  <w:spacing w:line="240" w:lineRule="auto"/>
                  <w:ind w:firstLine="281"/>
                  <w:rPr>
                    <w:rFonts w:ascii="Arial Narrow" w:hAnsi="Arial Narrow" w:eastAsia="黑体" w:cs="Arial Narrow"/>
                    <w:b/>
                    <w:sz w:val="14"/>
                    <w:szCs w:val="14"/>
                  </w:rPr>
                </w:pPr>
                <w:r>
                  <w:rPr>
                    <w:rFonts w:ascii="Arial Narrow" w:hAnsi="Arial Narrow" w:eastAsia="黑体" w:cs="Arial Narrow"/>
                    <w:b/>
                    <w:sz w:val="14"/>
                    <w:szCs w:val="14"/>
                  </w:rPr>
                  <w:t>致同会计师事务所（特殊普通合伙）</w:t>
                </w:r>
              </w:p>
              <w:p>
                <w:pPr>
                  <w:spacing w:line="240" w:lineRule="auto"/>
                  <w:ind w:firstLine="281"/>
                  <w:rPr>
                    <w:rFonts w:ascii="Arial Narrow" w:hAnsi="Arial Narrow" w:eastAsia="黑体" w:cs="Arial Narrow"/>
                    <w:b/>
                    <w:sz w:val="14"/>
                    <w:szCs w:val="14"/>
                  </w:rPr>
                </w:pPr>
                <w:r>
                  <w:rPr>
                    <w:rFonts w:ascii="Arial Narrow" w:hAnsi="Arial Narrow" w:eastAsia="黑体" w:cs="Arial Narrow"/>
                    <w:b/>
                    <w:sz w:val="14"/>
                    <w:szCs w:val="14"/>
                  </w:rPr>
                  <w:t>武汉分所</w:t>
                </w:r>
              </w:p>
              <w:p>
                <w:pPr>
                  <w:spacing w:line="240" w:lineRule="auto"/>
                  <w:ind w:left="281" w:leftChars="115" w:hanging="5" w:hangingChars="4"/>
                  <w:rPr>
                    <w:rFonts w:ascii="Arial Narrow" w:hAnsi="Arial Narrow" w:eastAsia="黑体" w:cs="Arial Narrow"/>
                    <w:sz w:val="14"/>
                    <w:szCs w:val="14"/>
                  </w:rPr>
                </w:pPr>
                <w:r>
                  <w:rPr>
                    <w:rFonts w:ascii="Arial Narrow" w:hAnsi="Arial Narrow" w:eastAsia="黑体" w:cs="Arial Narrow"/>
                    <w:sz w:val="14"/>
                    <w:szCs w:val="14"/>
                  </w:rPr>
                  <w:t>中国武汉武昌区中北路58号汉街总部国际E座29层邮编430071</w:t>
                </w:r>
              </w:p>
              <w:p>
                <w:pPr>
                  <w:spacing w:line="240" w:lineRule="auto"/>
                  <w:ind w:firstLine="280"/>
                  <w:rPr>
                    <w:rFonts w:ascii="Arial Narrow" w:hAnsi="Arial Narrow" w:eastAsia="黑体" w:cs="Arial Narrow"/>
                    <w:sz w:val="14"/>
                    <w:szCs w:val="14"/>
                  </w:rPr>
                </w:pPr>
                <w:r>
                  <w:rPr>
                    <w:rFonts w:ascii="Arial Narrow" w:hAnsi="Arial Narrow" w:eastAsia="黑体" w:cs="Arial Narrow"/>
                    <w:sz w:val="14"/>
                    <w:szCs w:val="14"/>
                  </w:rPr>
                  <w:t>电话 +86 27 87819677</w:t>
                </w:r>
              </w:p>
              <w:p>
                <w:pPr>
                  <w:spacing w:line="240" w:lineRule="auto"/>
                  <w:ind w:firstLine="280"/>
                  <w:rPr>
                    <w:rFonts w:ascii="Arial Narrow" w:hAnsi="Arial Narrow" w:eastAsia="黑体" w:cs="Arial Narrow"/>
                    <w:sz w:val="14"/>
                    <w:szCs w:val="14"/>
                  </w:rPr>
                </w:pPr>
                <w:r>
                  <w:rPr>
                    <w:rFonts w:ascii="Arial Narrow" w:hAnsi="Arial Narrow" w:eastAsia="黑体" w:cs="Arial Narrow"/>
                    <w:sz w:val="14"/>
                    <w:szCs w:val="14"/>
                  </w:rPr>
                  <w:t>传真 +86 27 87812377</w:t>
                </w:r>
              </w:p>
              <w:p>
                <w:pPr>
                  <w:spacing w:line="240" w:lineRule="auto"/>
                  <w:ind w:firstLine="280"/>
                  <w:rPr>
                    <w:rFonts w:ascii="Arial Narrow" w:hAnsi="Arial Narrow" w:eastAsia="黑体" w:cs="Arial Narrow"/>
                    <w:sz w:val="14"/>
                    <w:szCs w:val="14"/>
                  </w:rPr>
                </w:pPr>
                <w:r>
                  <w:rPr>
                    <w:rFonts w:ascii="Arial Narrow" w:hAnsi="Arial Narrow" w:eastAsia="黑体" w:cs="Arial Narrow"/>
                    <w:sz w:val="14"/>
                    <w:szCs w:val="14"/>
                  </w:rPr>
                  <w:t>www.grantthornton.cn</w:t>
                </w:r>
              </w:p>
            </w:txbxContent>
          </v:textbox>
        </v:rect>
      </w:pict>
    </w:r>
    <w:r>
      <w:rPr>
        <w:rFonts w:ascii="Calibri" w:hAnsi="Calibri" w:eastAsia="黑体" w:cs="黑体"/>
        <w:b/>
        <w:sz w:val="14"/>
        <w:szCs w:val="14"/>
      </w:rPr>
      <w:drawing>
        <wp:anchor distT="0" distB="0" distL="114300" distR="114300" simplePos="0" relativeHeight="251661312" behindDoc="0" locked="0" layoutInCell="1" allowOverlap="1">
          <wp:simplePos x="0" y="0"/>
          <wp:positionH relativeFrom="page">
            <wp:posOffset>1047750</wp:posOffset>
          </wp:positionH>
          <wp:positionV relativeFrom="page">
            <wp:posOffset>447675</wp:posOffset>
          </wp:positionV>
          <wp:extent cx="2200275" cy="638175"/>
          <wp:effectExtent l="0" t="0" r="9525" b="9525"/>
          <wp:wrapNone/>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noChangeArrowheads="1"/>
                  </pic:cNvPicPr>
                </pic:nvPicPr>
                <pic:blipFill>
                  <a:blip r:embed="rId1"/>
                  <a:srcRect/>
                  <a:stretch>
                    <a:fillRect/>
                  </a:stretch>
                </pic:blipFill>
                <pic:spPr>
                  <a:xfrm>
                    <a:off x="0" y="0"/>
                    <a:ext cx="2200275" cy="638175"/>
                  </a:xfrm>
                  <a:prstGeom prst="rect">
                    <a:avLst/>
                  </a:prstGeom>
                  <a:noFill/>
                  <a:ln w="9525">
                    <a:noFill/>
                    <a:miter lim="800000"/>
                    <a:headEnd/>
                    <a:tailEnd/>
                  </a:ln>
                </pic:spPr>
              </pic:pic>
            </a:graphicData>
          </a:graphic>
        </wp:anchor>
      </w:drawing>
    </w:r>
    <w:r>
      <w:rPr>
        <w:rFonts w:ascii="Calibri" w:hAnsi="Calibri" w:eastAsia="黑体" w:cs="黑体"/>
        <w:b/>
        <w:sz w:val="14"/>
        <w:szCs w:val="14"/>
      </w:rPr>
      <w:pict>
        <v:rect id="_x0000_s3074" o:spid="_x0000_s3074" o:spt="1" style="position:absolute;left:0pt;margin-left:359.05pt;margin-top:39.95pt;height:74.45pt;width:150.15pt;mso-position-horizontal-relative:page;mso-position-vertical-relative:page;z-index:251660288;mso-width-relative:page;mso-height-relative:page;" filled="f" stroked="f" coordsize="21600,21600" o:gfxdata="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HEzMPDbAAAACwEAAA8AAAAAAAAAAQAg&#10;AAAAIgAAAGRycy9kb3ducmV2LnhtbFBLAQIUABQAAAAIAIdO4kAM2WiQmQEAAA8DAAAOAAAAAAAA&#10;AAEAIAAAACoBAABkcnMvZTJvRG9jLnhtbFBLBQYAAAAABgAGAFkBAAA1BQAAAAA=&#10;">
          <v:path/>
          <v:fill on="f" focussize="0,0"/>
          <v:stroke on="f"/>
          <v:imagedata o:title=""/>
          <o:lock v:ext="edit"/>
          <v:textbox>
            <w:txbxContent>
              <w:p>
                <w:pPr>
                  <w:ind w:firstLine="280"/>
                  <w:rPr>
                    <w:rFonts w:ascii="Arial Narrow" w:hAnsi="Arial Narrow" w:eastAsia="黑体" w:cs="Arial Narrow"/>
                    <w:sz w:val="14"/>
                    <w:szCs w:val="14"/>
                  </w:rPr>
                </w:pPr>
              </w:p>
            </w:txbxContent>
          </v:textbox>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0BE1CC"/>
    <w:multiLevelType w:val="singleLevel"/>
    <w:tmpl w:val="970BE1CC"/>
    <w:lvl w:ilvl="0" w:tentative="0">
      <w:start w:val="1"/>
      <w:numFmt w:val="decimal"/>
      <w:suff w:val="nothing"/>
      <w:lvlText w:val="%1、"/>
      <w:lvlJc w:val="left"/>
    </w:lvl>
  </w:abstractNum>
  <w:abstractNum w:abstractNumId="1">
    <w:nsid w:val="DF2B54F8"/>
    <w:multiLevelType w:val="singleLevel"/>
    <w:tmpl w:val="DF2B54F8"/>
    <w:lvl w:ilvl="0" w:tentative="0">
      <w:start w:val="1"/>
      <w:numFmt w:val="decimal"/>
      <w:suff w:val="nothing"/>
      <w:lvlText w:val="（%1）"/>
      <w:lvlJc w:val="left"/>
    </w:lvl>
  </w:abstractNum>
  <w:abstractNum w:abstractNumId="2">
    <w:nsid w:val="21294B62"/>
    <w:multiLevelType w:val="multilevel"/>
    <w:tmpl w:val="21294B62"/>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30B60878"/>
    <w:multiLevelType w:val="singleLevel"/>
    <w:tmpl w:val="30B60878"/>
    <w:lvl w:ilvl="0" w:tentative="0">
      <w:start w:val="1"/>
      <w:numFmt w:val="decimal"/>
      <w:suff w:val="nothing"/>
      <w:lvlText w:val="（%1）"/>
      <w:lvlJc w:val="left"/>
    </w:lvl>
  </w:abstractNum>
  <w:abstractNum w:abstractNumId="4">
    <w:nsid w:val="49BF6DDD"/>
    <w:multiLevelType w:val="multilevel"/>
    <w:tmpl w:val="49BF6DDD"/>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8D7580D"/>
    <w:multiLevelType w:val="singleLevel"/>
    <w:tmpl w:val="58D7580D"/>
    <w:lvl w:ilvl="0" w:tentative="0">
      <w:start w:val="4"/>
      <w:numFmt w:val="chineseCounting"/>
      <w:suff w:val="nothing"/>
      <w:lvlText w:val="%1、"/>
      <w:lvlJc w:val="left"/>
    </w:lvl>
  </w:abstractNum>
  <w:abstractNum w:abstractNumId="6">
    <w:nsid w:val="58D77370"/>
    <w:multiLevelType w:val="singleLevel"/>
    <w:tmpl w:val="58D77370"/>
    <w:lvl w:ilvl="0" w:tentative="0">
      <w:start w:val="1"/>
      <w:numFmt w:val="decimal"/>
      <w:suff w:val="nothing"/>
      <w:lvlText w:val="%1、"/>
      <w:lvlJc w:val="left"/>
    </w:lvl>
  </w:abstractNum>
  <w:abstractNum w:abstractNumId="7">
    <w:nsid w:val="58D78160"/>
    <w:multiLevelType w:val="singleLevel"/>
    <w:tmpl w:val="58D78160"/>
    <w:lvl w:ilvl="0" w:tentative="0">
      <w:start w:val="4"/>
      <w:numFmt w:val="decimal"/>
      <w:suff w:val="nothing"/>
      <w:lvlText w:val="（%1）"/>
      <w:lvlJc w:val="left"/>
    </w:lvl>
  </w:abstractNum>
  <w:abstractNum w:abstractNumId="8">
    <w:nsid w:val="58DB2990"/>
    <w:multiLevelType w:val="singleLevel"/>
    <w:tmpl w:val="58DB2990"/>
    <w:lvl w:ilvl="0" w:tentative="0">
      <w:start w:val="2"/>
      <w:numFmt w:val="chineseCounting"/>
      <w:suff w:val="nothing"/>
      <w:lvlText w:val="（%1）"/>
      <w:lvlJc w:val="left"/>
    </w:lvl>
  </w:abstractNum>
  <w:abstractNum w:abstractNumId="9">
    <w:nsid w:val="58DCFDFE"/>
    <w:multiLevelType w:val="singleLevel"/>
    <w:tmpl w:val="58DCFDFE"/>
    <w:lvl w:ilvl="0" w:tentative="0">
      <w:start w:val="3"/>
      <w:numFmt w:val="chineseCounting"/>
      <w:suff w:val="nothing"/>
      <w:lvlText w:val="%1、"/>
      <w:lvlJc w:val="left"/>
    </w:lvl>
  </w:abstractNum>
  <w:abstractNum w:abstractNumId="10">
    <w:nsid w:val="5BFB3CBE"/>
    <w:multiLevelType w:val="singleLevel"/>
    <w:tmpl w:val="5BFB3CBE"/>
    <w:lvl w:ilvl="0" w:tentative="0">
      <w:start w:val="1"/>
      <w:numFmt w:val="decimal"/>
      <w:suff w:val="nothing"/>
      <w:lvlText w:val="%1、"/>
      <w:lvlJc w:val="left"/>
    </w:lvl>
  </w:abstractNum>
  <w:num w:numId="1">
    <w:abstractNumId w:val="4"/>
  </w:num>
  <w:num w:numId="2">
    <w:abstractNumId w:val="9"/>
  </w:num>
  <w:num w:numId="3">
    <w:abstractNumId w:val="5"/>
  </w:num>
  <w:num w:numId="4">
    <w:abstractNumId w:val="3"/>
  </w:num>
  <w:num w:numId="5">
    <w:abstractNumId w:val="7"/>
  </w:num>
  <w:num w:numId="6">
    <w:abstractNumId w:val="2"/>
  </w:num>
  <w:num w:numId="7">
    <w:abstractNumId w:val="6"/>
  </w:num>
  <w:num w:numId="8">
    <w:abstractNumId w:val="1"/>
  </w:num>
  <w:num w:numId="9">
    <w:abstractNumId w:val="8"/>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204"/>
  <w:displayHorizontalDrawingGridEvery w:val="2"/>
  <w:displayVerticalDrawingGridEvery w:val="2"/>
  <w:noPunctuationKerning w:val="1"/>
  <w:characterSpacingControl w:val="compressPunctuation"/>
  <w:doNotValidateAgainstSchema/>
  <w:doNotDemarcateInvalidXml/>
  <w:hdrShapeDefaults>
    <o:shapelayout v:ext="edit">
      <o:idmap v:ext="edit" data="3"/>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NzNlMWI5MTM2Y2YzYzRhNGUxNzAwYmQ5OTEzZThhZjAifQ=="/>
  </w:docVars>
  <w:rsids>
    <w:rsidRoot w:val="00172A27"/>
    <w:rsid w:val="00002A69"/>
    <w:rsid w:val="000107B2"/>
    <w:rsid w:val="00012B09"/>
    <w:rsid w:val="000153F5"/>
    <w:rsid w:val="00016011"/>
    <w:rsid w:val="000225A4"/>
    <w:rsid w:val="000231B2"/>
    <w:rsid w:val="000235EA"/>
    <w:rsid w:val="00027617"/>
    <w:rsid w:val="00030459"/>
    <w:rsid w:val="00034CB1"/>
    <w:rsid w:val="00037160"/>
    <w:rsid w:val="00037FDA"/>
    <w:rsid w:val="00041931"/>
    <w:rsid w:val="000435FD"/>
    <w:rsid w:val="00051092"/>
    <w:rsid w:val="0005129C"/>
    <w:rsid w:val="0005263F"/>
    <w:rsid w:val="00060B99"/>
    <w:rsid w:val="000647BB"/>
    <w:rsid w:val="00065443"/>
    <w:rsid w:val="00070099"/>
    <w:rsid w:val="0007044D"/>
    <w:rsid w:val="00071B04"/>
    <w:rsid w:val="00071C74"/>
    <w:rsid w:val="00082AA1"/>
    <w:rsid w:val="000839C4"/>
    <w:rsid w:val="00083F0C"/>
    <w:rsid w:val="000850E9"/>
    <w:rsid w:val="00086B6B"/>
    <w:rsid w:val="00092652"/>
    <w:rsid w:val="00092834"/>
    <w:rsid w:val="00095860"/>
    <w:rsid w:val="0009621C"/>
    <w:rsid w:val="00097F61"/>
    <w:rsid w:val="000A2B58"/>
    <w:rsid w:val="000A38CF"/>
    <w:rsid w:val="000B0707"/>
    <w:rsid w:val="000B351B"/>
    <w:rsid w:val="000C0AC8"/>
    <w:rsid w:val="000C2C67"/>
    <w:rsid w:val="000C4653"/>
    <w:rsid w:val="000C4C40"/>
    <w:rsid w:val="000C7932"/>
    <w:rsid w:val="000C793B"/>
    <w:rsid w:val="000D124B"/>
    <w:rsid w:val="000D264B"/>
    <w:rsid w:val="000D32E5"/>
    <w:rsid w:val="000D34A6"/>
    <w:rsid w:val="000D37BE"/>
    <w:rsid w:val="000D5CCA"/>
    <w:rsid w:val="000D7608"/>
    <w:rsid w:val="000E16BD"/>
    <w:rsid w:val="000E1A4F"/>
    <w:rsid w:val="000E3E46"/>
    <w:rsid w:val="000E5026"/>
    <w:rsid w:val="000E5B9F"/>
    <w:rsid w:val="000F1F5E"/>
    <w:rsid w:val="000F2AE1"/>
    <w:rsid w:val="000F482F"/>
    <w:rsid w:val="00101AA1"/>
    <w:rsid w:val="00107C77"/>
    <w:rsid w:val="00107E2F"/>
    <w:rsid w:val="00110469"/>
    <w:rsid w:val="00115891"/>
    <w:rsid w:val="00117519"/>
    <w:rsid w:val="00121F3F"/>
    <w:rsid w:val="00134F95"/>
    <w:rsid w:val="00142BA0"/>
    <w:rsid w:val="00143DA4"/>
    <w:rsid w:val="001441F8"/>
    <w:rsid w:val="0014542F"/>
    <w:rsid w:val="00147E31"/>
    <w:rsid w:val="00152FB6"/>
    <w:rsid w:val="001542F3"/>
    <w:rsid w:val="001548CF"/>
    <w:rsid w:val="00156601"/>
    <w:rsid w:val="00157614"/>
    <w:rsid w:val="0016074D"/>
    <w:rsid w:val="00164900"/>
    <w:rsid w:val="001676D8"/>
    <w:rsid w:val="00172A27"/>
    <w:rsid w:val="00173694"/>
    <w:rsid w:val="0017597C"/>
    <w:rsid w:val="0018053D"/>
    <w:rsid w:val="00180C97"/>
    <w:rsid w:val="0018363A"/>
    <w:rsid w:val="001871E1"/>
    <w:rsid w:val="001907A0"/>
    <w:rsid w:val="001907BC"/>
    <w:rsid w:val="00197977"/>
    <w:rsid w:val="001A02C6"/>
    <w:rsid w:val="001A4611"/>
    <w:rsid w:val="001A6E1D"/>
    <w:rsid w:val="001A7035"/>
    <w:rsid w:val="001A71D3"/>
    <w:rsid w:val="001A7BCC"/>
    <w:rsid w:val="001B156C"/>
    <w:rsid w:val="001B206F"/>
    <w:rsid w:val="001B2C2B"/>
    <w:rsid w:val="001B564E"/>
    <w:rsid w:val="001C1AB0"/>
    <w:rsid w:val="001C6498"/>
    <w:rsid w:val="001C7FC5"/>
    <w:rsid w:val="001D4085"/>
    <w:rsid w:val="001D50A9"/>
    <w:rsid w:val="001E1192"/>
    <w:rsid w:val="001E3766"/>
    <w:rsid w:val="001E4DD7"/>
    <w:rsid w:val="001E57AC"/>
    <w:rsid w:val="001E63EB"/>
    <w:rsid w:val="001E73FF"/>
    <w:rsid w:val="001F0DE7"/>
    <w:rsid w:val="00203E55"/>
    <w:rsid w:val="00205C9D"/>
    <w:rsid w:val="002060DB"/>
    <w:rsid w:val="00206B01"/>
    <w:rsid w:val="00206B46"/>
    <w:rsid w:val="0020706B"/>
    <w:rsid w:val="002109B1"/>
    <w:rsid w:val="00214BA4"/>
    <w:rsid w:val="00220AE1"/>
    <w:rsid w:val="00226CA1"/>
    <w:rsid w:val="00227F82"/>
    <w:rsid w:val="002328C5"/>
    <w:rsid w:val="002331CD"/>
    <w:rsid w:val="00242395"/>
    <w:rsid w:val="00242589"/>
    <w:rsid w:val="00243172"/>
    <w:rsid w:val="00243D70"/>
    <w:rsid w:val="00244813"/>
    <w:rsid w:val="0024753B"/>
    <w:rsid w:val="0024762E"/>
    <w:rsid w:val="00247898"/>
    <w:rsid w:val="00247BA5"/>
    <w:rsid w:val="00251B7B"/>
    <w:rsid w:val="002520DB"/>
    <w:rsid w:val="002604FB"/>
    <w:rsid w:val="002612E9"/>
    <w:rsid w:val="00263172"/>
    <w:rsid w:val="00263E33"/>
    <w:rsid w:val="00263E5D"/>
    <w:rsid w:val="00267DA6"/>
    <w:rsid w:val="002706C6"/>
    <w:rsid w:val="00273665"/>
    <w:rsid w:val="0027412C"/>
    <w:rsid w:val="0027499A"/>
    <w:rsid w:val="00275D0D"/>
    <w:rsid w:val="00280B02"/>
    <w:rsid w:val="0028633D"/>
    <w:rsid w:val="002911A7"/>
    <w:rsid w:val="00291951"/>
    <w:rsid w:val="002953EE"/>
    <w:rsid w:val="002A0822"/>
    <w:rsid w:val="002A731C"/>
    <w:rsid w:val="002A7693"/>
    <w:rsid w:val="002B55AD"/>
    <w:rsid w:val="002C012C"/>
    <w:rsid w:val="002C05DC"/>
    <w:rsid w:val="002C21EB"/>
    <w:rsid w:val="002C439E"/>
    <w:rsid w:val="002C5757"/>
    <w:rsid w:val="002C5D77"/>
    <w:rsid w:val="002D1D84"/>
    <w:rsid w:val="002E11FA"/>
    <w:rsid w:val="002E21D6"/>
    <w:rsid w:val="002F1C3F"/>
    <w:rsid w:val="002F44AB"/>
    <w:rsid w:val="002F7973"/>
    <w:rsid w:val="0030034B"/>
    <w:rsid w:val="00307E93"/>
    <w:rsid w:val="0031024E"/>
    <w:rsid w:val="00312F11"/>
    <w:rsid w:val="003132F6"/>
    <w:rsid w:val="00315407"/>
    <w:rsid w:val="00322C3A"/>
    <w:rsid w:val="003313C3"/>
    <w:rsid w:val="003363C3"/>
    <w:rsid w:val="0034018A"/>
    <w:rsid w:val="00343216"/>
    <w:rsid w:val="00344CC3"/>
    <w:rsid w:val="0034515E"/>
    <w:rsid w:val="00347FD1"/>
    <w:rsid w:val="003506E6"/>
    <w:rsid w:val="00352DF8"/>
    <w:rsid w:val="00356E00"/>
    <w:rsid w:val="0036466F"/>
    <w:rsid w:val="00365BDD"/>
    <w:rsid w:val="003712A9"/>
    <w:rsid w:val="00372944"/>
    <w:rsid w:val="00374FFF"/>
    <w:rsid w:val="003750CC"/>
    <w:rsid w:val="0037593E"/>
    <w:rsid w:val="00376DC7"/>
    <w:rsid w:val="0038083D"/>
    <w:rsid w:val="00387964"/>
    <w:rsid w:val="0039007B"/>
    <w:rsid w:val="00390399"/>
    <w:rsid w:val="0039079D"/>
    <w:rsid w:val="003919EC"/>
    <w:rsid w:val="003920BE"/>
    <w:rsid w:val="0039236F"/>
    <w:rsid w:val="00392AA2"/>
    <w:rsid w:val="00392F5E"/>
    <w:rsid w:val="00394FAF"/>
    <w:rsid w:val="0039690B"/>
    <w:rsid w:val="003B1278"/>
    <w:rsid w:val="003C10E7"/>
    <w:rsid w:val="003C49E8"/>
    <w:rsid w:val="003C5736"/>
    <w:rsid w:val="003D37E8"/>
    <w:rsid w:val="003D5E40"/>
    <w:rsid w:val="003D6BE5"/>
    <w:rsid w:val="003D7EF3"/>
    <w:rsid w:val="003D7FF0"/>
    <w:rsid w:val="003E16C4"/>
    <w:rsid w:val="003E2919"/>
    <w:rsid w:val="003E3C53"/>
    <w:rsid w:val="003E6369"/>
    <w:rsid w:val="003E732D"/>
    <w:rsid w:val="003F0641"/>
    <w:rsid w:val="003F2581"/>
    <w:rsid w:val="003F3003"/>
    <w:rsid w:val="003F4A08"/>
    <w:rsid w:val="003F640B"/>
    <w:rsid w:val="003F78E3"/>
    <w:rsid w:val="004016BF"/>
    <w:rsid w:val="00402380"/>
    <w:rsid w:val="0040727E"/>
    <w:rsid w:val="00412C52"/>
    <w:rsid w:val="0041356F"/>
    <w:rsid w:val="00414470"/>
    <w:rsid w:val="004156F2"/>
    <w:rsid w:val="0041689F"/>
    <w:rsid w:val="00417F32"/>
    <w:rsid w:val="0042114C"/>
    <w:rsid w:val="00424A8D"/>
    <w:rsid w:val="004251FE"/>
    <w:rsid w:val="00432769"/>
    <w:rsid w:val="00436630"/>
    <w:rsid w:val="00436685"/>
    <w:rsid w:val="00436978"/>
    <w:rsid w:val="00437ABF"/>
    <w:rsid w:val="004406CE"/>
    <w:rsid w:val="004416B6"/>
    <w:rsid w:val="00444C92"/>
    <w:rsid w:val="00444F7A"/>
    <w:rsid w:val="00446C56"/>
    <w:rsid w:val="00446E9B"/>
    <w:rsid w:val="00447CE1"/>
    <w:rsid w:val="00461176"/>
    <w:rsid w:val="00461FB4"/>
    <w:rsid w:val="004637D6"/>
    <w:rsid w:val="00465728"/>
    <w:rsid w:val="00467D9C"/>
    <w:rsid w:val="004720AA"/>
    <w:rsid w:val="004734A4"/>
    <w:rsid w:val="00480CB4"/>
    <w:rsid w:val="0049123B"/>
    <w:rsid w:val="00496736"/>
    <w:rsid w:val="00497DCD"/>
    <w:rsid w:val="004A4024"/>
    <w:rsid w:val="004A4C34"/>
    <w:rsid w:val="004A5982"/>
    <w:rsid w:val="004A5CFE"/>
    <w:rsid w:val="004B0A18"/>
    <w:rsid w:val="004B2A1B"/>
    <w:rsid w:val="004B2DE5"/>
    <w:rsid w:val="004B331B"/>
    <w:rsid w:val="004B6F1C"/>
    <w:rsid w:val="004C2F4D"/>
    <w:rsid w:val="004C3638"/>
    <w:rsid w:val="004C39A4"/>
    <w:rsid w:val="004C52FF"/>
    <w:rsid w:val="004D33DF"/>
    <w:rsid w:val="004D749D"/>
    <w:rsid w:val="004D7DEA"/>
    <w:rsid w:val="004E04DA"/>
    <w:rsid w:val="004E1D06"/>
    <w:rsid w:val="004E1FA4"/>
    <w:rsid w:val="004E20B1"/>
    <w:rsid w:val="004E3457"/>
    <w:rsid w:val="004E3DAA"/>
    <w:rsid w:val="004E6203"/>
    <w:rsid w:val="004F42A1"/>
    <w:rsid w:val="004F5FA6"/>
    <w:rsid w:val="00500581"/>
    <w:rsid w:val="005041BE"/>
    <w:rsid w:val="005134B0"/>
    <w:rsid w:val="0051384D"/>
    <w:rsid w:val="0051441E"/>
    <w:rsid w:val="005155D3"/>
    <w:rsid w:val="00525692"/>
    <w:rsid w:val="00527E66"/>
    <w:rsid w:val="00534945"/>
    <w:rsid w:val="005360A1"/>
    <w:rsid w:val="00537C3E"/>
    <w:rsid w:val="0054431F"/>
    <w:rsid w:val="00544890"/>
    <w:rsid w:val="00547FC6"/>
    <w:rsid w:val="00552615"/>
    <w:rsid w:val="005567B3"/>
    <w:rsid w:val="005632D3"/>
    <w:rsid w:val="005655D1"/>
    <w:rsid w:val="005658C9"/>
    <w:rsid w:val="00565929"/>
    <w:rsid w:val="005659EE"/>
    <w:rsid w:val="00565D9A"/>
    <w:rsid w:val="00566498"/>
    <w:rsid w:val="005708E6"/>
    <w:rsid w:val="005810B2"/>
    <w:rsid w:val="005812C2"/>
    <w:rsid w:val="00583F95"/>
    <w:rsid w:val="00596867"/>
    <w:rsid w:val="00596AF0"/>
    <w:rsid w:val="00597947"/>
    <w:rsid w:val="005A0AF1"/>
    <w:rsid w:val="005A21FC"/>
    <w:rsid w:val="005B1178"/>
    <w:rsid w:val="005B159F"/>
    <w:rsid w:val="005C7BB8"/>
    <w:rsid w:val="005D24E1"/>
    <w:rsid w:val="005D7826"/>
    <w:rsid w:val="005E016C"/>
    <w:rsid w:val="005E06C2"/>
    <w:rsid w:val="005E0E0C"/>
    <w:rsid w:val="005E38D2"/>
    <w:rsid w:val="005E4DF6"/>
    <w:rsid w:val="005E6A5B"/>
    <w:rsid w:val="005E7290"/>
    <w:rsid w:val="005F072F"/>
    <w:rsid w:val="005F0A83"/>
    <w:rsid w:val="005F234F"/>
    <w:rsid w:val="005F3C50"/>
    <w:rsid w:val="0060394D"/>
    <w:rsid w:val="006047F8"/>
    <w:rsid w:val="006066A6"/>
    <w:rsid w:val="00606CC4"/>
    <w:rsid w:val="006138EE"/>
    <w:rsid w:val="0061452E"/>
    <w:rsid w:val="00615D9E"/>
    <w:rsid w:val="00621643"/>
    <w:rsid w:val="00624274"/>
    <w:rsid w:val="00626CD9"/>
    <w:rsid w:val="00630956"/>
    <w:rsid w:val="00636115"/>
    <w:rsid w:val="00640016"/>
    <w:rsid w:val="00641EED"/>
    <w:rsid w:val="00642106"/>
    <w:rsid w:val="00646876"/>
    <w:rsid w:val="00650DEF"/>
    <w:rsid w:val="00651741"/>
    <w:rsid w:val="00656BC8"/>
    <w:rsid w:val="00657162"/>
    <w:rsid w:val="0066273D"/>
    <w:rsid w:val="00662D0D"/>
    <w:rsid w:val="006642D3"/>
    <w:rsid w:val="006711A5"/>
    <w:rsid w:val="00676441"/>
    <w:rsid w:val="00677567"/>
    <w:rsid w:val="00682BA7"/>
    <w:rsid w:val="00687B7B"/>
    <w:rsid w:val="00691499"/>
    <w:rsid w:val="00692356"/>
    <w:rsid w:val="0069340D"/>
    <w:rsid w:val="006A769A"/>
    <w:rsid w:val="006A7A55"/>
    <w:rsid w:val="006B2DDC"/>
    <w:rsid w:val="006B4E85"/>
    <w:rsid w:val="006B5939"/>
    <w:rsid w:val="006B6D45"/>
    <w:rsid w:val="006B776D"/>
    <w:rsid w:val="006C0C87"/>
    <w:rsid w:val="006C2D83"/>
    <w:rsid w:val="006C3F2E"/>
    <w:rsid w:val="006C4D9E"/>
    <w:rsid w:val="006D10DC"/>
    <w:rsid w:val="006D22CB"/>
    <w:rsid w:val="006D281E"/>
    <w:rsid w:val="006D3823"/>
    <w:rsid w:val="006D3A5E"/>
    <w:rsid w:val="006D3E5C"/>
    <w:rsid w:val="006D431A"/>
    <w:rsid w:val="006D6DB9"/>
    <w:rsid w:val="006E149F"/>
    <w:rsid w:val="006E4514"/>
    <w:rsid w:val="006E5C42"/>
    <w:rsid w:val="006F581B"/>
    <w:rsid w:val="006F74F7"/>
    <w:rsid w:val="006F7E68"/>
    <w:rsid w:val="00702AE3"/>
    <w:rsid w:val="0070567E"/>
    <w:rsid w:val="00705ADC"/>
    <w:rsid w:val="0070659F"/>
    <w:rsid w:val="007148E9"/>
    <w:rsid w:val="00721C9B"/>
    <w:rsid w:val="0072285B"/>
    <w:rsid w:val="00722909"/>
    <w:rsid w:val="00723249"/>
    <w:rsid w:val="007260DC"/>
    <w:rsid w:val="00726E74"/>
    <w:rsid w:val="00727EF2"/>
    <w:rsid w:val="00731661"/>
    <w:rsid w:val="00733038"/>
    <w:rsid w:val="0073421A"/>
    <w:rsid w:val="00737E3E"/>
    <w:rsid w:val="007455A5"/>
    <w:rsid w:val="00747C3E"/>
    <w:rsid w:val="00750C7B"/>
    <w:rsid w:val="00753FB8"/>
    <w:rsid w:val="00756213"/>
    <w:rsid w:val="00757369"/>
    <w:rsid w:val="00760264"/>
    <w:rsid w:val="0076125E"/>
    <w:rsid w:val="007614A0"/>
    <w:rsid w:val="00766CC5"/>
    <w:rsid w:val="0076789B"/>
    <w:rsid w:val="0077612D"/>
    <w:rsid w:val="0078403F"/>
    <w:rsid w:val="007857C2"/>
    <w:rsid w:val="007951AE"/>
    <w:rsid w:val="007960FC"/>
    <w:rsid w:val="007A1325"/>
    <w:rsid w:val="007A260C"/>
    <w:rsid w:val="007A4561"/>
    <w:rsid w:val="007B096A"/>
    <w:rsid w:val="007B5BCC"/>
    <w:rsid w:val="007B63BA"/>
    <w:rsid w:val="007C0582"/>
    <w:rsid w:val="007C2929"/>
    <w:rsid w:val="007C5815"/>
    <w:rsid w:val="007D0A9C"/>
    <w:rsid w:val="007D12ED"/>
    <w:rsid w:val="007D518A"/>
    <w:rsid w:val="007D6002"/>
    <w:rsid w:val="007D6F8A"/>
    <w:rsid w:val="007E062F"/>
    <w:rsid w:val="007E5FF6"/>
    <w:rsid w:val="007F0CD4"/>
    <w:rsid w:val="007F15F0"/>
    <w:rsid w:val="007F3EA6"/>
    <w:rsid w:val="007F581B"/>
    <w:rsid w:val="008007BE"/>
    <w:rsid w:val="00800E4A"/>
    <w:rsid w:val="008015DF"/>
    <w:rsid w:val="00801640"/>
    <w:rsid w:val="0080288E"/>
    <w:rsid w:val="008053EB"/>
    <w:rsid w:val="00805A0A"/>
    <w:rsid w:val="0081201D"/>
    <w:rsid w:val="00812ECD"/>
    <w:rsid w:val="0081473D"/>
    <w:rsid w:val="008157AE"/>
    <w:rsid w:val="008167AB"/>
    <w:rsid w:val="00816E94"/>
    <w:rsid w:val="00820A25"/>
    <w:rsid w:val="0082440D"/>
    <w:rsid w:val="00831822"/>
    <w:rsid w:val="008325FA"/>
    <w:rsid w:val="00835356"/>
    <w:rsid w:val="00844F4F"/>
    <w:rsid w:val="008453B8"/>
    <w:rsid w:val="0084547F"/>
    <w:rsid w:val="008468CD"/>
    <w:rsid w:val="00847827"/>
    <w:rsid w:val="0085148F"/>
    <w:rsid w:val="00854541"/>
    <w:rsid w:val="008616A6"/>
    <w:rsid w:val="00862075"/>
    <w:rsid w:val="008662A2"/>
    <w:rsid w:val="0087108E"/>
    <w:rsid w:val="00871DE9"/>
    <w:rsid w:val="00885CF7"/>
    <w:rsid w:val="00886E69"/>
    <w:rsid w:val="008934FA"/>
    <w:rsid w:val="008A0F83"/>
    <w:rsid w:val="008A175E"/>
    <w:rsid w:val="008A2E40"/>
    <w:rsid w:val="008B15BE"/>
    <w:rsid w:val="008B7645"/>
    <w:rsid w:val="008C5857"/>
    <w:rsid w:val="008C6161"/>
    <w:rsid w:val="008D0512"/>
    <w:rsid w:val="008D1468"/>
    <w:rsid w:val="008D33D6"/>
    <w:rsid w:val="008D5A00"/>
    <w:rsid w:val="008E0EA8"/>
    <w:rsid w:val="008E5FB9"/>
    <w:rsid w:val="008F5689"/>
    <w:rsid w:val="008F624B"/>
    <w:rsid w:val="008F69BF"/>
    <w:rsid w:val="009003B0"/>
    <w:rsid w:val="009015AD"/>
    <w:rsid w:val="009036DE"/>
    <w:rsid w:val="0090416C"/>
    <w:rsid w:val="009043EF"/>
    <w:rsid w:val="00905763"/>
    <w:rsid w:val="00907956"/>
    <w:rsid w:val="00907A8F"/>
    <w:rsid w:val="0091079F"/>
    <w:rsid w:val="009153E3"/>
    <w:rsid w:val="0091597F"/>
    <w:rsid w:val="009177D8"/>
    <w:rsid w:val="00921DCF"/>
    <w:rsid w:val="00923D59"/>
    <w:rsid w:val="0092464E"/>
    <w:rsid w:val="00924F4C"/>
    <w:rsid w:val="009337F2"/>
    <w:rsid w:val="00934B5A"/>
    <w:rsid w:val="0094138A"/>
    <w:rsid w:val="00946554"/>
    <w:rsid w:val="00953385"/>
    <w:rsid w:val="009536E4"/>
    <w:rsid w:val="009553EB"/>
    <w:rsid w:val="009556E8"/>
    <w:rsid w:val="00960332"/>
    <w:rsid w:val="00963C82"/>
    <w:rsid w:val="00965590"/>
    <w:rsid w:val="009754A1"/>
    <w:rsid w:val="00977B6C"/>
    <w:rsid w:val="00981B94"/>
    <w:rsid w:val="009850DD"/>
    <w:rsid w:val="009852EE"/>
    <w:rsid w:val="00990F8D"/>
    <w:rsid w:val="009918A8"/>
    <w:rsid w:val="00995CC6"/>
    <w:rsid w:val="009964F7"/>
    <w:rsid w:val="009A07B6"/>
    <w:rsid w:val="009A2934"/>
    <w:rsid w:val="009A3167"/>
    <w:rsid w:val="009A488C"/>
    <w:rsid w:val="009A6B01"/>
    <w:rsid w:val="009B0E77"/>
    <w:rsid w:val="009B7C3D"/>
    <w:rsid w:val="009C21D3"/>
    <w:rsid w:val="009C3BDF"/>
    <w:rsid w:val="009C6399"/>
    <w:rsid w:val="009C700D"/>
    <w:rsid w:val="009D117E"/>
    <w:rsid w:val="009D2C81"/>
    <w:rsid w:val="009D3BCE"/>
    <w:rsid w:val="009D4762"/>
    <w:rsid w:val="009D61D3"/>
    <w:rsid w:val="009D6FD8"/>
    <w:rsid w:val="009E0181"/>
    <w:rsid w:val="009E1ED3"/>
    <w:rsid w:val="009E33EB"/>
    <w:rsid w:val="009E493E"/>
    <w:rsid w:val="009E6619"/>
    <w:rsid w:val="009F0897"/>
    <w:rsid w:val="009F5345"/>
    <w:rsid w:val="009F53C2"/>
    <w:rsid w:val="009F58A2"/>
    <w:rsid w:val="009F6F50"/>
    <w:rsid w:val="00A00406"/>
    <w:rsid w:val="00A0057C"/>
    <w:rsid w:val="00A0210F"/>
    <w:rsid w:val="00A058CF"/>
    <w:rsid w:val="00A072FE"/>
    <w:rsid w:val="00A07475"/>
    <w:rsid w:val="00A07496"/>
    <w:rsid w:val="00A10865"/>
    <w:rsid w:val="00A11537"/>
    <w:rsid w:val="00A11A7A"/>
    <w:rsid w:val="00A1212F"/>
    <w:rsid w:val="00A128C5"/>
    <w:rsid w:val="00A20055"/>
    <w:rsid w:val="00A210A1"/>
    <w:rsid w:val="00A22D6C"/>
    <w:rsid w:val="00A231F8"/>
    <w:rsid w:val="00A24CA1"/>
    <w:rsid w:val="00A269A7"/>
    <w:rsid w:val="00A31277"/>
    <w:rsid w:val="00A34428"/>
    <w:rsid w:val="00A4282F"/>
    <w:rsid w:val="00A44C1F"/>
    <w:rsid w:val="00A46DAF"/>
    <w:rsid w:val="00A47C58"/>
    <w:rsid w:val="00A529A1"/>
    <w:rsid w:val="00A52BA6"/>
    <w:rsid w:val="00A52F2C"/>
    <w:rsid w:val="00A54B3F"/>
    <w:rsid w:val="00A61261"/>
    <w:rsid w:val="00A61FD4"/>
    <w:rsid w:val="00A63AA9"/>
    <w:rsid w:val="00A669E9"/>
    <w:rsid w:val="00A67D0F"/>
    <w:rsid w:val="00A86542"/>
    <w:rsid w:val="00A87F7C"/>
    <w:rsid w:val="00A908A5"/>
    <w:rsid w:val="00A91DAE"/>
    <w:rsid w:val="00A9633A"/>
    <w:rsid w:val="00A965C2"/>
    <w:rsid w:val="00AA46EA"/>
    <w:rsid w:val="00AA559B"/>
    <w:rsid w:val="00AB29C4"/>
    <w:rsid w:val="00AB60C4"/>
    <w:rsid w:val="00AC14F0"/>
    <w:rsid w:val="00AC2DF7"/>
    <w:rsid w:val="00AC548A"/>
    <w:rsid w:val="00AD5C59"/>
    <w:rsid w:val="00AE270B"/>
    <w:rsid w:val="00AE5064"/>
    <w:rsid w:val="00AE5365"/>
    <w:rsid w:val="00AE55CB"/>
    <w:rsid w:val="00AF3FDF"/>
    <w:rsid w:val="00AF5069"/>
    <w:rsid w:val="00AF564E"/>
    <w:rsid w:val="00B005FA"/>
    <w:rsid w:val="00B01326"/>
    <w:rsid w:val="00B0164D"/>
    <w:rsid w:val="00B019F5"/>
    <w:rsid w:val="00B02152"/>
    <w:rsid w:val="00B04CC4"/>
    <w:rsid w:val="00B04F4E"/>
    <w:rsid w:val="00B052BC"/>
    <w:rsid w:val="00B05BCA"/>
    <w:rsid w:val="00B05CB2"/>
    <w:rsid w:val="00B10C00"/>
    <w:rsid w:val="00B222AE"/>
    <w:rsid w:val="00B22D6C"/>
    <w:rsid w:val="00B33B98"/>
    <w:rsid w:val="00B349F7"/>
    <w:rsid w:val="00B3578A"/>
    <w:rsid w:val="00B431EF"/>
    <w:rsid w:val="00B51ADD"/>
    <w:rsid w:val="00B553D8"/>
    <w:rsid w:val="00B569AD"/>
    <w:rsid w:val="00B56E34"/>
    <w:rsid w:val="00B57039"/>
    <w:rsid w:val="00B6093A"/>
    <w:rsid w:val="00B668D2"/>
    <w:rsid w:val="00B72C1F"/>
    <w:rsid w:val="00B73C5F"/>
    <w:rsid w:val="00B74177"/>
    <w:rsid w:val="00B7692A"/>
    <w:rsid w:val="00B76D53"/>
    <w:rsid w:val="00B82656"/>
    <w:rsid w:val="00B83704"/>
    <w:rsid w:val="00B90CC2"/>
    <w:rsid w:val="00B93330"/>
    <w:rsid w:val="00B96017"/>
    <w:rsid w:val="00B96778"/>
    <w:rsid w:val="00BA2BEC"/>
    <w:rsid w:val="00BA4E80"/>
    <w:rsid w:val="00BA56B6"/>
    <w:rsid w:val="00BB0781"/>
    <w:rsid w:val="00BB1475"/>
    <w:rsid w:val="00BB60A8"/>
    <w:rsid w:val="00BC1070"/>
    <w:rsid w:val="00BC3E88"/>
    <w:rsid w:val="00BD0BA4"/>
    <w:rsid w:val="00BD1F78"/>
    <w:rsid w:val="00BD1FC3"/>
    <w:rsid w:val="00BE1259"/>
    <w:rsid w:val="00BE73A7"/>
    <w:rsid w:val="00BF0647"/>
    <w:rsid w:val="00BF33D3"/>
    <w:rsid w:val="00C00CEE"/>
    <w:rsid w:val="00C06624"/>
    <w:rsid w:val="00C10B17"/>
    <w:rsid w:val="00C117C2"/>
    <w:rsid w:val="00C11868"/>
    <w:rsid w:val="00C16188"/>
    <w:rsid w:val="00C22374"/>
    <w:rsid w:val="00C2276F"/>
    <w:rsid w:val="00C23FFB"/>
    <w:rsid w:val="00C26608"/>
    <w:rsid w:val="00C2698A"/>
    <w:rsid w:val="00C308CC"/>
    <w:rsid w:val="00C30A7C"/>
    <w:rsid w:val="00C30E54"/>
    <w:rsid w:val="00C32BC8"/>
    <w:rsid w:val="00C34157"/>
    <w:rsid w:val="00C348C3"/>
    <w:rsid w:val="00C36D77"/>
    <w:rsid w:val="00C41CE3"/>
    <w:rsid w:val="00C44CDE"/>
    <w:rsid w:val="00C515F8"/>
    <w:rsid w:val="00C5195C"/>
    <w:rsid w:val="00C52063"/>
    <w:rsid w:val="00C60D35"/>
    <w:rsid w:val="00C61427"/>
    <w:rsid w:val="00C6411B"/>
    <w:rsid w:val="00C66CD2"/>
    <w:rsid w:val="00C72429"/>
    <w:rsid w:val="00C75D95"/>
    <w:rsid w:val="00C76049"/>
    <w:rsid w:val="00C770DB"/>
    <w:rsid w:val="00C80786"/>
    <w:rsid w:val="00C807F9"/>
    <w:rsid w:val="00C81852"/>
    <w:rsid w:val="00C81D03"/>
    <w:rsid w:val="00C830AA"/>
    <w:rsid w:val="00C83E2E"/>
    <w:rsid w:val="00C853F1"/>
    <w:rsid w:val="00C8640F"/>
    <w:rsid w:val="00C92A41"/>
    <w:rsid w:val="00CA3E28"/>
    <w:rsid w:val="00CA5D37"/>
    <w:rsid w:val="00CB0887"/>
    <w:rsid w:val="00CC1988"/>
    <w:rsid w:val="00CC19AA"/>
    <w:rsid w:val="00CC3865"/>
    <w:rsid w:val="00CC5C28"/>
    <w:rsid w:val="00CC6A6D"/>
    <w:rsid w:val="00CD01A6"/>
    <w:rsid w:val="00CD4E1A"/>
    <w:rsid w:val="00CD5D7A"/>
    <w:rsid w:val="00CD740C"/>
    <w:rsid w:val="00CE1ACB"/>
    <w:rsid w:val="00CE1BE6"/>
    <w:rsid w:val="00CE36B8"/>
    <w:rsid w:val="00CE4D5D"/>
    <w:rsid w:val="00CE6E37"/>
    <w:rsid w:val="00CE7334"/>
    <w:rsid w:val="00CF161B"/>
    <w:rsid w:val="00CF4907"/>
    <w:rsid w:val="00CF7BA7"/>
    <w:rsid w:val="00D00EA8"/>
    <w:rsid w:val="00D01135"/>
    <w:rsid w:val="00D015C5"/>
    <w:rsid w:val="00D03455"/>
    <w:rsid w:val="00D05BF5"/>
    <w:rsid w:val="00D0705D"/>
    <w:rsid w:val="00D10173"/>
    <w:rsid w:val="00D14C73"/>
    <w:rsid w:val="00D23BBE"/>
    <w:rsid w:val="00D27AF2"/>
    <w:rsid w:val="00D30805"/>
    <w:rsid w:val="00D32D8D"/>
    <w:rsid w:val="00D33266"/>
    <w:rsid w:val="00D33644"/>
    <w:rsid w:val="00D41D85"/>
    <w:rsid w:val="00D41E86"/>
    <w:rsid w:val="00D4220E"/>
    <w:rsid w:val="00D42316"/>
    <w:rsid w:val="00D427FC"/>
    <w:rsid w:val="00D44D3A"/>
    <w:rsid w:val="00D44F9B"/>
    <w:rsid w:val="00D45885"/>
    <w:rsid w:val="00D45961"/>
    <w:rsid w:val="00D45983"/>
    <w:rsid w:val="00D459BF"/>
    <w:rsid w:val="00D47231"/>
    <w:rsid w:val="00D47A53"/>
    <w:rsid w:val="00D52E6E"/>
    <w:rsid w:val="00D54B02"/>
    <w:rsid w:val="00D554CB"/>
    <w:rsid w:val="00D60680"/>
    <w:rsid w:val="00D60DDF"/>
    <w:rsid w:val="00D61B4E"/>
    <w:rsid w:val="00D726C9"/>
    <w:rsid w:val="00D77B55"/>
    <w:rsid w:val="00D77F22"/>
    <w:rsid w:val="00D800EA"/>
    <w:rsid w:val="00D83991"/>
    <w:rsid w:val="00D83A75"/>
    <w:rsid w:val="00D848FF"/>
    <w:rsid w:val="00D86515"/>
    <w:rsid w:val="00D9131C"/>
    <w:rsid w:val="00D92DBF"/>
    <w:rsid w:val="00D942F0"/>
    <w:rsid w:val="00D9704A"/>
    <w:rsid w:val="00DA2837"/>
    <w:rsid w:val="00DA2C69"/>
    <w:rsid w:val="00DA3DE8"/>
    <w:rsid w:val="00DB0341"/>
    <w:rsid w:val="00DB1144"/>
    <w:rsid w:val="00DB1A6E"/>
    <w:rsid w:val="00DB29FD"/>
    <w:rsid w:val="00DB3373"/>
    <w:rsid w:val="00DB3ACE"/>
    <w:rsid w:val="00DB4415"/>
    <w:rsid w:val="00DB5C1E"/>
    <w:rsid w:val="00DB662D"/>
    <w:rsid w:val="00DB6793"/>
    <w:rsid w:val="00DC4310"/>
    <w:rsid w:val="00DC69A7"/>
    <w:rsid w:val="00DC7E56"/>
    <w:rsid w:val="00DD07D3"/>
    <w:rsid w:val="00DD19A1"/>
    <w:rsid w:val="00DD2557"/>
    <w:rsid w:val="00DE0934"/>
    <w:rsid w:val="00DE105F"/>
    <w:rsid w:val="00DE658A"/>
    <w:rsid w:val="00DE6720"/>
    <w:rsid w:val="00DF0BEC"/>
    <w:rsid w:val="00DF0DC5"/>
    <w:rsid w:val="00DF47DD"/>
    <w:rsid w:val="00DF73FE"/>
    <w:rsid w:val="00E01478"/>
    <w:rsid w:val="00E01655"/>
    <w:rsid w:val="00E01E5D"/>
    <w:rsid w:val="00E04274"/>
    <w:rsid w:val="00E11DC5"/>
    <w:rsid w:val="00E12295"/>
    <w:rsid w:val="00E20C05"/>
    <w:rsid w:val="00E22B62"/>
    <w:rsid w:val="00E2632C"/>
    <w:rsid w:val="00E31C4A"/>
    <w:rsid w:val="00E377AB"/>
    <w:rsid w:val="00E40AE7"/>
    <w:rsid w:val="00E42612"/>
    <w:rsid w:val="00E53A1D"/>
    <w:rsid w:val="00E560DE"/>
    <w:rsid w:val="00E56786"/>
    <w:rsid w:val="00E63C72"/>
    <w:rsid w:val="00E67CC2"/>
    <w:rsid w:val="00E70E75"/>
    <w:rsid w:val="00E720E0"/>
    <w:rsid w:val="00E735DF"/>
    <w:rsid w:val="00E77782"/>
    <w:rsid w:val="00E77DC4"/>
    <w:rsid w:val="00E84161"/>
    <w:rsid w:val="00E854ED"/>
    <w:rsid w:val="00E8595D"/>
    <w:rsid w:val="00E87F02"/>
    <w:rsid w:val="00E94946"/>
    <w:rsid w:val="00E957DC"/>
    <w:rsid w:val="00E96F22"/>
    <w:rsid w:val="00EA2BEB"/>
    <w:rsid w:val="00EA35ED"/>
    <w:rsid w:val="00EA7259"/>
    <w:rsid w:val="00EA7F9E"/>
    <w:rsid w:val="00EB1926"/>
    <w:rsid w:val="00EB2560"/>
    <w:rsid w:val="00EB44D6"/>
    <w:rsid w:val="00EB5268"/>
    <w:rsid w:val="00EB5CE9"/>
    <w:rsid w:val="00EB69EC"/>
    <w:rsid w:val="00EB7D02"/>
    <w:rsid w:val="00EC0D33"/>
    <w:rsid w:val="00EC243C"/>
    <w:rsid w:val="00EC3D5E"/>
    <w:rsid w:val="00EC5C8F"/>
    <w:rsid w:val="00ED1942"/>
    <w:rsid w:val="00ED3252"/>
    <w:rsid w:val="00ED625C"/>
    <w:rsid w:val="00EE3359"/>
    <w:rsid w:val="00EE6CEB"/>
    <w:rsid w:val="00EF2329"/>
    <w:rsid w:val="00EF3750"/>
    <w:rsid w:val="00EF3AD0"/>
    <w:rsid w:val="00EF51D9"/>
    <w:rsid w:val="00EF6670"/>
    <w:rsid w:val="00EF7867"/>
    <w:rsid w:val="00F007F5"/>
    <w:rsid w:val="00F023EB"/>
    <w:rsid w:val="00F034DE"/>
    <w:rsid w:val="00F105BB"/>
    <w:rsid w:val="00F11D13"/>
    <w:rsid w:val="00F15BC0"/>
    <w:rsid w:val="00F22E11"/>
    <w:rsid w:val="00F245AA"/>
    <w:rsid w:val="00F32201"/>
    <w:rsid w:val="00F346F0"/>
    <w:rsid w:val="00F34780"/>
    <w:rsid w:val="00F42462"/>
    <w:rsid w:val="00F42C07"/>
    <w:rsid w:val="00F43025"/>
    <w:rsid w:val="00F43CA0"/>
    <w:rsid w:val="00F479AC"/>
    <w:rsid w:val="00F47AC0"/>
    <w:rsid w:val="00F50C5F"/>
    <w:rsid w:val="00F537E6"/>
    <w:rsid w:val="00F54C72"/>
    <w:rsid w:val="00F5586D"/>
    <w:rsid w:val="00F56F36"/>
    <w:rsid w:val="00F579C1"/>
    <w:rsid w:val="00F60467"/>
    <w:rsid w:val="00F61705"/>
    <w:rsid w:val="00F75A94"/>
    <w:rsid w:val="00F7643C"/>
    <w:rsid w:val="00F866DF"/>
    <w:rsid w:val="00F87BB1"/>
    <w:rsid w:val="00F91449"/>
    <w:rsid w:val="00F91525"/>
    <w:rsid w:val="00F93A2D"/>
    <w:rsid w:val="00F945F2"/>
    <w:rsid w:val="00F9606C"/>
    <w:rsid w:val="00F96E1E"/>
    <w:rsid w:val="00F973C9"/>
    <w:rsid w:val="00FA017F"/>
    <w:rsid w:val="00FA614A"/>
    <w:rsid w:val="00FA66DE"/>
    <w:rsid w:val="00FB2DEF"/>
    <w:rsid w:val="00FB4149"/>
    <w:rsid w:val="00FB57F6"/>
    <w:rsid w:val="00FB7D78"/>
    <w:rsid w:val="00FC429A"/>
    <w:rsid w:val="00FC451B"/>
    <w:rsid w:val="00FC4EB6"/>
    <w:rsid w:val="00FC52B0"/>
    <w:rsid w:val="00FC69D4"/>
    <w:rsid w:val="00FD1348"/>
    <w:rsid w:val="00FD4B23"/>
    <w:rsid w:val="00FE15C5"/>
    <w:rsid w:val="00FE1DB5"/>
    <w:rsid w:val="00FE1F54"/>
    <w:rsid w:val="00FE5BA5"/>
    <w:rsid w:val="00FE7174"/>
    <w:rsid w:val="00FF018C"/>
    <w:rsid w:val="00FF0713"/>
    <w:rsid w:val="00FF1DC6"/>
    <w:rsid w:val="00FF6F97"/>
    <w:rsid w:val="00FF7089"/>
    <w:rsid w:val="00FF7A70"/>
    <w:rsid w:val="01047636"/>
    <w:rsid w:val="02572AE5"/>
    <w:rsid w:val="02760545"/>
    <w:rsid w:val="02B56729"/>
    <w:rsid w:val="03247782"/>
    <w:rsid w:val="04413630"/>
    <w:rsid w:val="04C8381E"/>
    <w:rsid w:val="05603F3F"/>
    <w:rsid w:val="071B2841"/>
    <w:rsid w:val="087F659B"/>
    <w:rsid w:val="093B516D"/>
    <w:rsid w:val="097A6033"/>
    <w:rsid w:val="0984187F"/>
    <w:rsid w:val="09A37EFB"/>
    <w:rsid w:val="0A00012D"/>
    <w:rsid w:val="0B1F5DBD"/>
    <w:rsid w:val="0B2524AC"/>
    <w:rsid w:val="0CC65AE5"/>
    <w:rsid w:val="0E012411"/>
    <w:rsid w:val="0F20580B"/>
    <w:rsid w:val="0FEC69D3"/>
    <w:rsid w:val="106303AF"/>
    <w:rsid w:val="117E0C15"/>
    <w:rsid w:val="11EF6E84"/>
    <w:rsid w:val="12433E14"/>
    <w:rsid w:val="12C24678"/>
    <w:rsid w:val="13DE3D86"/>
    <w:rsid w:val="140F2932"/>
    <w:rsid w:val="144F07AA"/>
    <w:rsid w:val="14A37610"/>
    <w:rsid w:val="14E4225F"/>
    <w:rsid w:val="18BE29F3"/>
    <w:rsid w:val="1C4D7DAD"/>
    <w:rsid w:val="1DA028B7"/>
    <w:rsid w:val="1EA94D9F"/>
    <w:rsid w:val="1EB930A0"/>
    <w:rsid w:val="1F6C2A40"/>
    <w:rsid w:val="1FF20EA8"/>
    <w:rsid w:val="20242C2D"/>
    <w:rsid w:val="23211AE6"/>
    <w:rsid w:val="236274FA"/>
    <w:rsid w:val="24800F96"/>
    <w:rsid w:val="25153D44"/>
    <w:rsid w:val="25285676"/>
    <w:rsid w:val="256103B8"/>
    <w:rsid w:val="26E62E71"/>
    <w:rsid w:val="28D4324F"/>
    <w:rsid w:val="293C483F"/>
    <w:rsid w:val="2A686DA4"/>
    <w:rsid w:val="2AAA25E0"/>
    <w:rsid w:val="2BB97D73"/>
    <w:rsid w:val="2E571C30"/>
    <w:rsid w:val="2EEA20C6"/>
    <w:rsid w:val="2FE51DC4"/>
    <w:rsid w:val="2FEE3198"/>
    <w:rsid w:val="3186211E"/>
    <w:rsid w:val="31D12168"/>
    <w:rsid w:val="32051EBD"/>
    <w:rsid w:val="3382329A"/>
    <w:rsid w:val="349B0B05"/>
    <w:rsid w:val="34C75930"/>
    <w:rsid w:val="35637126"/>
    <w:rsid w:val="35E85246"/>
    <w:rsid w:val="36FD503E"/>
    <w:rsid w:val="391523A7"/>
    <w:rsid w:val="39FA1B30"/>
    <w:rsid w:val="3A2976DA"/>
    <w:rsid w:val="3A2A1B78"/>
    <w:rsid w:val="3A667DDD"/>
    <w:rsid w:val="3A671AAD"/>
    <w:rsid w:val="3AC577F8"/>
    <w:rsid w:val="3AC824C8"/>
    <w:rsid w:val="3AEB77DC"/>
    <w:rsid w:val="3CF857AC"/>
    <w:rsid w:val="3DE70FAE"/>
    <w:rsid w:val="41704EC1"/>
    <w:rsid w:val="42273987"/>
    <w:rsid w:val="42CE5B66"/>
    <w:rsid w:val="43776548"/>
    <w:rsid w:val="43BE4776"/>
    <w:rsid w:val="43C84FD4"/>
    <w:rsid w:val="44155AB7"/>
    <w:rsid w:val="45F70E89"/>
    <w:rsid w:val="46A55481"/>
    <w:rsid w:val="47A5102A"/>
    <w:rsid w:val="47BA21BF"/>
    <w:rsid w:val="48A428E6"/>
    <w:rsid w:val="49381C7B"/>
    <w:rsid w:val="4B2F5758"/>
    <w:rsid w:val="4B453181"/>
    <w:rsid w:val="4C4152D0"/>
    <w:rsid w:val="4D686500"/>
    <w:rsid w:val="4E0C1ED3"/>
    <w:rsid w:val="4F053496"/>
    <w:rsid w:val="4FE11498"/>
    <w:rsid w:val="50631556"/>
    <w:rsid w:val="50E91FFA"/>
    <w:rsid w:val="510409B3"/>
    <w:rsid w:val="5124074F"/>
    <w:rsid w:val="517E0914"/>
    <w:rsid w:val="54727B24"/>
    <w:rsid w:val="560D0EFF"/>
    <w:rsid w:val="564E0B09"/>
    <w:rsid w:val="57010C43"/>
    <w:rsid w:val="57A02685"/>
    <w:rsid w:val="57D755F2"/>
    <w:rsid w:val="59196FED"/>
    <w:rsid w:val="59A01EE6"/>
    <w:rsid w:val="59D65188"/>
    <w:rsid w:val="5A2336B5"/>
    <w:rsid w:val="5A246314"/>
    <w:rsid w:val="5A5E3BBF"/>
    <w:rsid w:val="5AEC655C"/>
    <w:rsid w:val="5C433685"/>
    <w:rsid w:val="5C9579C4"/>
    <w:rsid w:val="5CF84418"/>
    <w:rsid w:val="61D75F41"/>
    <w:rsid w:val="62611A1D"/>
    <w:rsid w:val="62C92712"/>
    <w:rsid w:val="65B25C31"/>
    <w:rsid w:val="666E3CB0"/>
    <w:rsid w:val="677D4DED"/>
    <w:rsid w:val="67AA75FE"/>
    <w:rsid w:val="6AC80216"/>
    <w:rsid w:val="6B5741F2"/>
    <w:rsid w:val="6B5F4E73"/>
    <w:rsid w:val="6C5272DB"/>
    <w:rsid w:val="6C61797E"/>
    <w:rsid w:val="6D8B4DFA"/>
    <w:rsid w:val="6E693AE2"/>
    <w:rsid w:val="6EA15EFD"/>
    <w:rsid w:val="6F9764F8"/>
    <w:rsid w:val="70344EA3"/>
    <w:rsid w:val="70973B45"/>
    <w:rsid w:val="70AB1319"/>
    <w:rsid w:val="71C852BA"/>
    <w:rsid w:val="72175889"/>
    <w:rsid w:val="74F67D33"/>
    <w:rsid w:val="758C63FF"/>
    <w:rsid w:val="75E52790"/>
    <w:rsid w:val="760F77BD"/>
    <w:rsid w:val="76DE4601"/>
    <w:rsid w:val="76FD4726"/>
    <w:rsid w:val="781B2F73"/>
    <w:rsid w:val="783024B4"/>
    <w:rsid w:val="786F2D5B"/>
    <w:rsid w:val="788C7FB5"/>
    <w:rsid w:val="790322C8"/>
    <w:rsid w:val="79882B7C"/>
    <w:rsid w:val="7B38272C"/>
    <w:rsid w:val="7B493E8C"/>
    <w:rsid w:val="7C5706A0"/>
    <w:rsid w:val="7DA372F6"/>
    <w:rsid w:val="7DDF5E0F"/>
    <w:rsid w:val="7E7764EB"/>
    <w:rsid w:val="7E8F28A2"/>
    <w:rsid w:val="7FC22285"/>
    <w:rsid w:val="7FFC5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imes New Roman"/>
      <w:kern w:val="2"/>
      <w:sz w:val="24"/>
      <w:szCs w:val="24"/>
      <w:lang w:val="en-US" w:eastAsia="zh-CN" w:bidi="ar-SA"/>
    </w:rPr>
  </w:style>
  <w:style w:type="paragraph" w:styleId="2">
    <w:name w:val="heading 1"/>
    <w:basedOn w:val="1"/>
    <w:next w:val="1"/>
    <w:qFormat/>
    <w:uiPriority w:val="0"/>
    <w:pPr>
      <w:keepNext/>
      <w:keepLines/>
      <w:ind w:firstLine="0" w:firstLineChars="0"/>
      <w:jc w:val="left"/>
      <w:outlineLvl w:val="0"/>
    </w:pPr>
    <w:rPr>
      <w:b/>
      <w:bCs/>
      <w:kern w:val="44"/>
      <w:sz w:val="28"/>
      <w:szCs w:val="44"/>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eastAsia="宋体"/>
      <w:b/>
      <w:kern w:val="0"/>
      <w:sz w:val="36"/>
      <w:szCs w:val="36"/>
    </w:rPr>
  </w:style>
  <w:style w:type="paragraph" w:styleId="4">
    <w:name w:val="heading 3"/>
    <w:basedOn w:val="1"/>
    <w:next w:val="1"/>
    <w:qFormat/>
    <w:uiPriority w:val="0"/>
    <w:pPr>
      <w:keepNext/>
      <w:keepLines/>
      <w:ind w:firstLine="0" w:firstLineChars="0"/>
      <w:jc w:val="left"/>
      <w:outlineLvl w:val="2"/>
    </w:pPr>
    <w:rPr>
      <w:b/>
      <w:bCs/>
      <w:szCs w:val="32"/>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ind w:left="1800"/>
      <w:jc w:val="left"/>
    </w:pPr>
    <w:rPr>
      <w:sz w:val="18"/>
      <w:szCs w:val="18"/>
    </w:rPr>
  </w:style>
  <w:style w:type="paragraph" w:styleId="6">
    <w:name w:val="Document Map"/>
    <w:basedOn w:val="1"/>
    <w:link w:val="44"/>
    <w:unhideWhenUsed/>
    <w:qFormat/>
    <w:uiPriority w:val="99"/>
    <w:rPr>
      <w:rFonts w:ascii="宋体" w:eastAsia="宋体"/>
      <w:sz w:val="18"/>
      <w:szCs w:val="18"/>
    </w:rPr>
  </w:style>
  <w:style w:type="paragraph" w:styleId="7">
    <w:name w:val="annotation text"/>
    <w:basedOn w:val="1"/>
    <w:link w:val="41"/>
    <w:unhideWhenUsed/>
    <w:qFormat/>
    <w:uiPriority w:val="99"/>
    <w:pPr>
      <w:jc w:val="left"/>
    </w:pPr>
  </w:style>
  <w:style w:type="paragraph" w:styleId="8">
    <w:name w:val="toc 5"/>
    <w:basedOn w:val="1"/>
    <w:next w:val="1"/>
    <w:qFormat/>
    <w:uiPriority w:val="39"/>
    <w:pPr>
      <w:ind w:left="1200"/>
      <w:jc w:val="left"/>
    </w:pPr>
    <w:rPr>
      <w:sz w:val="18"/>
      <w:szCs w:val="18"/>
    </w:rPr>
  </w:style>
  <w:style w:type="paragraph" w:styleId="9">
    <w:name w:val="toc 3"/>
    <w:basedOn w:val="1"/>
    <w:next w:val="1"/>
    <w:qFormat/>
    <w:uiPriority w:val="39"/>
    <w:pPr>
      <w:spacing w:line="300" w:lineRule="exact"/>
      <w:ind w:left="567"/>
      <w:jc w:val="left"/>
    </w:pPr>
    <w:rPr>
      <w:iCs/>
      <w:sz w:val="28"/>
      <w:szCs w:val="20"/>
    </w:rPr>
  </w:style>
  <w:style w:type="paragraph" w:styleId="10">
    <w:name w:val="toc 8"/>
    <w:basedOn w:val="1"/>
    <w:next w:val="1"/>
    <w:qFormat/>
    <w:uiPriority w:val="39"/>
    <w:pPr>
      <w:ind w:left="2100"/>
      <w:jc w:val="left"/>
    </w:pPr>
    <w:rPr>
      <w:sz w:val="18"/>
      <w:szCs w:val="18"/>
    </w:rPr>
  </w:style>
  <w:style w:type="paragraph" w:styleId="11">
    <w:name w:val="Date"/>
    <w:basedOn w:val="1"/>
    <w:next w:val="1"/>
    <w:qFormat/>
    <w:uiPriority w:val="0"/>
    <w:pPr>
      <w:ind w:left="100" w:leftChars="2500"/>
    </w:pPr>
    <w:rPr>
      <w:rFonts w:eastAsia="宋体"/>
      <w:sz w:val="21"/>
    </w:rPr>
  </w:style>
  <w:style w:type="paragraph" w:styleId="12">
    <w:name w:val="Balloon Text"/>
    <w:basedOn w:val="1"/>
    <w:link w:val="38"/>
    <w:qFormat/>
    <w:uiPriority w:val="0"/>
    <w:rPr>
      <w:sz w:val="18"/>
      <w:szCs w:val="18"/>
    </w:rPr>
  </w:style>
  <w:style w:type="paragraph" w:styleId="13">
    <w:name w:val="footer"/>
    <w:basedOn w:val="1"/>
    <w:link w:val="39"/>
    <w:qFormat/>
    <w:uiPriority w:val="99"/>
    <w:pPr>
      <w:tabs>
        <w:tab w:val="center" w:pos="4153"/>
        <w:tab w:val="right" w:pos="8306"/>
      </w:tabs>
      <w:snapToGrid w:val="0"/>
      <w:jc w:val="left"/>
    </w:pPr>
    <w:rPr>
      <w:sz w:val="18"/>
      <w:szCs w:val="18"/>
    </w:rPr>
  </w:style>
  <w:style w:type="paragraph" w:styleId="14">
    <w:name w:val="header"/>
    <w:basedOn w:val="1"/>
    <w:link w:val="42"/>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jc w:val="left"/>
    </w:pPr>
    <w:rPr>
      <w:b/>
      <w:bCs/>
      <w:caps/>
      <w:sz w:val="28"/>
      <w:szCs w:val="20"/>
    </w:rPr>
  </w:style>
  <w:style w:type="paragraph" w:styleId="16">
    <w:name w:val="toc 4"/>
    <w:basedOn w:val="1"/>
    <w:next w:val="1"/>
    <w:qFormat/>
    <w:uiPriority w:val="39"/>
    <w:pPr>
      <w:tabs>
        <w:tab w:val="right" w:leader="dot" w:pos="8693"/>
      </w:tabs>
      <w:spacing w:line="300" w:lineRule="exact"/>
      <w:ind w:left="902"/>
      <w:jc w:val="left"/>
    </w:pPr>
    <w:rPr>
      <w:sz w:val="28"/>
      <w:szCs w:val="18"/>
    </w:rPr>
  </w:style>
  <w:style w:type="paragraph" w:styleId="17">
    <w:name w:val="toc 6"/>
    <w:basedOn w:val="1"/>
    <w:next w:val="1"/>
    <w:qFormat/>
    <w:uiPriority w:val="39"/>
    <w:pPr>
      <w:ind w:left="1500"/>
      <w:jc w:val="left"/>
    </w:pPr>
    <w:rPr>
      <w:sz w:val="18"/>
      <w:szCs w:val="18"/>
    </w:rPr>
  </w:style>
  <w:style w:type="paragraph" w:styleId="18">
    <w:name w:val="toc 2"/>
    <w:basedOn w:val="1"/>
    <w:next w:val="1"/>
    <w:qFormat/>
    <w:uiPriority w:val="39"/>
    <w:pPr>
      <w:spacing w:line="300" w:lineRule="exact"/>
      <w:jc w:val="left"/>
    </w:pPr>
    <w:rPr>
      <w:smallCaps/>
      <w:sz w:val="28"/>
      <w:szCs w:val="20"/>
    </w:rPr>
  </w:style>
  <w:style w:type="paragraph" w:styleId="19">
    <w:name w:val="toc 9"/>
    <w:basedOn w:val="1"/>
    <w:next w:val="1"/>
    <w:qFormat/>
    <w:uiPriority w:val="39"/>
    <w:pPr>
      <w:ind w:left="2400"/>
      <w:jc w:val="left"/>
    </w:pPr>
    <w:rPr>
      <w:sz w:val="18"/>
      <w:szCs w:val="18"/>
    </w:rPr>
  </w:style>
  <w:style w:type="paragraph" w:styleId="20">
    <w:name w:val="Normal (Web)"/>
    <w:basedOn w:val="1"/>
    <w:semiHidden/>
    <w:unhideWhenUsed/>
    <w:qFormat/>
    <w:uiPriority w:val="99"/>
    <w:pPr>
      <w:spacing w:beforeAutospacing="1" w:afterAutospacing="1"/>
      <w:jc w:val="left"/>
    </w:pPr>
    <w:rPr>
      <w:kern w:val="0"/>
    </w:rPr>
  </w:style>
  <w:style w:type="paragraph" w:styleId="21">
    <w:name w:val="Title"/>
    <w:basedOn w:val="1"/>
    <w:next w:val="1"/>
    <w:link w:val="37"/>
    <w:qFormat/>
    <w:uiPriority w:val="10"/>
    <w:pPr>
      <w:jc w:val="left"/>
      <w:outlineLvl w:val="3"/>
    </w:pPr>
    <w:rPr>
      <w:rFonts w:ascii="Cambria" w:hAnsi="Cambria"/>
      <w:bCs/>
      <w:szCs w:val="32"/>
    </w:rPr>
  </w:style>
  <w:style w:type="paragraph" w:styleId="22">
    <w:name w:val="annotation subject"/>
    <w:basedOn w:val="7"/>
    <w:next w:val="7"/>
    <w:link w:val="43"/>
    <w:unhideWhenUsed/>
    <w:qFormat/>
    <w:uiPriority w:val="99"/>
    <w:rPr>
      <w:b/>
      <w:bCs/>
    </w:rPr>
  </w:style>
  <w:style w:type="character" w:styleId="25">
    <w:name w:val="Strong"/>
    <w:basedOn w:val="24"/>
    <w:qFormat/>
    <w:uiPriority w:val="22"/>
    <w:rPr>
      <w:b/>
    </w:rPr>
  </w:style>
  <w:style w:type="character" w:styleId="26">
    <w:name w:val="page number"/>
    <w:basedOn w:val="24"/>
    <w:qFormat/>
    <w:uiPriority w:val="0"/>
  </w:style>
  <w:style w:type="character" w:styleId="27">
    <w:name w:val="FollowedHyperlink"/>
    <w:basedOn w:val="24"/>
    <w:semiHidden/>
    <w:unhideWhenUsed/>
    <w:qFormat/>
    <w:uiPriority w:val="99"/>
    <w:rPr>
      <w:color w:val="338DE6"/>
      <w:u w:val="none"/>
    </w:rPr>
  </w:style>
  <w:style w:type="character" w:styleId="28">
    <w:name w:val="Emphasis"/>
    <w:basedOn w:val="24"/>
    <w:qFormat/>
    <w:uiPriority w:val="20"/>
  </w:style>
  <w:style w:type="character" w:styleId="29">
    <w:name w:val="HTML Definition"/>
    <w:basedOn w:val="24"/>
    <w:semiHidden/>
    <w:unhideWhenUsed/>
    <w:qFormat/>
    <w:uiPriority w:val="99"/>
  </w:style>
  <w:style w:type="character" w:styleId="30">
    <w:name w:val="HTML Variable"/>
    <w:basedOn w:val="24"/>
    <w:semiHidden/>
    <w:unhideWhenUsed/>
    <w:qFormat/>
    <w:uiPriority w:val="99"/>
    <w:rPr>
      <w:color w:val="338DE6"/>
      <w:u w:val="none"/>
    </w:rPr>
  </w:style>
  <w:style w:type="character" w:styleId="31">
    <w:name w:val="Hyperlink"/>
    <w:basedOn w:val="24"/>
    <w:qFormat/>
    <w:uiPriority w:val="99"/>
    <w:rPr>
      <w:color w:val="338DE6"/>
      <w:u w:val="none"/>
    </w:rPr>
  </w:style>
  <w:style w:type="character" w:styleId="32">
    <w:name w:val="HTML Code"/>
    <w:basedOn w:val="24"/>
    <w:semiHidden/>
    <w:unhideWhenUsed/>
    <w:qFormat/>
    <w:uiPriority w:val="99"/>
    <w:rPr>
      <w:rFonts w:hint="default" w:ascii="serif" w:hAnsi="serif" w:eastAsia="serif" w:cs="serif"/>
      <w:sz w:val="21"/>
      <w:szCs w:val="21"/>
    </w:rPr>
  </w:style>
  <w:style w:type="character" w:styleId="33">
    <w:name w:val="annotation reference"/>
    <w:basedOn w:val="24"/>
    <w:unhideWhenUsed/>
    <w:qFormat/>
    <w:uiPriority w:val="99"/>
    <w:rPr>
      <w:sz w:val="21"/>
      <w:szCs w:val="21"/>
    </w:rPr>
  </w:style>
  <w:style w:type="character" w:styleId="34">
    <w:name w:val="HTML Cite"/>
    <w:basedOn w:val="24"/>
    <w:semiHidden/>
    <w:unhideWhenUsed/>
    <w:qFormat/>
    <w:uiPriority w:val="99"/>
  </w:style>
  <w:style w:type="character" w:styleId="35">
    <w:name w:val="HTML Keyboard"/>
    <w:basedOn w:val="24"/>
    <w:semiHidden/>
    <w:unhideWhenUsed/>
    <w:qFormat/>
    <w:uiPriority w:val="99"/>
    <w:rPr>
      <w:rFonts w:hint="default" w:ascii="serif" w:hAnsi="serif" w:eastAsia="serif" w:cs="serif"/>
      <w:sz w:val="21"/>
      <w:szCs w:val="21"/>
    </w:rPr>
  </w:style>
  <w:style w:type="character" w:styleId="36">
    <w:name w:val="HTML Sample"/>
    <w:basedOn w:val="24"/>
    <w:semiHidden/>
    <w:unhideWhenUsed/>
    <w:qFormat/>
    <w:uiPriority w:val="99"/>
    <w:rPr>
      <w:rFonts w:ascii="serif" w:hAnsi="serif" w:eastAsia="serif" w:cs="serif"/>
      <w:sz w:val="21"/>
      <w:szCs w:val="21"/>
    </w:rPr>
  </w:style>
  <w:style w:type="character" w:customStyle="1" w:styleId="37">
    <w:name w:val="标题 Char"/>
    <w:basedOn w:val="24"/>
    <w:link w:val="21"/>
    <w:qFormat/>
    <w:uiPriority w:val="10"/>
    <w:rPr>
      <w:rFonts w:ascii="Cambria" w:hAnsi="Cambria" w:eastAsia="仿宋_GB2312" w:cs="Times New Roman"/>
      <w:bCs/>
      <w:kern w:val="2"/>
      <w:sz w:val="24"/>
      <w:szCs w:val="32"/>
    </w:rPr>
  </w:style>
  <w:style w:type="character" w:customStyle="1" w:styleId="38">
    <w:name w:val="批注框文本 Char"/>
    <w:link w:val="12"/>
    <w:qFormat/>
    <w:uiPriority w:val="0"/>
    <w:rPr>
      <w:rFonts w:eastAsia="仿宋_GB2312"/>
      <w:kern w:val="2"/>
      <w:sz w:val="18"/>
      <w:szCs w:val="18"/>
    </w:rPr>
  </w:style>
  <w:style w:type="character" w:customStyle="1" w:styleId="39">
    <w:name w:val="页脚 Char"/>
    <w:link w:val="13"/>
    <w:qFormat/>
    <w:uiPriority w:val="99"/>
    <w:rPr>
      <w:rFonts w:eastAsia="仿宋_GB2312"/>
      <w:kern w:val="2"/>
      <w:sz w:val="18"/>
      <w:szCs w:val="18"/>
    </w:rPr>
  </w:style>
  <w:style w:type="character" w:customStyle="1" w:styleId="40">
    <w:name w:val="apple-converted-space"/>
    <w:basedOn w:val="24"/>
    <w:qFormat/>
    <w:uiPriority w:val="0"/>
  </w:style>
  <w:style w:type="character" w:customStyle="1" w:styleId="41">
    <w:name w:val="批注文字 Char"/>
    <w:basedOn w:val="24"/>
    <w:link w:val="7"/>
    <w:semiHidden/>
    <w:qFormat/>
    <w:uiPriority w:val="99"/>
    <w:rPr>
      <w:rFonts w:eastAsia="仿宋_GB2312"/>
      <w:kern w:val="2"/>
      <w:sz w:val="24"/>
      <w:szCs w:val="24"/>
    </w:rPr>
  </w:style>
  <w:style w:type="character" w:customStyle="1" w:styleId="42">
    <w:name w:val="页眉 Char"/>
    <w:link w:val="14"/>
    <w:qFormat/>
    <w:uiPriority w:val="0"/>
    <w:rPr>
      <w:rFonts w:eastAsia="仿宋_GB2312"/>
      <w:kern w:val="2"/>
      <w:sz w:val="18"/>
      <w:szCs w:val="18"/>
    </w:rPr>
  </w:style>
  <w:style w:type="character" w:customStyle="1" w:styleId="43">
    <w:name w:val="批注主题 Char"/>
    <w:basedOn w:val="41"/>
    <w:link w:val="22"/>
    <w:semiHidden/>
    <w:qFormat/>
    <w:uiPriority w:val="99"/>
    <w:rPr>
      <w:rFonts w:eastAsia="仿宋_GB2312"/>
      <w:b/>
      <w:bCs/>
      <w:kern w:val="2"/>
      <w:sz w:val="24"/>
      <w:szCs w:val="24"/>
    </w:rPr>
  </w:style>
  <w:style w:type="character" w:customStyle="1" w:styleId="44">
    <w:name w:val="文档结构图 Char"/>
    <w:basedOn w:val="24"/>
    <w:link w:val="6"/>
    <w:semiHidden/>
    <w:qFormat/>
    <w:uiPriority w:val="99"/>
    <w:rPr>
      <w:rFonts w:ascii="宋体"/>
      <w:kern w:val="2"/>
      <w:sz w:val="18"/>
      <w:szCs w:val="18"/>
    </w:rPr>
  </w:style>
  <w:style w:type="paragraph" w:customStyle="1" w:styleId="45">
    <w:name w:val="_Style 1"/>
    <w:basedOn w:val="1"/>
    <w:qFormat/>
    <w:uiPriority w:val="0"/>
    <w:rPr>
      <w:rFonts w:eastAsia="宋体"/>
      <w:sz w:val="21"/>
    </w:rPr>
  </w:style>
  <w:style w:type="paragraph" w:customStyle="1" w:styleId="46">
    <w:name w:val="无间隔1"/>
    <w:qFormat/>
    <w:uiPriority w:val="1"/>
    <w:pPr>
      <w:widowControl w:val="0"/>
      <w:spacing w:line="360" w:lineRule="auto"/>
      <w:ind w:firstLine="200" w:firstLineChars="200"/>
      <w:outlineLvl w:val="2"/>
    </w:pPr>
    <w:rPr>
      <w:rFonts w:ascii="Times New Roman" w:hAnsi="Times New Roman" w:eastAsia="仿宋_GB2312" w:cs="Times New Roman"/>
      <w:kern w:val="2"/>
      <w:sz w:val="24"/>
      <w:szCs w:val="24"/>
      <w:lang w:val="en-US" w:eastAsia="zh-CN" w:bidi="ar-SA"/>
    </w:rPr>
  </w:style>
  <w:style w:type="paragraph" w:customStyle="1" w:styleId="47">
    <w:name w:val="TOC 标题1"/>
    <w:basedOn w:val="2"/>
    <w:next w:val="1"/>
    <w:qFormat/>
    <w:uiPriority w:val="39"/>
    <w:pPr>
      <w:widowControl/>
      <w:spacing w:before="480" w:line="276" w:lineRule="auto"/>
      <w:outlineLvl w:val="9"/>
    </w:pPr>
    <w:rPr>
      <w:rFonts w:ascii="Cambria" w:hAnsi="Cambria" w:eastAsia="宋体"/>
      <w:color w:val="365F91"/>
      <w:kern w:val="0"/>
      <w:szCs w:val="28"/>
    </w:rPr>
  </w:style>
  <w:style w:type="paragraph" w:customStyle="1" w:styleId="48">
    <w:name w:val="列出段落1"/>
    <w:basedOn w:val="1"/>
    <w:qFormat/>
    <w:uiPriority w:val="34"/>
    <w:pPr>
      <w:ind w:firstLine="420"/>
    </w:pPr>
  </w:style>
  <w:style w:type="paragraph" w:customStyle="1" w:styleId="49">
    <w:name w:val="列出段落2"/>
    <w:basedOn w:val="1"/>
    <w:qFormat/>
    <w:uiPriority w:val="34"/>
    <w:pPr>
      <w:ind w:firstLine="420"/>
    </w:pPr>
  </w:style>
  <w:style w:type="paragraph" w:customStyle="1" w:styleId="50">
    <w:name w:val="修订1"/>
    <w:semiHidden/>
    <w:qFormat/>
    <w:uiPriority w:val="99"/>
    <w:rPr>
      <w:rFonts w:ascii="Times New Roman" w:hAnsi="Times New Roman" w:eastAsia="仿宋_GB2312" w:cs="Times New Roman"/>
      <w:kern w:val="2"/>
      <w:sz w:val="24"/>
      <w:szCs w:val="24"/>
      <w:lang w:val="en-US" w:eastAsia="zh-CN" w:bidi="ar-SA"/>
    </w:rPr>
  </w:style>
  <w:style w:type="paragraph" w:customStyle="1" w:styleId="51">
    <w:name w:val="列出段落3"/>
    <w:basedOn w:val="1"/>
    <w:unhideWhenUsed/>
    <w:qFormat/>
    <w:uiPriority w:val="99"/>
    <w:pPr>
      <w:ind w:firstLine="420"/>
    </w:pPr>
  </w:style>
  <w:style w:type="character" w:customStyle="1" w:styleId="52">
    <w:name w:val="fontborder"/>
    <w:basedOn w:val="24"/>
    <w:qFormat/>
    <w:uiPriority w:val="0"/>
    <w:rPr>
      <w:bdr w:val="single" w:color="000000" w:sz="4" w:space="0"/>
    </w:rPr>
  </w:style>
  <w:style w:type="character" w:customStyle="1" w:styleId="53">
    <w:name w:val="fontstrikethrough"/>
    <w:basedOn w:val="24"/>
    <w:qFormat/>
    <w:uiPriority w:val="0"/>
    <w:rPr>
      <w:strik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customXml" Target="../customXml/item2.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chart" Target="charts/chart6.xml"/><Relationship Id="rId34" Type="http://schemas.openxmlformats.org/officeDocument/2006/relationships/chart" Target="charts/chart5.xml"/><Relationship Id="rId33" Type="http://schemas.openxmlformats.org/officeDocument/2006/relationships/chart" Target="charts/chart4.xml"/><Relationship Id="rId32" Type="http://schemas.openxmlformats.org/officeDocument/2006/relationships/chart" Target="charts/chart3.xml"/><Relationship Id="rId31" Type="http://schemas.openxmlformats.org/officeDocument/2006/relationships/chart" Target="charts/chart2.xml"/><Relationship Id="rId30" Type="http://schemas.microsoft.com/office/2007/relationships/diagramDrawing" Target="diagrams/drawing2.xml"/><Relationship Id="rId3" Type="http://schemas.openxmlformats.org/officeDocument/2006/relationships/footnotes" Target="footnotes.xml"/><Relationship Id="rId29" Type="http://schemas.openxmlformats.org/officeDocument/2006/relationships/diagramColors" Target="diagrams/colors2.xml"/><Relationship Id="rId28" Type="http://schemas.openxmlformats.org/officeDocument/2006/relationships/diagramQuickStyle" Target="diagrams/quickStyle2.xml"/><Relationship Id="rId27" Type="http://schemas.openxmlformats.org/officeDocument/2006/relationships/diagramLayout" Target="diagrams/layout2.xml"/><Relationship Id="rId26" Type="http://schemas.openxmlformats.org/officeDocument/2006/relationships/diagramData" Target="diagrams/data2.xml"/><Relationship Id="rId25" Type="http://schemas.openxmlformats.org/officeDocument/2006/relationships/image" Target="media/image3.png"/><Relationship Id="rId24" Type="http://schemas.microsoft.com/office/2007/relationships/diagramDrawing" Target="diagrams/drawing1.xml"/><Relationship Id="rId23" Type="http://schemas.openxmlformats.org/officeDocument/2006/relationships/diagramColors" Target="diagrams/colors1.xml"/><Relationship Id="rId22" Type="http://schemas.openxmlformats.org/officeDocument/2006/relationships/diagramQuickStyle" Target="diagrams/quickStyle1.xml"/><Relationship Id="rId21" Type="http://schemas.openxmlformats.org/officeDocument/2006/relationships/diagramLayout" Target="diagrams/layout1.xml"/><Relationship Id="rId20" Type="http://schemas.openxmlformats.org/officeDocument/2006/relationships/diagramData" Target="diagrams/data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chart" Target="charts/chart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5825098145391"/>
          <c:y val="0.12695652173913"/>
          <c:w val="0.316908081765264"/>
          <c:h val="0.678550724637681"/>
        </c:manualLayout>
      </c:layout>
      <c:pieChart>
        <c:varyColors val="1"/>
        <c:ser>
          <c:idx val="0"/>
          <c:order val="0"/>
          <c:tx>
            <c:strRef>
              <c:f>Sheet1!$B$1</c:f>
              <c:strCache>
                <c:ptCount val="1"/>
                <c:pt idx="0">
                  <c:v>销售额</c:v>
                </c:pt>
              </c:strCache>
            </c:strRef>
          </c:tx>
          <c:explosion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prstDash val="solid"/>
                      <a:round/>
                    </a:ln>
                    <a:effectLst/>
                  </c:spPr>
                </c15:leaderLines>
              </c:ext>
            </c:extLst>
          </c:dLbls>
          <c:cat>
            <c:strRef>
              <c:f>Sheet1!$A$2:$A$5</c:f>
              <c:strCache>
                <c:ptCount val="4"/>
                <c:pt idx="0">
                  <c:v>人力资源局节水节电整治</c:v>
                </c:pt>
                <c:pt idx="1">
                  <c:v>回民小学节能减排项目维修费</c:v>
                </c:pt>
                <c:pt idx="2">
                  <c:v>宣传等费用</c:v>
                </c:pt>
              </c:strCache>
            </c:strRef>
          </c:cat>
          <c:val>
            <c:numRef>
              <c:f>Sheet1!$B$2:$B$5</c:f>
              <c:numCache>
                <c:formatCode>General</c:formatCode>
                <c:ptCount val="4"/>
                <c:pt idx="0">
                  <c:v>8.2</c:v>
                </c:pt>
                <c:pt idx="1">
                  <c:v>3.2</c:v>
                </c:pt>
                <c:pt idx="2">
                  <c:v>1.4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3"/>
        <c:delete val="1"/>
      </c:legendEntry>
      <c:layout>
        <c:manualLayout>
          <c:xMode val="edge"/>
          <c:yMode val="edge"/>
          <c:x val="0.652958618022432"/>
          <c:y val="0.374964599263666"/>
          <c:w val="0.241369974279139"/>
          <c:h val="0.476811594202899"/>
        </c:manualLayout>
      </c:layout>
      <c:overlay val="0"/>
      <c:spPr>
        <a:solidFill>
          <a:schemeClr val="lt1">
            <a:alpha val="50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zero"/>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项目投入</a:t>
            </a:r>
            <a:endParaRPr lang="zh-CN" altLang="en-US"/>
          </a:p>
        </c:rich>
      </c:tx>
      <c:layout/>
      <c:overlay val="0"/>
      <c:spPr>
        <a:noFill/>
        <a:ln>
          <a:noFill/>
        </a:ln>
        <a:effectLst/>
      </c:spPr>
    </c:title>
    <c:autoTitleDeleted val="0"/>
    <c:plotArea>
      <c:layout>
        <c:manualLayout>
          <c:layoutTarget val="inner"/>
          <c:xMode val="edge"/>
          <c:yMode val="edge"/>
          <c:x val="0.04645"/>
          <c:y val="0.127"/>
          <c:w val="0.927925"/>
          <c:h val="0.716566666666667"/>
        </c:manualLayout>
      </c:layout>
      <c:barChart>
        <c:barDir val="col"/>
        <c:grouping val="clustered"/>
        <c:varyColors val="0"/>
        <c:ser>
          <c:idx val="0"/>
          <c:order val="0"/>
          <c:tx>
            <c:strRef>
              <c:f>Sheet1!$B$1</c:f>
              <c:strCache>
                <c:ptCount val="1"/>
                <c:pt idx="0">
                  <c:v>指标权重</c:v>
                </c:pt>
              </c:strCache>
            </c:strRef>
          </c:tx>
          <c:spPr>
            <a:solidFill>
              <a:schemeClr val="accent1"/>
            </a:solidFill>
            <a:ln>
              <a:noFill/>
            </a:ln>
            <a:effectLst/>
          </c:spPr>
          <c:invertIfNegative val="0"/>
          <c:dLbls>
            <c:delete val="1"/>
          </c:dLbls>
          <c:cat>
            <c:strRef>
              <c:f>Sheet1!$A$2:$A$5</c:f>
              <c:strCache>
                <c:ptCount val="4"/>
                <c:pt idx="0">
                  <c:v>项目立项规范性</c:v>
                </c:pt>
                <c:pt idx="1">
                  <c:v>绩效目标合理性</c:v>
                </c:pt>
                <c:pt idx="2">
                  <c:v>资金到位率</c:v>
                </c:pt>
                <c:pt idx="3">
                  <c:v>到位及时率</c:v>
                </c:pt>
              </c:strCache>
            </c:strRef>
          </c:cat>
          <c:val>
            <c:numRef>
              <c:f>Sheet1!$B$2:$B$5</c:f>
              <c:numCache>
                <c:formatCode>General</c:formatCode>
                <c:ptCount val="4"/>
                <c:pt idx="0">
                  <c:v>4</c:v>
                </c:pt>
                <c:pt idx="1">
                  <c:v>4</c:v>
                </c:pt>
                <c:pt idx="2">
                  <c:v>4</c:v>
                </c:pt>
                <c:pt idx="3">
                  <c:v>4</c:v>
                </c:pt>
              </c:numCache>
            </c:numRef>
          </c:val>
        </c:ser>
        <c:ser>
          <c:idx val="1"/>
          <c:order val="1"/>
          <c:tx>
            <c:strRef>
              <c:f>Sheet1!$C$1</c:f>
              <c:strCache>
                <c:ptCount val="1"/>
                <c:pt idx="0">
                  <c:v>指标评分</c:v>
                </c:pt>
              </c:strCache>
            </c:strRef>
          </c:tx>
          <c:spPr>
            <a:solidFill>
              <a:schemeClr val="accent2"/>
            </a:solidFill>
            <a:ln>
              <a:noFill/>
            </a:ln>
            <a:effectLst/>
          </c:spPr>
          <c:invertIfNegative val="0"/>
          <c:dLbls>
            <c:delete val="1"/>
          </c:dLbls>
          <c:cat>
            <c:strRef>
              <c:f>Sheet1!$A$2:$A$5</c:f>
              <c:strCache>
                <c:ptCount val="4"/>
                <c:pt idx="0">
                  <c:v>项目立项规范性</c:v>
                </c:pt>
                <c:pt idx="1">
                  <c:v>绩效目标合理性</c:v>
                </c:pt>
                <c:pt idx="2">
                  <c:v>资金到位率</c:v>
                </c:pt>
                <c:pt idx="3">
                  <c:v>到位及时率</c:v>
                </c:pt>
              </c:strCache>
            </c:strRef>
          </c:cat>
          <c:val>
            <c:numRef>
              <c:f>Sheet1!$C$2:$C$5</c:f>
              <c:numCache>
                <c:formatCode>General</c:formatCode>
                <c:ptCount val="4"/>
                <c:pt idx="0">
                  <c:v>3.5</c:v>
                </c:pt>
                <c:pt idx="1">
                  <c:v>3.5</c:v>
                </c:pt>
                <c:pt idx="2">
                  <c:v>4</c:v>
                </c:pt>
                <c:pt idx="3">
                  <c:v>4</c:v>
                </c:pt>
              </c:numCache>
            </c:numRef>
          </c:val>
        </c:ser>
        <c:dLbls>
          <c:showLegendKey val="0"/>
          <c:showVal val="0"/>
          <c:showCatName val="0"/>
          <c:showSerName val="0"/>
          <c:showPercent val="0"/>
          <c:showBubbleSize val="0"/>
        </c:dLbls>
        <c:gapWidth val="219"/>
        <c:overlap val="-27"/>
        <c:axId val="169266560"/>
        <c:axId val="169268352"/>
      </c:barChart>
      <c:catAx>
        <c:axId val="16926656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9268352"/>
        <c:crosses val="autoZero"/>
        <c:auto val="1"/>
        <c:lblAlgn val="ctr"/>
        <c:lblOffset val="100"/>
        <c:noMultiLvlLbl val="0"/>
      </c:catAx>
      <c:valAx>
        <c:axId val="16926835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926656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项目过程</a:t>
            </a:r>
            <a:endParaRPr lang="zh-CN" altLang="en-US"/>
          </a:p>
        </c:rich>
      </c:tx>
      <c:layout>
        <c:manualLayout>
          <c:xMode val="edge"/>
          <c:yMode val="edge"/>
          <c:x val="0.423"/>
          <c:y val="0.0225"/>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指标权重</c:v>
                </c:pt>
              </c:strCache>
            </c:strRef>
          </c:tx>
          <c:spPr>
            <a:solidFill>
              <a:schemeClr val="accent1"/>
            </a:solidFill>
            <a:ln>
              <a:noFill/>
            </a:ln>
            <a:effectLst/>
          </c:spPr>
          <c:invertIfNegative val="0"/>
          <c:dLbls>
            <c:delete val="1"/>
          </c:dLbls>
          <c:cat>
            <c:strRef>
              <c:f>Sheet1!$A$2:$A$7</c:f>
              <c:strCache>
                <c:ptCount val="6"/>
                <c:pt idx="0">
                  <c:v>管理制度健全性</c:v>
                </c:pt>
                <c:pt idx="1">
                  <c:v>制度执行有效性</c:v>
                </c:pt>
                <c:pt idx="2">
                  <c:v>项目质量可控性</c:v>
                </c:pt>
                <c:pt idx="3">
                  <c:v>财务制度健全性</c:v>
                </c:pt>
                <c:pt idx="4">
                  <c:v>资金使用合规性</c:v>
                </c:pt>
                <c:pt idx="5">
                  <c:v>财务监控有效性</c:v>
                </c:pt>
              </c:strCache>
            </c:strRef>
          </c:cat>
          <c:val>
            <c:numRef>
              <c:f>Sheet1!$B$2:$B$7</c:f>
              <c:numCache>
                <c:formatCode>General</c:formatCode>
                <c:ptCount val="6"/>
                <c:pt idx="0">
                  <c:v>4</c:v>
                </c:pt>
                <c:pt idx="1">
                  <c:v>4</c:v>
                </c:pt>
                <c:pt idx="2">
                  <c:v>4</c:v>
                </c:pt>
                <c:pt idx="3">
                  <c:v>4</c:v>
                </c:pt>
                <c:pt idx="4">
                  <c:v>4</c:v>
                </c:pt>
                <c:pt idx="5">
                  <c:v>4</c:v>
                </c:pt>
              </c:numCache>
            </c:numRef>
          </c:val>
        </c:ser>
        <c:ser>
          <c:idx val="1"/>
          <c:order val="1"/>
          <c:tx>
            <c:strRef>
              <c:f>Sheet1!$C$1</c:f>
              <c:strCache>
                <c:ptCount val="1"/>
                <c:pt idx="0">
                  <c:v>指标得分</c:v>
                </c:pt>
              </c:strCache>
            </c:strRef>
          </c:tx>
          <c:spPr>
            <a:solidFill>
              <a:schemeClr val="accent2"/>
            </a:solidFill>
            <a:ln>
              <a:noFill/>
            </a:ln>
            <a:effectLst/>
          </c:spPr>
          <c:invertIfNegative val="0"/>
          <c:dLbls>
            <c:delete val="1"/>
          </c:dLbls>
          <c:cat>
            <c:strRef>
              <c:f>Sheet1!$A$2:$A$7</c:f>
              <c:strCache>
                <c:ptCount val="6"/>
                <c:pt idx="0">
                  <c:v>管理制度健全性</c:v>
                </c:pt>
                <c:pt idx="1">
                  <c:v>制度执行有效性</c:v>
                </c:pt>
                <c:pt idx="2">
                  <c:v>项目质量可控性</c:v>
                </c:pt>
                <c:pt idx="3">
                  <c:v>财务制度健全性</c:v>
                </c:pt>
                <c:pt idx="4">
                  <c:v>资金使用合规性</c:v>
                </c:pt>
                <c:pt idx="5">
                  <c:v>财务监控有效性</c:v>
                </c:pt>
              </c:strCache>
            </c:strRef>
          </c:cat>
          <c:val>
            <c:numRef>
              <c:f>Sheet1!$C$2:$C$7</c:f>
              <c:numCache>
                <c:formatCode>General</c:formatCode>
                <c:ptCount val="6"/>
                <c:pt idx="0">
                  <c:v>4</c:v>
                </c:pt>
                <c:pt idx="1">
                  <c:v>3</c:v>
                </c:pt>
                <c:pt idx="2">
                  <c:v>2</c:v>
                </c:pt>
                <c:pt idx="3">
                  <c:v>3</c:v>
                </c:pt>
                <c:pt idx="4">
                  <c:v>4</c:v>
                </c:pt>
                <c:pt idx="5">
                  <c:v>4</c:v>
                </c:pt>
              </c:numCache>
            </c:numRef>
          </c:val>
        </c:ser>
        <c:dLbls>
          <c:showLegendKey val="0"/>
          <c:showVal val="0"/>
          <c:showCatName val="0"/>
          <c:showSerName val="0"/>
          <c:showPercent val="0"/>
          <c:showBubbleSize val="0"/>
        </c:dLbls>
        <c:gapWidth val="219"/>
        <c:overlap val="-27"/>
        <c:axId val="169285504"/>
        <c:axId val="169287040"/>
      </c:barChart>
      <c:catAx>
        <c:axId val="16928550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9287040"/>
        <c:crosses val="autoZero"/>
        <c:auto val="1"/>
        <c:lblAlgn val="ctr"/>
        <c:lblOffset val="100"/>
        <c:noMultiLvlLbl val="0"/>
      </c:catAx>
      <c:valAx>
        <c:axId val="16928704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928550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项目产出</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指标权重</c:v>
                </c:pt>
              </c:strCache>
            </c:strRef>
          </c:tx>
          <c:spPr>
            <a:solidFill>
              <a:schemeClr val="accent1"/>
            </a:solidFill>
            <a:ln>
              <a:noFill/>
            </a:ln>
            <a:effectLst/>
          </c:spPr>
          <c:invertIfNegative val="0"/>
          <c:dLbls>
            <c:delete val="1"/>
          </c:dLbls>
          <c:cat>
            <c:strRef>
              <c:f>Sheet1!$A$2:$A$7</c:f>
              <c:strCache>
                <c:ptCount val="6"/>
                <c:pt idx="0">
                  <c:v>节能项目完工率</c:v>
                </c:pt>
                <c:pt idx="1">
                  <c:v>监督检查完成率</c:v>
                </c:pt>
                <c:pt idx="2">
                  <c:v>省级节能机构创建数</c:v>
                </c:pt>
                <c:pt idx="3">
                  <c:v>数据上报及时率</c:v>
                </c:pt>
                <c:pt idx="4">
                  <c:v>资金使用率</c:v>
                </c:pt>
                <c:pt idx="5">
                  <c:v>宣传方式多样性</c:v>
                </c:pt>
              </c:strCache>
            </c:strRef>
          </c:cat>
          <c:val>
            <c:numRef>
              <c:f>Sheet1!$B$2:$B$7</c:f>
              <c:numCache>
                <c:formatCode>General</c:formatCode>
                <c:ptCount val="6"/>
                <c:pt idx="0">
                  <c:v>5</c:v>
                </c:pt>
                <c:pt idx="1">
                  <c:v>5</c:v>
                </c:pt>
                <c:pt idx="2">
                  <c:v>5</c:v>
                </c:pt>
                <c:pt idx="3">
                  <c:v>4</c:v>
                </c:pt>
                <c:pt idx="4">
                  <c:v>4</c:v>
                </c:pt>
                <c:pt idx="5">
                  <c:v>5</c:v>
                </c:pt>
              </c:numCache>
            </c:numRef>
          </c:val>
        </c:ser>
        <c:ser>
          <c:idx val="1"/>
          <c:order val="1"/>
          <c:tx>
            <c:strRef>
              <c:f>Sheet1!$C$1</c:f>
              <c:strCache>
                <c:ptCount val="1"/>
                <c:pt idx="0">
                  <c:v>指标得分</c:v>
                </c:pt>
              </c:strCache>
            </c:strRef>
          </c:tx>
          <c:spPr>
            <a:solidFill>
              <a:schemeClr val="accent2"/>
            </a:solidFill>
            <a:ln>
              <a:noFill/>
            </a:ln>
            <a:effectLst/>
          </c:spPr>
          <c:invertIfNegative val="0"/>
          <c:dLbls>
            <c:delete val="1"/>
          </c:dLbls>
          <c:cat>
            <c:strRef>
              <c:f>Sheet1!$A$2:$A$7</c:f>
              <c:strCache>
                <c:ptCount val="6"/>
                <c:pt idx="0">
                  <c:v>节能项目完工率</c:v>
                </c:pt>
                <c:pt idx="1">
                  <c:v>监督检查完成率</c:v>
                </c:pt>
                <c:pt idx="2">
                  <c:v>省级节能机构创建数</c:v>
                </c:pt>
                <c:pt idx="3">
                  <c:v>数据上报及时率</c:v>
                </c:pt>
                <c:pt idx="4">
                  <c:v>资金使用率</c:v>
                </c:pt>
                <c:pt idx="5">
                  <c:v>宣传方式多样性</c:v>
                </c:pt>
              </c:strCache>
            </c:strRef>
          </c:cat>
          <c:val>
            <c:numRef>
              <c:f>Sheet1!$C$2:$C$7</c:f>
              <c:numCache>
                <c:formatCode>General</c:formatCode>
                <c:ptCount val="6"/>
                <c:pt idx="0">
                  <c:v>4</c:v>
                </c:pt>
                <c:pt idx="1">
                  <c:v>3</c:v>
                </c:pt>
                <c:pt idx="2">
                  <c:v>5</c:v>
                </c:pt>
                <c:pt idx="3">
                  <c:v>4</c:v>
                </c:pt>
                <c:pt idx="4">
                  <c:v>4</c:v>
                </c:pt>
                <c:pt idx="5">
                  <c:v>4</c:v>
                </c:pt>
              </c:numCache>
            </c:numRef>
          </c:val>
        </c:ser>
        <c:dLbls>
          <c:showLegendKey val="0"/>
          <c:showVal val="0"/>
          <c:showCatName val="0"/>
          <c:showSerName val="0"/>
          <c:showPercent val="0"/>
          <c:showBubbleSize val="0"/>
        </c:dLbls>
        <c:gapWidth val="219"/>
        <c:overlap val="-27"/>
        <c:axId val="169320832"/>
        <c:axId val="169322368"/>
      </c:barChart>
      <c:catAx>
        <c:axId val="16932083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9322368"/>
        <c:crosses val="autoZero"/>
        <c:auto val="1"/>
        <c:lblAlgn val="ctr"/>
        <c:lblOffset val="100"/>
        <c:noMultiLvlLbl val="0"/>
      </c:catAx>
      <c:valAx>
        <c:axId val="16932236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932083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项目效益</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指标权重</c:v>
                </c:pt>
              </c:strCache>
            </c:strRef>
          </c:tx>
          <c:spPr>
            <a:solidFill>
              <a:schemeClr val="accent1"/>
            </a:solidFill>
            <a:ln>
              <a:noFill/>
            </a:ln>
            <a:effectLst/>
          </c:spPr>
          <c:invertIfNegative val="0"/>
          <c:dLbls>
            <c:delete val="1"/>
          </c:dLbls>
          <c:cat>
            <c:strRef>
              <c:f>Sheet1!$A$2:$A$7</c:f>
              <c:strCache>
                <c:ptCount val="6"/>
                <c:pt idx="0">
                  <c:v>人均能耗降低率</c:v>
                </c:pt>
                <c:pt idx="1">
                  <c:v>宣传知晓率</c:v>
                </c:pt>
                <c:pt idx="2">
                  <c:v>节能系统普及率</c:v>
                </c:pt>
                <c:pt idx="3">
                  <c:v>节能建设覆盖率</c:v>
                </c:pt>
                <c:pt idx="4">
                  <c:v>可持续性</c:v>
                </c:pt>
                <c:pt idx="5">
                  <c:v>政府部门及社会公众满意度</c:v>
                </c:pt>
              </c:strCache>
            </c:strRef>
          </c:cat>
          <c:val>
            <c:numRef>
              <c:f>Sheet1!$B$2:$B$7</c:f>
              <c:numCache>
                <c:formatCode>General</c:formatCode>
                <c:ptCount val="6"/>
                <c:pt idx="0">
                  <c:v>5</c:v>
                </c:pt>
                <c:pt idx="1">
                  <c:v>6</c:v>
                </c:pt>
                <c:pt idx="2">
                  <c:v>5</c:v>
                </c:pt>
                <c:pt idx="3">
                  <c:v>5</c:v>
                </c:pt>
                <c:pt idx="4">
                  <c:v>5</c:v>
                </c:pt>
                <c:pt idx="5">
                  <c:v>6</c:v>
                </c:pt>
              </c:numCache>
            </c:numRef>
          </c:val>
        </c:ser>
        <c:ser>
          <c:idx val="1"/>
          <c:order val="1"/>
          <c:tx>
            <c:strRef>
              <c:f>Sheet1!$C$1</c:f>
              <c:strCache>
                <c:ptCount val="1"/>
                <c:pt idx="0">
                  <c:v>指标得分</c:v>
                </c:pt>
              </c:strCache>
            </c:strRef>
          </c:tx>
          <c:spPr>
            <a:solidFill>
              <a:schemeClr val="accent2"/>
            </a:solidFill>
            <a:ln>
              <a:noFill/>
            </a:ln>
            <a:effectLst/>
          </c:spPr>
          <c:invertIfNegative val="0"/>
          <c:dLbls>
            <c:delete val="1"/>
          </c:dLbls>
          <c:cat>
            <c:strRef>
              <c:f>Sheet1!$A$2:$A$7</c:f>
              <c:strCache>
                <c:ptCount val="6"/>
                <c:pt idx="0">
                  <c:v>人均能耗降低率</c:v>
                </c:pt>
                <c:pt idx="1">
                  <c:v>宣传知晓率</c:v>
                </c:pt>
                <c:pt idx="2">
                  <c:v>节能系统普及率</c:v>
                </c:pt>
                <c:pt idx="3">
                  <c:v>节能建设覆盖率</c:v>
                </c:pt>
                <c:pt idx="4">
                  <c:v>可持续性</c:v>
                </c:pt>
                <c:pt idx="5">
                  <c:v>政府部门及社会公众满意度</c:v>
                </c:pt>
              </c:strCache>
            </c:strRef>
          </c:cat>
          <c:val>
            <c:numRef>
              <c:f>Sheet1!$C$2:$C$7</c:f>
              <c:numCache>
                <c:formatCode>General</c:formatCode>
                <c:ptCount val="6"/>
                <c:pt idx="0">
                  <c:v>4.5</c:v>
                </c:pt>
                <c:pt idx="1">
                  <c:v>4</c:v>
                </c:pt>
                <c:pt idx="2">
                  <c:v>4</c:v>
                </c:pt>
                <c:pt idx="3">
                  <c:v>5</c:v>
                </c:pt>
                <c:pt idx="4">
                  <c:v>3</c:v>
                </c:pt>
                <c:pt idx="5">
                  <c:v>5</c:v>
                </c:pt>
              </c:numCache>
            </c:numRef>
          </c:val>
        </c:ser>
        <c:dLbls>
          <c:showLegendKey val="0"/>
          <c:showVal val="0"/>
          <c:showCatName val="0"/>
          <c:showSerName val="0"/>
          <c:showPercent val="0"/>
          <c:showBubbleSize val="0"/>
        </c:dLbls>
        <c:gapWidth val="219"/>
        <c:overlap val="-27"/>
        <c:axId val="169343616"/>
        <c:axId val="169349504"/>
      </c:barChart>
      <c:catAx>
        <c:axId val="16934361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9349504"/>
        <c:crosses val="autoZero"/>
        <c:auto val="1"/>
        <c:lblAlgn val="ctr"/>
        <c:lblOffset val="100"/>
        <c:noMultiLvlLbl val="0"/>
      </c:catAx>
      <c:valAx>
        <c:axId val="16934950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934361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公共机构节能项目各指标评分情况</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指标权重</c:v>
                </c:pt>
              </c:strCache>
            </c:strRef>
          </c:tx>
          <c:spPr>
            <a:solidFill>
              <a:schemeClr val="accent1"/>
            </a:solidFill>
            <a:ln>
              <a:noFill/>
            </a:ln>
            <a:effectLst/>
          </c:spPr>
          <c:invertIfNegative val="0"/>
          <c:dLbls>
            <c:delete val="1"/>
          </c:dLbls>
          <c:cat>
            <c:strRef>
              <c:f>Sheet1!$A$2:$A$6</c:f>
              <c:strCache>
                <c:ptCount val="5"/>
                <c:pt idx="0">
                  <c:v>项目投入</c:v>
                </c:pt>
                <c:pt idx="1">
                  <c:v>项目过程</c:v>
                </c:pt>
                <c:pt idx="2">
                  <c:v>项目产出</c:v>
                </c:pt>
                <c:pt idx="3">
                  <c:v>项目效益</c:v>
                </c:pt>
                <c:pt idx="4">
                  <c:v>综合绩效</c:v>
                </c:pt>
              </c:strCache>
            </c:strRef>
          </c:cat>
          <c:val>
            <c:numRef>
              <c:f>Sheet1!$B$2:$B$6</c:f>
              <c:numCache>
                <c:formatCode>General</c:formatCode>
                <c:ptCount val="5"/>
                <c:pt idx="0">
                  <c:v>16</c:v>
                </c:pt>
                <c:pt idx="1">
                  <c:v>24</c:v>
                </c:pt>
                <c:pt idx="2">
                  <c:v>23</c:v>
                </c:pt>
                <c:pt idx="3">
                  <c:v>37</c:v>
                </c:pt>
                <c:pt idx="4">
                  <c:v>100</c:v>
                </c:pt>
              </c:numCache>
            </c:numRef>
          </c:val>
        </c:ser>
        <c:ser>
          <c:idx val="1"/>
          <c:order val="1"/>
          <c:tx>
            <c:strRef>
              <c:f>Sheet1!$C$1</c:f>
              <c:strCache>
                <c:ptCount val="1"/>
                <c:pt idx="0">
                  <c:v>指标得分</c:v>
                </c:pt>
              </c:strCache>
            </c:strRef>
          </c:tx>
          <c:spPr>
            <a:solidFill>
              <a:schemeClr val="accent2"/>
            </a:solidFill>
            <a:ln>
              <a:noFill/>
            </a:ln>
            <a:effectLst/>
          </c:spPr>
          <c:invertIfNegative val="0"/>
          <c:dLbls>
            <c:delete val="1"/>
          </c:dLbls>
          <c:cat>
            <c:strRef>
              <c:f>Sheet1!$A$2:$A$6</c:f>
              <c:strCache>
                <c:ptCount val="5"/>
                <c:pt idx="0">
                  <c:v>项目投入</c:v>
                </c:pt>
                <c:pt idx="1">
                  <c:v>项目过程</c:v>
                </c:pt>
                <c:pt idx="2">
                  <c:v>项目产出</c:v>
                </c:pt>
                <c:pt idx="3">
                  <c:v>项目效益</c:v>
                </c:pt>
                <c:pt idx="4">
                  <c:v>综合绩效</c:v>
                </c:pt>
              </c:strCache>
            </c:strRef>
          </c:cat>
          <c:val>
            <c:numRef>
              <c:f>Sheet1!$C$2:$C$6</c:f>
              <c:numCache>
                <c:formatCode>General</c:formatCode>
                <c:ptCount val="5"/>
                <c:pt idx="0">
                  <c:v>15</c:v>
                </c:pt>
                <c:pt idx="1">
                  <c:v>20</c:v>
                </c:pt>
                <c:pt idx="2">
                  <c:v>19</c:v>
                </c:pt>
                <c:pt idx="3">
                  <c:v>30.5</c:v>
                </c:pt>
                <c:pt idx="4">
                  <c:v>84.5</c:v>
                </c:pt>
              </c:numCache>
            </c:numRef>
          </c:val>
        </c:ser>
        <c:dLbls>
          <c:showLegendKey val="0"/>
          <c:showVal val="0"/>
          <c:showCatName val="0"/>
          <c:showSerName val="0"/>
          <c:showPercent val="0"/>
          <c:showBubbleSize val="0"/>
        </c:dLbls>
        <c:gapWidth val="219"/>
        <c:overlap val="-27"/>
        <c:axId val="169370752"/>
        <c:axId val="169372288"/>
      </c:barChart>
      <c:catAx>
        <c:axId val="16937075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9372288"/>
        <c:crosses val="autoZero"/>
        <c:auto val="1"/>
        <c:lblAlgn val="ctr"/>
        <c:lblOffset val="100"/>
        <c:noMultiLvlLbl val="0"/>
      </c:catAx>
      <c:valAx>
        <c:axId val="16937228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937075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4#1">
  <dgm:title val=""/>
  <dgm:desc val=""/>
  <dgm:catLst>
    <dgm:cat type="colorful" pri="10400"/>
  </dgm:catLst>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4B7C27DC-5868-4F38-A9F2-056BB1C2E427}" type="doc">
      <dgm:prSet loTypeId="urn:microsoft.com/office/officeart/2005/8/layout/lProcess3#1" loCatId="process" qsTypeId="urn:microsoft.com/office/officeart/2005/8/quickstyle/simple5#1" qsCatId="simple" csTypeId="urn:microsoft.com/office/officeart/2005/8/colors/colorful4#1" csCatId="colorful" phldr="1"/>
      <dgm:spPr/>
      <dgm:t>
        <a:bodyPr/>
        <a:p>
          <a:endParaRPr lang="zh-CN" altLang="en-US"/>
        </a:p>
      </dgm:t>
    </dgm:pt>
    <dgm:pt modelId="{AE44D3A4-6643-4157-86EA-2E0899415F11}">
      <dgm:prSet phldrT="[文本]"/>
      <dgm:spPr>
        <a:xfrm rot="5400000">
          <a:off x="938715" y="372194"/>
          <a:ext cx="1067023" cy="746916"/>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p>
          <a:r>
            <a:rPr lang="zh-CN" altLang="en-US">
              <a:solidFill>
                <a:sysClr val="window" lastClr="FFFFFF"/>
              </a:solidFill>
              <a:latin typeface="华文细黑" panose="02010600040101010101" pitchFamily="2" charset="-122"/>
              <a:ea typeface="华文细黑" panose="02010600040101010101" pitchFamily="2" charset="-122"/>
              <a:cs typeface="+mn-cs"/>
            </a:rPr>
            <a:t>绩效评价的评价原则</a:t>
          </a:r>
        </a:p>
      </dgm:t>
    </dgm:pt>
    <dgm:pt modelId="{5657338A-E5FA-4EF5-BD8A-D52F54EE1777}" cxnId="{9039BC57-CC96-4B32-B42B-BB651741E847}" type="parTrans">
      <dgm:prSet/>
      <dgm:spPr/>
      <dgm:t>
        <a:bodyPr/>
        <a:p>
          <a:endParaRPr lang="zh-CN" altLang="en-US">
            <a:latin typeface="华文细黑" panose="02010600040101010101" pitchFamily="2" charset="-122"/>
            <a:ea typeface="华文细黑" panose="02010600040101010101" pitchFamily="2" charset="-122"/>
          </a:endParaRPr>
        </a:p>
      </dgm:t>
    </dgm:pt>
    <dgm:pt modelId="{A07EC271-6073-4E00-B05E-681FAB7ADB1E}" cxnId="{9039BC57-CC96-4B32-B42B-BB651741E847}" type="sibTrans">
      <dgm:prSet/>
      <dgm:spPr/>
      <dgm:t>
        <a:bodyPr/>
        <a:p>
          <a:endParaRPr lang="zh-CN" altLang="en-US">
            <a:latin typeface="华文细黑" panose="02010600040101010101" pitchFamily="2" charset="-122"/>
            <a:ea typeface="华文细黑" panose="02010600040101010101" pitchFamily="2" charset="-122"/>
          </a:endParaRPr>
        </a:p>
      </dgm:t>
    </dgm:pt>
    <dgm:pt modelId="{15882016-B55C-44E9-8F1F-2EA976ABCA60}">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r>
            <a:rPr lang="zh-CN" altLang="en-US" sz="1000" b="0">
              <a:latin typeface="+mj-lt"/>
            </a:rPr>
            <a:t>相关性原则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2FB28D79-3636-4821-82E3-476D88957CAC}" cxnId="{646836D6-B5FF-45ED-96B0-A9055A7B4AD8}" type="parTrans">
      <dgm:prSet/>
      <dgm:spPr/>
      <dgm:t>
        <a:bodyPr/>
        <a:p>
          <a:endParaRPr lang="zh-CN" altLang="en-US">
            <a:latin typeface="华文细黑" panose="02010600040101010101" pitchFamily="2" charset="-122"/>
            <a:ea typeface="华文细黑" panose="02010600040101010101" pitchFamily="2" charset="-122"/>
          </a:endParaRPr>
        </a:p>
      </dgm:t>
    </dgm:pt>
    <dgm:pt modelId="{80A89C0F-3ACD-4F85-903F-9949EB715D51}" cxnId="{646836D6-B5FF-45ED-96B0-A9055A7B4AD8}" type="sibTrans">
      <dgm:prSet/>
      <dgm:spPr/>
      <dgm:t>
        <a:bodyPr/>
        <a:p>
          <a:endParaRPr lang="zh-CN" altLang="en-US">
            <a:latin typeface="华文细黑" panose="02010600040101010101" pitchFamily="2" charset="-122"/>
            <a:ea typeface="华文细黑" panose="02010600040101010101" pitchFamily="2" charset="-122"/>
          </a:endParaRPr>
        </a:p>
      </dgm:t>
    </dgm:pt>
    <dgm:pt modelId="{42B1CAFA-34EB-45A3-9248-7D2EFA1D06C6}">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r>
            <a:rPr lang="zh-CN" altLang="en-US" sz="1000" b="0">
              <a:latin typeface="+mj-lt"/>
            </a:rPr>
            <a:t>系统性原则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FEA0136C-8D14-4E35-8EC9-C5DD07D12C57}" cxnId="{7FEF86F8-D727-4C94-B442-E1DDF3E8D6F1}" type="parTrans">
      <dgm:prSet/>
      <dgm:spPr/>
      <dgm:t>
        <a:bodyPr/>
        <a:p>
          <a:endParaRPr lang="zh-CN" altLang="en-US">
            <a:latin typeface="华文细黑" panose="02010600040101010101" pitchFamily="2" charset="-122"/>
            <a:ea typeface="华文细黑" panose="02010600040101010101" pitchFamily="2" charset="-122"/>
          </a:endParaRPr>
        </a:p>
      </dgm:t>
    </dgm:pt>
    <dgm:pt modelId="{7DAB7E00-1A3D-4C54-A458-C96DDB96490E}" cxnId="{7FEF86F8-D727-4C94-B442-E1DDF3E8D6F1}" type="sibTrans">
      <dgm:prSet/>
      <dgm:spPr/>
      <dgm:t>
        <a:bodyPr/>
        <a:p>
          <a:endParaRPr lang="zh-CN" altLang="en-US">
            <a:latin typeface="华文细黑" panose="02010600040101010101" pitchFamily="2" charset="-122"/>
            <a:ea typeface="华文细黑" panose="02010600040101010101" pitchFamily="2" charset="-122"/>
          </a:endParaRPr>
        </a:p>
      </dgm:t>
    </dgm:pt>
    <dgm:pt modelId="{0CB1D884-927A-4CD8-ADA4-973A535D4546}">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r>
            <a:rPr lang="zh-CN" altLang="en-US" sz="1000" b="0">
              <a:latin typeface="+mj-lt"/>
            </a:rPr>
            <a:t>可比性原则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6A1C25AB-A71C-4D3F-82EB-94D27A4562CA}" cxnId="{C14EB5EA-53F3-46A1-B228-6D57BB79EA00}" type="sibTrans">
      <dgm:prSet/>
      <dgm:spPr/>
      <dgm:t>
        <a:bodyPr/>
        <a:p>
          <a:endParaRPr lang="zh-CN" altLang="en-US">
            <a:latin typeface="华文细黑" panose="02010600040101010101" pitchFamily="2" charset="-122"/>
            <a:ea typeface="华文细黑" panose="02010600040101010101" pitchFamily="2" charset="-122"/>
          </a:endParaRPr>
        </a:p>
      </dgm:t>
    </dgm:pt>
    <dgm:pt modelId="{C9A3DF1B-B75E-48F3-ADBD-D866FE005DD2}" cxnId="{C14EB5EA-53F3-46A1-B228-6D57BB79EA00}" type="parTrans">
      <dgm:prSet/>
      <dgm:spPr/>
      <dgm:t>
        <a:bodyPr/>
        <a:p>
          <a:endParaRPr lang="zh-CN" altLang="en-US">
            <a:latin typeface="华文细黑" panose="02010600040101010101" pitchFamily="2" charset="-122"/>
            <a:ea typeface="华文细黑" panose="02010600040101010101" pitchFamily="2" charset="-122"/>
          </a:endParaRPr>
        </a:p>
      </dgm:t>
    </dgm:pt>
    <dgm:pt modelId="{ED222693-D855-4D4D-BFDE-6812A6E41E9C}">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r>
            <a:rPr lang="zh-CN" altLang="en-US" sz="1000" b="0">
              <a:latin typeface="+mj-lt"/>
            </a:rPr>
            <a:t>重要性原则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8EACE757-831E-4655-8450-6C7DC2935722}" cxnId="{C24ADC57-E4D4-4CFD-8AA4-8AF9378520A6}" type="sibTrans">
      <dgm:prSet/>
      <dgm:spPr/>
      <dgm:t>
        <a:bodyPr/>
        <a:p>
          <a:endParaRPr lang="zh-CN" altLang="en-US">
            <a:latin typeface="华文细黑" panose="02010600040101010101" pitchFamily="2" charset="-122"/>
            <a:ea typeface="华文细黑" panose="02010600040101010101" pitchFamily="2" charset="-122"/>
          </a:endParaRPr>
        </a:p>
      </dgm:t>
    </dgm:pt>
    <dgm:pt modelId="{ADEAD72F-D2CF-4287-9279-C31D0DCB7910}" cxnId="{C24ADC57-E4D4-4CFD-8AA4-8AF9378520A6}" type="parTrans">
      <dgm:prSet/>
      <dgm:spPr/>
      <dgm:t>
        <a:bodyPr/>
        <a:p>
          <a:endParaRPr lang="zh-CN" altLang="en-US">
            <a:latin typeface="华文细黑" panose="02010600040101010101" pitchFamily="2" charset="-122"/>
            <a:ea typeface="华文细黑" panose="02010600040101010101" pitchFamily="2" charset="-122"/>
          </a:endParaRPr>
        </a:p>
      </dgm:t>
    </dgm:pt>
    <dgm:pt modelId="{802CEB23-70DC-44EA-A221-D2B4F2AC6070}">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r>
            <a:rPr lang="zh-CN" altLang="en-US" sz="1000" b="0">
              <a:latin typeface="+mj-lt"/>
            </a:rPr>
            <a:t>经济性原则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225303CF-67E3-4C26-8D66-2B3238776171}" cxnId="{6666FC02-9C8D-4DA8-94F5-983077957394}" type="parTrans">
      <dgm:prSet/>
      <dgm:spPr/>
      <dgm:t>
        <a:bodyPr/>
        <a:p>
          <a:endParaRPr lang="zh-CN" altLang="en-US"/>
        </a:p>
      </dgm:t>
    </dgm:pt>
    <dgm:pt modelId="{7D2CB469-A4CC-40FA-99F6-C4C66367721B}" cxnId="{6666FC02-9C8D-4DA8-94F5-983077957394}" type="sibTrans">
      <dgm:prSet/>
      <dgm:spPr/>
      <dgm:t>
        <a:bodyPr/>
        <a:p>
          <a:endParaRPr lang="zh-CN" altLang="en-US"/>
        </a:p>
      </dgm:t>
    </dgm:pt>
    <dgm:pt modelId="{1B7179B6-C9DE-4BDA-8663-4B679997E5DA}" type="pres">
      <dgm:prSet presAssocID="{4B7C27DC-5868-4F38-A9F2-056BB1C2E427}" presName="Name0" presStyleCnt="0">
        <dgm:presLayoutVars>
          <dgm:chPref val="3"/>
          <dgm:dir/>
          <dgm:animLvl val="lvl"/>
          <dgm:resizeHandles/>
        </dgm:presLayoutVars>
      </dgm:prSet>
      <dgm:spPr/>
      <dgm:t>
        <a:bodyPr/>
        <a:p>
          <a:endParaRPr lang="zh-CN" altLang="en-US"/>
        </a:p>
      </dgm:t>
    </dgm:pt>
    <dgm:pt modelId="{3F78EC4B-0C67-44FB-979D-2F5321EED4DA}" type="pres">
      <dgm:prSet presAssocID="{AE44D3A4-6643-4157-86EA-2E0899415F11}" presName="horFlow" presStyleCnt="0"/>
      <dgm:spPr/>
    </dgm:pt>
    <dgm:pt modelId="{77482DA5-41E1-41D0-A9D6-79B1CCF7F452}" type="pres">
      <dgm:prSet presAssocID="{AE44D3A4-6643-4157-86EA-2E0899415F11}" presName="bigChev" presStyleLbl="node1" presStyleIdx="0" presStyleCnt="1"/>
      <dgm:spPr/>
      <dgm:t>
        <a:bodyPr/>
        <a:p>
          <a:endParaRPr lang="zh-CN" altLang="en-US"/>
        </a:p>
      </dgm:t>
    </dgm:pt>
    <dgm:pt modelId="{A94D0795-03CA-49E3-BD5E-7CA45A077131}" type="pres">
      <dgm:prSet presAssocID="{2FB28D79-3636-4821-82E3-476D88957CAC}" presName="parTrans" presStyleCnt="0"/>
      <dgm:spPr/>
    </dgm:pt>
    <dgm:pt modelId="{6E8D7C1F-A22A-42B0-A090-A57413634287}" type="pres">
      <dgm:prSet presAssocID="{15882016-B55C-44E9-8F1F-2EA976ABCA60}" presName="node" presStyleLbl="alignAccFollowNode1" presStyleIdx="0" presStyleCnt="5">
        <dgm:presLayoutVars>
          <dgm:bulletEnabled val="1"/>
        </dgm:presLayoutVars>
      </dgm:prSet>
      <dgm:spPr/>
      <dgm:t>
        <a:bodyPr/>
        <a:p>
          <a:endParaRPr lang="zh-CN" altLang="en-US"/>
        </a:p>
      </dgm:t>
    </dgm:pt>
    <dgm:pt modelId="{CFC898DE-59DC-4028-BA1D-378513CCEA10}" type="pres">
      <dgm:prSet presAssocID="{80A89C0F-3ACD-4F85-903F-9949EB715D51}" presName="sibTrans" presStyleCnt="0"/>
      <dgm:spPr/>
    </dgm:pt>
    <dgm:pt modelId="{B8691B77-4694-4BFA-9DAF-40A313A447BB}" type="pres">
      <dgm:prSet presAssocID="{ED222693-D855-4D4D-BFDE-6812A6E41E9C}" presName="node" presStyleLbl="alignAccFollowNode1" presStyleIdx="1" presStyleCnt="5">
        <dgm:presLayoutVars>
          <dgm:bulletEnabled val="1"/>
        </dgm:presLayoutVars>
      </dgm:prSet>
      <dgm:spPr/>
      <dgm:t>
        <a:bodyPr/>
        <a:p>
          <a:endParaRPr lang="zh-CN" altLang="en-US"/>
        </a:p>
      </dgm:t>
    </dgm:pt>
    <dgm:pt modelId="{1751DC88-55FC-4BBC-AEEB-04B17C466DA1}" type="pres">
      <dgm:prSet presAssocID="{8EACE757-831E-4655-8450-6C7DC2935722}" presName="sibTrans" presStyleCnt="0"/>
      <dgm:spPr/>
    </dgm:pt>
    <dgm:pt modelId="{C330E3A1-3D1D-4453-A315-50DA58578E8B}" type="pres">
      <dgm:prSet presAssocID="{0CB1D884-927A-4CD8-ADA4-973A535D4546}" presName="node" presStyleLbl="alignAccFollowNode1" presStyleIdx="2" presStyleCnt="5">
        <dgm:presLayoutVars>
          <dgm:bulletEnabled val="1"/>
        </dgm:presLayoutVars>
      </dgm:prSet>
      <dgm:spPr/>
      <dgm:t>
        <a:bodyPr/>
        <a:p>
          <a:endParaRPr lang="zh-CN" altLang="en-US"/>
        </a:p>
      </dgm:t>
    </dgm:pt>
    <dgm:pt modelId="{498544C9-6F56-4FBB-A67B-E4A4562CC411}" type="pres">
      <dgm:prSet presAssocID="{6A1C25AB-A71C-4D3F-82EB-94D27A4562CA}" presName="sibTrans" presStyleCnt="0"/>
      <dgm:spPr/>
    </dgm:pt>
    <dgm:pt modelId="{15B667A0-41D3-4D24-9402-E2D0A9F3193D}" type="pres">
      <dgm:prSet presAssocID="{42B1CAFA-34EB-45A3-9248-7D2EFA1D06C6}" presName="node" presStyleLbl="alignAccFollowNode1" presStyleIdx="3" presStyleCnt="5">
        <dgm:presLayoutVars>
          <dgm:bulletEnabled val="1"/>
        </dgm:presLayoutVars>
      </dgm:prSet>
      <dgm:spPr/>
      <dgm:t>
        <a:bodyPr/>
        <a:p>
          <a:endParaRPr lang="zh-CN" altLang="en-US"/>
        </a:p>
      </dgm:t>
    </dgm:pt>
    <dgm:pt modelId="{8A99CEBA-B231-4BAF-A04C-18FDE9C4FB8D}" type="pres">
      <dgm:prSet presAssocID="{7DAB7E00-1A3D-4C54-A458-C96DDB96490E}" presName="sibTrans" presStyleCnt="0"/>
      <dgm:spPr/>
    </dgm:pt>
    <dgm:pt modelId="{3133D0F3-2920-497C-9B75-49DB36BD1C0F}" type="pres">
      <dgm:prSet presAssocID="{802CEB23-70DC-44EA-A221-D2B4F2AC6070}" presName="node" presStyleLbl="alignAccFollowNode1" presStyleIdx="4" presStyleCnt="5">
        <dgm:presLayoutVars>
          <dgm:bulletEnabled val="1"/>
        </dgm:presLayoutVars>
      </dgm:prSet>
      <dgm:spPr/>
      <dgm:t>
        <a:bodyPr/>
        <a:p>
          <a:endParaRPr lang="zh-CN" altLang="en-US"/>
        </a:p>
      </dgm:t>
    </dgm:pt>
  </dgm:ptLst>
  <dgm:cxnLst>
    <dgm:cxn modelId="{672A2E3C-D19A-497A-9A7B-9FA4C6F0805E}" type="presOf" srcId="{42B1CAFA-34EB-45A3-9248-7D2EFA1D06C6}" destId="{15B667A0-41D3-4D24-9402-E2D0A9F3193D}" srcOrd="0" destOrd="0" presId="urn:microsoft.com/office/officeart/2005/8/layout/lProcess3#1"/>
    <dgm:cxn modelId="{0C7B8D68-9969-47B4-9416-ECA57ECE7564}" type="presOf" srcId="{802CEB23-70DC-44EA-A221-D2B4F2AC6070}" destId="{3133D0F3-2920-497C-9B75-49DB36BD1C0F}" srcOrd="0" destOrd="0" presId="urn:microsoft.com/office/officeart/2005/8/layout/lProcess3#1"/>
    <dgm:cxn modelId="{7FEF86F8-D727-4C94-B442-E1DDF3E8D6F1}" srcId="{AE44D3A4-6643-4157-86EA-2E0899415F11}" destId="{42B1CAFA-34EB-45A3-9248-7D2EFA1D06C6}" srcOrd="3" destOrd="0" parTransId="{FEA0136C-8D14-4E35-8EC9-C5DD07D12C57}" sibTransId="{7DAB7E00-1A3D-4C54-A458-C96DDB96490E}"/>
    <dgm:cxn modelId="{9A5F79C9-1CB9-4FBA-A093-B5240B89B5DA}" type="presOf" srcId="{AE44D3A4-6643-4157-86EA-2E0899415F11}" destId="{77482DA5-41E1-41D0-A9D6-79B1CCF7F452}" srcOrd="0" destOrd="0" presId="urn:microsoft.com/office/officeart/2005/8/layout/lProcess3#1"/>
    <dgm:cxn modelId="{0783826D-18AC-4B9A-B55F-F8B6589E9649}" type="presOf" srcId="{15882016-B55C-44E9-8F1F-2EA976ABCA60}" destId="{6E8D7C1F-A22A-42B0-A090-A57413634287}" srcOrd="0" destOrd="0" presId="urn:microsoft.com/office/officeart/2005/8/layout/lProcess3#1"/>
    <dgm:cxn modelId="{C14EB5EA-53F3-46A1-B228-6D57BB79EA00}" srcId="{AE44D3A4-6643-4157-86EA-2E0899415F11}" destId="{0CB1D884-927A-4CD8-ADA4-973A535D4546}" srcOrd="2" destOrd="0" parTransId="{C9A3DF1B-B75E-48F3-ADBD-D866FE005DD2}" sibTransId="{6A1C25AB-A71C-4D3F-82EB-94D27A4562CA}"/>
    <dgm:cxn modelId="{9DB7AA15-9822-48F0-B350-B1F8B12EAF8A}" type="presOf" srcId="{4B7C27DC-5868-4F38-A9F2-056BB1C2E427}" destId="{1B7179B6-C9DE-4BDA-8663-4B679997E5DA}" srcOrd="0" destOrd="0" presId="urn:microsoft.com/office/officeart/2005/8/layout/lProcess3#1"/>
    <dgm:cxn modelId="{3A351187-E776-4B84-8704-77B3719C9EBB}" type="presOf" srcId="{ED222693-D855-4D4D-BFDE-6812A6E41E9C}" destId="{B8691B77-4694-4BFA-9DAF-40A313A447BB}" srcOrd="0" destOrd="0" presId="urn:microsoft.com/office/officeart/2005/8/layout/lProcess3#1"/>
    <dgm:cxn modelId="{646836D6-B5FF-45ED-96B0-A9055A7B4AD8}" srcId="{AE44D3A4-6643-4157-86EA-2E0899415F11}" destId="{15882016-B55C-44E9-8F1F-2EA976ABCA60}" srcOrd="0" destOrd="0" parTransId="{2FB28D79-3636-4821-82E3-476D88957CAC}" sibTransId="{80A89C0F-3ACD-4F85-903F-9949EB715D51}"/>
    <dgm:cxn modelId="{C24ADC57-E4D4-4CFD-8AA4-8AF9378520A6}" srcId="{AE44D3A4-6643-4157-86EA-2E0899415F11}" destId="{ED222693-D855-4D4D-BFDE-6812A6E41E9C}" srcOrd="1" destOrd="0" parTransId="{ADEAD72F-D2CF-4287-9279-C31D0DCB7910}" sibTransId="{8EACE757-831E-4655-8450-6C7DC2935722}"/>
    <dgm:cxn modelId="{14615693-5172-42E4-84A1-BCED80C8CCF7}" type="presOf" srcId="{0CB1D884-927A-4CD8-ADA4-973A535D4546}" destId="{C330E3A1-3D1D-4453-A315-50DA58578E8B}" srcOrd="0" destOrd="0" presId="urn:microsoft.com/office/officeart/2005/8/layout/lProcess3#1"/>
    <dgm:cxn modelId="{9039BC57-CC96-4B32-B42B-BB651741E847}" srcId="{4B7C27DC-5868-4F38-A9F2-056BB1C2E427}" destId="{AE44D3A4-6643-4157-86EA-2E0899415F11}" srcOrd="0" destOrd="0" parTransId="{5657338A-E5FA-4EF5-BD8A-D52F54EE1777}" sibTransId="{A07EC271-6073-4E00-B05E-681FAB7ADB1E}"/>
    <dgm:cxn modelId="{6666FC02-9C8D-4DA8-94F5-983077957394}" srcId="{AE44D3A4-6643-4157-86EA-2E0899415F11}" destId="{802CEB23-70DC-44EA-A221-D2B4F2AC6070}" srcOrd="4" destOrd="0" parTransId="{225303CF-67E3-4C26-8D66-2B3238776171}" sibTransId="{7D2CB469-A4CC-40FA-99F6-C4C66367721B}"/>
    <dgm:cxn modelId="{502C6E84-6922-45F2-8FA7-1578F61EDBA3}" type="presParOf" srcId="{1B7179B6-C9DE-4BDA-8663-4B679997E5DA}" destId="{3F78EC4B-0C67-44FB-979D-2F5321EED4DA}" srcOrd="0" destOrd="0" presId="urn:microsoft.com/office/officeart/2005/8/layout/lProcess3#1"/>
    <dgm:cxn modelId="{CA180207-848D-4F83-BBB7-C632AE32F9E7}" type="presParOf" srcId="{3F78EC4B-0C67-44FB-979D-2F5321EED4DA}" destId="{77482DA5-41E1-41D0-A9D6-79B1CCF7F452}" srcOrd="0" destOrd="0" presId="urn:microsoft.com/office/officeart/2005/8/layout/lProcess3#1"/>
    <dgm:cxn modelId="{0BD58937-557A-411B-BEF1-6E230EC3609C}" type="presParOf" srcId="{3F78EC4B-0C67-44FB-979D-2F5321EED4DA}" destId="{A94D0795-03CA-49E3-BD5E-7CA45A077131}" srcOrd="1" destOrd="0" presId="urn:microsoft.com/office/officeart/2005/8/layout/lProcess3#1"/>
    <dgm:cxn modelId="{4D235C83-9103-4C4A-9E7E-0BAB85A6C14D}" type="presParOf" srcId="{3F78EC4B-0C67-44FB-979D-2F5321EED4DA}" destId="{6E8D7C1F-A22A-42B0-A090-A57413634287}" srcOrd="2" destOrd="0" presId="urn:microsoft.com/office/officeart/2005/8/layout/lProcess3#1"/>
    <dgm:cxn modelId="{E12780D1-1BB2-495A-B6CF-C8E6FEBDECD5}" type="presParOf" srcId="{3F78EC4B-0C67-44FB-979D-2F5321EED4DA}" destId="{CFC898DE-59DC-4028-BA1D-378513CCEA10}" srcOrd="3" destOrd="0" presId="urn:microsoft.com/office/officeart/2005/8/layout/lProcess3#1"/>
    <dgm:cxn modelId="{9C86E865-1892-4E19-95A4-A3F22C79096B}" type="presParOf" srcId="{3F78EC4B-0C67-44FB-979D-2F5321EED4DA}" destId="{B8691B77-4694-4BFA-9DAF-40A313A447BB}" srcOrd="4" destOrd="0" presId="urn:microsoft.com/office/officeart/2005/8/layout/lProcess3#1"/>
    <dgm:cxn modelId="{93F7E3A3-05A9-41FF-87C4-63450FE69FC0}" type="presParOf" srcId="{3F78EC4B-0C67-44FB-979D-2F5321EED4DA}" destId="{1751DC88-55FC-4BBC-AEEB-04B17C466DA1}" srcOrd="5" destOrd="0" presId="urn:microsoft.com/office/officeart/2005/8/layout/lProcess3#1"/>
    <dgm:cxn modelId="{D8FC652A-2A77-410D-BE5C-8E96FD8E90A8}" type="presParOf" srcId="{3F78EC4B-0C67-44FB-979D-2F5321EED4DA}" destId="{C330E3A1-3D1D-4453-A315-50DA58578E8B}" srcOrd="6" destOrd="0" presId="urn:microsoft.com/office/officeart/2005/8/layout/lProcess3#1"/>
    <dgm:cxn modelId="{25E0B121-F73F-4207-8646-BE2165A4D32D}" type="presParOf" srcId="{3F78EC4B-0C67-44FB-979D-2F5321EED4DA}" destId="{498544C9-6F56-4FBB-A67B-E4A4562CC411}" srcOrd="7" destOrd="0" presId="urn:microsoft.com/office/officeart/2005/8/layout/lProcess3#1"/>
    <dgm:cxn modelId="{DBB0D48A-6E45-425C-963D-07CB3C29B30A}" type="presParOf" srcId="{3F78EC4B-0C67-44FB-979D-2F5321EED4DA}" destId="{15B667A0-41D3-4D24-9402-E2D0A9F3193D}" srcOrd="8" destOrd="0" presId="urn:microsoft.com/office/officeart/2005/8/layout/lProcess3#1"/>
    <dgm:cxn modelId="{92195607-17A7-486A-9B18-6E4BCC71E27E}" type="presParOf" srcId="{3F78EC4B-0C67-44FB-979D-2F5321EED4DA}" destId="{8A99CEBA-B231-4BAF-A04C-18FDE9C4FB8D}" srcOrd="9" destOrd="0" presId="urn:microsoft.com/office/officeart/2005/8/layout/lProcess3#1"/>
    <dgm:cxn modelId="{635F75ED-5BC4-433F-9D4E-0C9ABA4E99CC}" type="presParOf" srcId="{3F78EC4B-0C67-44FB-979D-2F5321EED4DA}" destId="{3133D0F3-2920-497C-9B75-49DB36BD1C0F}" srcOrd="10" destOrd="0" presId="urn:microsoft.com/office/officeart/2005/8/layout/lProcess3#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9CEBCF9-DF0B-46BF-959A-44A005F3A9DC}" type="doc">
      <dgm:prSet loTypeId="urn:microsoft.com/office/officeart/2005/8/layout/orgChart1#1" loCatId="hierarchy" qsTypeId="urn:microsoft.com/office/officeart/2005/8/quickstyle/simple3#1" qsCatId="simple" csTypeId="urn:microsoft.com/office/officeart/2005/8/colors/accent1_2#1" csCatId="accent1"/>
      <dgm:spPr/>
    </dgm:pt>
    <dgm:pt modelId="{6562BABD-6772-463B-AC7F-E9B84AC92228}">
      <dgm:prSet/>
      <dgm:spPr/>
      <dgm:t>
        <a:bodyPr/>
        <a:p>
          <a:pPr marR="0" algn="ctr" rtl="0"/>
          <a:r>
            <a:rPr lang="zh-CN" altLang="en-US" kern="100" baseline="0" smtClean="0">
              <a:latin typeface="Calibri" panose="020F0502020204030204"/>
              <a:ea typeface="宋体" panose="02010600030101010101" charset="-122"/>
            </a:rPr>
            <a:t>评价</a:t>
          </a:r>
          <a:endParaRPr lang="zh-CN" altLang="en-US" kern="100" baseline="0" smtClean="0">
            <a:latin typeface="Times New Roman" panose="02020603050405020304"/>
            <a:ea typeface="宋体" panose="02010600030101010101" charset="-122"/>
          </a:endParaRPr>
        </a:p>
        <a:p>
          <a:pPr marR="0" algn="ctr" rtl="0"/>
          <a:r>
            <a:rPr lang="zh-CN" altLang="en-US" kern="100" baseline="0" smtClean="0">
              <a:latin typeface="Calibri" panose="020F0502020204030204"/>
              <a:ea typeface="宋体" panose="02010600030101010101" charset="-122"/>
            </a:rPr>
            <a:t>方法</a:t>
          </a:r>
          <a:endParaRPr lang="zh-CN" altLang="en-US" smtClean="0"/>
        </a:p>
      </dgm:t>
    </dgm:pt>
    <dgm:pt modelId="{8DF7902D-14A9-496B-9FE5-8E687FC27A5F}" cxnId="{609C7578-5059-439F-9245-9D843C04C6AA}" type="parTrans">
      <dgm:prSet/>
      <dgm:spPr/>
      <dgm:t>
        <a:bodyPr/>
        <a:p>
          <a:endParaRPr lang="zh-CN" altLang="en-US"/>
        </a:p>
      </dgm:t>
    </dgm:pt>
    <dgm:pt modelId="{BB83BB73-AD00-4CA2-8009-E2C921668D7B}" cxnId="{609C7578-5059-439F-9245-9D843C04C6AA}" type="sibTrans">
      <dgm:prSet/>
      <dgm:spPr/>
      <dgm:t>
        <a:bodyPr/>
        <a:p>
          <a:endParaRPr lang="zh-CN" altLang="en-US"/>
        </a:p>
      </dgm:t>
    </dgm:pt>
    <dgm:pt modelId="{BF684C7A-B385-40A2-A1CB-A0E8159391C5}">
      <dgm:prSet/>
      <dgm:spPr/>
      <dgm:t>
        <a:bodyPr/>
        <a:p>
          <a:pPr marR="0" algn="ctr" rtl="0"/>
          <a:r>
            <a:rPr lang="zh-CN" altLang="en-US" kern="100" baseline="0" smtClean="0">
              <a:latin typeface="Calibri" panose="020F0502020204030204"/>
              <a:ea typeface="宋体" panose="02010600030101010101" charset="-122"/>
            </a:rPr>
            <a:t>综合</a:t>
          </a:r>
          <a:endParaRPr lang="zh-CN" altLang="en-US" kern="100" baseline="0" smtClean="0">
            <a:latin typeface="Times New Roman" panose="02020603050405020304"/>
            <a:ea typeface="宋体" panose="02010600030101010101" charset="-122"/>
          </a:endParaRPr>
        </a:p>
        <a:p>
          <a:pPr marR="0" algn="ctr" rtl="0"/>
          <a:r>
            <a:rPr lang="zh-CN" altLang="en-US" kern="100" baseline="0" smtClean="0">
              <a:latin typeface="Calibri" panose="020F0502020204030204"/>
              <a:ea typeface="宋体" panose="02010600030101010101" charset="-122"/>
            </a:rPr>
            <a:t>评分方法</a:t>
          </a:r>
          <a:endParaRPr lang="zh-CN" altLang="en-US" smtClean="0"/>
        </a:p>
      </dgm:t>
    </dgm:pt>
    <dgm:pt modelId="{8CA51DCA-576C-4ED2-AE27-BE4B1F40F6CD}" cxnId="{6FCC2660-8A42-4B57-943C-14FC9FC8F77C}" type="parTrans">
      <dgm:prSet/>
      <dgm:spPr/>
      <dgm:t>
        <a:bodyPr/>
        <a:p>
          <a:endParaRPr lang="zh-CN" altLang="en-US"/>
        </a:p>
      </dgm:t>
    </dgm:pt>
    <dgm:pt modelId="{195B3BA4-0C43-4671-8FEF-5D542E9C03A6}" cxnId="{6FCC2660-8A42-4B57-943C-14FC9FC8F77C}" type="sibTrans">
      <dgm:prSet/>
      <dgm:spPr/>
      <dgm:t>
        <a:bodyPr/>
        <a:p>
          <a:endParaRPr lang="zh-CN" altLang="en-US"/>
        </a:p>
      </dgm:t>
    </dgm:pt>
    <dgm:pt modelId="{97BB7DB3-C17F-4E3F-B894-56C27768A153}">
      <dgm:prSet/>
      <dgm:spPr/>
      <dgm:t>
        <a:bodyPr/>
        <a:p>
          <a:pPr marR="0" algn="ctr" rtl="0"/>
          <a:r>
            <a:rPr lang="zh-CN" altLang="en-US" kern="100" baseline="0" smtClean="0">
              <a:latin typeface="Calibri" panose="020F0502020204030204"/>
              <a:ea typeface="宋体" panose="02010600030101010101" charset="-122"/>
            </a:rPr>
            <a:t>指标</a:t>
          </a:r>
          <a:endParaRPr lang="zh-CN" altLang="en-US" kern="100" baseline="0" smtClean="0">
            <a:latin typeface="Times New Roman" panose="02020603050405020304"/>
            <a:ea typeface="宋体" panose="02010600030101010101" charset="-122"/>
          </a:endParaRPr>
        </a:p>
        <a:p>
          <a:pPr marR="0" algn="ctr" rtl="0"/>
          <a:r>
            <a:rPr lang="zh-CN" altLang="en-US" kern="100" baseline="0" smtClean="0">
              <a:latin typeface="Calibri" panose="020F0502020204030204"/>
              <a:ea typeface="宋体" panose="02010600030101010101" charset="-122"/>
            </a:rPr>
            <a:t>计算方法</a:t>
          </a:r>
          <a:endParaRPr lang="zh-CN" altLang="en-US" smtClean="0"/>
        </a:p>
      </dgm:t>
    </dgm:pt>
    <dgm:pt modelId="{901B28A0-6DE6-4532-96A8-6F3F75B5F1DD}" cxnId="{B8567424-3006-40F8-BA91-AE5E83DB3784}" type="parTrans">
      <dgm:prSet/>
      <dgm:spPr/>
      <dgm:t>
        <a:bodyPr/>
        <a:p>
          <a:endParaRPr lang="zh-CN" altLang="en-US"/>
        </a:p>
      </dgm:t>
    </dgm:pt>
    <dgm:pt modelId="{A19C1913-EF08-4250-A3AE-E10FC42D86A4}" cxnId="{B8567424-3006-40F8-BA91-AE5E83DB3784}" type="sibTrans">
      <dgm:prSet/>
      <dgm:spPr/>
      <dgm:t>
        <a:bodyPr/>
        <a:p>
          <a:endParaRPr lang="zh-CN" altLang="en-US"/>
        </a:p>
      </dgm:t>
    </dgm:pt>
    <dgm:pt modelId="{B3A8B7E7-248B-4C99-A93B-EE966B27AD04}">
      <dgm:prSet phldr="0" custT="0"/>
      <dgm:spPr/>
      <dgm:t>
        <a:bodyPr wrap="square" lIns="6350" tIns="6350" rIns="6350" bIns="6350" anchor="ctr"/>
        <a:p>
          <a:pPr marR="0" lvl="0" indent="0" algn="ctr" rtl="0">
            <a:lnSpc>
              <a:spcPct val="100000"/>
            </a:lnSpc>
            <a:spcBef>
              <a:spcPct val="0"/>
            </a:spcBef>
            <a:spcAft>
              <a:spcPct val="35000"/>
            </a:spcAft>
            <a:buNone/>
          </a:pPr>
          <a:r>
            <a:rPr lang="zh-CN" altLang="en-US" kern="100" baseline="0" smtClean="0">
              <a:latin typeface="Calibri" panose="020F0502020204030204"/>
              <a:ea typeface="宋体" panose="02010600030101010101" charset="-122"/>
            </a:rPr>
            <a:t>权重</a:t>
          </a:r>
          <a:endParaRPr lang="zh-CN" altLang="en-US" kern="100" baseline="0" smtClean="0">
            <a:latin typeface="Times New Roman" panose="02020603050405020304"/>
            <a:ea typeface="宋体" panose="02010600030101010101" charset="-122"/>
          </a:endParaRPr>
        </a:p>
        <a:p>
          <a:pPr marR="0" lvl="0" indent="0" algn="ctr" rtl="0">
            <a:lnSpc>
              <a:spcPct val="100000"/>
            </a:lnSpc>
            <a:spcBef>
              <a:spcPct val="0"/>
            </a:spcBef>
            <a:spcAft>
              <a:spcPct val="35000"/>
            </a:spcAft>
            <a:buNone/>
          </a:pPr>
          <a:r>
            <a:rPr lang="zh-CN" altLang="en-US" kern="100" baseline="0" smtClean="0">
              <a:latin typeface="Calibri" panose="020F0502020204030204"/>
              <a:ea typeface="宋体" panose="02010600030101010101" charset="-122"/>
            </a:rPr>
            <a:t>确定方法</a:t>
          </a:r>
          <a:endParaRPr lang="zh-CN" altLang="en-US" smtClean="0"/>
        </a:p>
      </dgm:t>
    </dgm:pt>
    <dgm:pt modelId="{887848E8-ED38-4A04-956E-4E82FD683D18}" cxnId="{4D040669-E435-4BB8-8355-D4C5AA5F672C}" type="parTrans">
      <dgm:prSet/>
      <dgm:spPr/>
      <dgm:t>
        <a:bodyPr/>
        <a:p>
          <a:endParaRPr lang="zh-CN" altLang="en-US"/>
        </a:p>
      </dgm:t>
    </dgm:pt>
    <dgm:pt modelId="{9FB0A154-0090-4CBB-A1CC-3A97B58E5A8E}" cxnId="{4D040669-E435-4BB8-8355-D4C5AA5F672C}" type="sibTrans">
      <dgm:prSet/>
      <dgm:spPr/>
      <dgm:t>
        <a:bodyPr/>
        <a:p>
          <a:endParaRPr lang="zh-CN" altLang="en-US"/>
        </a:p>
      </dgm:t>
    </dgm:pt>
    <dgm:pt modelId="{C6EFF203-1726-4DAF-8A1C-FA7B66DBF999}">
      <dgm:prSet/>
      <dgm:spPr/>
      <dgm:t>
        <a:bodyPr/>
        <a:p>
          <a:pPr marR="0" algn="ctr" rtl="0"/>
          <a:r>
            <a:rPr lang="zh-CN" altLang="en-US" kern="100" baseline="0" smtClean="0">
              <a:latin typeface="Calibri" panose="020F0502020204030204"/>
              <a:ea typeface="宋体" panose="02010600030101010101" charset="-122"/>
            </a:rPr>
            <a:t>标准值</a:t>
          </a:r>
          <a:endParaRPr lang="zh-CN" altLang="en-US" kern="100" baseline="0" smtClean="0">
            <a:latin typeface="Times New Roman" panose="02020603050405020304"/>
            <a:ea typeface="宋体" panose="02010600030101010101" charset="-122"/>
          </a:endParaRPr>
        </a:p>
        <a:p>
          <a:pPr marR="0" algn="ctr" rtl="0"/>
          <a:r>
            <a:rPr lang="zh-CN" altLang="en-US" kern="100" baseline="0" smtClean="0">
              <a:latin typeface="Calibri" panose="020F0502020204030204"/>
              <a:ea typeface="宋体" panose="02010600030101010101" charset="-122"/>
            </a:rPr>
            <a:t>确定方法</a:t>
          </a:r>
          <a:endParaRPr lang="zh-CN" altLang="en-US" smtClean="0"/>
        </a:p>
      </dgm:t>
    </dgm:pt>
    <dgm:pt modelId="{34AF9973-1B19-4824-BB40-8122203DE965}" cxnId="{149D6150-0BF4-40D4-AB22-0F5B74A9B36C}" type="parTrans">
      <dgm:prSet/>
      <dgm:spPr/>
      <dgm:t>
        <a:bodyPr/>
        <a:p>
          <a:endParaRPr lang="zh-CN" altLang="en-US"/>
        </a:p>
      </dgm:t>
    </dgm:pt>
    <dgm:pt modelId="{28F68363-82DD-45BF-AA8B-D183D439BC67}" cxnId="{149D6150-0BF4-40D4-AB22-0F5B74A9B36C}" type="sibTrans">
      <dgm:prSet/>
      <dgm:spPr/>
      <dgm:t>
        <a:bodyPr/>
        <a:p>
          <a:endParaRPr lang="zh-CN" altLang="en-US"/>
        </a:p>
      </dgm:t>
    </dgm:pt>
    <dgm:pt modelId="{7FDE4BB9-47B3-4C04-BF58-8BD38E59E36D}" type="pres">
      <dgm:prSet presAssocID="{99CEBCF9-DF0B-46BF-959A-44A005F3A9DC}" presName="hierChild1" presStyleCnt="0">
        <dgm:presLayoutVars>
          <dgm:orgChart val="1"/>
          <dgm:chPref val="1"/>
          <dgm:dir/>
          <dgm:animOne val="branch"/>
          <dgm:animLvl val="lvl"/>
          <dgm:resizeHandles/>
        </dgm:presLayoutVars>
      </dgm:prSet>
      <dgm:spPr/>
    </dgm:pt>
    <dgm:pt modelId="{8AD2A4A8-AEDE-4319-BAB3-0061D348F76D}" type="pres">
      <dgm:prSet presAssocID="{6562BABD-6772-463B-AC7F-E9B84AC92228}" presName="hierRoot1" presStyleCnt="0">
        <dgm:presLayoutVars>
          <dgm:hierBranch/>
        </dgm:presLayoutVars>
      </dgm:prSet>
      <dgm:spPr/>
    </dgm:pt>
    <dgm:pt modelId="{13FF9C17-DB91-466E-ADE2-7748D3F380E8}" type="pres">
      <dgm:prSet presAssocID="{6562BABD-6772-463B-AC7F-E9B84AC92228}" presName="rootComposite1" presStyleCnt="0"/>
      <dgm:spPr/>
    </dgm:pt>
    <dgm:pt modelId="{ACD2B7EA-F53F-4499-B92A-38F804811D02}" type="pres">
      <dgm:prSet presAssocID="{6562BABD-6772-463B-AC7F-E9B84AC92228}" presName="rootText1" presStyleLbl="node0" presStyleIdx="0" presStyleCnt="1">
        <dgm:presLayoutVars>
          <dgm:chPref val="3"/>
        </dgm:presLayoutVars>
      </dgm:prSet>
      <dgm:spPr/>
      <dgm:t>
        <a:bodyPr/>
        <a:p>
          <a:endParaRPr lang="zh-CN" altLang="en-US"/>
        </a:p>
      </dgm:t>
    </dgm:pt>
    <dgm:pt modelId="{F38CBF82-09A5-4B12-AB7B-5BB6389C7016}" type="pres">
      <dgm:prSet presAssocID="{6562BABD-6772-463B-AC7F-E9B84AC92228}" presName="rootConnector1" presStyleLbl="node1" presStyleIdx="0" presStyleCnt="0"/>
      <dgm:spPr/>
      <dgm:t>
        <a:bodyPr/>
        <a:p>
          <a:endParaRPr lang="zh-CN" altLang="en-US"/>
        </a:p>
      </dgm:t>
    </dgm:pt>
    <dgm:pt modelId="{696CE58D-9594-488A-B378-009478D98002}" type="pres">
      <dgm:prSet presAssocID="{6562BABD-6772-463B-AC7F-E9B84AC92228}" presName="hierChild2" presStyleCnt="0"/>
      <dgm:spPr/>
    </dgm:pt>
    <dgm:pt modelId="{2147B19C-9FDE-4753-82E4-C06D51084027}" type="pres">
      <dgm:prSet presAssocID="{8CA51DCA-576C-4ED2-AE27-BE4B1F40F6CD}" presName="Name35" presStyleLbl="parChTrans1D2" presStyleIdx="0" presStyleCnt="4"/>
      <dgm:spPr/>
      <dgm:t>
        <a:bodyPr/>
        <a:p>
          <a:endParaRPr lang="zh-CN" altLang="en-US"/>
        </a:p>
      </dgm:t>
    </dgm:pt>
    <dgm:pt modelId="{588353C1-B75B-4119-8D4E-15BF050149A5}" type="pres">
      <dgm:prSet presAssocID="{BF684C7A-B385-40A2-A1CB-A0E8159391C5}" presName="hierRoot2" presStyleCnt="0">
        <dgm:presLayoutVars>
          <dgm:hierBranch/>
        </dgm:presLayoutVars>
      </dgm:prSet>
      <dgm:spPr/>
    </dgm:pt>
    <dgm:pt modelId="{34DD0D20-C608-4736-BBD8-C3B015C17EF4}" type="pres">
      <dgm:prSet presAssocID="{BF684C7A-B385-40A2-A1CB-A0E8159391C5}" presName="rootComposite" presStyleCnt="0"/>
      <dgm:spPr/>
    </dgm:pt>
    <dgm:pt modelId="{6A71FD7E-916D-4FD1-B522-13960E4DE118}" type="pres">
      <dgm:prSet presAssocID="{BF684C7A-B385-40A2-A1CB-A0E8159391C5}" presName="rootText" presStyleLbl="node2" presStyleIdx="0" presStyleCnt="4">
        <dgm:presLayoutVars>
          <dgm:chPref val="3"/>
        </dgm:presLayoutVars>
      </dgm:prSet>
      <dgm:spPr/>
      <dgm:t>
        <a:bodyPr/>
        <a:p>
          <a:endParaRPr lang="zh-CN" altLang="en-US"/>
        </a:p>
      </dgm:t>
    </dgm:pt>
    <dgm:pt modelId="{0A8004A7-06DB-4A7F-92EA-48DB6E650930}" type="pres">
      <dgm:prSet presAssocID="{BF684C7A-B385-40A2-A1CB-A0E8159391C5}" presName="rootConnector" presStyleLbl="node2" presStyleIdx="0" presStyleCnt="4"/>
      <dgm:spPr/>
      <dgm:t>
        <a:bodyPr/>
        <a:p>
          <a:endParaRPr lang="zh-CN" altLang="en-US"/>
        </a:p>
      </dgm:t>
    </dgm:pt>
    <dgm:pt modelId="{85EF7922-05A5-4BF5-8B56-282577D9154C}" type="pres">
      <dgm:prSet presAssocID="{BF684C7A-B385-40A2-A1CB-A0E8159391C5}" presName="hierChild4" presStyleCnt="0"/>
      <dgm:spPr/>
    </dgm:pt>
    <dgm:pt modelId="{5231F5C0-E1EE-40F9-BD41-AE935D052AA5}" type="pres">
      <dgm:prSet presAssocID="{BF684C7A-B385-40A2-A1CB-A0E8159391C5}" presName="hierChild5" presStyleCnt="0"/>
      <dgm:spPr/>
    </dgm:pt>
    <dgm:pt modelId="{1BBD8A69-91E0-4F35-9E49-75281EB6EC01}" type="pres">
      <dgm:prSet presAssocID="{901B28A0-6DE6-4532-96A8-6F3F75B5F1DD}" presName="Name35" presStyleLbl="parChTrans1D2" presStyleIdx="1" presStyleCnt="4"/>
      <dgm:spPr/>
      <dgm:t>
        <a:bodyPr/>
        <a:p>
          <a:endParaRPr lang="zh-CN" altLang="en-US"/>
        </a:p>
      </dgm:t>
    </dgm:pt>
    <dgm:pt modelId="{5C2BFDE7-B434-4F65-96A4-9A6D4FF7E59C}" type="pres">
      <dgm:prSet presAssocID="{97BB7DB3-C17F-4E3F-B894-56C27768A153}" presName="hierRoot2" presStyleCnt="0">
        <dgm:presLayoutVars>
          <dgm:hierBranch/>
        </dgm:presLayoutVars>
      </dgm:prSet>
      <dgm:spPr/>
    </dgm:pt>
    <dgm:pt modelId="{F35DE7EE-2E15-4EC9-BA97-FB539DFC41A9}" type="pres">
      <dgm:prSet presAssocID="{97BB7DB3-C17F-4E3F-B894-56C27768A153}" presName="rootComposite" presStyleCnt="0"/>
      <dgm:spPr/>
    </dgm:pt>
    <dgm:pt modelId="{7ED3251D-013E-4460-B2AA-E207DB553100}" type="pres">
      <dgm:prSet presAssocID="{97BB7DB3-C17F-4E3F-B894-56C27768A153}" presName="rootText" presStyleLbl="node2" presStyleIdx="1" presStyleCnt="4">
        <dgm:presLayoutVars>
          <dgm:chPref val="3"/>
        </dgm:presLayoutVars>
      </dgm:prSet>
      <dgm:spPr/>
      <dgm:t>
        <a:bodyPr/>
        <a:p>
          <a:endParaRPr lang="zh-CN" altLang="en-US"/>
        </a:p>
      </dgm:t>
    </dgm:pt>
    <dgm:pt modelId="{896917B3-BF18-40C9-BD26-81E42172AD47}" type="pres">
      <dgm:prSet presAssocID="{97BB7DB3-C17F-4E3F-B894-56C27768A153}" presName="rootConnector" presStyleLbl="node2" presStyleIdx="1" presStyleCnt="4"/>
      <dgm:spPr/>
      <dgm:t>
        <a:bodyPr/>
        <a:p>
          <a:endParaRPr lang="zh-CN" altLang="en-US"/>
        </a:p>
      </dgm:t>
    </dgm:pt>
    <dgm:pt modelId="{E313A5B4-B5F8-407E-8DDC-69C120F76AED}" type="pres">
      <dgm:prSet presAssocID="{97BB7DB3-C17F-4E3F-B894-56C27768A153}" presName="hierChild4" presStyleCnt="0"/>
      <dgm:spPr/>
    </dgm:pt>
    <dgm:pt modelId="{7740B9B1-DAFC-41CF-B7D1-9A2B030240E7}" type="pres">
      <dgm:prSet presAssocID="{97BB7DB3-C17F-4E3F-B894-56C27768A153}" presName="hierChild5" presStyleCnt="0"/>
      <dgm:spPr/>
    </dgm:pt>
    <dgm:pt modelId="{6B9778B7-EAC7-43EB-A157-3BDF28CFB46E}" type="pres">
      <dgm:prSet presAssocID="{887848E8-ED38-4A04-956E-4E82FD683D18}" presName="Name35" presStyleLbl="parChTrans1D2" presStyleIdx="2" presStyleCnt="4"/>
      <dgm:spPr/>
      <dgm:t>
        <a:bodyPr/>
        <a:p>
          <a:endParaRPr lang="zh-CN" altLang="en-US"/>
        </a:p>
      </dgm:t>
    </dgm:pt>
    <dgm:pt modelId="{3C9D1BA4-373E-4C43-B5A7-B27B5CBC2019}" type="pres">
      <dgm:prSet presAssocID="{B3A8B7E7-248B-4C99-A93B-EE966B27AD04}" presName="hierRoot2" presStyleCnt="0">
        <dgm:presLayoutVars>
          <dgm:hierBranch/>
        </dgm:presLayoutVars>
      </dgm:prSet>
      <dgm:spPr/>
    </dgm:pt>
    <dgm:pt modelId="{D7D46EFD-3E0B-4D38-8291-459286C5819C}" type="pres">
      <dgm:prSet presAssocID="{B3A8B7E7-248B-4C99-A93B-EE966B27AD04}" presName="rootComposite" presStyleCnt="0"/>
      <dgm:spPr/>
    </dgm:pt>
    <dgm:pt modelId="{5DAE465C-513F-4CF8-B0F6-75CA40C88156}" type="pres">
      <dgm:prSet presAssocID="{B3A8B7E7-248B-4C99-A93B-EE966B27AD04}" presName="rootText" presStyleLbl="node2" presStyleIdx="2" presStyleCnt="4">
        <dgm:presLayoutVars>
          <dgm:chPref val="3"/>
        </dgm:presLayoutVars>
      </dgm:prSet>
      <dgm:spPr/>
      <dgm:t>
        <a:bodyPr/>
        <a:p>
          <a:endParaRPr lang="zh-CN" altLang="en-US"/>
        </a:p>
      </dgm:t>
    </dgm:pt>
    <dgm:pt modelId="{ED12698B-D8C2-478B-A34C-AE83A418E1C8}" type="pres">
      <dgm:prSet presAssocID="{B3A8B7E7-248B-4C99-A93B-EE966B27AD04}" presName="rootConnector" presStyleLbl="node2" presStyleIdx="2" presStyleCnt="4"/>
      <dgm:spPr/>
      <dgm:t>
        <a:bodyPr/>
        <a:p>
          <a:endParaRPr lang="zh-CN" altLang="en-US"/>
        </a:p>
      </dgm:t>
    </dgm:pt>
    <dgm:pt modelId="{47310C61-D042-4F58-B289-0131075B00C3}" type="pres">
      <dgm:prSet presAssocID="{B3A8B7E7-248B-4C99-A93B-EE966B27AD04}" presName="hierChild4" presStyleCnt="0"/>
      <dgm:spPr/>
    </dgm:pt>
    <dgm:pt modelId="{547E84B3-1D24-47B1-888B-E5165F17FDC2}" type="pres">
      <dgm:prSet presAssocID="{B3A8B7E7-248B-4C99-A93B-EE966B27AD04}" presName="hierChild5" presStyleCnt="0"/>
      <dgm:spPr/>
    </dgm:pt>
    <dgm:pt modelId="{E2FD8186-AA63-4760-9D49-FAA4E84DD537}" type="pres">
      <dgm:prSet presAssocID="{34AF9973-1B19-4824-BB40-8122203DE965}" presName="Name35" presStyleLbl="parChTrans1D2" presStyleIdx="3" presStyleCnt="4"/>
      <dgm:spPr/>
      <dgm:t>
        <a:bodyPr/>
        <a:p>
          <a:endParaRPr lang="zh-CN" altLang="en-US"/>
        </a:p>
      </dgm:t>
    </dgm:pt>
    <dgm:pt modelId="{84C99702-AD6A-4FA5-A9E2-D6FE8B63BD4C}" type="pres">
      <dgm:prSet presAssocID="{C6EFF203-1726-4DAF-8A1C-FA7B66DBF999}" presName="hierRoot2" presStyleCnt="0">
        <dgm:presLayoutVars>
          <dgm:hierBranch/>
        </dgm:presLayoutVars>
      </dgm:prSet>
      <dgm:spPr/>
    </dgm:pt>
    <dgm:pt modelId="{82BCA06C-DB8D-43E7-896E-C5DBF947C797}" type="pres">
      <dgm:prSet presAssocID="{C6EFF203-1726-4DAF-8A1C-FA7B66DBF999}" presName="rootComposite" presStyleCnt="0"/>
      <dgm:spPr/>
    </dgm:pt>
    <dgm:pt modelId="{2CFD503D-48F6-41EE-BA3C-1C6F2E081BF7}" type="pres">
      <dgm:prSet presAssocID="{C6EFF203-1726-4DAF-8A1C-FA7B66DBF999}" presName="rootText" presStyleLbl="node2" presStyleIdx="3" presStyleCnt="4">
        <dgm:presLayoutVars>
          <dgm:chPref val="3"/>
        </dgm:presLayoutVars>
      </dgm:prSet>
      <dgm:spPr/>
      <dgm:t>
        <a:bodyPr/>
        <a:p>
          <a:endParaRPr lang="zh-CN" altLang="en-US"/>
        </a:p>
      </dgm:t>
    </dgm:pt>
    <dgm:pt modelId="{EC04494F-7F60-4DB0-8570-AC7EBB51D752}" type="pres">
      <dgm:prSet presAssocID="{C6EFF203-1726-4DAF-8A1C-FA7B66DBF999}" presName="rootConnector" presStyleLbl="node2" presStyleIdx="3" presStyleCnt="4"/>
      <dgm:spPr/>
      <dgm:t>
        <a:bodyPr/>
        <a:p>
          <a:endParaRPr lang="zh-CN" altLang="en-US"/>
        </a:p>
      </dgm:t>
    </dgm:pt>
    <dgm:pt modelId="{7732760E-65A0-4CFF-9710-2C172E51A297}" type="pres">
      <dgm:prSet presAssocID="{C6EFF203-1726-4DAF-8A1C-FA7B66DBF999}" presName="hierChild4" presStyleCnt="0"/>
      <dgm:spPr/>
    </dgm:pt>
    <dgm:pt modelId="{8E111D6D-A99D-4F61-A40E-8013D95BCB46}" type="pres">
      <dgm:prSet presAssocID="{C6EFF203-1726-4DAF-8A1C-FA7B66DBF999}" presName="hierChild5" presStyleCnt="0"/>
      <dgm:spPr/>
    </dgm:pt>
    <dgm:pt modelId="{3A997C33-82E6-4F2F-BD1D-D639E631D7E6}" type="pres">
      <dgm:prSet presAssocID="{6562BABD-6772-463B-AC7F-E9B84AC92228}" presName="hierChild3" presStyleCnt="0"/>
      <dgm:spPr/>
    </dgm:pt>
  </dgm:ptLst>
  <dgm:cxnLst>
    <dgm:cxn modelId="{37484178-8372-4999-8400-EBDAE33D0281}" type="presOf" srcId="{6562BABD-6772-463B-AC7F-E9B84AC92228}" destId="{F38CBF82-09A5-4B12-AB7B-5BB6389C7016}" srcOrd="1" destOrd="0" presId="urn:microsoft.com/office/officeart/2005/8/layout/orgChart1#1"/>
    <dgm:cxn modelId="{4D040669-E435-4BB8-8355-D4C5AA5F672C}" srcId="{6562BABD-6772-463B-AC7F-E9B84AC92228}" destId="{B3A8B7E7-248B-4C99-A93B-EE966B27AD04}" srcOrd="2" destOrd="0" parTransId="{887848E8-ED38-4A04-956E-4E82FD683D18}" sibTransId="{9FB0A154-0090-4CBB-A1CC-3A97B58E5A8E}"/>
    <dgm:cxn modelId="{460B6257-D76C-4355-81A2-E58A60582C1E}" type="presOf" srcId="{C6EFF203-1726-4DAF-8A1C-FA7B66DBF999}" destId="{EC04494F-7F60-4DB0-8570-AC7EBB51D752}" srcOrd="1" destOrd="0" presId="urn:microsoft.com/office/officeart/2005/8/layout/orgChart1#1"/>
    <dgm:cxn modelId="{F1C920B7-0B09-42E8-8E29-77053A6A0D6E}" type="presOf" srcId="{BF684C7A-B385-40A2-A1CB-A0E8159391C5}" destId="{0A8004A7-06DB-4A7F-92EA-48DB6E650930}" srcOrd="1" destOrd="0" presId="urn:microsoft.com/office/officeart/2005/8/layout/orgChart1#1"/>
    <dgm:cxn modelId="{DCFB2C1D-2368-4342-BDA7-CEDDCF77A7DF}" type="presOf" srcId="{887848E8-ED38-4A04-956E-4E82FD683D18}" destId="{6B9778B7-EAC7-43EB-A157-3BDF28CFB46E}" srcOrd="0" destOrd="0" presId="urn:microsoft.com/office/officeart/2005/8/layout/orgChart1#1"/>
    <dgm:cxn modelId="{D13A04CF-4DE0-4EBC-BC71-3A2434749596}" type="presOf" srcId="{B3A8B7E7-248B-4C99-A93B-EE966B27AD04}" destId="{5DAE465C-513F-4CF8-B0F6-75CA40C88156}" srcOrd="0" destOrd="0" presId="urn:microsoft.com/office/officeart/2005/8/layout/orgChart1#1"/>
    <dgm:cxn modelId="{609C7578-5059-439F-9245-9D843C04C6AA}" srcId="{99CEBCF9-DF0B-46BF-959A-44A005F3A9DC}" destId="{6562BABD-6772-463B-AC7F-E9B84AC92228}" srcOrd="0" destOrd="0" parTransId="{8DF7902D-14A9-496B-9FE5-8E687FC27A5F}" sibTransId="{BB83BB73-AD00-4CA2-8009-E2C921668D7B}"/>
    <dgm:cxn modelId="{1B5EE6EB-D657-4A62-9987-874B8850C8E5}" type="presOf" srcId="{BF684C7A-B385-40A2-A1CB-A0E8159391C5}" destId="{6A71FD7E-916D-4FD1-B522-13960E4DE118}" srcOrd="0" destOrd="0" presId="urn:microsoft.com/office/officeart/2005/8/layout/orgChart1#1"/>
    <dgm:cxn modelId="{6FCC2660-8A42-4B57-943C-14FC9FC8F77C}" srcId="{6562BABD-6772-463B-AC7F-E9B84AC92228}" destId="{BF684C7A-B385-40A2-A1CB-A0E8159391C5}" srcOrd="0" destOrd="0" parTransId="{8CA51DCA-576C-4ED2-AE27-BE4B1F40F6CD}" sibTransId="{195B3BA4-0C43-4671-8FEF-5D542E9C03A6}"/>
    <dgm:cxn modelId="{4823DF5F-CA3A-48C7-9A3F-A5BFBB1FC818}" type="presOf" srcId="{34AF9973-1B19-4824-BB40-8122203DE965}" destId="{E2FD8186-AA63-4760-9D49-FAA4E84DD537}" srcOrd="0" destOrd="0" presId="urn:microsoft.com/office/officeart/2005/8/layout/orgChart1#1"/>
    <dgm:cxn modelId="{40796BF8-3057-4672-9401-FCA6A7739920}" type="presOf" srcId="{99CEBCF9-DF0B-46BF-959A-44A005F3A9DC}" destId="{7FDE4BB9-47B3-4C04-BF58-8BD38E59E36D}" srcOrd="0" destOrd="0" presId="urn:microsoft.com/office/officeart/2005/8/layout/orgChart1#1"/>
    <dgm:cxn modelId="{B8567424-3006-40F8-BA91-AE5E83DB3784}" srcId="{6562BABD-6772-463B-AC7F-E9B84AC92228}" destId="{97BB7DB3-C17F-4E3F-B894-56C27768A153}" srcOrd="1" destOrd="0" parTransId="{901B28A0-6DE6-4532-96A8-6F3F75B5F1DD}" sibTransId="{A19C1913-EF08-4250-A3AE-E10FC42D86A4}"/>
    <dgm:cxn modelId="{151D1FB7-A716-4DCF-B395-957D9344EF06}" type="presOf" srcId="{901B28A0-6DE6-4532-96A8-6F3F75B5F1DD}" destId="{1BBD8A69-91E0-4F35-9E49-75281EB6EC01}" srcOrd="0" destOrd="0" presId="urn:microsoft.com/office/officeart/2005/8/layout/orgChart1#1"/>
    <dgm:cxn modelId="{83C1F62A-5CA9-40CF-A248-3A792A6DED40}" type="presOf" srcId="{6562BABD-6772-463B-AC7F-E9B84AC92228}" destId="{ACD2B7EA-F53F-4499-B92A-38F804811D02}" srcOrd="0" destOrd="0" presId="urn:microsoft.com/office/officeart/2005/8/layout/orgChart1#1"/>
    <dgm:cxn modelId="{BD6D38CA-E88A-425F-8157-896A3A8B9E15}" type="presOf" srcId="{8CA51DCA-576C-4ED2-AE27-BE4B1F40F6CD}" destId="{2147B19C-9FDE-4753-82E4-C06D51084027}" srcOrd="0" destOrd="0" presId="urn:microsoft.com/office/officeart/2005/8/layout/orgChart1#1"/>
    <dgm:cxn modelId="{4040BC8B-8323-4DB8-B48B-81E411DA59DB}" type="presOf" srcId="{97BB7DB3-C17F-4E3F-B894-56C27768A153}" destId="{7ED3251D-013E-4460-B2AA-E207DB553100}" srcOrd="0" destOrd="0" presId="urn:microsoft.com/office/officeart/2005/8/layout/orgChart1#1"/>
    <dgm:cxn modelId="{A085CBFC-3927-4163-B47A-136FB9FEBF13}" type="presOf" srcId="{97BB7DB3-C17F-4E3F-B894-56C27768A153}" destId="{896917B3-BF18-40C9-BD26-81E42172AD47}" srcOrd="1" destOrd="0" presId="urn:microsoft.com/office/officeart/2005/8/layout/orgChart1#1"/>
    <dgm:cxn modelId="{149D6150-0BF4-40D4-AB22-0F5B74A9B36C}" srcId="{6562BABD-6772-463B-AC7F-E9B84AC92228}" destId="{C6EFF203-1726-4DAF-8A1C-FA7B66DBF999}" srcOrd="3" destOrd="0" parTransId="{34AF9973-1B19-4824-BB40-8122203DE965}" sibTransId="{28F68363-82DD-45BF-AA8B-D183D439BC67}"/>
    <dgm:cxn modelId="{089AA423-7349-40EE-BA51-9BA1FC27CA74}" type="presOf" srcId="{B3A8B7E7-248B-4C99-A93B-EE966B27AD04}" destId="{ED12698B-D8C2-478B-A34C-AE83A418E1C8}" srcOrd="1" destOrd="0" presId="urn:microsoft.com/office/officeart/2005/8/layout/orgChart1#1"/>
    <dgm:cxn modelId="{AFDA064E-53F9-4273-94E5-6FBDE4CD0C6B}" type="presOf" srcId="{C6EFF203-1726-4DAF-8A1C-FA7B66DBF999}" destId="{2CFD503D-48F6-41EE-BA3C-1C6F2E081BF7}" srcOrd="0" destOrd="0" presId="urn:microsoft.com/office/officeart/2005/8/layout/orgChart1#1"/>
    <dgm:cxn modelId="{E1391689-F485-473F-AEC8-C1D353F99A34}" type="presParOf" srcId="{7FDE4BB9-47B3-4C04-BF58-8BD38E59E36D}" destId="{8AD2A4A8-AEDE-4319-BAB3-0061D348F76D}" srcOrd="0" destOrd="0" presId="urn:microsoft.com/office/officeart/2005/8/layout/orgChart1#1"/>
    <dgm:cxn modelId="{26BB8FE9-0AFD-482A-BADC-2C5CAB5FC189}" type="presParOf" srcId="{8AD2A4A8-AEDE-4319-BAB3-0061D348F76D}" destId="{13FF9C17-DB91-466E-ADE2-7748D3F380E8}" srcOrd="0" destOrd="0" presId="urn:microsoft.com/office/officeart/2005/8/layout/orgChart1#1"/>
    <dgm:cxn modelId="{FB6E1B60-E524-4711-A845-0267E618C8BA}" type="presParOf" srcId="{13FF9C17-DB91-466E-ADE2-7748D3F380E8}" destId="{ACD2B7EA-F53F-4499-B92A-38F804811D02}" srcOrd="0" destOrd="0" presId="urn:microsoft.com/office/officeart/2005/8/layout/orgChart1#1"/>
    <dgm:cxn modelId="{8FF201D7-152B-410F-A4A6-EEBC65353E98}" type="presParOf" srcId="{13FF9C17-DB91-466E-ADE2-7748D3F380E8}" destId="{F38CBF82-09A5-4B12-AB7B-5BB6389C7016}" srcOrd="1" destOrd="0" presId="urn:microsoft.com/office/officeart/2005/8/layout/orgChart1#1"/>
    <dgm:cxn modelId="{6D5AC4F1-8447-4CFF-B91E-9B7159662CDC}" type="presParOf" srcId="{8AD2A4A8-AEDE-4319-BAB3-0061D348F76D}" destId="{696CE58D-9594-488A-B378-009478D98002}" srcOrd="1" destOrd="0" presId="urn:microsoft.com/office/officeart/2005/8/layout/orgChart1#1"/>
    <dgm:cxn modelId="{E0AEBD7C-6D83-4A54-AE52-9F3A51791226}" type="presParOf" srcId="{696CE58D-9594-488A-B378-009478D98002}" destId="{2147B19C-9FDE-4753-82E4-C06D51084027}" srcOrd="0" destOrd="0" presId="urn:microsoft.com/office/officeart/2005/8/layout/orgChart1#1"/>
    <dgm:cxn modelId="{7D64320B-CC01-4602-BDC9-7E9287619553}" type="presParOf" srcId="{696CE58D-9594-488A-B378-009478D98002}" destId="{588353C1-B75B-4119-8D4E-15BF050149A5}" srcOrd="1" destOrd="0" presId="urn:microsoft.com/office/officeart/2005/8/layout/orgChart1#1"/>
    <dgm:cxn modelId="{03721176-72CE-4A09-9CD9-1237A3708FD3}" type="presParOf" srcId="{588353C1-B75B-4119-8D4E-15BF050149A5}" destId="{34DD0D20-C608-4736-BBD8-C3B015C17EF4}" srcOrd="0" destOrd="0" presId="urn:microsoft.com/office/officeart/2005/8/layout/orgChart1#1"/>
    <dgm:cxn modelId="{8C05487C-B3D0-40EA-9549-BD74FCC04CB7}" type="presParOf" srcId="{34DD0D20-C608-4736-BBD8-C3B015C17EF4}" destId="{6A71FD7E-916D-4FD1-B522-13960E4DE118}" srcOrd="0" destOrd="0" presId="urn:microsoft.com/office/officeart/2005/8/layout/orgChart1#1"/>
    <dgm:cxn modelId="{9856C8AB-6E27-4861-A9B1-A3CA1DCC3B30}" type="presParOf" srcId="{34DD0D20-C608-4736-BBD8-C3B015C17EF4}" destId="{0A8004A7-06DB-4A7F-92EA-48DB6E650930}" srcOrd="1" destOrd="0" presId="urn:microsoft.com/office/officeart/2005/8/layout/orgChart1#1"/>
    <dgm:cxn modelId="{9C126C38-4B9E-46C1-814C-1DDCEEFAA35A}" type="presParOf" srcId="{588353C1-B75B-4119-8D4E-15BF050149A5}" destId="{85EF7922-05A5-4BF5-8B56-282577D9154C}" srcOrd="1" destOrd="0" presId="urn:microsoft.com/office/officeart/2005/8/layout/orgChart1#1"/>
    <dgm:cxn modelId="{DE1225AE-6C22-40AC-93FE-7283197B8229}" type="presParOf" srcId="{588353C1-B75B-4119-8D4E-15BF050149A5}" destId="{5231F5C0-E1EE-40F9-BD41-AE935D052AA5}" srcOrd="2" destOrd="0" presId="urn:microsoft.com/office/officeart/2005/8/layout/orgChart1#1"/>
    <dgm:cxn modelId="{A010813D-2083-4381-B05B-D6DB23D27175}" type="presParOf" srcId="{696CE58D-9594-488A-B378-009478D98002}" destId="{1BBD8A69-91E0-4F35-9E49-75281EB6EC01}" srcOrd="2" destOrd="0" presId="urn:microsoft.com/office/officeart/2005/8/layout/orgChart1#1"/>
    <dgm:cxn modelId="{20536023-077E-44A9-A82E-A124BA6C3D0E}" type="presParOf" srcId="{696CE58D-9594-488A-B378-009478D98002}" destId="{5C2BFDE7-B434-4F65-96A4-9A6D4FF7E59C}" srcOrd="3" destOrd="0" presId="urn:microsoft.com/office/officeart/2005/8/layout/orgChart1#1"/>
    <dgm:cxn modelId="{129006B6-7903-4098-9033-0A77F76228AF}" type="presParOf" srcId="{5C2BFDE7-B434-4F65-96A4-9A6D4FF7E59C}" destId="{F35DE7EE-2E15-4EC9-BA97-FB539DFC41A9}" srcOrd="0" destOrd="0" presId="urn:microsoft.com/office/officeart/2005/8/layout/orgChart1#1"/>
    <dgm:cxn modelId="{1B1CD7B9-4F00-4457-9849-B7CA2F6CFE29}" type="presParOf" srcId="{F35DE7EE-2E15-4EC9-BA97-FB539DFC41A9}" destId="{7ED3251D-013E-4460-B2AA-E207DB553100}" srcOrd="0" destOrd="0" presId="urn:microsoft.com/office/officeart/2005/8/layout/orgChart1#1"/>
    <dgm:cxn modelId="{6E65805A-FA57-4093-A62F-6D2A2EF01075}" type="presParOf" srcId="{F35DE7EE-2E15-4EC9-BA97-FB539DFC41A9}" destId="{896917B3-BF18-40C9-BD26-81E42172AD47}" srcOrd="1" destOrd="0" presId="urn:microsoft.com/office/officeart/2005/8/layout/orgChart1#1"/>
    <dgm:cxn modelId="{C91B82F6-3326-4AF5-96CC-7D82F3FD0842}" type="presParOf" srcId="{5C2BFDE7-B434-4F65-96A4-9A6D4FF7E59C}" destId="{E313A5B4-B5F8-407E-8DDC-69C120F76AED}" srcOrd="1" destOrd="0" presId="urn:microsoft.com/office/officeart/2005/8/layout/orgChart1#1"/>
    <dgm:cxn modelId="{AA51AD64-1489-451C-98DB-410C2D25DA69}" type="presParOf" srcId="{5C2BFDE7-B434-4F65-96A4-9A6D4FF7E59C}" destId="{7740B9B1-DAFC-41CF-B7D1-9A2B030240E7}" srcOrd="2" destOrd="0" presId="urn:microsoft.com/office/officeart/2005/8/layout/orgChart1#1"/>
    <dgm:cxn modelId="{49A7CB9D-0237-4D29-98AF-13A288376667}" type="presParOf" srcId="{696CE58D-9594-488A-B378-009478D98002}" destId="{6B9778B7-EAC7-43EB-A157-3BDF28CFB46E}" srcOrd="4" destOrd="0" presId="urn:microsoft.com/office/officeart/2005/8/layout/orgChart1#1"/>
    <dgm:cxn modelId="{D608FBFE-13F5-49C8-BB27-E3CCABD8F666}" type="presParOf" srcId="{696CE58D-9594-488A-B378-009478D98002}" destId="{3C9D1BA4-373E-4C43-B5A7-B27B5CBC2019}" srcOrd="5" destOrd="0" presId="urn:microsoft.com/office/officeart/2005/8/layout/orgChart1#1"/>
    <dgm:cxn modelId="{F6FC6FF5-29F9-463B-84F7-7BA83DC7888F}" type="presParOf" srcId="{3C9D1BA4-373E-4C43-B5A7-B27B5CBC2019}" destId="{D7D46EFD-3E0B-4D38-8291-459286C5819C}" srcOrd="0" destOrd="0" presId="urn:microsoft.com/office/officeart/2005/8/layout/orgChart1#1"/>
    <dgm:cxn modelId="{E04F96E6-E02B-41F2-8A9B-140C6804ED63}" type="presParOf" srcId="{D7D46EFD-3E0B-4D38-8291-459286C5819C}" destId="{5DAE465C-513F-4CF8-B0F6-75CA40C88156}" srcOrd="0" destOrd="0" presId="urn:microsoft.com/office/officeart/2005/8/layout/orgChart1#1"/>
    <dgm:cxn modelId="{0A90FABB-9BE6-4C2F-BF38-C56ABCADACF5}" type="presParOf" srcId="{D7D46EFD-3E0B-4D38-8291-459286C5819C}" destId="{ED12698B-D8C2-478B-A34C-AE83A418E1C8}" srcOrd="1" destOrd="0" presId="urn:microsoft.com/office/officeart/2005/8/layout/orgChart1#1"/>
    <dgm:cxn modelId="{562D1CE6-959E-47E3-9D72-48DE78F89FEB}" type="presParOf" srcId="{3C9D1BA4-373E-4C43-B5A7-B27B5CBC2019}" destId="{47310C61-D042-4F58-B289-0131075B00C3}" srcOrd="1" destOrd="0" presId="urn:microsoft.com/office/officeart/2005/8/layout/orgChart1#1"/>
    <dgm:cxn modelId="{FFA45537-2C2F-43ED-BAA1-E5377085C086}" type="presParOf" srcId="{3C9D1BA4-373E-4C43-B5A7-B27B5CBC2019}" destId="{547E84B3-1D24-47B1-888B-E5165F17FDC2}" srcOrd="2" destOrd="0" presId="urn:microsoft.com/office/officeart/2005/8/layout/orgChart1#1"/>
    <dgm:cxn modelId="{76A7ACBF-8692-49E0-9F7E-8F864C4E4C48}" type="presParOf" srcId="{696CE58D-9594-488A-B378-009478D98002}" destId="{E2FD8186-AA63-4760-9D49-FAA4E84DD537}" srcOrd="6" destOrd="0" presId="urn:microsoft.com/office/officeart/2005/8/layout/orgChart1#1"/>
    <dgm:cxn modelId="{3165650A-7A10-4246-B531-3DC0762515A3}" type="presParOf" srcId="{696CE58D-9594-488A-B378-009478D98002}" destId="{84C99702-AD6A-4FA5-A9E2-D6FE8B63BD4C}" srcOrd="7" destOrd="0" presId="urn:microsoft.com/office/officeart/2005/8/layout/orgChart1#1"/>
    <dgm:cxn modelId="{4EC77B5B-5379-460C-A39E-CAA6EC530337}" type="presParOf" srcId="{84C99702-AD6A-4FA5-A9E2-D6FE8B63BD4C}" destId="{82BCA06C-DB8D-43E7-896E-C5DBF947C797}" srcOrd="0" destOrd="0" presId="urn:microsoft.com/office/officeart/2005/8/layout/orgChart1#1"/>
    <dgm:cxn modelId="{51669856-E175-4EFC-A3E1-54FD07AF50A7}" type="presParOf" srcId="{82BCA06C-DB8D-43E7-896E-C5DBF947C797}" destId="{2CFD503D-48F6-41EE-BA3C-1C6F2E081BF7}" srcOrd="0" destOrd="0" presId="urn:microsoft.com/office/officeart/2005/8/layout/orgChart1#1"/>
    <dgm:cxn modelId="{67116CF5-B319-4992-B7A9-6D1C1501032D}" type="presParOf" srcId="{82BCA06C-DB8D-43E7-896E-C5DBF947C797}" destId="{EC04494F-7F60-4DB0-8570-AC7EBB51D752}" srcOrd="1" destOrd="0" presId="urn:microsoft.com/office/officeart/2005/8/layout/orgChart1#1"/>
    <dgm:cxn modelId="{DDB03917-1CA0-4DFE-B9F4-F43C08819B2A}" type="presParOf" srcId="{84C99702-AD6A-4FA5-A9E2-D6FE8B63BD4C}" destId="{7732760E-65A0-4CFF-9710-2C172E51A297}" srcOrd="1" destOrd="0" presId="urn:microsoft.com/office/officeart/2005/8/layout/orgChart1#1"/>
    <dgm:cxn modelId="{3A7AA0B4-E257-4730-AB4E-61C651192809}" type="presParOf" srcId="{84C99702-AD6A-4FA5-A9E2-D6FE8B63BD4C}" destId="{8E111D6D-A99D-4F61-A40E-8013D95BCB46}" srcOrd="2" destOrd="0" presId="urn:microsoft.com/office/officeart/2005/8/layout/orgChart1#1"/>
    <dgm:cxn modelId="{FF2C7005-3B32-4F55-B01F-F01B2DBA8687}" type="presParOf" srcId="{8AD2A4A8-AEDE-4319-BAB3-0061D348F76D}" destId="{3A997C33-82E6-4F2F-BD1D-D639E631D7E6}" srcOrd="2" destOrd="0" presId="urn:microsoft.com/office/officeart/2005/8/layout/orgChart1#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482DA5-41E1-41D0-A9D6-79B1CCF7F452}">
      <dsp:nvSpPr>
        <dsp:cNvPr id="0" name=""/>
        <dsp:cNvSpPr/>
      </dsp:nvSpPr>
      <dsp:spPr>
        <a:xfrm>
          <a:off x="522" y="485288"/>
          <a:ext cx="1073995" cy="429598"/>
        </a:xfrm>
        <a:prstGeom prst="chevron">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zh-CN" altLang="en-US" sz="900" kern="1200">
              <a:solidFill>
                <a:sysClr val="window" lastClr="FFFFFF"/>
              </a:solidFill>
              <a:latin typeface="华文细黑" panose="02010600040101010101" pitchFamily="2" charset="-122"/>
              <a:ea typeface="华文细黑" panose="02010600040101010101" pitchFamily="2" charset="-122"/>
              <a:cs typeface="+mn-cs"/>
            </a:rPr>
            <a:t>绩效评价的评价原则</a:t>
          </a:r>
        </a:p>
      </dsp:txBody>
      <dsp:txXfrm>
        <a:off x="215321" y="485288"/>
        <a:ext cx="644397" cy="429598"/>
      </dsp:txXfrm>
    </dsp:sp>
    <dsp:sp modelId="{6E8D7C1F-A22A-42B0-A090-A57413634287}">
      <dsp:nvSpPr>
        <dsp:cNvPr id="0" name=""/>
        <dsp:cNvSpPr/>
      </dsp:nvSpPr>
      <dsp:spPr>
        <a:xfrm>
          <a:off x="934898" y="521804"/>
          <a:ext cx="891416" cy="356566"/>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相关性原则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1113181" y="521804"/>
        <a:ext cx="534850" cy="356566"/>
      </dsp:txXfrm>
    </dsp:sp>
    <dsp:sp modelId="{B8691B77-4694-4BFA-9DAF-40A313A447BB}">
      <dsp:nvSpPr>
        <dsp:cNvPr id="0" name=""/>
        <dsp:cNvSpPr/>
      </dsp:nvSpPr>
      <dsp:spPr>
        <a:xfrm>
          <a:off x="1701516" y="521804"/>
          <a:ext cx="891416" cy="356566"/>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重要性原则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1879799" y="521804"/>
        <a:ext cx="534850" cy="356566"/>
      </dsp:txXfrm>
    </dsp:sp>
    <dsp:sp modelId="{C330E3A1-3D1D-4453-A315-50DA58578E8B}">
      <dsp:nvSpPr>
        <dsp:cNvPr id="0" name=""/>
        <dsp:cNvSpPr/>
      </dsp:nvSpPr>
      <dsp:spPr>
        <a:xfrm>
          <a:off x="2468134" y="521804"/>
          <a:ext cx="891416" cy="356566"/>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可比性原则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2646417" y="521804"/>
        <a:ext cx="534850" cy="356566"/>
      </dsp:txXfrm>
    </dsp:sp>
    <dsp:sp modelId="{15B667A0-41D3-4D24-9402-E2D0A9F3193D}">
      <dsp:nvSpPr>
        <dsp:cNvPr id="0" name=""/>
        <dsp:cNvSpPr/>
      </dsp:nvSpPr>
      <dsp:spPr>
        <a:xfrm>
          <a:off x="3234752" y="521804"/>
          <a:ext cx="891416" cy="356566"/>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系统性原则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3413035" y="521804"/>
        <a:ext cx="534850" cy="356566"/>
      </dsp:txXfrm>
    </dsp:sp>
    <dsp:sp modelId="{3133D0F3-2920-497C-9B75-49DB36BD1C0F}">
      <dsp:nvSpPr>
        <dsp:cNvPr id="0" name=""/>
        <dsp:cNvSpPr/>
      </dsp:nvSpPr>
      <dsp:spPr>
        <a:xfrm>
          <a:off x="4001370" y="521804"/>
          <a:ext cx="891416" cy="356566"/>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经济性原则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4179653" y="521804"/>
        <a:ext cx="534850" cy="35656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FD8186-AA63-4760-9D49-FAA4E84DD537}">
      <dsp:nvSpPr>
        <dsp:cNvPr id="0" name=""/>
        <dsp:cNvSpPr/>
      </dsp:nvSpPr>
      <dsp:spPr>
        <a:xfrm>
          <a:off x="1847532" y="621456"/>
          <a:ext cx="1446998" cy="167421"/>
        </a:xfrm>
        <a:custGeom>
          <a:avLst/>
          <a:gdLst/>
          <a:ahLst/>
          <a:cxnLst/>
          <a:rect l="0" t="0" r="0" b="0"/>
          <a:pathLst>
            <a:path>
              <a:moveTo>
                <a:pt x="0" y="0"/>
              </a:moveTo>
              <a:lnTo>
                <a:pt x="0" y="83710"/>
              </a:lnTo>
              <a:lnTo>
                <a:pt x="1446998" y="83710"/>
              </a:lnTo>
              <a:lnTo>
                <a:pt x="1446998" y="1674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9778B7-EAC7-43EB-A157-3BDF28CFB46E}">
      <dsp:nvSpPr>
        <dsp:cNvPr id="0" name=""/>
        <dsp:cNvSpPr/>
      </dsp:nvSpPr>
      <dsp:spPr>
        <a:xfrm>
          <a:off x="1847532" y="621456"/>
          <a:ext cx="482332" cy="167421"/>
        </a:xfrm>
        <a:custGeom>
          <a:avLst/>
          <a:gdLst/>
          <a:ahLst/>
          <a:cxnLst/>
          <a:rect l="0" t="0" r="0" b="0"/>
          <a:pathLst>
            <a:path>
              <a:moveTo>
                <a:pt x="0" y="0"/>
              </a:moveTo>
              <a:lnTo>
                <a:pt x="0" y="83710"/>
              </a:lnTo>
              <a:lnTo>
                <a:pt x="482332" y="83710"/>
              </a:lnTo>
              <a:lnTo>
                <a:pt x="482332" y="1674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BD8A69-91E0-4F35-9E49-75281EB6EC01}">
      <dsp:nvSpPr>
        <dsp:cNvPr id="0" name=""/>
        <dsp:cNvSpPr/>
      </dsp:nvSpPr>
      <dsp:spPr>
        <a:xfrm>
          <a:off x="1365199" y="621456"/>
          <a:ext cx="482332" cy="167421"/>
        </a:xfrm>
        <a:custGeom>
          <a:avLst/>
          <a:gdLst/>
          <a:ahLst/>
          <a:cxnLst/>
          <a:rect l="0" t="0" r="0" b="0"/>
          <a:pathLst>
            <a:path>
              <a:moveTo>
                <a:pt x="482332" y="0"/>
              </a:moveTo>
              <a:lnTo>
                <a:pt x="482332" y="83710"/>
              </a:lnTo>
              <a:lnTo>
                <a:pt x="0" y="83710"/>
              </a:lnTo>
              <a:lnTo>
                <a:pt x="0" y="1674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47B19C-9FDE-4753-82E4-C06D51084027}">
      <dsp:nvSpPr>
        <dsp:cNvPr id="0" name=""/>
        <dsp:cNvSpPr/>
      </dsp:nvSpPr>
      <dsp:spPr>
        <a:xfrm>
          <a:off x="400533" y="621456"/>
          <a:ext cx="1446998" cy="167421"/>
        </a:xfrm>
        <a:custGeom>
          <a:avLst/>
          <a:gdLst/>
          <a:ahLst/>
          <a:cxnLst/>
          <a:rect l="0" t="0" r="0" b="0"/>
          <a:pathLst>
            <a:path>
              <a:moveTo>
                <a:pt x="1446998" y="0"/>
              </a:moveTo>
              <a:lnTo>
                <a:pt x="1446998" y="83710"/>
              </a:lnTo>
              <a:lnTo>
                <a:pt x="0" y="83710"/>
              </a:lnTo>
              <a:lnTo>
                <a:pt x="0" y="1674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D2B7EA-F53F-4499-B92A-38F804811D02}">
      <dsp:nvSpPr>
        <dsp:cNvPr id="0" name=""/>
        <dsp:cNvSpPr/>
      </dsp:nvSpPr>
      <dsp:spPr>
        <a:xfrm>
          <a:off x="1448910" y="222834"/>
          <a:ext cx="797244" cy="39862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zh-CN" altLang="en-US" sz="900" kern="100" baseline="0" smtClean="0">
              <a:latin typeface="Calibri" panose="020F0502020204030204"/>
              <a:ea typeface="宋体" panose="02010600030101010101" charset="-122"/>
            </a:rPr>
            <a:t>评价</a:t>
          </a:r>
          <a:endParaRPr lang="zh-CN" altLang="en-US" sz="900" kern="100" baseline="0" smtClean="0">
            <a:latin typeface="Times New Roman" panose="02020603050405020304"/>
            <a:ea typeface="宋体" panose="02010600030101010101" charset="-122"/>
          </a:endParaRPr>
        </a:p>
        <a:p>
          <a:pPr marR="0" lvl="0" algn="ctr" defTabSz="400050" rtl="0">
            <a:lnSpc>
              <a:spcPct val="90000"/>
            </a:lnSpc>
            <a:spcBef>
              <a:spcPct val="0"/>
            </a:spcBef>
            <a:spcAft>
              <a:spcPct val="35000"/>
            </a:spcAft>
          </a:pPr>
          <a:r>
            <a:rPr lang="zh-CN" altLang="en-US" sz="900" kern="100" baseline="0" smtClean="0">
              <a:latin typeface="Calibri" panose="020F0502020204030204"/>
              <a:ea typeface="宋体" panose="02010600030101010101" charset="-122"/>
            </a:rPr>
            <a:t>方法</a:t>
          </a:r>
          <a:endParaRPr lang="zh-CN" altLang="en-US" sz="900" smtClean="0"/>
        </a:p>
      </dsp:txBody>
      <dsp:txXfrm>
        <a:off x="1448910" y="222834"/>
        <a:ext cx="797244" cy="398622"/>
      </dsp:txXfrm>
    </dsp:sp>
    <dsp:sp modelId="{6A71FD7E-916D-4FD1-B522-13960E4DE118}">
      <dsp:nvSpPr>
        <dsp:cNvPr id="0" name=""/>
        <dsp:cNvSpPr/>
      </dsp:nvSpPr>
      <dsp:spPr>
        <a:xfrm>
          <a:off x="1911" y="788878"/>
          <a:ext cx="797244" cy="39862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zh-CN" altLang="en-US" sz="900" kern="100" baseline="0" smtClean="0">
              <a:latin typeface="Calibri" panose="020F0502020204030204"/>
              <a:ea typeface="宋体" panose="02010600030101010101" charset="-122"/>
            </a:rPr>
            <a:t>综合</a:t>
          </a:r>
          <a:endParaRPr lang="zh-CN" altLang="en-US" sz="900" kern="100" baseline="0" smtClean="0">
            <a:latin typeface="Times New Roman" panose="02020603050405020304"/>
            <a:ea typeface="宋体" panose="02010600030101010101" charset="-122"/>
          </a:endParaRPr>
        </a:p>
        <a:p>
          <a:pPr marR="0" lvl="0" algn="ctr" defTabSz="400050" rtl="0">
            <a:lnSpc>
              <a:spcPct val="90000"/>
            </a:lnSpc>
            <a:spcBef>
              <a:spcPct val="0"/>
            </a:spcBef>
            <a:spcAft>
              <a:spcPct val="35000"/>
            </a:spcAft>
          </a:pPr>
          <a:r>
            <a:rPr lang="zh-CN" altLang="en-US" sz="900" kern="100" baseline="0" smtClean="0">
              <a:latin typeface="Calibri" panose="020F0502020204030204"/>
              <a:ea typeface="宋体" panose="02010600030101010101" charset="-122"/>
            </a:rPr>
            <a:t>评分方法</a:t>
          </a:r>
          <a:endParaRPr lang="zh-CN" altLang="en-US" sz="900" smtClean="0"/>
        </a:p>
      </dsp:txBody>
      <dsp:txXfrm>
        <a:off x="1911" y="788878"/>
        <a:ext cx="797244" cy="398622"/>
      </dsp:txXfrm>
    </dsp:sp>
    <dsp:sp modelId="{7ED3251D-013E-4460-B2AA-E207DB553100}">
      <dsp:nvSpPr>
        <dsp:cNvPr id="0" name=""/>
        <dsp:cNvSpPr/>
      </dsp:nvSpPr>
      <dsp:spPr>
        <a:xfrm>
          <a:off x="966577" y="788878"/>
          <a:ext cx="797244" cy="39862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zh-CN" altLang="en-US" sz="900" kern="100" baseline="0" smtClean="0">
              <a:latin typeface="Calibri" panose="020F0502020204030204"/>
              <a:ea typeface="宋体" panose="02010600030101010101" charset="-122"/>
            </a:rPr>
            <a:t>指标</a:t>
          </a:r>
          <a:endParaRPr lang="zh-CN" altLang="en-US" sz="900" kern="100" baseline="0" smtClean="0">
            <a:latin typeface="Times New Roman" panose="02020603050405020304"/>
            <a:ea typeface="宋体" panose="02010600030101010101" charset="-122"/>
          </a:endParaRPr>
        </a:p>
        <a:p>
          <a:pPr marR="0" lvl="0" algn="ctr" defTabSz="400050" rtl="0">
            <a:lnSpc>
              <a:spcPct val="90000"/>
            </a:lnSpc>
            <a:spcBef>
              <a:spcPct val="0"/>
            </a:spcBef>
            <a:spcAft>
              <a:spcPct val="35000"/>
            </a:spcAft>
          </a:pPr>
          <a:r>
            <a:rPr lang="zh-CN" altLang="en-US" sz="900" kern="100" baseline="0" smtClean="0">
              <a:latin typeface="Calibri" panose="020F0502020204030204"/>
              <a:ea typeface="宋体" panose="02010600030101010101" charset="-122"/>
            </a:rPr>
            <a:t>计算方法</a:t>
          </a:r>
          <a:endParaRPr lang="zh-CN" altLang="en-US" sz="900" smtClean="0"/>
        </a:p>
      </dsp:txBody>
      <dsp:txXfrm>
        <a:off x="966577" y="788878"/>
        <a:ext cx="797244" cy="398622"/>
      </dsp:txXfrm>
    </dsp:sp>
    <dsp:sp modelId="{5DAE465C-513F-4CF8-B0F6-75CA40C88156}">
      <dsp:nvSpPr>
        <dsp:cNvPr id="0" name=""/>
        <dsp:cNvSpPr/>
      </dsp:nvSpPr>
      <dsp:spPr>
        <a:xfrm>
          <a:off x="1931243" y="788878"/>
          <a:ext cx="797244" cy="39862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indent="0" algn="ctr" defTabSz="400050" rtl="0">
            <a:lnSpc>
              <a:spcPct val="100000"/>
            </a:lnSpc>
            <a:spcBef>
              <a:spcPct val="0"/>
            </a:spcBef>
            <a:spcAft>
              <a:spcPct val="35000"/>
            </a:spcAft>
            <a:buNone/>
          </a:pPr>
          <a:r>
            <a:rPr lang="zh-CN" altLang="en-US" sz="900" kern="100" baseline="0" smtClean="0">
              <a:latin typeface="Calibri" panose="020F0502020204030204"/>
              <a:ea typeface="宋体" panose="02010600030101010101" charset="-122"/>
            </a:rPr>
            <a:t>权重</a:t>
          </a:r>
          <a:endParaRPr lang="zh-CN" altLang="en-US" sz="900" kern="100" baseline="0" smtClean="0">
            <a:latin typeface="Times New Roman" panose="02020603050405020304"/>
            <a:ea typeface="宋体" panose="02010600030101010101" charset="-122"/>
          </a:endParaRPr>
        </a:p>
        <a:p>
          <a:pPr marR="0" lvl="0" indent="0" algn="ctr" defTabSz="400050" rtl="0">
            <a:lnSpc>
              <a:spcPct val="100000"/>
            </a:lnSpc>
            <a:spcBef>
              <a:spcPct val="0"/>
            </a:spcBef>
            <a:spcAft>
              <a:spcPct val="35000"/>
            </a:spcAft>
            <a:buNone/>
          </a:pPr>
          <a:r>
            <a:rPr lang="zh-CN" altLang="en-US" sz="900" kern="100" baseline="0" smtClean="0">
              <a:latin typeface="Calibri" panose="020F0502020204030204"/>
              <a:ea typeface="宋体" panose="02010600030101010101" charset="-122"/>
            </a:rPr>
            <a:t>确定方法</a:t>
          </a:r>
          <a:endParaRPr lang="zh-CN" altLang="en-US" sz="900" smtClean="0"/>
        </a:p>
      </dsp:txBody>
      <dsp:txXfrm>
        <a:off x="1931243" y="788878"/>
        <a:ext cx="797244" cy="398622"/>
      </dsp:txXfrm>
    </dsp:sp>
    <dsp:sp modelId="{2CFD503D-48F6-41EE-BA3C-1C6F2E081BF7}">
      <dsp:nvSpPr>
        <dsp:cNvPr id="0" name=""/>
        <dsp:cNvSpPr/>
      </dsp:nvSpPr>
      <dsp:spPr>
        <a:xfrm>
          <a:off x="2895909" y="788878"/>
          <a:ext cx="797244" cy="39862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zh-CN" altLang="en-US" sz="900" kern="100" baseline="0" smtClean="0">
              <a:latin typeface="Calibri" panose="020F0502020204030204"/>
              <a:ea typeface="宋体" panose="02010600030101010101" charset="-122"/>
            </a:rPr>
            <a:t>标准值</a:t>
          </a:r>
          <a:endParaRPr lang="zh-CN" altLang="en-US" sz="900" kern="100" baseline="0" smtClean="0">
            <a:latin typeface="Times New Roman" panose="02020603050405020304"/>
            <a:ea typeface="宋体" panose="02010600030101010101" charset="-122"/>
          </a:endParaRPr>
        </a:p>
        <a:p>
          <a:pPr marR="0" lvl="0" algn="ctr" defTabSz="400050" rtl="0">
            <a:lnSpc>
              <a:spcPct val="90000"/>
            </a:lnSpc>
            <a:spcBef>
              <a:spcPct val="0"/>
            </a:spcBef>
            <a:spcAft>
              <a:spcPct val="35000"/>
            </a:spcAft>
          </a:pPr>
          <a:r>
            <a:rPr lang="zh-CN" altLang="en-US" sz="900" kern="100" baseline="0" smtClean="0">
              <a:latin typeface="Calibri" panose="020F0502020204030204"/>
              <a:ea typeface="宋体" panose="02010600030101010101" charset="-122"/>
            </a:rPr>
            <a:t>确定方法</a:t>
          </a:r>
          <a:endParaRPr lang="zh-CN" altLang="en-US" sz="900" smtClean="0"/>
        </a:p>
      </dsp:txBody>
      <dsp:txXfrm>
        <a:off x="2895909" y="788878"/>
        <a:ext cx="797244" cy="398622"/>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1">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nodeVertAlign" val="t"/>
          <dgm:param type="vertAlign" val="mid"/>
          <dgm:param type="nodeHorzAlign" val="l"/>
          <dgm:param type="fallback" val="2D"/>
        </dgm:alg>
      </dgm:if>
      <dgm:else name="Name3">
        <dgm:alg type="lin">
          <dgm:param type="linDir" val="fromT"/>
          <dgm:param type="nodeVertAlign" val="t"/>
          <dgm:param type="vertAlign" val="mid"/>
          <dgm:param type="nodeHorzAlign" val="r"/>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VertAlign" val="mid"/>
              <dgm:param type="nodeHorzAlign" val="l"/>
              <dgm:param type="fallback" val="2D"/>
            </dgm:alg>
          </dgm:if>
          <dgm:else name="Name7">
            <dgm:alg type="lin">
              <dgm:param type="linDir" val="fromR"/>
              <dgm:param type="nodeVertAlign" val="mid"/>
              <dgm:param type="nodeHorzAlign" val="r"/>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type="chevron" r:blip="" rot="180">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type="chevron" r:blip="" rot="180">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1">
  <dgm:title val=""/>
  <dgm:desc val=""/>
  <dgm:catLst>
    <dgm:cat type="simple" pri="10500"/>
  </dgm:catLst>
  <dgm:scene3d>
    <a:camera prst="orthographicFront"/>
    <a:lightRig rig="threePt" dir="t"/>
  </dgm:scene3d>
  <dgm:styleLbl name="align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alignNode1">
    <dgm:scene3d>
      <a:camera prst="orthographicFront"/>
      <a:lightRig rig="threePt" dir="t"/>
    </dgm:scene3d>
    <dgm:txPr/>
    <dgm:style>
      <a:lnRef idx="1">
        <a:scrgbClr r="0" g="0" b="0"/>
      </a:lnRef>
      <a:fillRef idx="3">
        <a:scrgbClr r="0" g="0" b="0"/>
      </a:fillRef>
      <a:effectRef idx="3">
        <a:scrgbClr r="0" g="0" b="0"/>
      </a:effectRef>
      <a:fontRef idx="minor">
        <a:schemeClr val="lt1"/>
      </a:fontRef>
    </dgm:style>
  </dgm:styleLbl>
  <dgm:styleLbl name="asst0">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b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callout">
    <dgm:scene3d>
      <a:camera prst="orthographicFront"/>
      <a:lightRig rig="threePt" dir="t"/>
    </dgm:scene3d>
    <dgm:txPr/>
    <dgm:style>
      <a:lnRef idx="1">
        <a:scrgbClr r="0" g="0" b="0"/>
      </a:lnRef>
      <a:fillRef idx="0">
        <a:scrgbClr r="0" g="0" b="0"/>
      </a:fillRef>
      <a:effectRef idx="1">
        <a:scrgbClr r="0" g="0" b="0"/>
      </a:effectRef>
      <a:fontRef idx="minor"/>
    </dgm:style>
  </dgm:styleLbl>
  <dgm:styleLbl name="con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3">
        <a:scrgbClr r="0" g="0" b="0"/>
      </a:effectRef>
      <a:fontRef idx="minor"/>
    </dgm:style>
  </dgm:styleLbl>
  <dgm:styleLbl name="fgAcc0">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fg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fgShp">
    <dgm:scene3d>
      <a:camera prst="orthographicFront"/>
      <a:lightRig rig="threePt" dir="t"/>
    </dgm:scene3d>
    <dgm:txPr/>
    <dgm:style>
      <a:lnRef idx="0">
        <a:scrgbClr r="0" g="0" b="0"/>
      </a:lnRef>
      <a:fillRef idx="3">
        <a:scrgbClr r="0" g="0" b="0"/>
      </a:fillRef>
      <a:effectRef idx="3">
        <a:scrgbClr r="0" g="0" b="0"/>
      </a:effectRef>
      <a:fontRef idx="minor"/>
    </dgm:style>
  </dgm:styleLbl>
  <dgm:styleLbl name="fg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0">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solidAlignAcc1">
    <dgm:scene3d>
      <a:camera prst="orthographicFront"/>
      <a:lightRig rig="threePt" dir="t"/>
    </dgm:scene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txPr/>
    <dgm:style>
      <a:lnRef idx="1">
        <a:scrgbClr r="0" g="0" b="0"/>
      </a:lnRef>
      <a:fillRef idx="1">
        <a:scrgbClr r="0" g="0" b="0"/>
      </a:fillRef>
      <a:effectRef idx="3">
        <a:scrgbClr r="0" g="0" b="0"/>
      </a:effectRef>
      <a:fontRef idx="minor"/>
    </dgm:style>
  </dgm:styleLbl>
  <dgm:styleLbl name="solid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0">
        <a:scrgbClr r="0" g="0" b="0"/>
      </a:lnRef>
      <a:fillRef idx="3">
        <a:scrgbClr r="0" g="0" b="0"/>
      </a:fillRef>
      <a:effectRef idx="3">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1">
  <dgm:title val=""/>
  <dgm:desc val=""/>
  <dgm:catLst>
    <dgm:cat type="simple" pri="10300"/>
  </dgm:catLst>
  <dgm:scene3d>
    <a:camera prst="orthographicFront"/>
    <a:lightRig rig="threePt" dir="t"/>
  </dgm:scene3d>
  <dgm:styleLbl name="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alignNode1">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1">
        <a:scrgbClr r="0" g="0" b="0"/>
      </a:effectRef>
      <a:fontRef idx="minor"/>
    </dgm:style>
  </dgm:styleLbl>
  <dgm:styleLbl name="bg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callout">
    <dgm:scene3d>
      <a:camera prst="orthographicFront"/>
      <a:lightRig rig="threePt" dir="t"/>
    </dgm:scene3d>
    <dgm:txPr/>
    <dgm:style>
      <a:lnRef idx="1">
        <a:scrgbClr r="0" g="0" b="0"/>
      </a:lnRef>
      <a:fillRef idx="2">
        <a:scrgbClr r="0" g="0" b="0"/>
      </a:fillRef>
      <a:effectRef idx="1">
        <a:scrgbClr r="0" g="0" b="0"/>
      </a:effectRef>
      <a:fontRef idx="minor"/>
    </dgm:style>
  </dgm:styleLbl>
  <dgm:styleLbl name="con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1">
        <a:scrgbClr r="0" g="0" b="0"/>
      </a:effectRef>
      <a:fontRef idx="minor"/>
    </dgm:style>
  </dgm:styleLbl>
  <dgm:styleLbl name="fgAcc0">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fg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solid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1">
        <a:scrgbClr r="0" g="0" b="0"/>
      </a:lnRef>
      <a:fillRef idx="2">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3"/>
    <customShpInfo spid="_x0000_s3075"/>
    <customShpInfo spid="_x0000_s3074"/>
    <customShpInfo spid="_x0000_s307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3F0964-AE26-41C8-B265-6D4A10DEC60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19750</Words>
  <Characters>20394</Characters>
  <Lines>168</Lines>
  <Paragraphs>47</Paragraphs>
  <TotalTime>21</TotalTime>
  <ScaleCrop>false</ScaleCrop>
  <LinksUpToDate>false</LinksUpToDate>
  <CharactersWithSpaces>21959</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2017-03-23T02:34:00Z</dcterms:created>
  <dc:creator>lhn</dc:creator>
  <cp:lastModifiedBy>炸米橙</cp:lastModifiedBy>
  <cp:lastPrinted>2018-05-15T03:46:00Z</cp:lastPrinted>
  <dcterms:modified xsi:type="dcterms:W3CDTF">2022-08-10T02:06:28Z</dcterms:modified>
  <dc:title>财政支出绩效评价报告</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31A3C75CC01E482C8102A070C60F774A</vt:lpwstr>
  </property>
</Properties>
</file>