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Arial Narrow" w:hAnsi="Arial Narrow"/>
          <w:b/>
          <w:color w:val="000000"/>
          <w:sz w:val="44"/>
          <w:szCs w:val="44"/>
        </w:rPr>
      </w:pPr>
      <w:bookmarkStart w:id="154" w:name="_GoBack"/>
      <w:bookmarkEnd w:id="154"/>
    </w:p>
    <w:p>
      <w:pPr>
        <w:widowControl/>
        <w:spacing w:line="480" w:lineRule="auto"/>
        <w:ind w:right="-192" w:rightChars="-80" w:firstLine="0" w:firstLineChars="0"/>
        <w:jc w:val="center"/>
        <w:rPr>
          <w:rFonts w:ascii="Arial Narrow" w:hAnsi="Arial Narrow"/>
          <w:b/>
          <w:bCs/>
          <w:sz w:val="44"/>
          <w:szCs w:val="44"/>
        </w:rPr>
      </w:pPr>
      <w:r>
        <w:rPr>
          <w:rFonts w:hint="eastAsia" w:ascii="Arial Narrow" w:hAnsi="Arial Narrow"/>
          <w:b/>
          <w:bCs/>
          <w:sz w:val="44"/>
          <w:szCs w:val="44"/>
        </w:rPr>
        <w:t>武昌区2017年度</w:t>
      </w:r>
    </w:p>
    <w:p>
      <w:pPr>
        <w:widowControl/>
        <w:spacing w:line="480" w:lineRule="auto"/>
        <w:ind w:right="-192" w:rightChars="-80" w:firstLine="0" w:firstLineChars="0"/>
        <w:jc w:val="center"/>
        <w:rPr>
          <w:rFonts w:ascii="Arial Narrow" w:hAnsi="Arial Narrow"/>
          <w:b/>
          <w:bCs/>
          <w:sz w:val="44"/>
          <w:szCs w:val="44"/>
        </w:rPr>
      </w:pPr>
      <w:r>
        <w:rPr>
          <w:rFonts w:hint="eastAsia" w:ascii="Arial Narrow" w:hAnsi="Arial Narrow"/>
          <w:b/>
          <w:bCs/>
          <w:sz w:val="44"/>
          <w:szCs w:val="44"/>
        </w:rPr>
        <w:t>区老年大学等</w:t>
      </w:r>
      <w:r>
        <w:rPr>
          <w:rFonts w:ascii="Arial Narrow" w:hAnsi="Arial Narrow"/>
          <w:b/>
          <w:bCs/>
          <w:sz w:val="44"/>
          <w:szCs w:val="44"/>
        </w:rPr>
        <w:t>工作经费项目</w:t>
      </w:r>
    </w:p>
    <w:p>
      <w:pPr>
        <w:widowControl/>
        <w:spacing w:line="480" w:lineRule="auto"/>
        <w:ind w:right="-192" w:rightChars="-80" w:firstLine="0" w:firstLineChars="0"/>
        <w:jc w:val="center"/>
        <w:rPr>
          <w:rFonts w:ascii="Arial Narrow" w:hAnsi="Arial Narrow"/>
          <w:b/>
          <w:bCs/>
          <w:color w:val="000000"/>
          <w:sz w:val="44"/>
          <w:szCs w:val="44"/>
        </w:rPr>
      </w:pPr>
      <w:r>
        <w:rPr>
          <w:rFonts w:ascii="Arial Narrow" w:hAnsi="Arial Narrow"/>
          <w:b/>
          <w:bCs/>
          <w:sz w:val="44"/>
          <w:szCs w:val="44"/>
        </w:rPr>
        <w:t>绩效评价报告</w:t>
      </w:r>
    </w:p>
    <w:p>
      <w:pPr>
        <w:ind w:firstLine="480"/>
        <w:rPr>
          <w:rFonts w:ascii="Arial Narrow" w:hAnsi="Arial Narrow"/>
        </w:rPr>
      </w:pPr>
    </w:p>
    <w:p>
      <w:pPr>
        <w:ind w:firstLine="480"/>
        <w:rPr>
          <w:rFonts w:ascii="Arial Narrow" w:hAnsi="Arial Narrow"/>
        </w:rPr>
      </w:pPr>
    </w:p>
    <w:p>
      <w:pPr>
        <w:ind w:firstLine="480"/>
        <w:rPr>
          <w:rFonts w:ascii="Arial Narrow" w:hAnsi="Arial Narrow"/>
        </w:rPr>
      </w:pPr>
    </w:p>
    <w:p>
      <w:pPr>
        <w:widowControl/>
        <w:spacing w:line="800" w:lineRule="exact"/>
        <w:ind w:firstLine="0" w:firstLineChars="0"/>
        <w:jc w:val="left"/>
        <w:rPr>
          <w:rFonts w:ascii="Arial Narrow" w:hAnsi="Arial Narrow"/>
          <w:b/>
          <w:bCs/>
          <w:kern w:val="32"/>
          <w:sz w:val="32"/>
          <w:lang w:bidi="he-IL"/>
        </w:rPr>
      </w:pPr>
    </w:p>
    <w:p>
      <w:pPr>
        <w:widowControl/>
        <w:spacing w:line="480" w:lineRule="auto"/>
        <w:ind w:right="-192" w:rightChars="-80" w:firstLine="643"/>
        <w:rPr>
          <w:rFonts w:ascii="Arial Narrow" w:hAnsi="Arial Narrow"/>
          <w:b/>
          <w:bCs/>
          <w:kern w:val="32"/>
          <w:sz w:val="32"/>
          <w:szCs w:val="32"/>
          <w:lang w:bidi="he-IL"/>
        </w:rPr>
      </w:pPr>
      <w:r>
        <w:rPr>
          <w:rFonts w:ascii="Arial Narrow" w:hAnsi="Arial Narrow"/>
          <w:b/>
          <w:bCs/>
          <w:kern w:val="32"/>
          <w:sz w:val="32"/>
          <w:lang w:bidi="he-IL"/>
        </w:rPr>
        <w:t>项目名称：</w:t>
      </w:r>
      <w:r>
        <w:rPr>
          <w:rFonts w:ascii="Arial Narrow" w:hAnsi="Arial Narrow"/>
          <w:b/>
          <w:bCs/>
          <w:sz w:val="32"/>
          <w:szCs w:val="32"/>
        </w:rPr>
        <w:t>区老年大学等工作经费项目</w:t>
      </w:r>
    </w:p>
    <w:p>
      <w:pPr>
        <w:widowControl/>
        <w:spacing w:line="480" w:lineRule="auto"/>
        <w:ind w:firstLine="643"/>
        <w:rPr>
          <w:rFonts w:ascii="Arial Narrow" w:hAnsi="Arial Narrow"/>
          <w:b/>
          <w:bCs/>
          <w:sz w:val="32"/>
          <w:szCs w:val="32"/>
        </w:rPr>
      </w:pPr>
      <w:r>
        <w:rPr>
          <w:rFonts w:ascii="Arial Narrow" w:hAnsi="Arial Narrow"/>
          <w:b/>
          <w:bCs/>
          <w:kern w:val="32"/>
          <w:sz w:val="32"/>
          <w:lang w:bidi="he-IL"/>
        </w:rPr>
        <w:t>项目单位：武汉市武昌区运行保障中心</w:t>
      </w:r>
    </w:p>
    <w:p>
      <w:pPr>
        <w:widowControl/>
        <w:spacing w:line="480" w:lineRule="auto"/>
        <w:ind w:firstLine="643"/>
        <w:rPr>
          <w:rFonts w:ascii="Arial Narrow" w:hAnsi="Arial Narrow"/>
          <w:b/>
          <w:bCs/>
          <w:color w:val="FF0000"/>
          <w:sz w:val="32"/>
          <w:szCs w:val="32"/>
        </w:rPr>
      </w:pPr>
      <w:r>
        <w:rPr>
          <w:rFonts w:ascii="Arial Narrow" w:hAnsi="Arial Narrow"/>
          <w:b/>
          <w:bCs/>
          <w:kern w:val="32"/>
          <w:sz w:val="32"/>
          <w:lang w:bidi="he-IL"/>
        </w:rPr>
        <w:t>主管部门：武汉市武昌区运行保障中心</w:t>
      </w:r>
    </w:p>
    <w:p>
      <w:pPr>
        <w:widowControl/>
        <w:spacing w:line="480" w:lineRule="auto"/>
        <w:ind w:firstLine="643"/>
        <w:rPr>
          <w:rFonts w:ascii="Arial Narrow" w:hAnsi="Arial Narrow"/>
          <w:b/>
          <w:bCs/>
          <w:kern w:val="32"/>
          <w:sz w:val="32"/>
          <w:lang w:bidi="he-IL"/>
        </w:rPr>
      </w:pPr>
      <w:r>
        <w:rPr>
          <w:rFonts w:ascii="Arial Narrow" w:hAnsi="Arial Narrow"/>
          <w:b/>
          <w:bCs/>
          <w:kern w:val="32"/>
          <w:sz w:val="32"/>
          <w:lang w:bidi="he-IL"/>
        </w:rPr>
        <w:t>评价机构：致同会计师事务所（特殊普通合伙）</w:t>
      </w:r>
    </w:p>
    <w:p>
      <w:pPr>
        <w:widowControl/>
        <w:spacing w:line="480" w:lineRule="auto"/>
        <w:ind w:firstLine="2249" w:firstLineChars="700"/>
        <w:jc w:val="left"/>
        <w:rPr>
          <w:rFonts w:ascii="Arial Narrow" w:hAnsi="Arial Narrow"/>
          <w:b/>
          <w:bCs/>
          <w:sz w:val="32"/>
          <w:szCs w:val="32"/>
        </w:rPr>
      </w:pPr>
      <w:r>
        <w:rPr>
          <w:rFonts w:ascii="Arial Narrow" w:hAnsi="Arial Narrow"/>
          <w:b/>
          <w:bCs/>
          <w:kern w:val="32"/>
          <w:sz w:val="32"/>
          <w:lang w:bidi="he-IL"/>
        </w:rPr>
        <w:t>武汉分所</w:t>
      </w:r>
    </w:p>
    <w:p>
      <w:pPr>
        <w:spacing w:line="800" w:lineRule="exact"/>
        <w:ind w:firstLine="0" w:firstLineChars="0"/>
        <w:rPr>
          <w:rFonts w:ascii="Arial Narrow" w:hAnsi="Arial Narrow"/>
          <w:b/>
          <w:bCs/>
          <w:sz w:val="32"/>
          <w:szCs w:val="32"/>
        </w:rPr>
      </w:pPr>
    </w:p>
    <w:p>
      <w:pPr>
        <w:spacing w:line="800" w:lineRule="exact"/>
        <w:ind w:firstLine="0" w:firstLineChars="0"/>
        <w:rPr>
          <w:rFonts w:ascii="Arial Narrow" w:hAnsi="Arial Narrow"/>
          <w:b/>
          <w:bCs/>
          <w:sz w:val="32"/>
          <w:szCs w:val="32"/>
        </w:rPr>
      </w:pPr>
    </w:p>
    <w:p>
      <w:pPr>
        <w:spacing w:line="800" w:lineRule="exact"/>
        <w:ind w:firstLine="0" w:firstLineChars="0"/>
        <w:jc w:val="center"/>
        <w:rPr>
          <w:rFonts w:ascii="Arial Narrow" w:hAnsi="Arial Narrow"/>
          <w:b/>
          <w:bCs/>
          <w:sz w:val="32"/>
          <w:szCs w:val="32"/>
        </w:rPr>
      </w:pPr>
      <w:r>
        <w:rPr>
          <w:rFonts w:ascii="Arial Narrow" w:hAnsi="Arial Narrow"/>
          <w:b/>
          <w:bCs/>
          <w:sz w:val="32"/>
          <w:szCs w:val="32"/>
        </w:rPr>
        <w:t>二</w:t>
      </w:r>
      <w:r>
        <w:rPr>
          <w:rFonts w:ascii="Arial Narrow" w:hAnsi="Arial Narrow" w:eastAsia="宋体" w:cs="宋体"/>
          <w:b/>
          <w:bCs/>
          <w:sz w:val="32"/>
          <w:szCs w:val="32"/>
        </w:rPr>
        <w:t>〇</w:t>
      </w:r>
      <w:r>
        <w:rPr>
          <w:rFonts w:ascii="Arial Narrow" w:hAnsi="Arial Narrow"/>
          <w:b/>
          <w:bCs/>
          <w:sz w:val="32"/>
          <w:szCs w:val="32"/>
        </w:rPr>
        <w:t>一八年五月</w:t>
      </w:r>
    </w:p>
    <w:p>
      <w:pPr>
        <w:spacing w:line="800" w:lineRule="exact"/>
        <w:ind w:firstLine="0" w:firstLineChars="0"/>
        <w:jc w:val="center"/>
        <w:rPr>
          <w:rFonts w:ascii="Arial Narrow" w:hAnsi="Arial Narrow" w:cs="Arial Narrow"/>
          <w:b/>
          <w:sz w:val="44"/>
          <w:szCs w:val="44"/>
        </w:rPr>
      </w:pPr>
      <w:r>
        <w:rPr>
          <w:rFonts w:ascii="Arial Narrow" w:hAnsi="Arial Narrow" w:cs="Arial Narrow"/>
          <w:b/>
          <w:sz w:val="44"/>
          <w:szCs w:val="44"/>
        </w:rPr>
        <w:t>摘要</w:t>
      </w:r>
    </w:p>
    <w:p>
      <w:pPr>
        <w:ind w:firstLine="0" w:firstLineChars="0"/>
        <w:jc w:val="center"/>
        <w:rPr>
          <w:rFonts w:ascii="Arial Narrow" w:hAnsi="Arial Narrow" w:cs="Arial Narrow"/>
          <w:b/>
        </w:rPr>
      </w:pPr>
    </w:p>
    <w:p>
      <w:pPr>
        <w:pStyle w:val="38"/>
        <w:numPr>
          <w:ilvl w:val="0"/>
          <w:numId w:val="1"/>
        </w:numPr>
        <w:ind w:firstLineChars="0"/>
        <w:jc w:val="left"/>
        <w:rPr>
          <w:rFonts w:ascii="Arial Narrow" w:hAnsi="Arial Narrow" w:cs="Arial Narrow"/>
          <w:b/>
        </w:rPr>
      </w:pPr>
      <w:r>
        <w:rPr>
          <w:rFonts w:ascii="Arial Narrow" w:hAnsi="Arial Narrow" w:cs="Arial Narrow"/>
          <w:b/>
        </w:rPr>
        <w:t>项目名称：</w:t>
      </w:r>
      <w:r>
        <w:rPr>
          <w:rFonts w:ascii="Arial Narrow" w:hAnsi="Arial Narrow" w:cs="Arial Narrow"/>
          <w:b/>
          <w:bCs/>
        </w:rPr>
        <w:t>区老年大学等工作经费项目</w:t>
      </w:r>
    </w:p>
    <w:p>
      <w:pPr>
        <w:pStyle w:val="38"/>
        <w:numPr>
          <w:ilvl w:val="0"/>
          <w:numId w:val="1"/>
        </w:numPr>
        <w:ind w:firstLineChars="0"/>
        <w:jc w:val="left"/>
        <w:rPr>
          <w:rFonts w:ascii="Arial Narrow" w:hAnsi="Arial Narrow" w:cs="Arial Narrow"/>
          <w:b/>
        </w:rPr>
      </w:pPr>
      <w:r>
        <w:rPr>
          <w:rFonts w:ascii="Arial Narrow" w:hAnsi="Arial Narrow" w:cs="Arial Narrow"/>
          <w:b/>
        </w:rPr>
        <w:t>项目金额：3</w:t>
      </w:r>
      <w:r>
        <w:rPr>
          <w:rFonts w:hint="eastAsia" w:ascii="Arial Narrow" w:hAnsi="Arial Narrow" w:cs="Arial Narrow"/>
          <w:b/>
        </w:rPr>
        <w:t>41</w:t>
      </w:r>
      <w:r>
        <w:rPr>
          <w:rFonts w:ascii="Arial Narrow" w:hAnsi="Arial Narrow" w:cs="Arial Narrow"/>
          <w:b/>
        </w:rPr>
        <w:t>.00万元</w:t>
      </w:r>
    </w:p>
    <w:p>
      <w:pPr>
        <w:numPr>
          <w:ilvl w:val="0"/>
          <w:numId w:val="2"/>
        </w:numPr>
        <w:ind w:firstLine="0" w:firstLineChars="0"/>
        <w:jc w:val="left"/>
        <w:rPr>
          <w:rFonts w:ascii="Arial Narrow" w:hAnsi="Arial Narrow"/>
        </w:rPr>
      </w:pPr>
      <w:r>
        <w:rPr>
          <w:rFonts w:ascii="Arial Narrow" w:hAnsi="Arial Narrow" w:cs="Arial Narrow"/>
          <w:b/>
        </w:rPr>
        <w:t>绩效评价结果</w:t>
      </w:r>
    </w:p>
    <w:tbl>
      <w:tblPr>
        <w:tblStyle w:val="25"/>
        <w:tblW w:w="89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164"/>
        <w:gridCol w:w="228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062"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评价准则</w:t>
            </w:r>
          </w:p>
        </w:tc>
        <w:tc>
          <w:tcPr>
            <w:tcW w:w="2164"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准则分值</w:t>
            </w:r>
          </w:p>
        </w:tc>
        <w:tc>
          <w:tcPr>
            <w:tcW w:w="2280" w:type="dxa"/>
            <w:tcBorders>
              <w:bottom w:val="single" w:color="008000" w:sz="6" w:space="0"/>
            </w:tcBorders>
            <w:vAlign w:val="center"/>
          </w:tcPr>
          <w:p>
            <w:pPr>
              <w:ind w:left="183" w:firstLine="480"/>
              <w:rPr>
                <w:rFonts w:ascii="Arial Narrow" w:hAnsi="Arial Narrow" w:cs="Arial Narrow"/>
              </w:rPr>
            </w:pPr>
            <w:r>
              <w:rPr>
                <w:rFonts w:ascii="Arial Narrow" w:hAnsi="Arial Narrow" w:cs="Arial Narrow"/>
              </w:rPr>
              <w:t>评价得分</w:t>
            </w:r>
          </w:p>
        </w:tc>
        <w:tc>
          <w:tcPr>
            <w:tcW w:w="2394" w:type="dxa"/>
            <w:tcBorders>
              <w:bottom w:val="single" w:color="008000" w:sz="6" w:space="0"/>
            </w:tcBorders>
            <w:vAlign w:val="center"/>
          </w:tcPr>
          <w:p>
            <w:pPr>
              <w:ind w:firstLine="480"/>
              <w:rPr>
                <w:rFonts w:ascii="Arial Narrow" w:hAnsi="Arial Narrow" w:cs="Arial Narrow"/>
              </w:rPr>
            </w:pPr>
            <w:r>
              <w:rPr>
                <w:rFonts w:ascii="Arial Narrow" w:hAnsi="Arial Narrow" w:cs="Arial Narrow"/>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62" w:type="dxa"/>
            <w:vAlign w:val="center"/>
          </w:tcPr>
          <w:p>
            <w:pPr>
              <w:ind w:firstLine="480"/>
              <w:rPr>
                <w:rFonts w:ascii="Arial Narrow" w:hAnsi="Arial Narrow" w:cs="Arial Narrow"/>
              </w:rPr>
            </w:pPr>
            <w:r>
              <w:rPr>
                <w:rFonts w:ascii="Arial Narrow" w:hAnsi="Arial Narrow" w:cs="Arial Narrow"/>
              </w:rPr>
              <w:t>项目投入</w:t>
            </w:r>
          </w:p>
        </w:tc>
        <w:tc>
          <w:tcPr>
            <w:tcW w:w="2164" w:type="dxa"/>
            <w:vAlign w:val="center"/>
          </w:tcPr>
          <w:p>
            <w:pPr>
              <w:ind w:firstLine="720" w:firstLineChars="300"/>
              <w:jc w:val="left"/>
              <w:rPr>
                <w:rFonts w:ascii="Arial Narrow" w:hAnsi="Arial Narrow" w:cs="Arial Narrow"/>
              </w:rPr>
            </w:pPr>
            <w:r>
              <w:rPr>
                <w:rFonts w:ascii="Arial Narrow" w:hAnsi="Arial Narrow" w:cs="Arial Narrow"/>
              </w:rPr>
              <w:t>16分</w:t>
            </w:r>
          </w:p>
        </w:tc>
        <w:tc>
          <w:tcPr>
            <w:tcW w:w="2280" w:type="dxa"/>
            <w:vAlign w:val="center"/>
          </w:tcPr>
          <w:p>
            <w:pPr>
              <w:ind w:left="182" w:leftChars="76" w:firstLine="840" w:firstLineChars="350"/>
              <w:rPr>
                <w:rFonts w:ascii="Arial Narrow" w:hAnsi="Arial Narrow" w:cs="Arial Narrow"/>
              </w:rPr>
            </w:pPr>
            <w:r>
              <w:rPr>
                <w:rFonts w:ascii="Arial Narrow" w:hAnsi="Arial Narrow" w:cs="Arial Narrow"/>
              </w:rPr>
              <w:t>1</w:t>
            </w:r>
            <w:r>
              <w:rPr>
                <w:rFonts w:hint="eastAsia" w:ascii="Arial Narrow" w:hAnsi="Arial Narrow" w:cs="Arial Narrow"/>
              </w:rPr>
              <w:t>4</w:t>
            </w:r>
            <w:r>
              <w:rPr>
                <w:rFonts w:ascii="Arial Narrow" w:hAnsi="Arial Narrow" w:cs="Arial Narrow"/>
              </w:rPr>
              <w:t>分</w:t>
            </w:r>
          </w:p>
        </w:tc>
        <w:tc>
          <w:tcPr>
            <w:tcW w:w="2394" w:type="dxa"/>
            <w:vAlign w:val="center"/>
          </w:tcPr>
          <w:p>
            <w:pPr>
              <w:ind w:firstLine="796" w:firstLineChars="332"/>
              <w:rPr>
                <w:rFonts w:ascii="Arial Narrow" w:hAnsi="Arial Narrow" w:cs="Arial Narrow"/>
              </w:rPr>
            </w:pPr>
            <w:r>
              <w:rPr>
                <w:rFonts w:ascii="Arial Narrow" w:hAnsi="Arial Narrow" w:cs="Arial Narrow"/>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062" w:type="dxa"/>
            <w:vAlign w:val="center"/>
          </w:tcPr>
          <w:p>
            <w:pPr>
              <w:ind w:firstLine="480"/>
              <w:rPr>
                <w:rFonts w:ascii="Arial Narrow" w:hAnsi="Arial Narrow" w:cs="Arial Narrow"/>
              </w:rPr>
            </w:pPr>
            <w:r>
              <w:rPr>
                <w:rFonts w:ascii="Arial Narrow" w:hAnsi="Arial Narrow" w:cs="Arial Narrow"/>
              </w:rPr>
              <w:t>项目过程</w:t>
            </w:r>
          </w:p>
        </w:tc>
        <w:tc>
          <w:tcPr>
            <w:tcW w:w="2164" w:type="dxa"/>
            <w:vAlign w:val="center"/>
          </w:tcPr>
          <w:p>
            <w:pPr>
              <w:ind w:firstLine="720" w:firstLineChars="300"/>
              <w:jc w:val="left"/>
              <w:rPr>
                <w:rFonts w:ascii="Arial Narrow" w:hAnsi="Arial Narrow" w:cs="Arial Narrow"/>
              </w:rPr>
            </w:pPr>
            <w:r>
              <w:rPr>
                <w:rFonts w:ascii="Arial Narrow" w:hAnsi="Arial Narrow" w:cs="Arial Narrow"/>
              </w:rPr>
              <w:t>24分</w:t>
            </w:r>
          </w:p>
        </w:tc>
        <w:tc>
          <w:tcPr>
            <w:tcW w:w="2280" w:type="dxa"/>
            <w:vAlign w:val="center"/>
          </w:tcPr>
          <w:p>
            <w:pPr>
              <w:ind w:left="182" w:leftChars="76" w:firstLine="840" w:firstLineChars="350"/>
              <w:rPr>
                <w:rFonts w:ascii="Arial Narrow" w:hAnsi="Arial Narrow" w:cs="Arial Narrow"/>
              </w:rPr>
            </w:pPr>
            <w:r>
              <w:rPr>
                <w:rFonts w:hint="eastAsia" w:ascii="Arial Narrow" w:hAnsi="Arial Narrow" w:cs="Arial Narrow"/>
              </w:rPr>
              <w:t>23</w:t>
            </w:r>
            <w:r>
              <w:rPr>
                <w:rFonts w:ascii="Arial Narrow" w:hAnsi="Arial Narrow" w:cs="Arial Narrow"/>
              </w:rPr>
              <w:t>分</w:t>
            </w:r>
          </w:p>
        </w:tc>
        <w:tc>
          <w:tcPr>
            <w:tcW w:w="2394" w:type="dxa"/>
            <w:vAlign w:val="center"/>
          </w:tcPr>
          <w:p>
            <w:pPr>
              <w:ind w:firstLine="796" w:firstLineChars="332"/>
              <w:rPr>
                <w:rFonts w:ascii="Arial Narrow" w:hAnsi="Arial Narrow" w:cs="Arial Narrow"/>
              </w:rPr>
            </w:pPr>
            <w:r>
              <w:rPr>
                <w:rFonts w:ascii="Arial Narrow" w:hAnsi="Arial Narrow" w:cs="Arial Narrow"/>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2062" w:type="dxa"/>
            <w:vAlign w:val="center"/>
          </w:tcPr>
          <w:p>
            <w:pPr>
              <w:ind w:firstLine="480"/>
              <w:rPr>
                <w:rFonts w:ascii="Arial Narrow" w:hAnsi="Arial Narrow" w:cs="Arial Narrow"/>
              </w:rPr>
            </w:pPr>
            <w:r>
              <w:rPr>
                <w:rFonts w:ascii="Arial Narrow" w:hAnsi="Arial Narrow" w:cs="Arial Narrow"/>
              </w:rPr>
              <w:t>项目产出</w:t>
            </w:r>
          </w:p>
        </w:tc>
        <w:tc>
          <w:tcPr>
            <w:tcW w:w="2164" w:type="dxa"/>
            <w:vAlign w:val="center"/>
          </w:tcPr>
          <w:p>
            <w:pPr>
              <w:ind w:firstLine="720" w:firstLineChars="300"/>
              <w:jc w:val="left"/>
              <w:textAlignment w:val="top"/>
              <w:rPr>
                <w:rFonts w:ascii="Arial Narrow" w:hAnsi="Arial Narrow" w:cs="Arial Narrow"/>
              </w:rPr>
            </w:pPr>
            <w:r>
              <w:rPr>
                <w:rFonts w:ascii="Arial Narrow" w:hAnsi="Arial Narrow" w:cs="Arial Narrow"/>
              </w:rPr>
              <w:t>30分</w:t>
            </w:r>
          </w:p>
        </w:tc>
        <w:tc>
          <w:tcPr>
            <w:tcW w:w="2280" w:type="dxa"/>
            <w:vAlign w:val="center"/>
          </w:tcPr>
          <w:p>
            <w:pPr>
              <w:ind w:left="182" w:leftChars="76" w:firstLine="840" w:firstLineChars="350"/>
              <w:textAlignment w:val="top"/>
              <w:rPr>
                <w:rFonts w:ascii="Arial Narrow" w:hAnsi="Arial Narrow" w:cs="Arial Narrow"/>
              </w:rPr>
            </w:pPr>
            <w:r>
              <w:rPr>
                <w:rFonts w:ascii="Arial Narrow" w:hAnsi="Arial Narrow" w:cs="Arial Narrow"/>
              </w:rPr>
              <w:t>2</w:t>
            </w:r>
            <w:r>
              <w:rPr>
                <w:rFonts w:hint="eastAsia" w:ascii="Arial Narrow" w:hAnsi="Arial Narrow" w:cs="Arial Narrow"/>
              </w:rPr>
              <w:t>6</w:t>
            </w:r>
            <w:r>
              <w:rPr>
                <w:rFonts w:ascii="Arial Narrow" w:hAnsi="Arial Narrow" w:cs="Arial Narrow"/>
              </w:rPr>
              <w:t>分</w:t>
            </w:r>
          </w:p>
        </w:tc>
        <w:tc>
          <w:tcPr>
            <w:tcW w:w="2394" w:type="dxa"/>
            <w:vAlign w:val="center"/>
          </w:tcPr>
          <w:p>
            <w:pPr>
              <w:ind w:firstLine="796" w:firstLineChars="332"/>
              <w:textAlignment w:val="top"/>
              <w:rPr>
                <w:rFonts w:ascii="Arial Narrow" w:hAnsi="Arial Narrow" w:cs="Arial Narrow"/>
              </w:rPr>
            </w:pPr>
            <w:r>
              <w:rPr>
                <w:rFonts w:ascii="Arial Narrow" w:hAnsi="Arial Narrow" w:cs="Arial Narrow"/>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062" w:type="dxa"/>
            <w:tcBorders>
              <w:top w:val="single" w:color="008000" w:sz="6" w:space="0"/>
              <w:bottom w:val="single" w:color="008000" w:sz="6" w:space="0"/>
            </w:tcBorders>
            <w:vAlign w:val="center"/>
          </w:tcPr>
          <w:p>
            <w:pPr>
              <w:ind w:firstLine="480"/>
              <w:rPr>
                <w:rFonts w:ascii="Arial Narrow" w:hAnsi="Arial Narrow" w:cs="Arial Narrow"/>
              </w:rPr>
            </w:pPr>
            <w:r>
              <w:rPr>
                <w:rFonts w:ascii="Arial Narrow" w:hAnsi="Arial Narrow" w:cs="Arial Narrow"/>
              </w:rPr>
              <w:t>项目效果</w:t>
            </w:r>
          </w:p>
        </w:tc>
        <w:tc>
          <w:tcPr>
            <w:tcW w:w="2164" w:type="dxa"/>
            <w:tcBorders>
              <w:top w:val="single" w:color="008000" w:sz="6" w:space="0"/>
              <w:bottom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30分</w:t>
            </w:r>
          </w:p>
        </w:tc>
        <w:tc>
          <w:tcPr>
            <w:tcW w:w="2280" w:type="dxa"/>
            <w:tcBorders>
              <w:top w:val="single" w:color="008000" w:sz="6" w:space="0"/>
              <w:bottom w:val="single" w:color="008000" w:sz="6" w:space="0"/>
            </w:tcBorders>
            <w:vAlign w:val="center"/>
          </w:tcPr>
          <w:p>
            <w:pPr>
              <w:ind w:left="182" w:leftChars="76" w:firstLine="840" w:firstLineChars="350"/>
              <w:rPr>
                <w:rFonts w:ascii="Arial Narrow" w:hAnsi="Arial Narrow" w:cs="Arial Narrow"/>
              </w:rPr>
            </w:pPr>
            <w:r>
              <w:rPr>
                <w:rFonts w:ascii="Arial Narrow" w:hAnsi="Arial Narrow" w:cs="Arial Narrow"/>
              </w:rPr>
              <w:t>2</w:t>
            </w:r>
            <w:r>
              <w:rPr>
                <w:rFonts w:hint="eastAsia" w:ascii="Arial Narrow" w:hAnsi="Arial Narrow" w:cs="Arial Narrow"/>
              </w:rPr>
              <w:t>9</w:t>
            </w:r>
            <w:r>
              <w:rPr>
                <w:rFonts w:ascii="Arial Narrow" w:hAnsi="Arial Narrow" w:cs="Arial Narrow"/>
              </w:rPr>
              <w:t>分</w:t>
            </w:r>
          </w:p>
        </w:tc>
        <w:tc>
          <w:tcPr>
            <w:tcW w:w="2394" w:type="dxa"/>
            <w:tcBorders>
              <w:top w:val="single" w:color="008000" w:sz="6" w:space="0"/>
              <w:bottom w:val="single" w:color="008000" w:sz="6" w:space="0"/>
            </w:tcBorders>
            <w:vAlign w:val="center"/>
          </w:tcPr>
          <w:p>
            <w:pPr>
              <w:ind w:firstLine="796" w:firstLineChars="332"/>
              <w:rPr>
                <w:rFonts w:ascii="Arial Narrow" w:hAnsi="Arial Narrow" w:cs="Arial Narrow"/>
              </w:rPr>
            </w:pPr>
            <w:r>
              <w:rPr>
                <w:rFonts w:ascii="Arial Narrow" w:hAnsi="Arial Narrow" w:cs="Arial Narrow"/>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062" w:type="dxa"/>
            <w:tcBorders>
              <w:top w:val="single" w:color="008000" w:sz="6" w:space="0"/>
            </w:tcBorders>
            <w:vAlign w:val="center"/>
          </w:tcPr>
          <w:p>
            <w:pPr>
              <w:ind w:firstLine="480"/>
              <w:rPr>
                <w:rFonts w:ascii="Arial Narrow" w:hAnsi="Arial Narrow" w:cs="Arial Narrow"/>
              </w:rPr>
            </w:pPr>
            <w:r>
              <w:rPr>
                <w:rFonts w:ascii="Arial Narrow" w:hAnsi="Arial Narrow" w:cs="Arial Narrow"/>
              </w:rPr>
              <w:t>综合绩效</w:t>
            </w:r>
          </w:p>
        </w:tc>
        <w:tc>
          <w:tcPr>
            <w:tcW w:w="2164" w:type="dxa"/>
            <w:tcBorders>
              <w:top w:val="single" w:color="008000" w:sz="6" w:space="0"/>
            </w:tcBorders>
            <w:vAlign w:val="center"/>
          </w:tcPr>
          <w:p>
            <w:pPr>
              <w:ind w:firstLine="720" w:firstLineChars="300"/>
              <w:jc w:val="left"/>
              <w:rPr>
                <w:rFonts w:ascii="Arial Narrow" w:hAnsi="Arial Narrow" w:cs="Arial Narrow"/>
              </w:rPr>
            </w:pPr>
            <w:r>
              <w:rPr>
                <w:rFonts w:ascii="Arial Narrow" w:hAnsi="Arial Narrow" w:cs="Arial Narrow"/>
              </w:rPr>
              <w:t>100分</w:t>
            </w:r>
          </w:p>
        </w:tc>
        <w:tc>
          <w:tcPr>
            <w:tcW w:w="2280" w:type="dxa"/>
            <w:tcBorders>
              <w:top w:val="single" w:color="008000" w:sz="6" w:space="0"/>
            </w:tcBorders>
            <w:vAlign w:val="center"/>
          </w:tcPr>
          <w:p>
            <w:pPr>
              <w:ind w:left="182" w:leftChars="76" w:firstLine="840" w:firstLineChars="350"/>
              <w:rPr>
                <w:rFonts w:ascii="Arial Narrow" w:hAnsi="Arial Narrow" w:cs="Arial Narrow"/>
              </w:rPr>
            </w:pPr>
            <w:r>
              <w:rPr>
                <w:rFonts w:hint="eastAsia" w:ascii="Arial Narrow" w:hAnsi="Arial Narrow" w:cs="Arial Narrow"/>
              </w:rPr>
              <w:t>92</w:t>
            </w:r>
            <w:r>
              <w:rPr>
                <w:rFonts w:ascii="Arial Narrow" w:hAnsi="Arial Narrow" w:cs="Arial Narrow"/>
              </w:rPr>
              <w:t>分</w:t>
            </w:r>
          </w:p>
        </w:tc>
        <w:tc>
          <w:tcPr>
            <w:tcW w:w="2394" w:type="dxa"/>
            <w:tcBorders>
              <w:top w:val="single" w:color="008000" w:sz="6" w:space="0"/>
            </w:tcBorders>
            <w:vAlign w:val="center"/>
          </w:tcPr>
          <w:p>
            <w:pPr>
              <w:ind w:firstLine="796" w:firstLineChars="332"/>
              <w:rPr>
                <w:rFonts w:ascii="Arial Narrow" w:hAnsi="Arial Narrow" w:cs="Arial Narrow"/>
              </w:rPr>
            </w:pPr>
            <w:r>
              <w:rPr>
                <w:rFonts w:ascii="Arial Narrow" w:hAnsi="Arial Narrow" w:cs="Arial Narrow"/>
              </w:rPr>
              <w:t>优</w:t>
            </w:r>
          </w:p>
        </w:tc>
      </w:tr>
    </w:tbl>
    <w:p>
      <w:pPr>
        <w:numPr>
          <w:ilvl w:val="0"/>
          <w:numId w:val="3"/>
        </w:numPr>
        <w:ind w:firstLine="0" w:firstLineChars="0"/>
        <w:rPr>
          <w:rFonts w:ascii="Arial Narrow" w:hAnsi="Arial Narrow" w:cs="Arial Narrow"/>
          <w:b/>
        </w:rPr>
      </w:pPr>
      <w:r>
        <w:rPr>
          <w:rFonts w:ascii="Arial Narrow" w:hAnsi="Arial Narrow" w:cs="Arial Narrow"/>
          <w:b/>
        </w:rPr>
        <w:t>评价工作组组成名单</w:t>
      </w:r>
    </w:p>
    <w:p>
      <w:pPr>
        <w:snapToGrid w:val="0"/>
        <w:ind w:firstLine="0" w:firstLineChars="0"/>
        <w:jc w:val="left"/>
        <w:rPr>
          <w:rFonts w:ascii="Arial Narrow" w:hAnsi="Arial Narrow" w:cs="Arial Narrow"/>
        </w:rPr>
      </w:pPr>
      <w:r>
        <w:rPr>
          <w:rFonts w:ascii="Arial Narrow" w:hAnsi="Arial Narrow" w:cs="Arial Narrow"/>
        </w:rPr>
        <w:t>项目负责组长：何思琪</w:t>
      </w:r>
    </w:p>
    <w:p>
      <w:pPr>
        <w:pStyle w:val="40"/>
        <w:snapToGrid w:val="0"/>
        <w:ind w:firstLine="0" w:firstLineChars="0"/>
        <w:rPr>
          <w:rFonts w:ascii="Arial Narrow" w:hAnsi="Arial Narrow" w:cs="Arial Narrow"/>
        </w:rPr>
      </w:pPr>
      <w:r>
        <w:rPr>
          <w:rFonts w:ascii="Arial Narrow" w:hAnsi="Arial Narrow" w:cs="Arial Narrow"/>
        </w:rPr>
        <w:t>现场负责人：王雅</w:t>
      </w:r>
    </w:p>
    <w:p>
      <w:pPr>
        <w:snapToGrid w:val="0"/>
        <w:ind w:firstLine="0" w:firstLineChars="0"/>
        <w:rPr>
          <w:rFonts w:ascii="Arial Narrow" w:hAnsi="Arial Narrow" w:cs="Arial Narrow"/>
        </w:rPr>
      </w:pPr>
      <w:r>
        <w:rPr>
          <w:rFonts w:ascii="Arial Narrow" w:hAnsi="Arial Narrow" w:cs="Arial Narrow"/>
        </w:rPr>
        <w:t>评价小组成员：</w:t>
      </w:r>
      <w:r>
        <w:rPr>
          <w:rFonts w:hint="eastAsia" w:ascii="Arial Narrow" w:hAnsi="Arial Narrow" w:cs="Arial Narrow"/>
        </w:rPr>
        <w:t>胡家玉、谌浩兰</w:t>
      </w:r>
    </w:p>
    <w:p>
      <w:pPr>
        <w:ind w:firstLine="0" w:firstLineChars="0"/>
        <w:rPr>
          <w:rFonts w:ascii="Arial Narrow" w:hAnsi="Arial Narrow" w:cs="Arial Narrow"/>
          <w:b/>
        </w:rPr>
      </w:pPr>
      <w:r>
        <w:rPr>
          <w:rFonts w:ascii="Arial Narrow" w:hAnsi="Arial Narrow" w:cs="Arial Narrow"/>
          <w:b/>
        </w:rPr>
        <w:t>五、主要评价方法概述</w:t>
      </w:r>
    </w:p>
    <w:p>
      <w:pPr>
        <w:snapToGrid w:val="0"/>
        <w:ind w:firstLine="480"/>
        <w:rPr>
          <w:rFonts w:ascii="Arial Narrow" w:hAnsi="Arial Narrow" w:cs="Arial Narrow"/>
        </w:rPr>
      </w:pPr>
      <w:r>
        <w:rPr>
          <w:rFonts w:ascii="Arial Narrow" w:hAnsi="Arial Narrow" w:cs="Arial Narrow"/>
        </w:rPr>
        <w:t>“区老年大学等工作经费项目”绩效评价根据项目特点和评价工作的要求，选择比较法、公众评判法、统计计算法、实地考察等方法进行绩效评价分析，与此同时，我们收集了大量项目实施单位的各种统计资料进行分析研究。</w:t>
      </w:r>
    </w:p>
    <w:p>
      <w:pPr>
        <w:snapToGrid w:val="0"/>
        <w:ind w:firstLine="480"/>
        <w:rPr>
          <w:rFonts w:ascii="Arial Narrow" w:hAnsi="Arial Narrow" w:cs="Arial Narrow"/>
        </w:rPr>
      </w:pPr>
      <w:r>
        <w:rPr>
          <w:rFonts w:ascii="Arial Narrow" w:hAnsi="Arial Narrow" w:cs="Arial Narrow"/>
        </w:rPr>
        <w:t>（一）比较法。是指通过对“区老年大学等工作经费项目”绩效目标与实际实施效果的对比，综合分析其绩效目标实现程度。项目小组根据收集的“区老年大学等工作经费项目”资料和前往实地观察，了解项目实际实施情况，与项目申报时确定的绩效目标进行对比，评价绩效目标的实现程度。</w:t>
      </w:r>
    </w:p>
    <w:p>
      <w:pPr>
        <w:snapToGrid w:val="0"/>
        <w:ind w:firstLine="480"/>
        <w:rPr>
          <w:rFonts w:ascii="Arial Narrow" w:hAnsi="Arial Narrow" w:cs="Arial Narrow"/>
        </w:rPr>
      </w:pPr>
      <w:r>
        <w:rPr>
          <w:rFonts w:ascii="Arial Narrow" w:hAnsi="Arial Narrow" w:cs="Arial Narrow"/>
        </w:rPr>
        <w:t>（二）公众评判法。是指通过专家评估、公众问卷及抽样调查等对财政支出效果进行评判，评价绩效目标实现程度。项目小组对</w:t>
      </w:r>
      <w:r>
        <w:rPr>
          <w:rFonts w:hint="eastAsia" w:ascii="Arial Narrow" w:hAnsi="Arial Narrow" w:cs="Arial Narrow"/>
        </w:rPr>
        <w:t>武昌区老年大学</w:t>
      </w:r>
      <w:r>
        <w:rPr>
          <w:rFonts w:ascii="Arial Narrow" w:hAnsi="Arial Narrow" w:cs="Arial Narrow"/>
        </w:rPr>
        <w:t>进行访谈，同时对武汉市武昌区街道辖区内居民进行问卷调查，收集“区老年大学等工作经费项目”具体实施情况和效果的相关证据，为绩效分析结论提供有力支撑。</w:t>
      </w:r>
    </w:p>
    <w:p>
      <w:pPr>
        <w:snapToGrid w:val="0"/>
        <w:ind w:firstLine="480"/>
        <w:rPr>
          <w:rFonts w:ascii="Arial Narrow" w:hAnsi="Arial Narrow" w:cs="Arial Narrow"/>
        </w:rPr>
      </w:pPr>
      <w:r>
        <w:rPr>
          <w:rFonts w:ascii="Arial Narrow" w:hAnsi="Arial Narrow" w:cs="Arial Narrow"/>
        </w:rPr>
        <w:t>（三）统计计算法。是指采用各种专业（或专门）指标的计算方法，通过收集项目实施的相关数据，采用统计或核算等方式进行计算实际完成或达到的结果，评价绩效目标实现程度。项目小组根据相关文件依据，设计符合“区老年大学等工作经费项目”特点的评价指标体系，然后采集数据依据计算公式进行计算分析，并根据计算结果分析项目的绩效目标实现程度。</w:t>
      </w:r>
    </w:p>
    <w:p>
      <w:pPr>
        <w:ind w:firstLine="0" w:firstLineChars="0"/>
        <w:rPr>
          <w:rFonts w:ascii="Arial Narrow" w:hAnsi="Arial Narrow" w:cs="Arial Narrow"/>
          <w:b/>
        </w:rPr>
      </w:pPr>
      <w:r>
        <w:rPr>
          <w:rFonts w:ascii="Arial Narrow" w:hAnsi="Arial Narrow" w:cs="Arial Narrow"/>
          <w:b/>
        </w:rPr>
        <w:t>六、存在的主要问题概述</w:t>
      </w:r>
    </w:p>
    <w:p>
      <w:pPr>
        <w:snapToGrid w:val="0"/>
        <w:ind w:firstLine="480"/>
        <w:rPr>
          <w:rFonts w:ascii="Arial Narrow" w:hAnsi="Arial Narrow" w:cs="Arial Narrow"/>
          <w:bCs/>
        </w:rPr>
      </w:pPr>
      <w:r>
        <w:rPr>
          <w:rFonts w:hint="eastAsia" w:ascii="Arial Narrow" w:hAnsi="Arial Narrow" w:cs="Arial Narrow"/>
          <w:bCs/>
        </w:rPr>
        <w:t>（一）</w:t>
      </w:r>
      <w:r>
        <w:rPr>
          <w:rFonts w:ascii="Arial Narrow" w:hAnsi="Arial Narrow" w:cs="Arial Narrow"/>
          <w:bCs/>
        </w:rPr>
        <w:t>项目未设置长期目标、年度目标、绩效指标，绩效目标体系不健全。区老年大学等工作经费项目未根据具体工作情况，设置长期目标、年度目标、绩效指标，</w:t>
      </w:r>
      <w:r>
        <w:rPr>
          <w:rFonts w:hint="eastAsia" w:ascii="Arial Narrow" w:hAnsi="Arial Narrow" w:cs="Arial Narrow"/>
          <w:bCs/>
        </w:rPr>
        <w:t>不利于对工作完成目标情况进行对比分析</w:t>
      </w:r>
      <w:r>
        <w:rPr>
          <w:rFonts w:ascii="Arial Narrow" w:hAnsi="Arial Narrow" w:cs="Arial Narrow"/>
          <w:bCs/>
        </w:rPr>
        <w:t>，难以评价和考核项目的实施情况。</w:t>
      </w:r>
    </w:p>
    <w:p>
      <w:pPr>
        <w:snapToGrid w:val="0"/>
        <w:ind w:firstLine="480"/>
        <w:rPr>
          <w:rFonts w:ascii="Arial Narrow" w:hAnsi="Arial Narrow" w:cs="Arial Narrow"/>
          <w:bCs/>
        </w:rPr>
      </w:pPr>
      <w:r>
        <w:rPr>
          <w:rFonts w:hint="eastAsia" w:ascii="Arial Narrow" w:hAnsi="Arial Narrow" w:cs="Arial Narrow"/>
          <w:bCs/>
        </w:rPr>
        <w:t>（二）项目未建立资金辅助账，无法查阅该项目资金具体使用情况。评价小组了解到老年大学目前使用手工账，项目资金与其他资金未分开核算，老年大学经费项目资金具体使用明细无法查询。</w:t>
      </w:r>
    </w:p>
    <w:p>
      <w:pPr>
        <w:snapToGrid w:val="0"/>
        <w:ind w:firstLine="480"/>
        <w:rPr>
          <w:rFonts w:ascii="Arial Narrow" w:hAnsi="Arial Narrow" w:cs="Arial Narrow"/>
          <w:bCs/>
        </w:rPr>
      </w:pPr>
      <w:r>
        <w:rPr>
          <w:rFonts w:hint="eastAsia" w:ascii="Arial Narrow" w:hAnsi="Arial Narrow" w:cs="Arial Narrow"/>
          <w:bCs/>
        </w:rPr>
        <w:t>（三）教师资格人数占比率有待提高，教师培训力度有待加强。老年大学教师资格人数占比率仅75%，</w:t>
      </w:r>
      <w:r>
        <w:rPr>
          <w:rFonts w:ascii="Arial Narrow" w:hAnsi="Arial Narrow" w:cs="Arial Narrow"/>
          <w:bCs/>
        </w:rPr>
        <w:t>部分教师虽具有专业教学水平</w:t>
      </w:r>
      <w:r>
        <w:rPr>
          <w:rFonts w:hint="eastAsia" w:ascii="Arial Narrow" w:hAnsi="Arial Narrow" w:cs="Arial Narrow"/>
          <w:bCs/>
        </w:rPr>
        <w:t>，</w:t>
      </w:r>
      <w:r>
        <w:rPr>
          <w:rFonts w:ascii="Arial Narrow" w:hAnsi="Arial Narrow" w:cs="Arial Narrow"/>
          <w:bCs/>
        </w:rPr>
        <w:t>但未有执业证件</w:t>
      </w:r>
      <w:r>
        <w:rPr>
          <w:rFonts w:hint="eastAsia" w:ascii="Arial Narrow" w:hAnsi="Arial Narrow" w:cs="Arial Narrow"/>
          <w:bCs/>
        </w:rPr>
        <w:t>。</w:t>
      </w:r>
      <w:r>
        <w:rPr>
          <w:rFonts w:ascii="Arial Narrow" w:hAnsi="Arial Narrow" w:cs="Arial Narrow"/>
          <w:bCs/>
        </w:rPr>
        <w:t>另外</w:t>
      </w:r>
      <w:r>
        <w:rPr>
          <w:rFonts w:hint="eastAsia" w:ascii="Arial Narrow" w:hAnsi="Arial Narrow" w:cs="Arial Narrow"/>
          <w:bCs/>
        </w:rPr>
        <w:t>，老年大学对教师的业务能力进行培训频次过少，不利于教师能力提升。</w:t>
      </w:r>
    </w:p>
    <w:p>
      <w:pPr>
        <w:ind w:firstLine="0" w:firstLineChars="0"/>
        <w:rPr>
          <w:rFonts w:ascii="Arial Narrow" w:hAnsi="Arial Narrow" w:cs="Arial Narrow"/>
          <w:b/>
          <w:color w:val="FF0000"/>
        </w:rPr>
      </w:pPr>
      <w:r>
        <w:rPr>
          <w:rFonts w:ascii="Arial Narrow" w:hAnsi="Arial Narrow" w:cs="Arial Narrow"/>
          <w:b/>
        </w:rPr>
        <w:t>七、管理建议概述</w:t>
      </w:r>
    </w:p>
    <w:p>
      <w:pPr>
        <w:snapToGrid w:val="0"/>
        <w:ind w:firstLine="480"/>
        <w:rPr>
          <w:rFonts w:ascii="Arial Narrow" w:hAnsi="Arial Narrow" w:cs="Arial Narrow"/>
          <w:bCs/>
        </w:rPr>
      </w:pPr>
      <w:bookmarkStart w:id="0" w:name="_Toc406668024"/>
      <w:bookmarkStart w:id="1" w:name="_Toc5048"/>
      <w:bookmarkStart w:id="2" w:name="_Toc406666351"/>
      <w:r>
        <w:rPr>
          <w:rFonts w:hint="eastAsia" w:ascii="Arial Narrow" w:hAnsi="Arial Narrow" w:cs="Arial Narrow"/>
          <w:bCs/>
        </w:rPr>
        <w:t>（一）</w:t>
      </w:r>
      <w:r>
        <w:rPr>
          <w:rFonts w:ascii="Arial Narrow" w:hAnsi="Arial Narrow" w:cs="Arial Narrow"/>
          <w:bCs/>
        </w:rPr>
        <w:t>项目单位应设置项目的长期目标、年度目标、绩效指标，完善项目目标体系。针对工作的远瞻性，设定近几年需要完成的工作目标；结合下一年年度工作总体计划，设置项目年度目标；根据具体工作计划设置绩效指标，指标具有可考性和全面性，根据指标尽量设置量化、方便搜集数据的指标值。设置目标和指标，利于年末项目工作考核。</w:t>
      </w:r>
    </w:p>
    <w:p>
      <w:pPr>
        <w:snapToGrid w:val="0"/>
        <w:ind w:firstLine="480" w:firstLineChars="0"/>
        <w:rPr>
          <w:rFonts w:ascii="Arial Narrow" w:hAnsi="Arial Narrow" w:cs="Arial Narrow"/>
          <w:bCs/>
        </w:rPr>
      </w:pPr>
      <w:r>
        <w:rPr>
          <w:rFonts w:hint="eastAsia" w:ascii="Arial Narrow" w:hAnsi="Arial Narrow" w:cs="Arial Narrow"/>
          <w:bCs/>
        </w:rPr>
        <w:t>（二）规范账务处理，建立项目资金辅助账。老年大学应规范财务管理，使用财务软件对账务进行处理，项目资金分开核算，便于查询目资金具体使用情况，提高资金使用效益。</w:t>
      </w:r>
    </w:p>
    <w:p>
      <w:pPr>
        <w:snapToGrid w:val="0"/>
        <w:ind w:firstLine="480" w:firstLineChars="0"/>
        <w:rPr>
          <w:rFonts w:ascii="Arial Narrow" w:hAnsi="Arial Narrow" w:cs="Arial Narrow"/>
          <w:bCs/>
        </w:rPr>
      </w:pPr>
      <w:r>
        <w:rPr>
          <w:rFonts w:hint="eastAsia" w:ascii="Arial Narrow" w:hAnsi="Arial Narrow" w:cs="Arial Narrow"/>
          <w:bCs/>
        </w:rPr>
        <w:t>（三）加强教师持证管理，提高教师业务能力水平。建议学校鼓励已入职教师考证，对新聘教师资格严格审核，提升教师资质水平。同时，老年大学应定期或不定期安排教师外出学习，加强对教师的业务能力培训，不断提高其业务工作能力。</w:t>
      </w:r>
    </w:p>
    <w:p>
      <w:pPr>
        <w:snapToGrid w:val="0"/>
        <w:ind w:firstLine="480" w:firstLineChars="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snapToGrid w:val="0"/>
        <w:ind w:firstLine="480"/>
        <w:rPr>
          <w:rFonts w:ascii="Arial Narrow" w:hAnsi="Arial Narrow" w:cs="Arial Narrow"/>
          <w:bCs/>
        </w:rPr>
      </w:pPr>
    </w:p>
    <w:p>
      <w:pPr>
        <w:ind w:firstLine="0" w:firstLineChars="0"/>
        <w:rPr>
          <w:rFonts w:ascii="Arial Narrow" w:hAnsi="Arial Narrow" w:cs="Arial Narrow"/>
          <w:b/>
          <w:sz w:val="32"/>
          <w:szCs w:val="32"/>
        </w:rPr>
      </w:pPr>
      <w:bookmarkStart w:id="3" w:name="_Toc15632"/>
      <w:bookmarkStart w:id="4" w:name="_Toc4486"/>
    </w:p>
    <w:p>
      <w:pPr>
        <w:ind w:firstLine="0" w:firstLineChars="0"/>
        <w:rPr>
          <w:rFonts w:ascii="Arial Narrow" w:hAnsi="Arial Narrow" w:cs="Arial Narrow"/>
          <w:b/>
          <w:sz w:val="32"/>
          <w:szCs w:val="32"/>
        </w:rPr>
      </w:pPr>
    </w:p>
    <w:p>
      <w:pPr>
        <w:ind w:firstLine="0" w:firstLineChars="0"/>
        <w:rPr>
          <w:rFonts w:ascii="Arial Narrow" w:hAnsi="Arial Narrow" w:cs="Arial Narrow"/>
          <w:b/>
          <w:sz w:val="32"/>
          <w:szCs w:val="32"/>
        </w:rPr>
      </w:pPr>
    </w:p>
    <w:p>
      <w:pPr>
        <w:snapToGrid w:val="0"/>
        <w:ind w:firstLine="0" w:firstLineChars="0"/>
        <w:jc w:val="center"/>
        <w:outlineLvl w:val="0"/>
        <w:rPr>
          <w:rFonts w:ascii="Arial Narrow" w:hAnsi="Arial Narrow" w:cs="Arial Narrow"/>
          <w:b/>
          <w:sz w:val="32"/>
          <w:szCs w:val="32"/>
        </w:rPr>
      </w:pPr>
      <w:r>
        <w:rPr>
          <w:rFonts w:ascii="Arial Narrow" w:hAnsi="Arial Narrow" w:cs="Arial Narrow"/>
          <w:b/>
          <w:sz w:val="32"/>
          <w:szCs w:val="32"/>
        </w:rPr>
        <w:t>目录</w:t>
      </w:r>
      <w:bookmarkEnd w:id="3"/>
      <w:bookmarkEnd w:id="4"/>
    </w:p>
    <w:p>
      <w:pPr>
        <w:spacing w:line="480" w:lineRule="atLeast"/>
        <w:ind w:firstLine="480"/>
        <w:rPr>
          <w:rFonts w:ascii="Arial Narrow" w:hAnsi="Arial Narrow" w:cs="Arial Narrow"/>
        </w:rPr>
      </w:pPr>
      <w:r>
        <w:rPr>
          <w:rFonts w:ascii="Arial Narrow" w:hAnsi="Arial Narrow" w:cs="Arial Narrow"/>
          <w:bCs/>
          <w:caps/>
        </w:rPr>
        <w:t>摘要</w:t>
      </w:r>
      <w:r>
        <w:rPr>
          <w:rFonts w:ascii="Arial Narrow" w:hAnsi="Arial Narrow" w:cs="Arial Narrow"/>
        </w:rPr>
        <w:fldChar w:fldCharType="begin"/>
      </w:r>
      <w:r>
        <w:rPr>
          <w:rFonts w:ascii="Arial Narrow" w:hAnsi="Arial Narrow" w:cs="Arial Narrow"/>
        </w:rPr>
        <w:instrText xml:space="preserve"> TOC \o "1-4" \h \z \u </w:instrText>
      </w:r>
      <w:r>
        <w:rPr>
          <w:rFonts w:ascii="Arial Narrow" w:hAnsi="Arial Narrow" w:cs="Arial Narrow"/>
        </w:rPr>
        <w:fldChar w:fldCharType="separate"/>
      </w:r>
    </w:p>
    <w:p>
      <w:pPr>
        <w:pStyle w:val="15"/>
        <w:tabs>
          <w:tab w:val="right" w:leader="dot" w:pos="8700"/>
        </w:tabs>
        <w:spacing w:before="0" w:after="0" w:line="480" w:lineRule="atLeast"/>
        <w:ind w:firstLine="562"/>
        <w:rPr>
          <w:rFonts w:ascii="Arial Narrow" w:hAnsi="Arial Narrow" w:cs="Arial Narrow"/>
          <w:b w:val="0"/>
          <w:sz w:val="24"/>
          <w:szCs w:val="24"/>
        </w:rPr>
      </w:pPr>
      <w:r>
        <w:fldChar w:fldCharType="begin"/>
      </w:r>
      <w:r>
        <w:instrText xml:space="preserve"> HYPERLINK \l "_Toc3817" </w:instrText>
      </w:r>
      <w:r>
        <w:fldChar w:fldCharType="separate"/>
      </w:r>
      <w:r>
        <w:rPr>
          <w:rFonts w:ascii="Arial Narrow" w:hAnsi="Arial Narrow" w:cs="Arial Narrow"/>
          <w:b w:val="0"/>
          <w:sz w:val="24"/>
          <w:szCs w:val="24"/>
        </w:rPr>
        <w:t>前言</w:t>
      </w:r>
      <w:r>
        <w:rPr>
          <w:rFonts w:ascii="Arial Narrow" w:hAnsi="Arial Narrow" w:cs="Arial Narrow"/>
          <w:b w:val="0"/>
          <w:sz w:val="24"/>
          <w:szCs w:val="24"/>
        </w:rPr>
        <w:tab/>
      </w:r>
      <w:r>
        <w:rPr>
          <w:rFonts w:ascii="Arial Narrow" w:hAnsi="Arial Narrow" w:cs="Arial Narrow"/>
          <w:b w:val="0"/>
          <w:sz w:val="24"/>
          <w:szCs w:val="24"/>
        </w:rPr>
        <w:fldChar w:fldCharType="begin"/>
      </w:r>
      <w:r>
        <w:rPr>
          <w:rFonts w:ascii="Arial Narrow" w:hAnsi="Arial Narrow" w:cs="Arial Narrow"/>
          <w:b w:val="0"/>
          <w:sz w:val="24"/>
          <w:szCs w:val="24"/>
        </w:rPr>
        <w:instrText xml:space="preserve"> PAGEREF _Toc3817 </w:instrText>
      </w:r>
      <w:r>
        <w:rPr>
          <w:rFonts w:ascii="Arial Narrow" w:hAnsi="Arial Narrow" w:cs="Arial Narrow"/>
          <w:b w:val="0"/>
          <w:sz w:val="24"/>
          <w:szCs w:val="24"/>
        </w:rPr>
        <w:fldChar w:fldCharType="separate"/>
      </w:r>
      <w:r>
        <w:rPr>
          <w:rFonts w:ascii="Arial Narrow" w:hAnsi="Arial Narrow" w:cs="Arial Narrow"/>
          <w:b w:val="0"/>
          <w:sz w:val="24"/>
          <w:szCs w:val="24"/>
        </w:rPr>
        <w:t>1</w:t>
      </w:r>
      <w:r>
        <w:rPr>
          <w:rFonts w:ascii="Arial Narrow" w:hAnsi="Arial Narrow" w:cs="Arial Narrow"/>
          <w:b w:val="0"/>
          <w:sz w:val="24"/>
          <w:szCs w:val="24"/>
        </w:rPr>
        <w:fldChar w:fldCharType="end"/>
      </w:r>
      <w:r>
        <w:rPr>
          <w:rFonts w:ascii="Arial Narrow" w:hAnsi="Arial Narrow" w:cs="Arial Narrow"/>
          <w:b w:val="0"/>
          <w:sz w:val="24"/>
          <w:szCs w:val="24"/>
        </w:rPr>
        <w:fldChar w:fldCharType="end"/>
      </w:r>
    </w:p>
    <w:p>
      <w:pPr>
        <w:pStyle w:val="15"/>
        <w:tabs>
          <w:tab w:val="right" w:leader="dot" w:pos="8700"/>
        </w:tabs>
        <w:spacing w:before="0" w:after="0" w:line="480" w:lineRule="atLeast"/>
        <w:ind w:firstLine="562"/>
        <w:rPr>
          <w:rFonts w:ascii="Arial Narrow" w:hAnsi="Arial Narrow" w:cs="Arial Narrow"/>
          <w:b w:val="0"/>
          <w:sz w:val="24"/>
          <w:szCs w:val="24"/>
        </w:rPr>
      </w:pPr>
      <w:r>
        <w:fldChar w:fldCharType="begin"/>
      </w:r>
      <w:r>
        <w:instrText xml:space="preserve"> HYPERLINK \l "_Toc20014" </w:instrText>
      </w:r>
      <w:r>
        <w:fldChar w:fldCharType="separate"/>
      </w:r>
      <w:r>
        <w:rPr>
          <w:rFonts w:ascii="Arial Narrow" w:hAnsi="Arial Narrow" w:cs="Arial Narrow"/>
          <w:b w:val="0"/>
          <w:sz w:val="24"/>
          <w:szCs w:val="24"/>
        </w:rPr>
        <w:t>一、项目基本情况</w:t>
      </w:r>
      <w:r>
        <w:rPr>
          <w:rFonts w:ascii="Arial Narrow" w:hAnsi="Arial Narrow" w:cs="Arial Narrow"/>
          <w:b w:val="0"/>
          <w:sz w:val="24"/>
          <w:szCs w:val="24"/>
        </w:rPr>
        <w:tab/>
      </w:r>
      <w:r>
        <w:rPr>
          <w:rFonts w:ascii="Arial Narrow" w:hAnsi="Arial Narrow" w:cs="Arial Narrow"/>
          <w:b w:val="0"/>
          <w:sz w:val="24"/>
          <w:szCs w:val="24"/>
        </w:rPr>
        <w:fldChar w:fldCharType="begin"/>
      </w:r>
      <w:r>
        <w:rPr>
          <w:rFonts w:ascii="Arial Narrow" w:hAnsi="Arial Narrow" w:cs="Arial Narrow"/>
          <w:b w:val="0"/>
          <w:sz w:val="24"/>
          <w:szCs w:val="24"/>
        </w:rPr>
        <w:instrText xml:space="preserve"> PAGEREF _Toc20014 </w:instrText>
      </w:r>
      <w:r>
        <w:rPr>
          <w:rFonts w:ascii="Arial Narrow" w:hAnsi="Arial Narrow" w:cs="Arial Narrow"/>
          <w:b w:val="0"/>
          <w:sz w:val="24"/>
          <w:szCs w:val="24"/>
        </w:rPr>
        <w:fldChar w:fldCharType="separate"/>
      </w:r>
      <w:r>
        <w:rPr>
          <w:rFonts w:ascii="Arial Narrow" w:hAnsi="Arial Narrow" w:cs="Arial Narrow"/>
          <w:b w:val="0"/>
          <w:sz w:val="24"/>
          <w:szCs w:val="24"/>
        </w:rPr>
        <w:t>1</w:t>
      </w:r>
      <w:r>
        <w:rPr>
          <w:rFonts w:ascii="Arial Narrow" w:hAnsi="Arial Narrow" w:cs="Arial Narrow"/>
          <w:b w:val="0"/>
          <w:sz w:val="24"/>
          <w:szCs w:val="24"/>
        </w:rPr>
        <w:fldChar w:fldCharType="end"/>
      </w:r>
      <w:r>
        <w:rPr>
          <w:rFonts w:ascii="Arial Narrow" w:hAnsi="Arial Narrow" w:cs="Arial Narrow"/>
          <w:b w:val="0"/>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"_Toc31490" </w:instrText>
      </w:r>
      <w:r>
        <w:fldChar w:fldCharType="separate"/>
      </w:r>
      <w:r>
        <w:rPr>
          <w:rFonts w:ascii="Arial Narrow" w:hAnsi="Arial Narrow" w:cs="Arial Narrow"/>
          <w:bCs/>
          <w:sz w:val="24"/>
          <w:szCs w:val="24"/>
        </w:rPr>
        <w:t>（一）项目概况</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_Toc31490 </w:instrText>
      </w:r>
      <w:r>
        <w:rPr>
          <w:rFonts w:ascii="Arial Narrow" w:hAnsi="Arial Narrow" w:cs="Arial Narrow"/>
          <w:bCs/>
          <w:sz w:val="24"/>
          <w:szCs w:val="24"/>
        </w:rPr>
        <w:fldChar w:fldCharType="separate"/>
      </w:r>
      <w:r>
        <w:rPr>
          <w:rFonts w:ascii="Arial Narrow" w:hAnsi="Arial Narrow" w:cs="Arial Narrow"/>
          <w:bCs/>
          <w:sz w:val="24"/>
          <w:szCs w:val="24"/>
        </w:rPr>
        <w:t>1</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"_Toc16847" </w:instrText>
      </w:r>
      <w:r>
        <w:fldChar w:fldCharType="separate"/>
      </w:r>
      <w:r>
        <w:rPr>
          <w:rFonts w:ascii="Arial Narrow" w:hAnsi="Arial Narrow" w:cs="Arial Narrow"/>
          <w:bCs/>
          <w:sz w:val="24"/>
          <w:szCs w:val="24"/>
        </w:rPr>
        <w:t>（二）项目绩效目标</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_Toc16847 </w:instrText>
      </w:r>
      <w:r>
        <w:rPr>
          <w:rFonts w:ascii="Arial Narrow" w:hAnsi="Arial Narrow" w:cs="Arial Narrow"/>
          <w:bCs/>
          <w:sz w:val="24"/>
          <w:szCs w:val="24"/>
        </w:rPr>
        <w:fldChar w:fldCharType="separate"/>
      </w:r>
      <w:r>
        <w:rPr>
          <w:rFonts w:ascii="Arial Narrow" w:hAnsi="Arial Narrow" w:cs="Arial Narrow"/>
          <w:bCs/>
          <w:sz w:val="24"/>
          <w:szCs w:val="24"/>
        </w:rPr>
        <w:t>3</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5"/>
        <w:tabs>
          <w:tab w:val="right" w:leader="dot" w:pos="8700"/>
        </w:tabs>
        <w:spacing w:before="0" w:after="0" w:line="480" w:lineRule="atLeast"/>
        <w:ind w:firstLine="562"/>
        <w:rPr>
          <w:rFonts w:ascii="Arial Narrow" w:hAnsi="Arial Narrow" w:cs="Arial Narrow"/>
          <w:b w:val="0"/>
          <w:sz w:val="24"/>
          <w:szCs w:val="24"/>
        </w:rPr>
      </w:pPr>
      <w:r>
        <w:fldChar w:fldCharType="begin"/>
      </w:r>
      <w:r>
        <w:instrText xml:space="preserve"> HYPERLINK \l "_Toc7670" </w:instrText>
      </w:r>
      <w:r>
        <w:fldChar w:fldCharType="separate"/>
      </w:r>
      <w:r>
        <w:rPr>
          <w:rFonts w:ascii="Arial Narrow" w:hAnsi="Arial Narrow" w:cs="Arial Narrow"/>
          <w:b w:val="0"/>
          <w:sz w:val="24"/>
          <w:szCs w:val="24"/>
        </w:rPr>
        <w:t>二、绩效评价工作情况</w:t>
      </w:r>
      <w:r>
        <w:rPr>
          <w:rFonts w:ascii="Arial Narrow" w:hAnsi="Arial Narrow" w:cs="Arial Narrow"/>
          <w:b w:val="0"/>
          <w:sz w:val="24"/>
          <w:szCs w:val="24"/>
        </w:rPr>
        <w:tab/>
      </w:r>
      <w:r>
        <w:rPr>
          <w:rFonts w:ascii="Arial Narrow" w:hAnsi="Arial Narrow" w:cs="Arial Narrow"/>
          <w:b w:val="0"/>
          <w:sz w:val="24"/>
          <w:szCs w:val="24"/>
        </w:rPr>
        <w:fldChar w:fldCharType="begin"/>
      </w:r>
      <w:r>
        <w:rPr>
          <w:rFonts w:ascii="Arial Narrow" w:hAnsi="Arial Narrow" w:cs="Arial Narrow"/>
          <w:b w:val="0"/>
          <w:sz w:val="24"/>
          <w:szCs w:val="24"/>
        </w:rPr>
        <w:instrText xml:space="preserve"> PAGEREF _Toc7670 </w:instrText>
      </w:r>
      <w:r>
        <w:rPr>
          <w:rFonts w:ascii="Arial Narrow" w:hAnsi="Arial Narrow" w:cs="Arial Narrow"/>
          <w:b w:val="0"/>
          <w:sz w:val="24"/>
          <w:szCs w:val="24"/>
        </w:rPr>
        <w:fldChar w:fldCharType="separate"/>
      </w:r>
      <w:r>
        <w:rPr>
          <w:rFonts w:ascii="Arial Narrow" w:hAnsi="Arial Narrow" w:cs="Arial Narrow"/>
          <w:b w:val="0"/>
          <w:sz w:val="24"/>
          <w:szCs w:val="24"/>
        </w:rPr>
        <w:t>3</w:t>
      </w:r>
      <w:r>
        <w:rPr>
          <w:rFonts w:ascii="Arial Narrow" w:hAnsi="Arial Narrow" w:cs="Arial Narrow"/>
          <w:b w:val="0"/>
          <w:sz w:val="24"/>
          <w:szCs w:val="24"/>
        </w:rPr>
        <w:fldChar w:fldCharType="end"/>
      </w:r>
      <w:r>
        <w:rPr>
          <w:rFonts w:ascii="Arial Narrow" w:hAnsi="Arial Narrow" w:cs="Arial Narrow"/>
          <w:b w:val="0"/>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"_Toc28296" </w:instrText>
      </w:r>
      <w:r>
        <w:fldChar w:fldCharType="separate"/>
      </w:r>
      <w:r>
        <w:rPr>
          <w:rFonts w:ascii="Arial Narrow" w:hAnsi="Arial Narrow" w:cs="Arial Narrow"/>
          <w:bCs/>
          <w:sz w:val="24"/>
          <w:szCs w:val="24"/>
        </w:rPr>
        <w:t>（一）绩效评价目的</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_Toc28296 </w:instrText>
      </w:r>
      <w:r>
        <w:rPr>
          <w:rFonts w:ascii="Arial Narrow" w:hAnsi="Arial Narrow" w:cs="Arial Narrow"/>
          <w:bCs/>
          <w:sz w:val="24"/>
          <w:szCs w:val="24"/>
        </w:rPr>
        <w:fldChar w:fldCharType="separate"/>
      </w:r>
      <w:r>
        <w:rPr>
          <w:rFonts w:ascii="Arial Narrow" w:hAnsi="Arial Narrow" w:cs="Arial Narrow"/>
          <w:bCs/>
          <w:sz w:val="24"/>
          <w:szCs w:val="24"/>
        </w:rPr>
        <w:t>3</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"_Toc10671" </w:instrText>
      </w:r>
      <w:r>
        <w:fldChar w:fldCharType="separate"/>
      </w:r>
      <w:r>
        <w:rPr>
          <w:rFonts w:ascii="Arial Narrow" w:hAnsi="Arial Narrow" w:cs="Arial Narrow"/>
          <w:bCs/>
          <w:sz w:val="24"/>
          <w:szCs w:val="24"/>
        </w:rPr>
        <w:t>（二）绩效评价工作过程</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_Toc10671 </w:instrText>
      </w:r>
      <w:r>
        <w:rPr>
          <w:rFonts w:ascii="Arial Narrow" w:hAnsi="Arial Narrow" w:cs="Arial Narrow"/>
          <w:bCs/>
          <w:sz w:val="24"/>
          <w:szCs w:val="24"/>
        </w:rPr>
        <w:fldChar w:fldCharType="separate"/>
      </w:r>
      <w:r>
        <w:rPr>
          <w:rFonts w:ascii="Arial Narrow" w:hAnsi="Arial Narrow" w:cs="Arial Narrow"/>
          <w:bCs/>
          <w:sz w:val="24"/>
          <w:szCs w:val="24"/>
        </w:rPr>
        <w:t>4</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"_Toc7634" </w:instrText>
      </w:r>
      <w:r>
        <w:fldChar w:fldCharType="separate"/>
      </w:r>
      <w:r>
        <w:rPr>
          <w:rFonts w:ascii="Arial Narrow" w:hAnsi="Arial Narrow" w:cs="Arial Narrow"/>
          <w:bCs/>
          <w:sz w:val="24"/>
          <w:szCs w:val="24"/>
        </w:rPr>
        <w:t>（三）绩效评价框架</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_Toc7634 </w:instrText>
      </w:r>
      <w:r>
        <w:rPr>
          <w:rFonts w:ascii="Arial Narrow" w:hAnsi="Arial Narrow" w:cs="Arial Narrow"/>
          <w:bCs/>
          <w:sz w:val="24"/>
          <w:szCs w:val="24"/>
        </w:rPr>
        <w:fldChar w:fldCharType="separate"/>
      </w:r>
      <w:r>
        <w:rPr>
          <w:rFonts w:ascii="Arial Narrow" w:hAnsi="Arial Narrow" w:cs="Arial Narrow"/>
          <w:bCs/>
          <w:sz w:val="24"/>
          <w:szCs w:val="24"/>
        </w:rPr>
        <w:t>5</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"_Toc3088" </w:instrText>
      </w:r>
      <w:r>
        <w:fldChar w:fldCharType="separate"/>
      </w:r>
      <w:r>
        <w:rPr>
          <w:rFonts w:ascii="Arial Narrow" w:hAnsi="Arial Narrow" w:cs="Arial Narrow"/>
          <w:bCs/>
          <w:sz w:val="24"/>
          <w:szCs w:val="24"/>
        </w:rPr>
        <w:t>（四）证据收集方式</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_Toc3088 </w:instrText>
      </w:r>
      <w:r>
        <w:rPr>
          <w:rFonts w:ascii="Arial Narrow" w:hAnsi="Arial Narrow" w:cs="Arial Narrow"/>
          <w:bCs/>
          <w:sz w:val="24"/>
          <w:szCs w:val="24"/>
        </w:rPr>
        <w:fldChar w:fldCharType="separate"/>
      </w:r>
      <w:r>
        <w:rPr>
          <w:rFonts w:ascii="Arial Narrow" w:hAnsi="Arial Narrow" w:cs="Arial Narrow"/>
          <w:bCs/>
          <w:sz w:val="24"/>
          <w:szCs w:val="24"/>
        </w:rPr>
        <w:t>15</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5"/>
        <w:tabs>
          <w:tab w:val="right" w:leader="dot" w:pos="8700"/>
        </w:tabs>
        <w:spacing w:before="0" w:after="0" w:line="480" w:lineRule="atLeast"/>
        <w:ind w:firstLine="562"/>
        <w:rPr>
          <w:rFonts w:ascii="Arial Narrow" w:hAnsi="Arial Narrow" w:cs="Arial Narrow"/>
          <w:b w:val="0"/>
          <w:sz w:val="24"/>
          <w:szCs w:val="24"/>
        </w:rPr>
      </w:pPr>
      <w:r>
        <w:fldChar w:fldCharType="begin"/>
      </w:r>
      <w:r>
        <w:instrText xml:space="preserve"> HYPERLINK \l "_Toc28432" </w:instrText>
      </w:r>
      <w:r>
        <w:fldChar w:fldCharType="separate"/>
      </w:r>
      <w:r>
        <w:rPr>
          <w:rFonts w:ascii="Arial Narrow" w:hAnsi="Arial Narrow" w:cs="Arial Narrow"/>
          <w:b w:val="0"/>
          <w:sz w:val="24"/>
          <w:szCs w:val="24"/>
        </w:rPr>
        <w:t>三、绩效分析</w:t>
      </w:r>
      <w:r>
        <w:rPr>
          <w:rFonts w:ascii="Arial Narrow" w:hAnsi="Arial Narrow" w:cs="Arial Narrow"/>
          <w:b w:val="0"/>
          <w:sz w:val="24"/>
          <w:szCs w:val="24"/>
        </w:rPr>
        <w:tab/>
      </w:r>
      <w:r>
        <w:rPr>
          <w:rFonts w:ascii="Arial Narrow" w:hAnsi="Arial Narrow" w:cs="Arial Narrow"/>
          <w:b w:val="0"/>
          <w:sz w:val="24"/>
          <w:szCs w:val="24"/>
        </w:rPr>
        <w:fldChar w:fldCharType="begin"/>
      </w:r>
      <w:r>
        <w:rPr>
          <w:rFonts w:ascii="Arial Narrow" w:hAnsi="Arial Narrow" w:cs="Arial Narrow"/>
          <w:b w:val="0"/>
          <w:sz w:val="24"/>
          <w:szCs w:val="24"/>
        </w:rPr>
        <w:instrText xml:space="preserve"> PAGEREF _Toc28432 </w:instrText>
      </w:r>
      <w:r>
        <w:rPr>
          <w:rFonts w:ascii="Arial Narrow" w:hAnsi="Arial Narrow" w:cs="Arial Narrow"/>
          <w:b w:val="0"/>
          <w:sz w:val="24"/>
          <w:szCs w:val="24"/>
        </w:rPr>
        <w:fldChar w:fldCharType="separate"/>
      </w:r>
      <w:r>
        <w:rPr>
          <w:rFonts w:ascii="Arial Narrow" w:hAnsi="Arial Narrow" w:cs="Arial Narrow"/>
          <w:b w:val="0"/>
          <w:sz w:val="24"/>
          <w:szCs w:val="24"/>
        </w:rPr>
        <w:t>16</w:t>
      </w:r>
      <w:r>
        <w:rPr>
          <w:rFonts w:ascii="Arial Narrow" w:hAnsi="Arial Narrow" w:cs="Arial Narrow"/>
          <w:b w:val="0"/>
          <w:sz w:val="24"/>
          <w:szCs w:val="24"/>
        </w:rPr>
        <w:fldChar w:fldCharType="end"/>
      </w:r>
      <w:r>
        <w:rPr>
          <w:rFonts w:ascii="Arial Narrow" w:hAnsi="Arial Narrow" w:cs="Arial Narrow"/>
          <w:b w:val="0"/>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"_Toc21462" </w:instrText>
      </w:r>
      <w:r>
        <w:fldChar w:fldCharType="separate"/>
      </w:r>
      <w:r>
        <w:rPr>
          <w:rFonts w:ascii="Arial Narrow" w:hAnsi="Arial Narrow" w:cs="Arial Narrow"/>
          <w:bCs/>
          <w:sz w:val="24"/>
          <w:szCs w:val="24"/>
        </w:rPr>
        <w:t>（一）项目投入（16分）</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_Toc21462 </w:instrText>
      </w:r>
      <w:r>
        <w:rPr>
          <w:rFonts w:ascii="Arial Narrow" w:hAnsi="Arial Narrow" w:cs="Arial Narrow"/>
          <w:bCs/>
          <w:sz w:val="24"/>
          <w:szCs w:val="24"/>
        </w:rPr>
        <w:fldChar w:fldCharType="separate"/>
      </w:r>
      <w:r>
        <w:rPr>
          <w:rFonts w:ascii="Arial Narrow" w:hAnsi="Arial Narrow" w:cs="Arial Narrow"/>
          <w:bCs/>
          <w:sz w:val="24"/>
          <w:szCs w:val="24"/>
        </w:rPr>
        <w:t>16</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"_Toc30565" </w:instrText>
      </w:r>
      <w:r>
        <w:fldChar w:fldCharType="separate"/>
      </w:r>
      <w:r>
        <w:rPr>
          <w:rFonts w:ascii="Arial Narrow" w:hAnsi="Arial Narrow" w:cs="Arial Narrow"/>
          <w:bCs/>
          <w:sz w:val="24"/>
          <w:szCs w:val="24"/>
        </w:rPr>
        <w:t>（二）项目过程（24分）</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_Toc30565 </w:instrText>
      </w:r>
      <w:r>
        <w:rPr>
          <w:rFonts w:ascii="Arial Narrow" w:hAnsi="Arial Narrow" w:cs="Arial Narrow"/>
          <w:bCs/>
          <w:sz w:val="24"/>
          <w:szCs w:val="24"/>
        </w:rPr>
        <w:fldChar w:fldCharType="separate"/>
      </w:r>
      <w:r>
        <w:rPr>
          <w:rFonts w:ascii="Arial Narrow" w:hAnsi="Arial Narrow" w:cs="Arial Narrow"/>
          <w:bCs/>
          <w:sz w:val="24"/>
          <w:szCs w:val="24"/>
        </w:rPr>
        <w:t>17</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"_Toc25989" </w:instrText>
      </w:r>
      <w:r>
        <w:fldChar w:fldCharType="separate"/>
      </w:r>
      <w:r>
        <w:rPr>
          <w:rFonts w:ascii="Arial Narrow" w:hAnsi="Arial Narrow" w:cs="Arial Narrow"/>
          <w:bCs/>
          <w:sz w:val="24"/>
          <w:szCs w:val="24"/>
        </w:rPr>
        <w:t>（三）项目产出（30分）</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_Toc25989 </w:instrText>
      </w:r>
      <w:r>
        <w:rPr>
          <w:rFonts w:ascii="Arial Narrow" w:hAnsi="Arial Narrow" w:cs="Arial Narrow"/>
          <w:bCs/>
          <w:sz w:val="24"/>
          <w:szCs w:val="24"/>
        </w:rPr>
        <w:fldChar w:fldCharType="separate"/>
      </w:r>
      <w:r>
        <w:rPr>
          <w:rFonts w:ascii="Arial Narrow" w:hAnsi="Arial Narrow" w:cs="Arial Narrow"/>
          <w:bCs/>
          <w:sz w:val="24"/>
          <w:szCs w:val="24"/>
        </w:rPr>
        <w:t>20</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"_Toc25965" </w:instrText>
      </w:r>
      <w:r>
        <w:fldChar w:fldCharType="separate"/>
      </w:r>
      <w:r>
        <w:rPr>
          <w:rFonts w:ascii="Arial Narrow" w:hAnsi="Arial Narrow" w:cs="Arial Narrow"/>
          <w:bCs/>
          <w:sz w:val="24"/>
          <w:szCs w:val="24"/>
        </w:rPr>
        <w:t>（四）项目效益（30分）</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_Toc25965 </w:instrText>
      </w:r>
      <w:r>
        <w:rPr>
          <w:rFonts w:ascii="Arial Narrow" w:hAnsi="Arial Narrow" w:cs="Arial Narrow"/>
          <w:bCs/>
          <w:sz w:val="24"/>
          <w:szCs w:val="24"/>
        </w:rPr>
        <w:fldChar w:fldCharType="separate"/>
      </w:r>
      <w:r>
        <w:rPr>
          <w:rFonts w:ascii="Arial Narrow" w:hAnsi="Arial Narrow" w:cs="Arial Narrow"/>
          <w:bCs/>
          <w:sz w:val="24"/>
          <w:szCs w:val="24"/>
        </w:rPr>
        <w:t>22</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5"/>
        <w:tabs>
          <w:tab w:val="right" w:leader="dot" w:pos="8700"/>
        </w:tabs>
        <w:spacing w:before="0" w:after="0" w:line="480" w:lineRule="atLeast"/>
        <w:ind w:firstLine="562"/>
        <w:rPr>
          <w:rFonts w:ascii="Arial Narrow" w:hAnsi="Arial Narrow" w:cs="Arial Narrow"/>
          <w:b w:val="0"/>
          <w:sz w:val="24"/>
          <w:szCs w:val="24"/>
        </w:rPr>
      </w:pPr>
      <w:r>
        <w:fldChar w:fldCharType="begin"/>
      </w:r>
      <w:r>
        <w:instrText xml:space="preserve"> HYPERLINK \l "_Toc18639" </w:instrText>
      </w:r>
      <w:r>
        <w:fldChar w:fldCharType="separate"/>
      </w:r>
      <w:r>
        <w:rPr>
          <w:rFonts w:ascii="Arial Narrow" w:hAnsi="Arial Narrow" w:cs="Arial Narrow"/>
          <w:b w:val="0"/>
          <w:sz w:val="24"/>
          <w:szCs w:val="24"/>
        </w:rPr>
        <w:t>四、评价结论</w:t>
      </w:r>
      <w:r>
        <w:rPr>
          <w:rFonts w:ascii="Arial Narrow" w:hAnsi="Arial Narrow" w:cs="Arial Narrow"/>
          <w:b w:val="0"/>
          <w:sz w:val="24"/>
          <w:szCs w:val="24"/>
        </w:rPr>
        <w:tab/>
      </w:r>
      <w:r>
        <w:rPr>
          <w:rFonts w:ascii="Arial Narrow" w:hAnsi="Arial Narrow" w:cs="Arial Narrow"/>
          <w:b w:val="0"/>
          <w:sz w:val="24"/>
          <w:szCs w:val="24"/>
        </w:rPr>
        <w:fldChar w:fldCharType="begin"/>
      </w:r>
      <w:r>
        <w:rPr>
          <w:rFonts w:ascii="Arial Narrow" w:hAnsi="Arial Narrow" w:cs="Arial Narrow"/>
          <w:b w:val="0"/>
          <w:sz w:val="24"/>
          <w:szCs w:val="24"/>
        </w:rPr>
        <w:instrText xml:space="preserve"> PAGEREF _Toc18639 </w:instrText>
      </w:r>
      <w:r>
        <w:rPr>
          <w:rFonts w:ascii="Arial Narrow" w:hAnsi="Arial Narrow" w:cs="Arial Narrow"/>
          <w:b w:val="0"/>
          <w:sz w:val="24"/>
          <w:szCs w:val="24"/>
        </w:rPr>
        <w:fldChar w:fldCharType="separate"/>
      </w:r>
      <w:r>
        <w:rPr>
          <w:rFonts w:ascii="Arial Narrow" w:hAnsi="Arial Narrow" w:cs="Arial Narrow"/>
          <w:b w:val="0"/>
          <w:sz w:val="24"/>
          <w:szCs w:val="24"/>
        </w:rPr>
        <w:t>24</w:t>
      </w:r>
      <w:r>
        <w:rPr>
          <w:rFonts w:ascii="Arial Narrow" w:hAnsi="Arial Narrow" w:cs="Arial Narrow"/>
          <w:b w:val="0"/>
          <w:sz w:val="24"/>
          <w:szCs w:val="24"/>
        </w:rPr>
        <w:fldChar w:fldCharType="end"/>
      </w:r>
      <w:r>
        <w:rPr>
          <w:rFonts w:ascii="Arial Narrow" w:hAnsi="Arial Narrow" w:cs="Arial Narrow"/>
          <w:b w:val="0"/>
          <w:sz w:val="24"/>
          <w:szCs w:val="24"/>
        </w:rPr>
        <w:fldChar w:fldCharType="end"/>
      </w:r>
    </w:p>
    <w:p>
      <w:pPr>
        <w:pStyle w:val="15"/>
        <w:tabs>
          <w:tab w:val="right" w:leader="dot" w:pos="8700"/>
        </w:tabs>
        <w:spacing w:before="0" w:after="0" w:line="480" w:lineRule="atLeast"/>
        <w:ind w:firstLine="562"/>
        <w:rPr>
          <w:rFonts w:ascii="Arial Narrow" w:hAnsi="Arial Narrow" w:cs="Arial Narrow"/>
          <w:b w:val="0"/>
          <w:sz w:val="24"/>
          <w:szCs w:val="24"/>
        </w:rPr>
      </w:pPr>
      <w:r>
        <w:fldChar w:fldCharType="begin"/>
      </w:r>
      <w:r>
        <w:instrText xml:space="preserve"> HYPERLINK \l "_Toc28557" </w:instrText>
      </w:r>
      <w:r>
        <w:fldChar w:fldCharType="separate"/>
      </w:r>
      <w:r>
        <w:rPr>
          <w:rFonts w:ascii="Arial Narrow" w:hAnsi="Arial Narrow" w:cs="Arial Narrow"/>
          <w:b w:val="0"/>
          <w:sz w:val="24"/>
          <w:szCs w:val="24"/>
        </w:rPr>
        <w:t>五、主要经验及做法、存在的问题和建议</w:t>
      </w:r>
      <w:r>
        <w:rPr>
          <w:rFonts w:ascii="Arial Narrow" w:hAnsi="Arial Narrow" w:cs="Arial Narrow"/>
          <w:b w:val="0"/>
          <w:sz w:val="24"/>
          <w:szCs w:val="24"/>
        </w:rPr>
        <w:tab/>
      </w:r>
      <w:r>
        <w:rPr>
          <w:rFonts w:ascii="Arial Narrow" w:hAnsi="Arial Narrow" w:cs="Arial Narrow"/>
          <w:b w:val="0"/>
          <w:sz w:val="24"/>
          <w:szCs w:val="24"/>
        </w:rPr>
        <w:fldChar w:fldCharType="begin"/>
      </w:r>
      <w:r>
        <w:rPr>
          <w:rFonts w:ascii="Arial Narrow" w:hAnsi="Arial Narrow" w:cs="Arial Narrow"/>
          <w:b w:val="0"/>
          <w:sz w:val="24"/>
          <w:szCs w:val="24"/>
        </w:rPr>
        <w:instrText xml:space="preserve"> PAGEREF _Toc28557 </w:instrText>
      </w:r>
      <w:r>
        <w:rPr>
          <w:rFonts w:ascii="Arial Narrow" w:hAnsi="Arial Narrow" w:cs="Arial Narrow"/>
          <w:b w:val="0"/>
          <w:sz w:val="24"/>
          <w:szCs w:val="24"/>
        </w:rPr>
        <w:fldChar w:fldCharType="separate"/>
      </w:r>
      <w:r>
        <w:rPr>
          <w:rFonts w:ascii="Arial Narrow" w:hAnsi="Arial Narrow" w:cs="Arial Narrow"/>
          <w:b w:val="0"/>
          <w:sz w:val="24"/>
          <w:szCs w:val="24"/>
        </w:rPr>
        <w:t>25</w:t>
      </w:r>
      <w:r>
        <w:rPr>
          <w:rFonts w:ascii="Arial Narrow" w:hAnsi="Arial Narrow" w:cs="Arial Narrow"/>
          <w:b w:val="0"/>
          <w:sz w:val="24"/>
          <w:szCs w:val="24"/>
        </w:rPr>
        <w:fldChar w:fldCharType="end"/>
      </w:r>
      <w:r>
        <w:rPr>
          <w:rFonts w:ascii="Arial Narrow" w:hAnsi="Arial Narrow" w:cs="Arial Narrow"/>
          <w:b w:val="0"/>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"_Toc23057" </w:instrText>
      </w:r>
      <w:r>
        <w:fldChar w:fldCharType="separate"/>
      </w:r>
      <w:r>
        <w:rPr>
          <w:rFonts w:ascii="Arial Narrow" w:hAnsi="Arial Narrow" w:cs="Arial Narrow"/>
          <w:bCs/>
          <w:sz w:val="24"/>
          <w:szCs w:val="24"/>
        </w:rPr>
        <w:t>（一）主要经验及做法</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_Toc23057 </w:instrText>
      </w:r>
      <w:r>
        <w:rPr>
          <w:rFonts w:ascii="Arial Narrow" w:hAnsi="Arial Narrow" w:cs="Arial Narrow"/>
          <w:bCs/>
          <w:sz w:val="24"/>
          <w:szCs w:val="24"/>
        </w:rPr>
        <w:fldChar w:fldCharType="separate"/>
      </w:r>
      <w:r>
        <w:rPr>
          <w:rFonts w:ascii="Arial Narrow" w:hAnsi="Arial Narrow" w:cs="Arial Narrow"/>
          <w:bCs/>
          <w:sz w:val="24"/>
          <w:szCs w:val="24"/>
        </w:rPr>
        <w:t>25</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"_Toc18936" </w:instrText>
      </w:r>
      <w:r>
        <w:fldChar w:fldCharType="separate"/>
      </w:r>
      <w:r>
        <w:rPr>
          <w:rFonts w:ascii="Arial Narrow" w:hAnsi="Arial Narrow" w:cs="Arial Narrow"/>
          <w:bCs/>
          <w:sz w:val="24"/>
          <w:szCs w:val="24"/>
        </w:rPr>
        <w:t>（二）存在的问题</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_Toc18936 </w:instrText>
      </w:r>
      <w:r>
        <w:rPr>
          <w:rFonts w:ascii="Arial Narrow" w:hAnsi="Arial Narrow" w:cs="Arial Narrow"/>
          <w:bCs/>
          <w:sz w:val="24"/>
          <w:szCs w:val="24"/>
        </w:rPr>
        <w:fldChar w:fldCharType="separate"/>
      </w:r>
      <w:r>
        <w:rPr>
          <w:rFonts w:ascii="Arial Narrow" w:hAnsi="Arial Narrow" w:cs="Arial Narrow"/>
          <w:bCs/>
          <w:sz w:val="24"/>
          <w:szCs w:val="24"/>
        </w:rPr>
        <w:t>25</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"_Toc18652" </w:instrText>
      </w:r>
      <w:r>
        <w:fldChar w:fldCharType="separate"/>
      </w:r>
      <w:r>
        <w:rPr>
          <w:rFonts w:ascii="Arial Narrow" w:hAnsi="Arial Narrow" w:cs="Arial Narrow"/>
          <w:bCs/>
          <w:sz w:val="24"/>
          <w:szCs w:val="24"/>
        </w:rPr>
        <w:t>（三）建议</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_Toc18652 </w:instrText>
      </w:r>
      <w:r>
        <w:rPr>
          <w:rFonts w:ascii="Arial Narrow" w:hAnsi="Arial Narrow" w:cs="Arial Narrow"/>
          <w:bCs/>
          <w:sz w:val="24"/>
          <w:szCs w:val="24"/>
        </w:rPr>
        <w:fldChar w:fldCharType="separate"/>
      </w:r>
      <w:r>
        <w:rPr>
          <w:rFonts w:ascii="Arial Narrow" w:hAnsi="Arial Narrow" w:cs="Arial Narrow"/>
          <w:bCs/>
          <w:sz w:val="24"/>
          <w:szCs w:val="24"/>
        </w:rPr>
        <w:t>26</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5"/>
        <w:tabs>
          <w:tab w:val="right" w:leader="dot" w:pos="8700"/>
        </w:tabs>
        <w:spacing w:before="0" w:after="0" w:line="480" w:lineRule="atLeast"/>
        <w:ind w:firstLine="562"/>
        <w:rPr>
          <w:rFonts w:ascii="Arial Narrow" w:hAnsi="Arial Narrow" w:cs="Arial Narrow"/>
          <w:b w:val="0"/>
          <w:sz w:val="24"/>
          <w:szCs w:val="24"/>
        </w:rPr>
      </w:pPr>
      <w:r>
        <w:fldChar w:fldCharType="begin"/>
      </w:r>
      <w:r>
        <w:instrText xml:space="preserve"> HYPERLINK \l "_Toc2454" </w:instrText>
      </w:r>
      <w:r>
        <w:fldChar w:fldCharType="separate"/>
      </w:r>
      <w:r>
        <w:rPr>
          <w:rFonts w:ascii="Arial Narrow" w:hAnsi="Arial Narrow" w:cs="Arial Narrow"/>
          <w:b w:val="0"/>
          <w:sz w:val="24"/>
          <w:szCs w:val="24"/>
        </w:rPr>
        <w:t>六、其他需说明的问题</w:t>
      </w:r>
      <w:r>
        <w:rPr>
          <w:rFonts w:ascii="Arial Narrow" w:hAnsi="Arial Narrow" w:cs="Arial Narrow"/>
          <w:b w:val="0"/>
          <w:sz w:val="24"/>
          <w:szCs w:val="24"/>
        </w:rPr>
        <w:tab/>
      </w:r>
      <w:r>
        <w:rPr>
          <w:rFonts w:ascii="Arial Narrow" w:hAnsi="Arial Narrow" w:cs="Arial Narrow"/>
          <w:b w:val="0"/>
          <w:sz w:val="24"/>
          <w:szCs w:val="24"/>
        </w:rPr>
        <w:fldChar w:fldCharType="begin"/>
      </w:r>
      <w:r>
        <w:rPr>
          <w:rFonts w:ascii="Arial Narrow" w:hAnsi="Arial Narrow" w:cs="Arial Narrow"/>
          <w:b w:val="0"/>
          <w:sz w:val="24"/>
          <w:szCs w:val="24"/>
        </w:rPr>
        <w:instrText xml:space="preserve"> PAGEREF _Toc2454 </w:instrText>
      </w:r>
      <w:r>
        <w:rPr>
          <w:rFonts w:ascii="Arial Narrow" w:hAnsi="Arial Narrow" w:cs="Arial Narrow"/>
          <w:b w:val="0"/>
          <w:sz w:val="24"/>
          <w:szCs w:val="24"/>
        </w:rPr>
        <w:fldChar w:fldCharType="separate"/>
      </w:r>
      <w:r>
        <w:rPr>
          <w:rFonts w:ascii="Arial Narrow" w:hAnsi="Arial Narrow" w:cs="Arial Narrow"/>
          <w:b w:val="0"/>
          <w:sz w:val="24"/>
          <w:szCs w:val="24"/>
        </w:rPr>
        <w:t>26</w:t>
      </w:r>
      <w:r>
        <w:rPr>
          <w:rFonts w:ascii="Arial Narrow" w:hAnsi="Arial Narrow" w:cs="Arial Narrow"/>
          <w:b w:val="0"/>
          <w:sz w:val="24"/>
          <w:szCs w:val="24"/>
        </w:rPr>
        <w:fldChar w:fldCharType="end"/>
      </w:r>
      <w:r>
        <w:rPr>
          <w:rFonts w:ascii="Arial Narrow" w:hAnsi="Arial Narrow" w:cs="Arial Narrow"/>
          <w:b w:val="0"/>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"_Toc21413" </w:instrText>
      </w:r>
      <w:r>
        <w:fldChar w:fldCharType="separate"/>
      </w:r>
      <w:r>
        <w:rPr>
          <w:rFonts w:ascii="Arial Narrow" w:hAnsi="Arial Narrow" w:cs="Arial Narrow"/>
          <w:bCs/>
          <w:sz w:val="24"/>
          <w:szCs w:val="24"/>
        </w:rPr>
        <w:t>（一）关于评价责任的说明</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_Toc21413 </w:instrText>
      </w:r>
      <w:r>
        <w:rPr>
          <w:rFonts w:ascii="Arial Narrow" w:hAnsi="Arial Narrow" w:cs="Arial Narrow"/>
          <w:bCs/>
          <w:sz w:val="24"/>
          <w:szCs w:val="24"/>
        </w:rPr>
        <w:fldChar w:fldCharType="separate"/>
      </w:r>
      <w:r>
        <w:rPr>
          <w:rFonts w:ascii="Arial Narrow" w:hAnsi="Arial Narrow" w:cs="Arial Narrow"/>
          <w:bCs/>
          <w:sz w:val="24"/>
          <w:szCs w:val="24"/>
        </w:rPr>
        <w:t>26</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"_Toc17267" </w:instrText>
      </w:r>
      <w:r>
        <w:fldChar w:fldCharType="separate"/>
      </w:r>
      <w:r>
        <w:rPr>
          <w:rFonts w:ascii="Arial Narrow" w:hAnsi="Arial Narrow" w:cs="Arial Narrow"/>
          <w:bCs/>
          <w:sz w:val="24"/>
          <w:szCs w:val="24"/>
        </w:rPr>
        <w:t>（二）关于本项目评价中局限性的说明</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_Toc17267 </w:instrText>
      </w:r>
      <w:r>
        <w:rPr>
          <w:rFonts w:ascii="Arial Narrow" w:hAnsi="Arial Narrow" w:cs="Arial Narrow"/>
          <w:bCs/>
          <w:sz w:val="24"/>
          <w:szCs w:val="24"/>
        </w:rPr>
        <w:fldChar w:fldCharType="separate"/>
      </w:r>
      <w:r>
        <w:rPr>
          <w:rFonts w:ascii="Arial Narrow" w:hAnsi="Arial Narrow" w:cs="Arial Narrow"/>
          <w:bCs/>
          <w:sz w:val="24"/>
          <w:szCs w:val="24"/>
        </w:rPr>
        <w:t>26</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pStyle w:val="18"/>
        <w:tabs>
          <w:tab w:val="right" w:leader="dot" w:pos="8700"/>
        </w:tabs>
        <w:spacing w:line="480" w:lineRule="atLeast"/>
        <w:ind w:firstLine="560"/>
        <w:rPr>
          <w:rFonts w:ascii="Arial Narrow" w:hAnsi="Arial Narrow" w:cs="Arial Narrow"/>
          <w:bCs/>
          <w:sz w:val="24"/>
          <w:szCs w:val="24"/>
        </w:rPr>
      </w:pPr>
      <w:r>
        <w:fldChar w:fldCharType="begin"/>
      </w:r>
      <w:r>
        <w:instrText xml:space="preserve"> HYPERLINK \l "_Toc29196" </w:instrText>
      </w:r>
      <w:r>
        <w:fldChar w:fldCharType="separate"/>
      </w:r>
      <w:r>
        <w:rPr>
          <w:rFonts w:ascii="Arial Narrow" w:hAnsi="Arial Narrow" w:cs="Arial Narrow"/>
          <w:bCs/>
          <w:sz w:val="24"/>
          <w:szCs w:val="24"/>
        </w:rPr>
        <w:t>附件：</w:t>
      </w:r>
      <w:r>
        <w:rPr>
          <w:rFonts w:ascii="Arial Narrow" w:hAnsi="Arial Narrow" w:cs="Arial Narrow"/>
          <w:bCs/>
          <w:sz w:val="24"/>
          <w:szCs w:val="24"/>
        </w:rPr>
        <w:tab/>
      </w:r>
      <w:r>
        <w:rPr>
          <w:rFonts w:ascii="Arial Narrow" w:hAnsi="Arial Narrow" w:cs="Arial Narrow"/>
          <w:bCs/>
          <w:sz w:val="24"/>
          <w:szCs w:val="24"/>
        </w:rPr>
        <w:fldChar w:fldCharType="begin"/>
      </w:r>
      <w:r>
        <w:rPr>
          <w:rFonts w:ascii="Arial Narrow" w:hAnsi="Arial Narrow" w:cs="Arial Narrow"/>
          <w:bCs/>
          <w:sz w:val="24"/>
          <w:szCs w:val="24"/>
        </w:rPr>
        <w:instrText xml:space="preserve"> PAGEREF _Toc29196 </w:instrText>
      </w:r>
      <w:r>
        <w:rPr>
          <w:rFonts w:ascii="Arial Narrow" w:hAnsi="Arial Narrow" w:cs="Arial Narrow"/>
          <w:bCs/>
          <w:sz w:val="24"/>
          <w:szCs w:val="24"/>
        </w:rPr>
        <w:fldChar w:fldCharType="separate"/>
      </w:r>
      <w:r>
        <w:rPr>
          <w:rFonts w:ascii="Arial Narrow" w:hAnsi="Arial Narrow" w:cs="Arial Narrow"/>
          <w:bCs/>
          <w:sz w:val="24"/>
          <w:szCs w:val="24"/>
        </w:rPr>
        <w:t>27</w:t>
      </w:r>
      <w:r>
        <w:rPr>
          <w:rFonts w:ascii="Arial Narrow" w:hAnsi="Arial Narrow" w:cs="Arial Narrow"/>
          <w:bCs/>
          <w:sz w:val="24"/>
          <w:szCs w:val="24"/>
        </w:rPr>
        <w:fldChar w:fldCharType="end"/>
      </w:r>
      <w:r>
        <w:rPr>
          <w:rFonts w:ascii="Arial Narrow" w:hAnsi="Arial Narrow" w:cs="Arial Narrow"/>
          <w:bCs/>
          <w:sz w:val="24"/>
          <w:szCs w:val="24"/>
        </w:rPr>
        <w:fldChar w:fldCharType="end"/>
      </w:r>
    </w:p>
    <w:p>
      <w:pPr>
        <w:snapToGrid w:val="0"/>
        <w:spacing w:line="480" w:lineRule="atLeast"/>
        <w:ind w:firstLine="0" w:firstLineChars="0"/>
        <w:jc w:val="center"/>
        <w:outlineLvl w:val="0"/>
        <w:rPr>
          <w:rFonts w:ascii="Arial Narrow" w:hAnsi="Arial Narrow" w:cs="Arial Narrow"/>
          <w:bCs/>
        </w:rPr>
        <w:sectPr>
          <w:headerReference r:id="rId5" w:type="first"/>
          <w:footerReference r:id="rId8" w:type="first"/>
          <w:headerReference r:id="rId3" w:type="default"/>
          <w:footerReference r:id="rId6" w:type="default"/>
          <w:headerReference r:id="rId4" w:type="even"/>
          <w:footerReference r:id="rId7" w:type="even"/>
          <w:pgSz w:w="11906" w:h="16838"/>
          <w:pgMar w:top="1440" w:right="1406" w:bottom="1089" w:left="1800" w:header="2041" w:footer="1134" w:gutter="0"/>
          <w:pgNumType w:start="1"/>
          <w:cols w:space="720" w:num="1"/>
          <w:docGrid w:type="lines" w:linePitch="408" w:charSpace="0"/>
        </w:sectPr>
      </w:pPr>
    </w:p>
    <w:p>
      <w:pPr>
        <w:snapToGrid w:val="0"/>
        <w:spacing w:line="480" w:lineRule="atLeast"/>
        <w:ind w:firstLine="480"/>
        <w:outlineLvl w:val="0"/>
        <w:rPr>
          <w:rFonts w:ascii="Arial Narrow" w:hAnsi="Arial Narrow" w:cs="Arial Narrow"/>
          <w:b/>
        </w:rPr>
      </w:pPr>
      <w:r>
        <w:rPr>
          <w:rFonts w:ascii="Arial Narrow" w:hAnsi="Arial Narrow" w:cs="Arial Narrow"/>
          <w:bCs/>
        </w:rPr>
        <w:fldChar w:fldCharType="end"/>
      </w:r>
      <w:bookmarkStart w:id="5" w:name="_Toc18329"/>
      <w:bookmarkStart w:id="6" w:name="_Toc3817"/>
      <w:r>
        <w:rPr>
          <w:rFonts w:ascii="Arial Narrow" w:hAnsi="Arial Narrow" w:cs="Arial Narrow"/>
          <w:b/>
        </w:rPr>
        <w:t>前言</w:t>
      </w:r>
      <w:bookmarkEnd w:id="0"/>
      <w:bookmarkEnd w:id="1"/>
      <w:bookmarkEnd w:id="2"/>
      <w:bookmarkEnd w:id="5"/>
      <w:bookmarkEnd w:id="6"/>
    </w:p>
    <w:p>
      <w:pPr>
        <w:snapToGrid w:val="0"/>
        <w:ind w:firstLine="482"/>
        <w:rPr>
          <w:rFonts w:ascii="Arial Narrow" w:hAnsi="Arial Narrow" w:cs="Arial Narrow"/>
          <w:b/>
          <w:bCs/>
        </w:rPr>
      </w:pPr>
      <w:r>
        <w:rPr>
          <w:rFonts w:ascii="Arial Narrow" w:hAnsi="Arial Narrow" w:cs="Arial Narrow"/>
          <w:b/>
          <w:bCs/>
        </w:rPr>
        <w:t>开展绩效评价的背景</w:t>
      </w:r>
    </w:p>
    <w:p>
      <w:pPr>
        <w:snapToGrid w:val="0"/>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其中，绩效评价是预算绩效管理的核心内容。</w:t>
      </w:r>
    </w:p>
    <w:p>
      <w:pPr>
        <w:snapToGrid w:val="0"/>
        <w:ind w:firstLine="480"/>
        <w:rPr>
          <w:rFonts w:ascii="Arial Narrow" w:hAnsi="Arial Narrow" w:cs="Arial Narrow"/>
        </w:rPr>
      </w:pPr>
      <w:r>
        <w:rPr>
          <w:rFonts w:ascii="Arial Narrow" w:hAnsi="Arial Narrow" w:cs="Arial Narrow"/>
        </w:rPr>
        <w:t>为贯彻落实我国财政部绩效管理工作的一系列规定，武昌区财政局根据《中华人民共和国预算法》、《武昌区人民政府关于加强预算绩效管理开展财政支出绩效评价的通知》（2014[052]号）、《武昌区财政支出绩效评价管理暂行办法》[武昌财预[2015]85号]等文件要求，财政部出台了《财政支出绩效评价管理暂行办法》（财预〔2011〕285号）、湖北省财政厅印发《湖北省财政项目资金绩效评价操作指南》的通知（鄂财函[2014]376号）、市政府印发《关于推进预算绩效管理的意见》(武政[2013]95号)、市财政局印发《武汉市预算绩效管理工作方案(2014-2015年)》（武财绩[2014]218号）等，随着各项制度的逐步完善，我省绩效评价体系和制度已步入常态。武昌区颁布的《武昌区财政支出绩效评价管理暂行办法》和</w:t>
      </w:r>
      <w:r>
        <w:rPr>
          <w:rFonts w:hint="eastAsia" w:ascii="Arial Narrow" w:hAnsi="Arial Narrow" w:cs="Arial Narrow"/>
        </w:rPr>
        <w:t>《武昌区财政局关于开展2018年区级财政支出绩效评价工作的通知》</w:t>
      </w:r>
      <w:r>
        <w:rPr>
          <w:rFonts w:ascii="Arial Narrow" w:hAnsi="Arial Narrow" w:cs="Arial Narrow"/>
        </w:rPr>
        <w:t>，为此次“区老年大学等工作经费项目”绩效评价的具体实施提供了指导，确保了绩效评价工作的顺利开展。</w:t>
      </w:r>
    </w:p>
    <w:p>
      <w:pPr>
        <w:snapToGrid w:val="0"/>
        <w:ind w:firstLine="482"/>
        <w:rPr>
          <w:rFonts w:ascii="Arial Narrow" w:hAnsi="Arial Narrow" w:cs="Arial Narrow"/>
          <w:b/>
          <w:bCs/>
        </w:rPr>
      </w:pPr>
      <w:r>
        <w:rPr>
          <w:rFonts w:ascii="Arial Narrow" w:hAnsi="Arial Narrow" w:cs="Arial Narrow"/>
          <w:b/>
          <w:bCs/>
        </w:rPr>
        <w:t>评价委托关系</w:t>
      </w:r>
    </w:p>
    <w:p>
      <w:pPr>
        <w:snapToGrid w:val="0"/>
        <w:ind w:firstLine="480"/>
        <w:rPr>
          <w:rFonts w:ascii="Arial Narrow" w:hAnsi="Arial Narrow" w:cs="Arial Narrow"/>
        </w:rPr>
      </w:pPr>
      <w:bookmarkStart w:id="7" w:name="_Toc8832"/>
      <w:r>
        <w:rPr>
          <w:rFonts w:hint="eastAsia" w:ascii="Arial Narrow" w:hAnsi="Arial Narrow"/>
        </w:rPr>
        <w:t>绩效</w:t>
      </w:r>
      <w:r>
        <w:rPr>
          <w:rFonts w:ascii="Arial Narrow" w:hAnsi="Arial Narrow"/>
        </w:rPr>
        <w:t>评价小组接受武昌区运行保障中心（以下简称“运保中心”）委托，从5月2日至5月14日，历时13天，投入</w:t>
      </w:r>
      <w:r>
        <w:rPr>
          <w:rFonts w:hint="eastAsia" w:ascii="Arial Narrow" w:hAnsi="Arial Narrow"/>
        </w:rPr>
        <w:t>4</w:t>
      </w:r>
      <w:r>
        <w:rPr>
          <w:rFonts w:ascii="Arial Narrow" w:hAnsi="Arial Narrow"/>
        </w:rPr>
        <w:t>人</w:t>
      </w:r>
      <w:r>
        <w:rPr>
          <w:rFonts w:ascii="Arial Narrow" w:hAnsi="Arial Narrow" w:cs="Arial Narrow"/>
        </w:rPr>
        <w:t>对</w:t>
      </w:r>
      <w:r>
        <w:rPr>
          <w:rFonts w:hint="eastAsia" w:ascii="Arial Narrow" w:hAnsi="Arial Narrow" w:cs="Arial Narrow"/>
        </w:rPr>
        <w:t>武昌区老年大学等</w:t>
      </w:r>
      <w:r>
        <w:rPr>
          <w:rFonts w:ascii="Arial Narrow" w:hAnsi="Arial Narrow" w:cs="Arial Narrow"/>
        </w:rPr>
        <w:t>工作经费项目情况进行绩效评价。</w:t>
      </w:r>
      <w:bookmarkEnd w:id="7"/>
    </w:p>
    <w:p>
      <w:pPr>
        <w:snapToGrid w:val="0"/>
        <w:ind w:firstLine="482"/>
        <w:outlineLvl w:val="0"/>
        <w:rPr>
          <w:rFonts w:ascii="Arial Narrow" w:hAnsi="Arial Narrow" w:cs="Arial Narrow"/>
          <w:b/>
          <w:bCs/>
        </w:rPr>
      </w:pPr>
      <w:bookmarkStart w:id="8" w:name="_Toc20014"/>
      <w:bookmarkStart w:id="9" w:name="_Toc387957799"/>
      <w:bookmarkStart w:id="10" w:name="_Toc361304672"/>
      <w:bookmarkStart w:id="11" w:name="_Toc387957800"/>
      <w:bookmarkStart w:id="12" w:name="_Toc361304673"/>
      <w:r>
        <w:rPr>
          <w:rFonts w:ascii="Arial Narrow" w:hAnsi="Arial Narrow" w:cs="Arial Narrow"/>
          <w:b/>
          <w:bCs/>
        </w:rPr>
        <w:t>一、项目基本情况</w:t>
      </w:r>
      <w:bookmarkEnd w:id="8"/>
    </w:p>
    <w:p>
      <w:pPr>
        <w:snapToGrid w:val="0"/>
        <w:ind w:firstLine="482"/>
        <w:outlineLvl w:val="1"/>
        <w:rPr>
          <w:rFonts w:ascii="Arial Narrow" w:hAnsi="Arial Narrow" w:cs="Arial Narrow"/>
          <w:b/>
          <w:bCs/>
        </w:rPr>
      </w:pPr>
      <w:bookmarkStart w:id="13" w:name="_Toc31490"/>
      <w:r>
        <w:rPr>
          <w:rFonts w:ascii="Arial Narrow" w:hAnsi="Arial Narrow" w:cs="Arial Narrow"/>
          <w:b/>
          <w:bCs/>
        </w:rPr>
        <w:t>（一）项目概况</w:t>
      </w:r>
      <w:bookmarkEnd w:id="13"/>
    </w:p>
    <w:p>
      <w:pPr>
        <w:snapToGrid w:val="0"/>
        <w:ind w:firstLine="482"/>
        <w:rPr>
          <w:rFonts w:ascii="Arial Narrow" w:hAnsi="Arial Narrow" w:cs="Arial Narrow"/>
          <w:b/>
          <w:bCs/>
        </w:rPr>
      </w:pPr>
      <w:r>
        <w:rPr>
          <w:rFonts w:ascii="Arial Narrow" w:hAnsi="Arial Narrow" w:cs="Arial Narrow"/>
          <w:b/>
          <w:bCs/>
        </w:rPr>
        <w:t>1.项目立项背景</w:t>
      </w:r>
      <w:bookmarkEnd w:id="9"/>
      <w:bookmarkEnd w:id="10"/>
    </w:p>
    <w:p>
      <w:pPr>
        <w:snapToGrid w:val="0"/>
        <w:ind w:firstLine="480"/>
        <w:rPr>
          <w:rFonts w:ascii="Arial Narrow" w:hAnsi="Arial Narrow" w:cs="Arial Narrow"/>
        </w:rPr>
      </w:pPr>
      <w:r>
        <w:rPr>
          <w:rFonts w:ascii="Arial Narrow" w:hAnsi="Arial Narrow" w:cs="Arial Narrow"/>
        </w:rPr>
        <w:t>1.1 项目立项依据</w:t>
      </w:r>
    </w:p>
    <w:p>
      <w:pPr>
        <w:snapToGrid w:val="0"/>
        <w:ind w:firstLine="480"/>
        <w:rPr>
          <w:rFonts w:ascii="Arial Narrow" w:hAnsi="Arial Narrow" w:cs="Arial Narrow"/>
        </w:rPr>
      </w:pPr>
      <w:r>
        <w:rPr>
          <w:rFonts w:ascii="Arial Narrow" w:hAnsi="Arial Narrow" w:cs="Arial Narrow"/>
        </w:rPr>
        <w:t>老年大学等工作经费项目主要包括老年大学工作经费项目和社保工作经费项目</w:t>
      </w:r>
      <w:r>
        <w:rPr>
          <w:rFonts w:hint="eastAsia" w:ascii="Arial Narrow" w:hAnsi="Arial Narrow" w:cs="Arial Narrow"/>
        </w:rPr>
        <w:t>，项目立项依据主要包括两个方面。一方面，</w:t>
      </w:r>
      <w:r>
        <w:rPr>
          <w:rFonts w:ascii="Arial Narrow" w:hAnsi="Arial Narrow" w:cs="Arial Narrow"/>
        </w:rPr>
        <w:t>老年教育是我国教育事业和老龄事业的重要组成部分</w:t>
      </w:r>
      <w:r>
        <w:rPr>
          <w:rFonts w:hint="eastAsia" w:ascii="Arial Narrow" w:hAnsi="Arial Narrow" w:cs="Arial Narrow"/>
        </w:rPr>
        <w:t>。</w:t>
      </w:r>
      <w:r>
        <w:rPr>
          <w:rFonts w:ascii="Arial Narrow" w:hAnsi="Arial Narrow" w:cs="Arial Narrow"/>
        </w:rPr>
        <w:t>发展老年教育</w:t>
      </w:r>
      <w:r>
        <w:rPr>
          <w:rFonts w:hint="eastAsia" w:ascii="Arial Narrow" w:hAnsi="Arial Narrow" w:cs="Arial Narrow"/>
        </w:rPr>
        <w:t>，</w:t>
      </w:r>
      <w:r>
        <w:rPr>
          <w:rFonts w:ascii="Arial Narrow" w:hAnsi="Arial Narrow" w:cs="Arial Narrow"/>
        </w:rPr>
        <w:t>是积极应对人口老龄化</w:t>
      </w:r>
      <w:r>
        <w:rPr>
          <w:rFonts w:hint="eastAsia" w:ascii="Arial Narrow" w:hAnsi="Arial Narrow" w:cs="Arial Narrow"/>
        </w:rPr>
        <w:t>、</w:t>
      </w:r>
      <w:r>
        <w:rPr>
          <w:rFonts w:ascii="Arial Narrow" w:hAnsi="Arial Narrow" w:cs="Arial Narrow"/>
        </w:rPr>
        <w:t>实现教育现代化</w:t>
      </w:r>
      <w:r>
        <w:rPr>
          <w:rFonts w:hint="eastAsia" w:ascii="Arial Narrow" w:hAnsi="Arial Narrow" w:cs="Arial Narrow"/>
        </w:rPr>
        <w:t>、</w:t>
      </w:r>
      <w:r>
        <w:rPr>
          <w:rFonts w:ascii="Arial Narrow" w:hAnsi="Arial Narrow" w:cs="Arial Narrow"/>
        </w:rPr>
        <w:t>建设学习型社会的重要举措</w:t>
      </w:r>
      <w:r>
        <w:rPr>
          <w:rFonts w:hint="eastAsia" w:ascii="Arial Narrow" w:hAnsi="Arial Narrow" w:cs="Arial Narrow"/>
        </w:rPr>
        <w:t>，</w:t>
      </w:r>
      <w:r>
        <w:rPr>
          <w:rFonts w:ascii="Arial Narrow" w:hAnsi="Arial Narrow" w:cs="Arial Narrow"/>
        </w:rPr>
        <w:t>是满足老年人多样化学习需求</w:t>
      </w:r>
      <w:r>
        <w:rPr>
          <w:rFonts w:hint="eastAsia" w:ascii="Arial Narrow" w:hAnsi="Arial Narrow" w:cs="Arial Narrow"/>
        </w:rPr>
        <w:t>、</w:t>
      </w:r>
      <w:r>
        <w:rPr>
          <w:rFonts w:ascii="Arial Narrow" w:hAnsi="Arial Narrow" w:cs="Arial Narrow"/>
        </w:rPr>
        <w:t>提升老年人生活品质</w:t>
      </w:r>
      <w:r>
        <w:rPr>
          <w:rFonts w:hint="eastAsia" w:ascii="Arial Narrow" w:hAnsi="Arial Narrow" w:cs="Arial Narrow"/>
        </w:rPr>
        <w:t>、</w:t>
      </w:r>
      <w:r>
        <w:rPr>
          <w:rFonts w:ascii="Arial Narrow" w:hAnsi="Arial Narrow" w:cs="Arial Narrow"/>
        </w:rPr>
        <w:t>促进社会和谐的必然要求</w:t>
      </w:r>
      <w:r>
        <w:rPr>
          <w:rFonts w:hint="eastAsia" w:ascii="Arial Narrow" w:hAnsi="Arial Narrow" w:cs="Arial Narrow"/>
        </w:rPr>
        <w:t>；另一方面，为了更好的践行一切以人民为中心，方便办事群众，武昌社保处积极响应武昌区打造15分钟社会保障服务圈，设立水果湖街、杨园街社保服务站，有派驻到街道行政服务中心的社保服务站进行后台统一业务指导、培训和经办，统筹布局，真正做到让居民出门15分钟就能办成事、办完事、办好事，探索出一条武昌特色的社保经办创新之路。</w:t>
      </w:r>
    </w:p>
    <w:p>
      <w:pPr>
        <w:snapToGrid w:val="0"/>
        <w:ind w:firstLine="480"/>
        <w:rPr>
          <w:rFonts w:ascii="Arial Narrow" w:hAnsi="Arial Narrow" w:cs="Arial Narrow"/>
        </w:rPr>
      </w:pPr>
      <w:r>
        <w:rPr>
          <w:rFonts w:ascii="Arial Narrow" w:hAnsi="Arial Narrow" w:cs="Arial Narrow"/>
        </w:rPr>
        <w:t>1.2 项目所属领域</w:t>
      </w:r>
    </w:p>
    <w:p>
      <w:pPr>
        <w:snapToGrid w:val="0"/>
        <w:ind w:firstLine="360" w:firstLineChars="150"/>
        <w:rPr>
          <w:rFonts w:ascii="Arial Narrow" w:hAnsi="Arial Narrow" w:cs="Arial Narrow"/>
        </w:rPr>
      </w:pPr>
      <w:r>
        <w:rPr>
          <w:rFonts w:ascii="Arial Narrow" w:hAnsi="Arial Narrow" w:cs="Arial Narrow"/>
        </w:rPr>
        <w:t>武昌区运保中心区老年大学等工作经费项目属于教育</w:t>
      </w:r>
      <w:r>
        <w:rPr>
          <w:rFonts w:hint="eastAsia" w:ascii="Arial Narrow" w:hAnsi="Arial Narrow" w:cs="Arial Narrow"/>
        </w:rPr>
        <w:t>和</w:t>
      </w:r>
      <w:r>
        <w:rPr>
          <w:rFonts w:ascii="Arial Narrow" w:hAnsi="Arial Narrow" w:cs="Arial Narrow"/>
        </w:rPr>
        <w:t>公共服务领域，主要任务是扩大老年教育资源供给</w:t>
      </w:r>
      <w:r>
        <w:rPr>
          <w:rFonts w:hint="eastAsia" w:ascii="Arial Narrow" w:hAnsi="Arial Narrow" w:cs="Arial Narrow"/>
        </w:rPr>
        <w:t>，</w:t>
      </w:r>
      <w:r>
        <w:rPr>
          <w:rFonts w:ascii="Arial Narrow" w:hAnsi="Arial Narrow" w:cs="Arial Narrow"/>
        </w:rPr>
        <w:t>拓展老年教育发展路径</w:t>
      </w:r>
      <w:r>
        <w:rPr>
          <w:rFonts w:hint="eastAsia" w:ascii="Arial Narrow" w:hAnsi="Arial Narrow" w:cs="Arial Narrow"/>
        </w:rPr>
        <w:t>，</w:t>
      </w:r>
      <w:r>
        <w:rPr>
          <w:rFonts w:ascii="Arial Narrow" w:hAnsi="Arial Narrow" w:cs="Arial Narrow"/>
        </w:rPr>
        <w:t>加强老年教育支持服务</w:t>
      </w:r>
      <w:r>
        <w:rPr>
          <w:rFonts w:hint="eastAsia" w:ascii="Arial Narrow" w:hAnsi="Arial Narrow" w:cs="Arial Narrow"/>
        </w:rPr>
        <w:t>，</w:t>
      </w:r>
      <w:r>
        <w:rPr>
          <w:rFonts w:ascii="Arial Narrow" w:hAnsi="Arial Narrow" w:cs="Arial Narrow"/>
        </w:rPr>
        <w:t>创新老年教育发展机制</w:t>
      </w:r>
      <w:r>
        <w:rPr>
          <w:rFonts w:hint="eastAsia" w:ascii="Arial Narrow" w:hAnsi="Arial Narrow" w:cs="Arial Narrow"/>
        </w:rPr>
        <w:t>，</w:t>
      </w:r>
      <w:r>
        <w:rPr>
          <w:rFonts w:ascii="Arial Narrow" w:hAnsi="Arial Narrow" w:cs="Arial Narrow"/>
        </w:rPr>
        <w:t>促进老年教育可持续发展</w:t>
      </w:r>
      <w:r>
        <w:rPr>
          <w:rFonts w:hint="eastAsia" w:ascii="Arial Narrow" w:hAnsi="Arial Narrow" w:cs="Arial Narrow"/>
        </w:rPr>
        <w:t>；</w:t>
      </w:r>
      <w:r>
        <w:rPr>
          <w:rFonts w:ascii="Arial Narrow" w:hAnsi="Arial Narrow" w:cs="Arial Narrow"/>
        </w:rPr>
        <w:t>规范业务操作流程</w:t>
      </w:r>
      <w:r>
        <w:rPr>
          <w:rFonts w:hint="eastAsia" w:ascii="Arial Narrow" w:hAnsi="Arial Narrow" w:cs="Arial Narrow"/>
        </w:rPr>
        <w:t>，</w:t>
      </w:r>
      <w:r>
        <w:rPr>
          <w:rFonts w:ascii="Arial Narrow" w:hAnsi="Arial Narrow" w:cs="Arial Narrow"/>
        </w:rPr>
        <w:t>形成机制</w:t>
      </w:r>
      <w:r>
        <w:rPr>
          <w:rFonts w:hint="eastAsia" w:ascii="Arial Narrow" w:hAnsi="Arial Narrow" w:cs="Arial Narrow"/>
        </w:rPr>
        <w:t>，</w:t>
      </w:r>
      <w:r>
        <w:rPr>
          <w:rFonts w:ascii="Arial Narrow" w:hAnsi="Arial Narrow" w:cs="Arial Narrow"/>
        </w:rPr>
        <w:t>不断提升街道行政事务服务中心的社保业务能力和经办水平</w:t>
      </w:r>
      <w:r>
        <w:rPr>
          <w:rFonts w:hint="eastAsia" w:ascii="Arial Narrow" w:hAnsi="Arial Narrow" w:cs="Arial Narrow"/>
        </w:rPr>
        <w:t>，</w:t>
      </w:r>
      <w:r>
        <w:rPr>
          <w:rFonts w:ascii="Arial Narrow" w:hAnsi="Arial Narrow" w:cs="Arial Narrow"/>
        </w:rPr>
        <w:t>提高街道事务中心工作人员业务素质</w:t>
      </w:r>
      <w:r>
        <w:rPr>
          <w:rFonts w:hint="eastAsia" w:ascii="Arial Narrow" w:hAnsi="Arial Narrow" w:cs="Arial Narrow"/>
        </w:rPr>
        <w:t>。</w:t>
      </w:r>
    </w:p>
    <w:p>
      <w:pPr>
        <w:snapToGrid w:val="0"/>
        <w:ind w:firstLine="480"/>
        <w:rPr>
          <w:rFonts w:ascii="Arial Narrow" w:hAnsi="Arial Narrow" w:cs="Arial Narrow"/>
        </w:rPr>
      </w:pPr>
      <w:r>
        <w:rPr>
          <w:rFonts w:ascii="Arial Narrow" w:hAnsi="Arial Narrow" w:cs="Arial Narrow"/>
        </w:rPr>
        <w:t>1.3 项目性质与特点</w:t>
      </w:r>
    </w:p>
    <w:p>
      <w:pPr>
        <w:snapToGrid w:val="0"/>
        <w:ind w:firstLine="480"/>
        <w:rPr>
          <w:rFonts w:ascii="Arial Narrow" w:hAnsi="Arial Narrow" w:cs="Arial Narrow"/>
        </w:rPr>
      </w:pPr>
      <w:r>
        <w:rPr>
          <w:rFonts w:ascii="Arial Narrow" w:hAnsi="Arial Narrow" w:cs="Arial Narrow"/>
        </w:rPr>
        <w:t>区老年大学等工作经费项目是在我国人口老龄化形式日趋严峻的背景下应运而生的</w:t>
      </w:r>
      <w:r>
        <w:rPr>
          <w:rFonts w:hint="eastAsia" w:ascii="Arial Narrow" w:hAnsi="Arial Narrow" w:cs="Arial Narrow"/>
        </w:rPr>
        <w:t>，</w:t>
      </w:r>
      <w:r>
        <w:rPr>
          <w:rFonts w:ascii="Arial Narrow" w:hAnsi="Arial Narrow" w:cs="Arial Narrow"/>
        </w:rPr>
        <w:t>特别是老年人的精神文化和学习需求增长较快</w:t>
      </w:r>
      <w:r>
        <w:rPr>
          <w:rFonts w:hint="eastAsia" w:ascii="Arial Narrow" w:hAnsi="Arial Narrow" w:cs="Arial Narrow"/>
        </w:rPr>
        <w:t>，</w:t>
      </w:r>
      <w:r>
        <w:rPr>
          <w:rFonts w:ascii="Arial Narrow" w:hAnsi="Arial Narrow" w:cs="Arial Narrow"/>
        </w:rPr>
        <w:t>发展老年教育的形势和任务更加紧迫；</w:t>
      </w:r>
      <w:r>
        <w:rPr>
          <w:rFonts w:hint="eastAsia" w:ascii="Arial Narrow" w:hAnsi="Arial Narrow" w:cs="Arial Narrow"/>
        </w:rPr>
        <w:t>社保</w:t>
      </w:r>
      <w:r>
        <w:rPr>
          <w:rFonts w:ascii="Arial Narrow" w:hAnsi="Arial Narrow" w:cs="Arial Narrow"/>
        </w:rPr>
        <w:t>站工作经费项目进一步明确了辖区</w:t>
      </w:r>
      <w:r>
        <w:rPr>
          <w:rFonts w:hint="eastAsia" w:ascii="Arial Narrow" w:hAnsi="Arial Narrow" w:cs="Arial Narrow"/>
        </w:rPr>
        <w:t>14条街道社保公共服务平台的业务操作，为居民提供更加高效、便捷的社会保险经办服务。</w:t>
      </w:r>
    </w:p>
    <w:p>
      <w:pPr>
        <w:snapToGrid w:val="0"/>
        <w:ind w:firstLine="480"/>
        <w:rPr>
          <w:rFonts w:ascii="Arial Narrow" w:hAnsi="Arial Narrow" w:cs="Arial Narrow"/>
        </w:rPr>
      </w:pPr>
      <w:r>
        <w:rPr>
          <w:rFonts w:ascii="Arial Narrow" w:hAnsi="Arial Narrow" w:cs="Arial Narrow"/>
        </w:rPr>
        <w:t>1.4 项目立项时所属领域状况</w:t>
      </w:r>
    </w:p>
    <w:p>
      <w:pPr>
        <w:snapToGrid w:val="0"/>
        <w:ind w:firstLine="480"/>
        <w:rPr>
          <w:rFonts w:ascii="Arial Narrow" w:hAnsi="Arial Narrow" w:cs="Arial Narrow"/>
        </w:rPr>
      </w:pPr>
      <w:r>
        <w:rPr>
          <w:rFonts w:hint="eastAsia" w:ascii="Arial Narrow" w:hAnsi="Arial Narrow" w:cs="Arial Narrow"/>
        </w:rPr>
        <w:t>当前我国已进入老龄化社会，我国老年教育还存在资源供给不足，城乡、区域间发展不平衡，保障机制不够健全，部门协调亟待加强，社会力量参与的深度和广度需进一步拓展等问题；街道社保类工作的业务培训力度有待加强，社保业务专业性强，各街都不同程度的出现了因工作人员业务水平不足而造成的失误，各街行政事务服务中心的社保业务经办能力还有待提高。</w:t>
      </w:r>
    </w:p>
    <w:bookmarkEnd w:id="11"/>
    <w:bookmarkEnd w:id="12"/>
    <w:p>
      <w:pPr>
        <w:snapToGrid w:val="0"/>
        <w:ind w:firstLine="482"/>
        <w:rPr>
          <w:rFonts w:ascii="Arial Narrow" w:hAnsi="Arial Narrow" w:cs="Arial Narrow"/>
          <w:b/>
          <w:bCs/>
        </w:rPr>
      </w:pPr>
      <w:r>
        <w:rPr>
          <w:rFonts w:ascii="Arial Narrow" w:hAnsi="Arial Narrow" w:cs="Arial Narrow"/>
          <w:b/>
          <w:bCs/>
        </w:rPr>
        <w:t>2. 基准日及评价历时</w:t>
      </w:r>
    </w:p>
    <w:p>
      <w:pPr>
        <w:snapToGrid w:val="0"/>
        <w:ind w:firstLine="480"/>
        <w:rPr>
          <w:rFonts w:ascii="Arial Narrow" w:hAnsi="Arial Narrow" w:cs="Arial Narrow"/>
        </w:rPr>
      </w:pPr>
      <w:bookmarkStart w:id="14" w:name="_Toc12794"/>
      <w:bookmarkStart w:id="15" w:name="_Toc387957801"/>
      <w:bookmarkStart w:id="16" w:name="_Toc361304674"/>
      <w:bookmarkStart w:id="17" w:name="_Toc406668025"/>
      <w:bookmarkStart w:id="18" w:name="_Toc406666352"/>
      <w:bookmarkStart w:id="19" w:name="_Toc10760"/>
      <w:r>
        <w:rPr>
          <w:rFonts w:ascii="Arial Narrow" w:hAnsi="Arial Narrow" w:cs="Arial Narrow"/>
        </w:rPr>
        <w:t>2.1 评价基准日：2017年12月31日</w:t>
      </w:r>
      <w:bookmarkEnd w:id="14"/>
    </w:p>
    <w:p>
      <w:pPr>
        <w:snapToGrid w:val="0"/>
        <w:ind w:firstLine="480"/>
        <w:rPr>
          <w:rFonts w:ascii="Arial Narrow" w:hAnsi="Arial Narrow" w:cs="Arial Narrow"/>
        </w:rPr>
      </w:pPr>
      <w:bookmarkStart w:id="20" w:name="_Toc13292"/>
      <w:r>
        <w:rPr>
          <w:rFonts w:ascii="Arial Narrow" w:hAnsi="Arial Narrow" w:cs="Arial Narrow"/>
        </w:rPr>
        <w:t>2.2 本次评价从2018年5月2日——2018年5月14日，历时13天</w:t>
      </w:r>
      <w:bookmarkEnd w:id="20"/>
    </w:p>
    <w:p>
      <w:pPr>
        <w:snapToGrid w:val="0"/>
        <w:ind w:firstLine="482"/>
        <w:rPr>
          <w:rFonts w:ascii="Arial Narrow" w:hAnsi="Arial Narrow" w:cs="Arial Narrow"/>
          <w:b/>
        </w:rPr>
      </w:pPr>
      <w:bookmarkStart w:id="21" w:name="_Toc10787"/>
      <w:r>
        <w:rPr>
          <w:rFonts w:ascii="Arial Narrow" w:hAnsi="Arial Narrow" w:cs="Arial Narrow"/>
          <w:b/>
        </w:rPr>
        <w:t>3．项目实施情况</w:t>
      </w:r>
      <w:bookmarkEnd w:id="21"/>
    </w:p>
    <w:p>
      <w:pPr>
        <w:snapToGrid w:val="0"/>
        <w:ind w:firstLine="480"/>
        <w:rPr>
          <w:rFonts w:ascii="Arial Narrow" w:hAnsi="Arial Narrow" w:cs="Arial Narrow"/>
        </w:rPr>
      </w:pPr>
      <w:bookmarkStart w:id="22" w:name="_Toc27596"/>
      <w:r>
        <w:rPr>
          <w:rFonts w:ascii="Arial Narrow" w:hAnsi="Arial Narrow" w:cs="Arial Narrow"/>
        </w:rPr>
        <w:t>（1）项目实施单位：</w:t>
      </w:r>
      <w:bookmarkEnd w:id="22"/>
      <w:r>
        <w:rPr>
          <w:rFonts w:ascii="Arial Narrow" w:hAnsi="Arial Narrow" w:cs="Arial Narrow"/>
        </w:rPr>
        <w:t>武昌区运行保障中心</w:t>
      </w:r>
    </w:p>
    <w:p>
      <w:pPr>
        <w:snapToGrid w:val="0"/>
        <w:ind w:firstLine="480"/>
        <w:rPr>
          <w:rFonts w:ascii="Arial Narrow" w:hAnsi="Arial Narrow" w:cs="Arial Narrow"/>
        </w:rPr>
      </w:pPr>
      <w:bookmarkStart w:id="23" w:name="_Toc12439"/>
      <w:r>
        <w:rPr>
          <w:rFonts w:ascii="Arial Narrow" w:hAnsi="Arial Narrow" w:cs="Arial Narrow"/>
        </w:rPr>
        <w:t>（2）项目实施周期与地点：2017年；武昌区老年大学及其五所分校</w:t>
      </w:r>
      <w:r>
        <w:rPr>
          <w:rFonts w:hint="eastAsia" w:ascii="Arial Narrow" w:hAnsi="Arial Narrow" w:cs="Arial Narrow"/>
        </w:rPr>
        <w:t>、</w:t>
      </w:r>
      <w:r>
        <w:rPr>
          <w:rFonts w:ascii="Arial Narrow" w:hAnsi="Arial Narrow" w:cs="Arial Narrow"/>
        </w:rPr>
        <w:t>武昌区14个街道</w:t>
      </w:r>
      <w:bookmarkEnd w:id="23"/>
    </w:p>
    <w:p>
      <w:pPr>
        <w:snapToGrid w:val="0"/>
        <w:ind w:firstLine="480"/>
        <w:rPr>
          <w:rFonts w:ascii="Arial Narrow" w:hAnsi="Arial Narrow" w:cs="Arial Narrow"/>
        </w:rPr>
      </w:pPr>
      <w:bookmarkStart w:id="24" w:name="_Toc8402"/>
      <w:r>
        <w:rPr>
          <w:rFonts w:ascii="Arial Narrow" w:hAnsi="Arial Narrow" w:cs="Arial Narrow"/>
        </w:rPr>
        <w:t>（3）项目主要内容：</w:t>
      </w:r>
      <w:bookmarkEnd w:id="24"/>
      <w:r>
        <w:rPr>
          <w:rFonts w:ascii="Arial Narrow" w:hAnsi="Arial Narrow" w:cs="Arial Narrow"/>
        </w:rPr>
        <w:t>区老年大学工作经费主要是</w:t>
      </w:r>
      <w:r>
        <w:rPr>
          <w:rFonts w:hint="eastAsia" w:ascii="Arial Narrow" w:hAnsi="Arial Narrow" w:cs="Arial Narrow"/>
        </w:rPr>
        <w:t>发放</w:t>
      </w:r>
      <w:r>
        <w:rPr>
          <w:rFonts w:ascii="Arial Narrow" w:hAnsi="Arial Narrow" w:cs="Arial Narrow"/>
        </w:rPr>
        <w:t>老年大学教师课酬和五所分校工作经费</w:t>
      </w:r>
      <w:r>
        <w:rPr>
          <w:rFonts w:hint="eastAsia" w:ascii="Arial Narrow" w:hAnsi="Arial Narrow" w:cs="Arial Narrow"/>
        </w:rPr>
        <w:t>，社保工作经费项目是发放杨园、水果湖社保工作站人员工资以及购置社保设备。</w:t>
      </w:r>
    </w:p>
    <w:p>
      <w:pPr>
        <w:snapToGrid w:val="0"/>
        <w:ind w:firstLine="480"/>
        <w:rPr>
          <w:rFonts w:ascii="Arial Narrow" w:hAnsi="Arial Narrow" w:cs="Arial Narrow"/>
        </w:rPr>
      </w:pPr>
      <w:r>
        <w:rPr>
          <w:rFonts w:ascii="Arial Narrow" w:hAnsi="Arial Narrow" w:cs="Arial Narrow"/>
        </w:rPr>
        <w:t>（4）项目完成概况：全部按预算要求完成</w:t>
      </w:r>
      <w:r>
        <w:rPr>
          <w:rFonts w:hint="eastAsia" w:ascii="Arial Narrow" w:hAnsi="Arial Narrow" w:cs="Arial Narrow"/>
        </w:rPr>
        <w:t>。</w:t>
      </w:r>
    </w:p>
    <w:p>
      <w:pPr>
        <w:snapToGrid w:val="0"/>
        <w:ind w:firstLine="482"/>
        <w:rPr>
          <w:rFonts w:ascii="Arial Narrow" w:hAnsi="Arial Narrow" w:cs="Arial Narrow"/>
          <w:b/>
        </w:rPr>
      </w:pPr>
      <w:bookmarkStart w:id="25" w:name="_Toc16506"/>
      <w:r>
        <w:rPr>
          <w:rFonts w:ascii="Arial Narrow" w:hAnsi="Arial Narrow" w:cs="Arial Narrow"/>
          <w:b/>
        </w:rPr>
        <w:t>4．项目经费来源和使用情况</w:t>
      </w:r>
      <w:bookmarkEnd w:id="25"/>
    </w:p>
    <w:p>
      <w:pPr>
        <w:snapToGrid w:val="0"/>
        <w:ind w:firstLine="480"/>
        <w:rPr>
          <w:rFonts w:ascii="Arial Narrow" w:hAnsi="Arial Narrow" w:cs="Arial Narrow"/>
        </w:rPr>
      </w:pPr>
      <w:bookmarkStart w:id="26" w:name="_Toc19433"/>
      <w:r>
        <w:rPr>
          <w:rFonts w:ascii="Arial Narrow" w:hAnsi="Arial Narrow" w:cs="Arial Narrow"/>
        </w:rPr>
        <w:t>（1）项目资金来源概况：</w:t>
      </w:r>
      <w:bookmarkEnd w:id="26"/>
      <w:r>
        <w:rPr>
          <w:rFonts w:ascii="Arial Narrow" w:hAnsi="Arial Narrow" w:cs="Arial Narrow"/>
        </w:rPr>
        <w:t>根据</w:t>
      </w:r>
      <w:r>
        <w:rPr>
          <w:rFonts w:hint="eastAsia" w:ascii="Arial Narrow" w:hAnsi="Arial Narrow" w:cs="Arial Narrow"/>
        </w:rPr>
        <w:t>《武昌区财政局关于武昌区机关运行保障中心2017年部门预算的批复》（武昌财预【2016】295号），项目预算资金341.00万元，实际到位341.00万元。</w:t>
      </w:r>
    </w:p>
    <w:p>
      <w:pPr>
        <w:snapToGrid w:val="0"/>
        <w:ind w:firstLine="439" w:firstLineChars="183"/>
        <w:rPr>
          <w:rFonts w:ascii="Arial Narrow" w:hAnsi="Arial Narrow" w:cs="Arial Narrow"/>
        </w:rPr>
      </w:pPr>
      <w:bookmarkStart w:id="27" w:name="_Toc30741"/>
      <w:r>
        <w:rPr>
          <w:rFonts w:ascii="Arial Narrow" w:hAnsi="Arial Narrow" w:cs="Arial Narrow"/>
        </w:rPr>
        <w:t>（2）项目资金使用概况</w:t>
      </w:r>
      <w:bookmarkEnd w:id="15"/>
      <w:bookmarkEnd w:id="16"/>
      <w:bookmarkEnd w:id="17"/>
      <w:bookmarkEnd w:id="18"/>
      <w:bookmarkEnd w:id="19"/>
      <w:bookmarkStart w:id="28" w:name="_Toc361302024"/>
      <w:bookmarkStart w:id="29" w:name="_Toc361303718"/>
      <w:bookmarkStart w:id="30" w:name="_Toc361304679"/>
      <w:bookmarkStart w:id="31" w:name="_Toc361304169"/>
      <w:bookmarkStart w:id="32" w:name="_Toc361304427"/>
      <w:r>
        <w:rPr>
          <w:rFonts w:ascii="Arial Narrow" w:hAnsi="Arial Narrow" w:cs="Arial Narrow"/>
        </w:rPr>
        <w:t>：</w:t>
      </w:r>
      <w:bookmarkEnd w:id="27"/>
      <w:r>
        <w:rPr>
          <w:rFonts w:ascii="Arial Narrow" w:hAnsi="Arial Narrow" w:cs="Arial Narrow"/>
        </w:rPr>
        <w:t>根据</w:t>
      </w:r>
      <w:r>
        <w:rPr>
          <w:rFonts w:hint="eastAsia" w:ascii="Arial Narrow" w:hAnsi="Arial Narrow" w:cs="Arial Narrow"/>
        </w:rPr>
        <w:t>资金支出明细表，区老年大学等工作经费项目到位资金341万元，实际使用（下拨）330.25万元，资金使用率为96.85%。</w:t>
      </w:r>
    </w:p>
    <w:bookmarkEnd w:id="28"/>
    <w:bookmarkEnd w:id="29"/>
    <w:bookmarkEnd w:id="30"/>
    <w:bookmarkEnd w:id="31"/>
    <w:bookmarkEnd w:id="32"/>
    <w:p>
      <w:pPr>
        <w:snapToGrid w:val="0"/>
        <w:ind w:firstLine="482"/>
        <w:outlineLvl w:val="1"/>
        <w:rPr>
          <w:rFonts w:ascii="Arial Narrow" w:hAnsi="Arial Narrow" w:cs="Arial Narrow"/>
          <w:b/>
          <w:bCs/>
        </w:rPr>
      </w:pPr>
      <w:bookmarkStart w:id="33" w:name="_Toc16847"/>
      <w:bookmarkStart w:id="34" w:name="_Toc7958"/>
      <w:bookmarkStart w:id="35" w:name="_Toc361304680"/>
      <w:bookmarkStart w:id="36" w:name="_Toc406668030"/>
      <w:bookmarkStart w:id="37" w:name="_Toc406666356"/>
      <w:bookmarkStart w:id="38" w:name="_Toc16351"/>
      <w:r>
        <w:rPr>
          <w:rFonts w:ascii="Arial Narrow" w:hAnsi="Arial Narrow" w:cs="Arial Narrow"/>
          <w:b/>
          <w:bCs/>
        </w:rPr>
        <w:t>（二）项目绩效目标</w:t>
      </w:r>
      <w:bookmarkEnd w:id="33"/>
      <w:bookmarkEnd w:id="34"/>
    </w:p>
    <w:bookmarkEnd w:id="35"/>
    <w:bookmarkEnd w:id="36"/>
    <w:bookmarkEnd w:id="37"/>
    <w:bookmarkEnd w:id="38"/>
    <w:p>
      <w:pPr>
        <w:snapToGrid w:val="0"/>
        <w:ind w:firstLine="480"/>
        <w:rPr>
          <w:rFonts w:ascii="Arial Narrow" w:hAnsi="Arial Narrow" w:cs="Arial Narrow"/>
          <w:bCs/>
        </w:rPr>
      </w:pPr>
      <w:bookmarkStart w:id="39" w:name="_Toc31845"/>
      <w:r>
        <w:rPr>
          <w:rFonts w:ascii="Arial Narrow" w:hAnsi="Arial Narrow" w:cs="Arial Narrow"/>
          <w:bCs/>
        </w:rPr>
        <w:t>1、项目立项设定绩效目标</w:t>
      </w:r>
      <w:bookmarkEnd w:id="39"/>
    </w:p>
    <w:p>
      <w:pPr>
        <w:snapToGrid w:val="0"/>
        <w:ind w:firstLine="480"/>
        <w:rPr>
          <w:rFonts w:ascii="Arial Narrow" w:hAnsi="Arial Narrow" w:cs="Arial Narrow"/>
          <w:bCs/>
        </w:rPr>
      </w:pPr>
      <w:r>
        <w:rPr>
          <w:rFonts w:ascii="Arial Narrow" w:hAnsi="Arial Narrow" w:cs="Arial Narrow"/>
        </w:rPr>
        <w:t>区老年大学等工作经费项目的绩效目标是</w:t>
      </w:r>
      <w:r>
        <w:rPr>
          <w:rFonts w:hint="eastAsia" w:ascii="Arial Narrow" w:hAnsi="Arial Narrow" w:cs="Arial Narrow"/>
        </w:rPr>
        <w:t>创建</w:t>
      </w:r>
      <w:r>
        <w:rPr>
          <w:rFonts w:ascii="Arial Narrow" w:hAnsi="Arial Narrow" w:cs="Arial Narrow"/>
        </w:rPr>
        <w:t>优秀班集体</w:t>
      </w:r>
      <w:r>
        <w:rPr>
          <w:rFonts w:hint="eastAsia" w:ascii="Arial Narrow" w:hAnsi="Arial Narrow" w:cs="Arial Narrow"/>
        </w:rPr>
        <w:t>，</w:t>
      </w:r>
      <w:r>
        <w:rPr>
          <w:rFonts w:ascii="Arial Narrow" w:hAnsi="Arial Narrow" w:cs="Arial Narrow"/>
        </w:rPr>
        <w:t>促进教风</w:t>
      </w:r>
      <w:r>
        <w:rPr>
          <w:rFonts w:hint="eastAsia" w:ascii="Arial Narrow" w:hAnsi="Arial Narrow" w:cs="Arial Narrow"/>
        </w:rPr>
        <w:t>、</w:t>
      </w:r>
      <w:r>
        <w:rPr>
          <w:rFonts w:ascii="Arial Narrow" w:hAnsi="Arial Narrow" w:cs="Arial Narrow"/>
        </w:rPr>
        <w:t>学风</w:t>
      </w:r>
      <w:r>
        <w:rPr>
          <w:rFonts w:hint="eastAsia" w:ascii="Arial Narrow" w:hAnsi="Arial Narrow" w:cs="Arial Narrow"/>
        </w:rPr>
        <w:t>、</w:t>
      </w:r>
      <w:r>
        <w:rPr>
          <w:rFonts w:ascii="Arial Narrow" w:hAnsi="Arial Narrow" w:cs="Arial Narrow"/>
        </w:rPr>
        <w:t>班风建设</w:t>
      </w:r>
      <w:r>
        <w:rPr>
          <w:rFonts w:hint="eastAsia" w:ascii="Arial Narrow" w:hAnsi="Arial Narrow" w:cs="Arial Narrow"/>
        </w:rPr>
        <w:t>，</w:t>
      </w:r>
      <w:r>
        <w:rPr>
          <w:rFonts w:ascii="Arial Narrow" w:hAnsi="Arial Narrow" w:cs="Arial Narrow"/>
        </w:rPr>
        <w:t>共建共享温馨和谐的文化养老校园</w:t>
      </w:r>
      <w:r>
        <w:rPr>
          <w:rFonts w:hint="eastAsia" w:ascii="Arial Narrow" w:hAnsi="Arial Narrow" w:cs="Arial Narrow"/>
        </w:rPr>
        <w:t>；健全社保公共服务网络后台业务处理机制，为参保群众提供更加高效、便捷的社会保险经办服务。</w:t>
      </w:r>
    </w:p>
    <w:p>
      <w:pPr>
        <w:snapToGrid w:val="0"/>
        <w:ind w:firstLine="480"/>
        <w:rPr>
          <w:rFonts w:ascii="Arial Narrow" w:hAnsi="Arial Narrow" w:cs="Arial Narrow"/>
        </w:rPr>
      </w:pPr>
      <w:bookmarkStart w:id="40" w:name="_Toc3631"/>
      <w:bookmarkStart w:id="41" w:name="_Toc5724"/>
      <w:bookmarkStart w:id="42" w:name="_Toc361304681"/>
      <w:bookmarkStart w:id="43" w:name="_Toc387957806"/>
      <w:r>
        <w:rPr>
          <w:rFonts w:ascii="Arial Narrow" w:hAnsi="Arial Narrow" w:cs="Arial Narrow"/>
        </w:rPr>
        <w:t>2、绩效目标完成情况</w:t>
      </w:r>
      <w:bookmarkEnd w:id="40"/>
      <w:bookmarkEnd w:id="41"/>
    </w:p>
    <w:p>
      <w:pPr>
        <w:snapToGrid w:val="0"/>
        <w:ind w:firstLine="480"/>
        <w:rPr>
          <w:rFonts w:ascii="Arial Narrow" w:hAnsi="Arial Narrow" w:cs="Arial Narrow"/>
          <w:b/>
        </w:rPr>
      </w:pPr>
      <w:r>
        <w:rPr>
          <w:rFonts w:ascii="Arial Narrow" w:hAnsi="Arial Narrow" w:cs="Arial Narrow"/>
        </w:rPr>
        <w:t>区老年大学等工作经费项目截止到绩效评价日，</w:t>
      </w:r>
      <w:bookmarkStart w:id="44" w:name="_Toc406668031"/>
      <w:bookmarkStart w:id="45" w:name="_Toc14372"/>
      <w:bookmarkStart w:id="46" w:name="_Toc406666357"/>
      <w:r>
        <w:rPr>
          <w:rFonts w:ascii="Arial Narrow" w:hAnsi="Arial Narrow" w:cs="Arial Narrow"/>
        </w:rPr>
        <w:t>教学</w:t>
      </w:r>
      <w:r>
        <w:rPr>
          <w:rFonts w:hint="eastAsia" w:ascii="Arial Narrow" w:hAnsi="Arial Narrow" w:cs="Arial Narrow"/>
        </w:rPr>
        <w:t>科</w:t>
      </w:r>
      <w:r>
        <w:rPr>
          <w:rFonts w:ascii="Arial Narrow" w:hAnsi="Arial Narrow" w:cs="Arial Narrow"/>
        </w:rPr>
        <w:t>研成效明显</w:t>
      </w:r>
      <w:r>
        <w:rPr>
          <w:rFonts w:hint="eastAsia" w:ascii="Arial Narrow" w:hAnsi="Arial Narrow" w:cs="Arial Narrow"/>
        </w:rPr>
        <w:t>，</w:t>
      </w:r>
      <w:r>
        <w:rPr>
          <w:rFonts w:ascii="Arial Narrow" w:hAnsi="Arial Narrow" w:cs="Arial Narrow"/>
        </w:rPr>
        <w:t>招生规模持续增长</w:t>
      </w:r>
      <w:r>
        <w:rPr>
          <w:rFonts w:hint="eastAsia" w:ascii="Arial Narrow" w:hAnsi="Arial Narrow" w:cs="Arial Narrow"/>
        </w:rPr>
        <w:t>，</w:t>
      </w:r>
      <w:r>
        <w:rPr>
          <w:rFonts w:ascii="Arial Narrow" w:hAnsi="Arial Narrow" w:cs="Arial Narrow"/>
        </w:rPr>
        <w:t>管理服务不断完善</w:t>
      </w:r>
      <w:r>
        <w:rPr>
          <w:rFonts w:hint="eastAsia" w:ascii="Arial Narrow" w:hAnsi="Arial Narrow" w:cs="Arial Narrow"/>
        </w:rPr>
        <w:t>，</w:t>
      </w:r>
      <w:r>
        <w:rPr>
          <w:rFonts w:ascii="Arial Narrow" w:hAnsi="Arial Narrow" w:cs="Arial Narrow"/>
        </w:rPr>
        <w:t>分校发展态势良好，共建共享温馨和谐的文化养老校园逐步形成广泛共识和自觉行动</w:t>
      </w:r>
      <w:r>
        <w:rPr>
          <w:rFonts w:hint="eastAsia" w:ascii="Arial Narrow" w:hAnsi="Arial Narrow" w:cs="Arial Narrow"/>
        </w:rPr>
        <w:t>；</w:t>
      </w:r>
      <w:r>
        <w:rPr>
          <w:rFonts w:ascii="Arial Narrow" w:hAnsi="Arial Narrow" w:cs="Arial Narrow"/>
        </w:rPr>
        <w:t>街道事务中心工作人员业务素质在不断提高</w:t>
      </w:r>
      <w:r>
        <w:rPr>
          <w:rFonts w:hint="eastAsia" w:ascii="Arial Narrow" w:hAnsi="Arial Narrow" w:cs="Arial Narrow"/>
        </w:rPr>
        <w:t>，</w:t>
      </w:r>
      <w:r>
        <w:rPr>
          <w:rFonts w:ascii="Arial Narrow" w:hAnsi="Arial Narrow" w:cs="Arial Narrow"/>
        </w:rPr>
        <w:t>收到居民的一致好评</w:t>
      </w:r>
      <w:r>
        <w:rPr>
          <w:rFonts w:hint="eastAsia" w:ascii="Arial Narrow" w:hAnsi="Arial Narrow" w:cs="Arial Narrow"/>
        </w:rPr>
        <w:t>，</w:t>
      </w:r>
      <w:r>
        <w:rPr>
          <w:rFonts w:ascii="Arial Narrow" w:hAnsi="Arial Narrow" w:cs="Arial Narrow"/>
        </w:rPr>
        <w:t>街道事务中心经办质量也在不断提高</w:t>
      </w:r>
      <w:r>
        <w:rPr>
          <w:rFonts w:hint="eastAsia" w:ascii="Arial Narrow" w:hAnsi="Arial Narrow" w:cs="Arial Narrow"/>
        </w:rPr>
        <w:t>。</w:t>
      </w:r>
    </w:p>
    <w:p>
      <w:pPr>
        <w:snapToGrid w:val="0"/>
        <w:ind w:firstLine="482"/>
        <w:outlineLvl w:val="0"/>
        <w:rPr>
          <w:rFonts w:ascii="Arial Narrow" w:hAnsi="Arial Narrow" w:cs="Arial Narrow"/>
          <w:b/>
        </w:rPr>
      </w:pPr>
      <w:bookmarkStart w:id="47" w:name="_Toc7670"/>
      <w:bookmarkStart w:id="48" w:name="_Toc5456"/>
      <w:r>
        <w:rPr>
          <w:rFonts w:ascii="Arial Narrow" w:hAnsi="Arial Narrow" w:cs="Arial Narrow"/>
          <w:b/>
        </w:rPr>
        <w:t>二、绩效评价工作情况</w:t>
      </w:r>
      <w:bookmarkEnd w:id="42"/>
      <w:bookmarkEnd w:id="43"/>
      <w:bookmarkEnd w:id="44"/>
      <w:bookmarkEnd w:id="45"/>
      <w:bookmarkEnd w:id="46"/>
      <w:bookmarkEnd w:id="47"/>
      <w:bookmarkEnd w:id="48"/>
      <w:bookmarkStart w:id="49" w:name="_Toc361304682"/>
    </w:p>
    <w:p>
      <w:pPr>
        <w:snapToGrid w:val="0"/>
        <w:ind w:firstLine="482"/>
        <w:outlineLvl w:val="1"/>
        <w:rPr>
          <w:rFonts w:ascii="Arial Narrow" w:hAnsi="Arial Narrow" w:cs="Arial Narrow"/>
          <w:b/>
          <w:bCs/>
        </w:rPr>
      </w:pPr>
      <w:bookmarkStart w:id="50" w:name="_Toc387957807"/>
      <w:bookmarkStart w:id="51" w:name="_Toc29064"/>
      <w:bookmarkStart w:id="52" w:name="_Toc11290"/>
      <w:bookmarkStart w:id="53" w:name="_Toc406666358"/>
      <w:bookmarkStart w:id="54" w:name="_Toc28296"/>
      <w:bookmarkStart w:id="55" w:name="_Toc406668032"/>
      <w:r>
        <w:rPr>
          <w:rFonts w:ascii="Arial Narrow" w:hAnsi="Arial Narrow" w:cs="Arial Narrow"/>
          <w:b/>
          <w:bCs/>
        </w:rPr>
        <w:t>（一）绩效评价目</w:t>
      </w:r>
      <w:bookmarkEnd w:id="49"/>
      <w:bookmarkEnd w:id="50"/>
      <w:r>
        <w:rPr>
          <w:rFonts w:ascii="Arial Narrow" w:hAnsi="Arial Narrow" w:cs="Arial Narrow"/>
          <w:b/>
          <w:bCs/>
        </w:rPr>
        <w:t>的</w:t>
      </w:r>
      <w:bookmarkEnd w:id="51"/>
      <w:bookmarkEnd w:id="52"/>
      <w:bookmarkEnd w:id="53"/>
      <w:bookmarkEnd w:id="54"/>
      <w:bookmarkEnd w:id="55"/>
    </w:p>
    <w:p>
      <w:pPr>
        <w:snapToGrid w:val="0"/>
        <w:ind w:firstLine="480"/>
        <w:rPr>
          <w:rFonts w:ascii="Arial Narrow" w:hAnsi="Arial Narrow" w:cs="Arial Narrow"/>
        </w:rPr>
      </w:pPr>
      <w:r>
        <w:rPr>
          <w:rFonts w:ascii="Arial Narrow" w:hAnsi="Arial Narrow" w:cs="Arial Narrow"/>
        </w:rPr>
        <w:t>为深化预算管理改革，进一步加强区老年大学等工作经费项目的管理，提高财政资金使用效益，根据《中华人民共和国预算法》、《财政支出绩效评价管理暂行办法》和国家有关财务规章制度，结合</w:t>
      </w:r>
      <w:r>
        <w:rPr>
          <w:rFonts w:ascii="Arial Narrow" w:hAnsi="Arial Narrow" w:cs="Arial Narrow"/>
          <w:bCs/>
        </w:rPr>
        <w:t>区老年大学等工作经费项目</w:t>
      </w:r>
      <w:r>
        <w:rPr>
          <w:rFonts w:ascii="Arial Narrow" w:hAnsi="Arial Narrow" w:cs="Arial Narrow"/>
        </w:rPr>
        <w:t>的具体情况，按照武昌区运行保障中心的总体部署，进行此次绩效评价。同时，本次绩效评价还力争实现以下目的：</w:t>
      </w:r>
    </w:p>
    <w:p>
      <w:pPr>
        <w:snapToGrid w:val="0"/>
        <w:ind w:firstLine="480"/>
        <w:rPr>
          <w:rFonts w:ascii="Arial Narrow" w:hAnsi="Arial Narrow" w:cs="Arial Narrow"/>
        </w:rPr>
      </w:pPr>
      <w:r>
        <w:rPr>
          <w:rFonts w:ascii="Arial Narrow" w:hAnsi="Arial Narrow" w:cs="Arial Narrow"/>
        </w:rPr>
        <w:t>1、按照武昌区财政局项目资金管理要求，设计合理的指标体系和评价标准，采取科学规范的评价方法，对“区老年大学等工作经费项目”从项目决策到项目绩效的全过程进行科学、客观、公正的评价，为合理分配资金、优化支出提供依据。</w:t>
      </w:r>
    </w:p>
    <w:p>
      <w:pPr>
        <w:snapToGrid w:val="0"/>
        <w:ind w:firstLine="480"/>
        <w:rPr>
          <w:rFonts w:ascii="Arial Narrow" w:hAnsi="Arial Narrow" w:cs="仿宋_GB2312"/>
        </w:rPr>
      </w:pPr>
      <w:r>
        <w:rPr>
          <w:rFonts w:hint="eastAsia" w:ascii="Arial Narrow" w:hAnsi="Arial Narrow" w:cs="仿宋_GB2312"/>
        </w:rPr>
        <w:t>2、通过绩效评价为合理分配资金、优化支出提供依据，也为逐步建立“预算编制有目标，预算执行有监控，预算完成有评价，评价结果有反馈，反馈结果有应用”的绩效评价机制提供决策依据。</w:t>
      </w:r>
    </w:p>
    <w:p>
      <w:pPr>
        <w:snapToGrid w:val="0"/>
        <w:ind w:firstLine="480"/>
        <w:rPr>
          <w:rFonts w:ascii="Arial Narrow" w:hAnsi="Arial Narrow" w:cs="Arial Narrow"/>
        </w:rPr>
      </w:pPr>
      <w:r>
        <w:rPr>
          <w:rFonts w:ascii="Arial Narrow" w:hAnsi="Arial Narrow" w:cs="Arial Narrow"/>
        </w:rPr>
        <w:t>3、通过绩效评价总结前一年度项目实施的经验教训，为进一步加强公益服务项目管理，提高项目建设水平，发挥财政资金效益提供重要的参考依据，也为将来公益服务项目提供借鉴。</w:t>
      </w:r>
    </w:p>
    <w:p>
      <w:pPr>
        <w:snapToGrid w:val="0"/>
        <w:ind w:firstLine="482"/>
        <w:jc w:val="left"/>
        <w:outlineLvl w:val="1"/>
        <w:rPr>
          <w:rFonts w:ascii="Arial Narrow" w:hAnsi="Arial Narrow" w:cs="Arial Narrow"/>
          <w:b/>
          <w:bCs/>
        </w:rPr>
      </w:pPr>
      <w:bookmarkStart w:id="56" w:name="_Toc10671"/>
      <w:bookmarkStart w:id="57" w:name="_Toc32197"/>
      <w:bookmarkStart w:id="58" w:name="_Toc32317"/>
      <w:bookmarkStart w:id="59" w:name="_Toc361302025"/>
      <w:bookmarkStart w:id="60" w:name="_Toc406668033"/>
      <w:bookmarkStart w:id="61" w:name="_Toc361304684"/>
      <w:bookmarkStart w:id="62" w:name="_Toc406666359"/>
      <w:bookmarkStart w:id="63" w:name="_Toc387957809"/>
      <w:r>
        <w:rPr>
          <w:rFonts w:ascii="Arial Narrow" w:hAnsi="Arial Narrow" w:cs="Arial Narrow"/>
          <w:b/>
          <w:bCs/>
        </w:rPr>
        <w:t>（二）绩效评价工作过程</w:t>
      </w:r>
      <w:bookmarkEnd w:id="56"/>
      <w:bookmarkEnd w:id="57"/>
      <w:bookmarkEnd w:id="58"/>
    </w:p>
    <w:p>
      <w:pPr>
        <w:snapToGrid w:val="0"/>
        <w:ind w:firstLine="482"/>
        <w:jc w:val="center"/>
        <w:rPr>
          <w:rFonts w:ascii="Arial Narrow" w:hAnsi="Arial Narrow" w:cs="Arial Narrow"/>
          <w:b/>
          <w:bCs/>
        </w:rPr>
      </w:pPr>
      <w:r>
        <w:rPr>
          <w:rFonts w:ascii="Arial Narrow" w:hAnsi="Arial Narrow" w:cs="Arial Narrow"/>
          <w:b/>
        </w:rPr>
        <w:drawing>
          <wp:inline distT="0" distB="0" distL="0" distR="0">
            <wp:extent cx="4876800" cy="24193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rcRect/>
                    <a:stretch>
                      <a:fillRect/>
                    </a:stretch>
                  </pic:blipFill>
                  <pic:spPr>
                    <a:xfrm>
                      <a:off x="0" y="0"/>
                      <a:ext cx="4876800" cy="2419350"/>
                    </a:xfrm>
                    <a:prstGeom prst="rect">
                      <a:avLst/>
                    </a:prstGeom>
                    <a:noFill/>
                    <a:ln w="9525">
                      <a:noFill/>
                      <a:miter lim="800000"/>
                      <a:headEnd/>
                      <a:tailEnd/>
                    </a:ln>
                  </pic:spPr>
                </pic:pic>
              </a:graphicData>
            </a:graphic>
          </wp:inline>
        </w:drawing>
      </w:r>
    </w:p>
    <w:p>
      <w:pPr>
        <w:snapToGrid w:val="0"/>
        <w:ind w:firstLine="480"/>
        <w:rPr>
          <w:rFonts w:ascii="Arial Narrow" w:hAnsi="Arial Narrow" w:cs="Arial Narrow"/>
        </w:rPr>
      </w:pPr>
      <w:bookmarkStart w:id="64" w:name="_Toc4102"/>
      <w:r>
        <w:rPr>
          <w:rFonts w:ascii="Arial Narrow" w:hAnsi="Arial Narrow" w:cs="Arial Narrow"/>
        </w:rPr>
        <w:t>（1）前期准备工作内容；</w:t>
      </w:r>
      <w:bookmarkEnd w:id="64"/>
    </w:p>
    <w:p>
      <w:pPr>
        <w:snapToGrid w:val="0"/>
        <w:ind w:firstLine="480"/>
        <w:rPr>
          <w:rFonts w:ascii="Arial Narrow" w:hAnsi="Arial Narrow" w:cs="Arial Narrow"/>
        </w:rPr>
      </w:pPr>
      <w:r>
        <w:rPr>
          <w:rFonts w:ascii="Arial Narrow" w:hAnsi="Arial Narrow" w:cs="Arial Narrow"/>
        </w:rPr>
        <w:t>首先，查阅项目的相关文件。通过查阅区老年大学等工作经费项目的《武昌区财政局关于武昌区机关运行保障中心2017年部门预算的批复》（武昌财预【2016】295号）、区老年大学等工作经费项目资金计划表、项目支出明细表、项目资金变更报告等资料，结合《武昌区财政支出绩效评价管理暂行办法》和</w:t>
      </w:r>
      <w:r>
        <w:rPr>
          <w:rFonts w:hint="eastAsia" w:ascii="Arial Narrow" w:hAnsi="Arial Narrow" w:cs="Arial Narrow"/>
        </w:rPr>
        <w:t>《武昌区财政局关于开展2018年区级财政支出绩效评价工作的通知》</w:t>
      </w:r>
      <w:r>
        <w:rPr>
          <w:rFonts w:ascii="Arial Narrow" w:hAnsi="Arial Narrow" w:cs="Arial Narrow"/>
        </w:rPr>
        <w:t>的要求，绩效评价工作小组充分熟悉项目背景、项目内容、项目活动等信息，这为绩效评价工作小组后续制定绩效评价方案奠定了基础。</w:t>
      </w:r>
    </w:p>
    <w:p>
      <w:pPr>
        <w:snapToGrid w:val="0"/>
        <w:ind w:firstLine="480"/>
        <w:rPr>
          <w:rFonts w:ascii="Arial Narrow" w:hAnsi="Arial Narrow" w:cs="Arial Narrow"/>
        </w:rPr>
      </w:pPr>
      <w:r>
        <w:rPr>
          <w:rFonts w:ascii="Arial Narrow" w:hAnsi="Arial Narrow" w:cs="Arial Narrow"/>
        </w:rPr>
        <w:t>其次，根据项目具体情况设定共性指标与个性指标相结合的绩效评价指标体系。 “</w:t>
      </w:r>
      <w:r>
        <w:rPr>
          <w:rFonts w:ascii="Arial Narrow" w:hAnsi="Arial Narrow" w:cs="Arial Narrow"/>
          <w:bCs/>
        </w:rPr>
        <w:t>区老年大学等工作经费项目</w:t>
      </w:r>
      <w:r>
        <w:rPr>
          <w:rFonts w:ascii="Arial Narrow" w:hAnsi="Arial Narrow" w:cs="Arial Narrow"/>
        </w:rPr>
        <w:t>”绩效评价指标体系由4个一级指标、6个二级指标、2</w:t>
      </w:r>
      <w:r>
        <w:rPr>
          <w:rFonts w:hint="eastAsia" w:ascii="Arial Narrow" w:hAnsi="Arial Narrow" w:cs="Arial Narrow"/>
        </w:rPr>
        <w:t>4</w:t>
      </w:r>
      <w:r>
        <w:rPr>
          <w:rFonts w:ascii="Arial Narrow" w:hAnsi="Arial Narrow" w:cs="Arial Narrow"/>
        </w:rPr>
        <w:t>个三级指标构成。其中定性定量指标相结合，量化程度较高。</w:t>
      </w:r>
    </w:p>
    <w:p>
      <w:pPr>
        <w:snapToGrid w:val="0"/>
        <w:ind w:firstLine="480"/>
        <w:rPr>
          <w:rFonts w:ascii="Arial Narrow" w:hAnsi="Arial Narrow" w:cs="Arial Narrow"/>
        </w:rPr>
      </w:pPr>
      <w:r>
        <w:rPr>
          <w:rFonts w:ascii="Arial Narrow" w:hAnsi="Arial Narrow" w:cs="Arial Narrow"/>
        </w:rPr>
        <w:t>第三，设计绩效评价指标体系和评分标准。项目小组与武昌区运保中心就“</w:t>
      </w:r>
      <w:r>
        <w:rPr>
          <w:rFonts w:ascii="Arial Narrow" w:hAnsi="Arial Narrow" w:cs="Arial Narrow"/>
          <w:bCs/>
        </w:rPr>
        <w:t>区老年大学等工作经费项目</w:t>
      </w:r>
      <w:r>
        <w:rPr>
          <w:rFonts w:ascii="Arial Narrow" w:hAnsi="Arial Narrow" w:cs="Arial Narrow"/>
        </w:rPr>
        <w:t>”绩效评价相关事项进行了充分的讨论与研究，制定了绩效评价指标体系和评分标准。</w:t>
      </w:r>
    </w:p>
    <w:p>
      <w:pPr>
        <w:snapToGrid w:val="0"/>
        <w:ind w:firstLine="480"/>
        <w:rPr>
          <w:rFonts w:ascii="Arial Narrow" w:hAnsi="Arial Narrow" w:cs="Arial Narrow"/>
        </w:rPr>
      </w:pPr>
      <w:r>
        <w:rPr>
          <w:rFonts w:ascii="Arial Narrow" w:hAnsi="Arial Narrow" w:cs="Arial Narrow"/>
        </w:rPr>
        <w:t>最后，制定项目实施方案。实施方案明确了评价对象、依据、评价方法、评分办法、实施步骤、评价人员及分工等。实施方案对绩效评价工作小组具体工作内容和时间进一步细化，保证评价工作顺利开展。同时，为了保证得出科学、合理、公正的评价结果，绩效评价工作小组制定了专门的调查问卷、基础数据表、访谈大纲和资料清单，帮助绩效评价工作小组在报告后期对调查问卷、基础数据表和访谈记录等进行分析汇总。</w:t>
      </w:r>
    </w:p>
    <w:p>
      <w:pPr>
        <w:snapToGrid w:val="0"/>
        <w:ind w:firstLine="480"/>
        <w:rPr>
          <w:rFonts w:ascii="Arial Narrow" w:hAnsi="Arial Narrow" w:cs="Arial Narrow"/>
        </w:rPr>
      </w:pPr>
      <w:bookmarkStart w:id="65" w:name="_Toc7939"/>
      <w:r>
        <w:rPr>
          <w:rFonts w:ascii="Arial Narrow" w:hAnsi="Arial Narrow" w:cs="Arial Narrow"/>
        </w:rPr>
        <w:t>（2）组织实施过程内容</w:t>
      </w:r>
      <w:bookmarkEnd w:id="65"/>
    </w:p>
    <w:p>
      <w:pPr>
        <w:snapToGrid w:val="0"/>
        <w:ind w:firstLine="480"/>
        <w:rPr>
          <w:rFonts w:ascii="Arial Narrow" w:hAnsi="Arial Narrow" w:cs="Arial Narrow"/>
        </w:rPr>
      </w:pPr>
      <w:bookmarkStart w:id="66" w:name="_Toc20019"/>
      <w:r>
        <w:rPr>
          <w:rFonts w:ascii="Arial Narrow" w:hAnsi="Arial Narrow" w:cs="Arial Narrow"/>
        </w:rPr>
        <w:t>根据制定的绩效评价工作方案，绩效评价工作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bookmarkEnd w:id="66"/>
    </w:p>
    <w:p>
      <w:pPr>
        <w:snapToGrid w:val="0"/>
        <w:ind w:firstLine="480"/>
        <w:rPr>
          <w:rFonts w:ascii="Arial Narrow" w:hAnsi="Arial Narrow" w:cs="Arial Narrow"/>
        </w:rPr>
      </w:pPr>
      <w:bookmarkStart w:id="67" w:name="_Toc28831"/>
      <w:r>
        <w:rPr>
          <w:rFonts w:ascii="Arial Narrow" w:hAnsi="Arial Narrow" w:cs="Arial Narrow"/>
        </w:rPr>
        <w:t>（3）分析评价工作内容</w:t>
      </w:r>
      <w:bookmarkEnd w:id="67"/>
    </w:p>
    <w:p>
      <w:pPr>
        <w:snapToGrid w:val="0"/>
        <w:ind w:firstLine="480"/>
        <w:rPr>
          <w:rFonts w:ascii="Arial Narrow" w:hAnsi="Arial Narrow" w:cs="Arial Narrow"/>
        </w:rPr>
      </w:pPr>
      <w:r>
        <w:rPr>
          <w:rFonts w:ascii="Arial Narrow" w:hAnsi="Arial Narrow"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pPr>
        <w:snapToGrid w:val="0"/>
        <w:ind w:firstLine="482"/>
        <w:jc w:val="left"/>
        <w:outlineLvl w:val="1"/>
        <w:rPr>
          <w:rFonts w:ascii="Arial Narrow" w:hAnsi="Arial Narrow" w:cs="Arial Narrow"/>
          <w:b/>
        </w:rPr>
      </w:pPr>
      <w:bookmarkStart w:id="68" w:name="_Toc7634"/>
      <w:r>
        <w:rPr>
          <w:rFonts w:ascii="Arial Narrow" w:hAnsi="Arial Narrow" w:cs="Arial Narrow"/>
          <w:b/>
        </w:rPr>
        <w:t>（三）绩效评价框架</w:t>
      </w:r>
      <w:bookmarkEnd w:id="68"/>
    </w:p>
    <w:p>
      <w:pPr>
        <w:snapToGrid w:val="0"/>
        <w:ind w:firstLine="482"/>
        <w:jc w:val="left"/>
        <w:rPr>
          <w:rFonts w:ascii="Arial Narrow" w:hAnsi="Arial Narrow" w:cs="Arial Narrow"/>
          <w:b/>
        </w:rPr>
      </w:pPr>
      <w:r>
        <w:rPr>
          <w:rFonts w:ascii="Arial Narrow" w:hAnsi="Arial Narrow" w:cs="Arial Narrow"/>
          <w:b/>
        </w:rPr>
        <w:t>1.评价原则</w:t>
      </w:r>
    </w:p>
    <w:p>
      <w:pPr>
        <w:snapToGrid w:val="0"/>
        <w:ind w:firstLine="482"/>
        <w:jc w:val="left"/>
        <w:rPr>
          <w:rFonts w:ascii="Arial Narrow" w:hAnsi="Arial Narrow" w:cs="Arial Narrow"/>
          <w:b/>
        </w:rPr>
      </w:pPr>
      <w:r>
        <w:rPr>
          <w:rFonts w:ascii="Arial Narrow" w:hAnsi="Arial Narrow" w:cs="Arial Narrow"/>
          <w:b/>
        </w:rPr>
        <w:drawing>
          <wp:inline distT="0" distB="0" distL="0" distR="0">
            <wp:extent cx="4895850" cy="1155700"/>
            <wp:effectExtent l="57150" t="0" r="76200" b="0"/>
            <wp:docPr id="2"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snapToGrid w:val="0"/>
        <w:ind w:firstLine="480"/>
        <w:jc w:val="left"/>
        <w:rPr>
          <w:rFonts w:ascii="Arial Narrow" w:hAnsi="Arial Narrow" w:cs="Arial Narrow"/>
        </w:rPr>
      </w:pPr>
      <w:r>
        <w:rPr>
          <w:rFonts w:ascii="Arial Narrow" w:hAnsi="Arial Narrow" w:cs="Arial Narrow"/>
        </w:rPr>
        <w:t>本次绩效评价，我们遵循相关性原则、重要性原则、可比性原则、系统性原则、经济性原则。</w:t>
      </w:r>
    </w:p>
    <w:p>
      <w:pPr>
        <w:snapToGrid w:val="0"/>
        <w:ind w:firstLine="480"/>
        <w:jc w:val="left"/>
        <w:rPr>
          <w:rFonts w:ascii="Arial Narrow" w:hAnsi="Arial Narrow" w:cs="Arial Narrow"/>
        </w:rPr>
      </w:pPr>
      <w:r>
        <w:rPr>
          <w:rFonts w:ascii="Arial Narrow" w:hAnsi="Arial Narrow" w:cs="Arial Narrow"/>
        </w:rPr>
        <w:t>（1）相关性原则。绩效评价指标应当与绩效目标有直接的联系，能够恰当反映目标的实现程度。</w:t>
      </w:r>
    </w:p>
    <w:p>
      <w:pPr>
        <w:snapToGrid w:val="0"/>
        <w:ind w:firstLine="480"/>
        <w:jc w:val="left"/>
        <w:rPr>
          <w:rFonts w:ascii="Arial Narrow" w:hAnsi="Arial Narrow" w:cs="Arial Narrow"/>
        </w:rPr>
      </w:pPr>
      <w:r>
        <w:rPr>
          <w:rFonts w:ascii="Arial Narrow" w:hAnsi="Arial Narrow" w:cs="Arial Narrow"/>
        </w:rPr>
        <w:t>（2）重要性原则。应当优先使用最具评价对象代表性、最能反映评价要求的核心指标。</w:t>
      </w:r>
    </w:p>
    <w:p>
      <w:pPr>
        <w:snapToGrid w:val="0"/>
        <w:ind w:firstLine="480"/>
        <w:rPr>
          <w:rFonts w:ascii="Arial Narrow" w:hAnsi="Arial Narrow" w:cs="Arial Narrow"/>
        </w:rPr>
      </w:pPr>
      <w:r>
        <w:rPr>
          <w:rFonts w:ascii="Arial Narrow" w:hAnsi="Arial Narrow" w:cs="Arial Narrow"/>
        </w:rPr>
        <w:t>（3）可比性原则。对同类评价对象要设定共性的绩效评价指标，以便于评价结果可以相互比较。资金使用率等指标按照可比性原则制定。</w:t>
      </w:r>
    </w:p>
    <w:p>
      <w:pPr>
        <w:snapToGrid w:val="0"/>
        <w:ind w:firstLine="480"/>
        <w:jc w:val="left"/>
        <w:rPr>
          <w:rFonts w:ascii="Arial Narrow" w:hAnsi="Arial Narrow" w:cs="Arial Narrow"/>
        </w:rPr>
      </w:pPr>
      <w:r>
        <w:rPr>
          <w:rFonts w:ascii="Arial Narrow" w:hAnsi="Arial Narrow" w:cs="Arial Narrow"/>
        </w:rPr>
        <w:t>（4）系统性原则。绩效评价指标的设置应当将定量指标与定性指标相结合，能系统反映财政支出所产生的社会效益和可持续影响等。</w:t>
      </w:r>
    </w:p>
    <w:p>
      <w:pPr>
        <w:snapToGrid w:val="0"/>
        <w:ind w:firstLine="480"/>
        <w:jc w:val="left"/>
        <w:rPr>
          <w:rFonts w:ascii="Arial Narrow" w:hAnsi="Arial Narrow" w:cs="Arial Narrow"/>
        </w:rPr>
      </w:pPr>
      <w:r>
        <w:rPr>
          <w:rFonts w:ascii="Arial Narrow" w:hAnsi="Arial Narrow" w:cs="Arial Narrow"/>
        </w:rPr>
        <w:t>（5）经济性原则。绩效评价指标设计应当通俗易懂、简便易行，数据的获得应当考虑现实条件和可操作性，符合成本效益原则。</w:t>
      </w:r>
      <w:r>
        <w:rPr>
          <w:rFonts w:hint="eastAsia" w:ascii="Arial Narrow" w:hAnsi="Arial Narrow" w:cs="Arial Narrow"/>
        </w:rPr>
        <w:t>资金使用率</w:t>
      </w:r>
      <w:r>
        <w:rPr>
          <w:rFonts w:ascii="Arial Narrow" w:hAnsi="Arial Narrow" w:cs="Arial Narrow"/>
        </w:rPr>
        <w:t>等指标符合经济性原则。</w:t>
      </w:r>
    </w:p>
    <w:p>
      <w:pPr>
        <w:snapToGrid w:val="0"/>
        <w:ind w:firstLine="482"/>
        <w:jc w:val="left"/>
        <w:rPr>
          <w:rFonts w:ascii="Arial Narrow" w:hAnsi="Arial Narrow" w:cs="Arial Narrow"/>
          <w:b/>
        </w:rPr>
      </w:pPr>
      <w:r>
        <w:rPr>
          <w:rFonts w:ascii="Arial Narrow" w:hAnsi="Arial Narrow" w:cs="Arial Narrow"/>
          <w:b/>
        </w:rPr>
        <w:t>2.评价依据</w:t>
      </w:r>
    </w:p>
    <w:p>
      <w:pPr>
        <w:snapToGrid w:val="0"/>
        <w:ind w:firstLine="480"/>
        <w:jc w:val="left"/>
        <w:rPr>
          <w:rFonts w:ascii="Arial Narrow" w:hAnsi="Arial Narrow" w:cs="Arial Narrow"/>
        </w:rPr>
      </w:pPr>
      <w:r>
        <w:rPr>
          <w:rFonts w:ascii="Arial Narrow" w:hAnsi="Arial Narrow" w:cs="Arial Narrow"/>
        </w:rPr>
        <w:t>（1）项目行为依据</w:t>
      </w:r>
    </w:p>
    <w:p>
      <w:pPr>
        <w:snapToGrid w:val="0"/>
        <w:ind w:firstLine="480"/>
        <w:jc w:val="left"/>
        <w:rPr>
          <w:rFonts w:ascii="Arial Narrow" w:hAnsi="Arial Narrow" w:cs="仿宋_GB2312"/>
        </w:rPr>
      </w:pPr>
      <w:r>
        <w:rPr>
          <w:rFonts w:hint="eastAsia" w:ascii="宋体" w:hAnsi="宋体" w:eastAsia="宋体" w:cs="宋体"/>
        </w:rPr>
        <w:t>①</w:t>
      </w:r>
      <w:r>
        <w:rPr>
          <w:rFonts w:hint="eastAsia" w:ascii="Arial Narrow" w:hAnsi="Arial Narrow" w:cs="仿宋_GB2312"/>
        </w:rPr>
        <w:t>《武昌区财政局关于开展2018年区级财政支出绩效评价工作的通知》</w:t>
      </w:r>
    </w:p>
    <w:p>
      <w:pPr>
        <w:snapToGrid w:val="0"/>
        <w:ind w:firstLine="480"/>
        <w:jc w:val="left"/>
        <w:rPr>
          <w:rFonts w:ascii="Arial Narrow" w:hAnsi="Arial Narrow" w:cs="Arial Narrow"/>
        </w:rPr>
      </w:pPr>
      <w:r>
        <w:rPr>
          <w:rFonts w:ascii="Arial Narrow" w:hAnsi="Arial Narrow" w:cs="Arial Narrow"/>
        </w:rPr>
        <w:t>（2）法律、法规依据</w:t>
      </w:r>
    </w:p>
    <w:p>
      <w:pPr>
        <w:snapToGrid w:val="0"/>
        <w:ind w:firstLine="480"/>
        <w:jc w:val="left"/>
        <w:rPr>
          <w:rFonts w:ascii="Arial Narrow" w:hAnsi="Arial Narrow" w:cs="Arial Narrow"/>
        </w:rPr>
      </w:pPr>
      <w:r>
        <w:rPr>
          <w:rFonts w:hint="eastAsia" w:ascii="宋体" w:hAnsi="宋体" w:eastAsia="宋体" w:cs="宋体"/>
        </w:rPr>
        <w:t>①</w:t>
      </w:r>
      <w:r>
        <w:rPr>
          <w:rFonts w:ascii="Arial Narrow" w:hAnsi="Arial Narrow" w:cs="Arial Narrow"/>
        </w:rPr>
        <w:t>《中华人民共和国预算法》；</w:t>
      </w:r>
    </w:p>
    <w:p>
      <w:pPr>
        <w:snapToGrid w:val="0"/>
        <w:ind w:firstLine="480"/>
        <w:jc w:val="left"/>
        <w:rPr>
          <w:rFonts w:ascii="Arial Narrow" w:hAnsi="Arial Narrow" w:cs="Arial Narrow"/>
        </w:rPr>
      </w:pPr>
      <w:r>
        <w:rPr>
          <w:rFonts w:hint="eastAsia" w:ascii="宋体" w:hAnsi="宋体" w:eastAsia="宋体" w:cs="宋体"/>
        </w:rPr>
        <w:t>②</w:t>
      </w:r>
      <w:r>
        <w:rPr>
          <w:rFonts w:ascii="Arial Narrow" w:hAnsi="Arial Narrow" w:cs="Arial Narrow"/>
        </w:rPr>
        <w:t>财政部《财政支出绩效评价管理暂行办法》（财预[2011]285号）；</w:t>
      </w:r>
    </w:p>
    <w:p>
      <w:pPr>
        <w:snapToGrid w:val="0"/>
        <w:ind w:firstLine="480"/>
        <w:jc w:val="left"/>
        <w:rPr>
          <w:rFonts w:ascii="Arial Narrow" w:hAnsi="Arial Narrow" w:cs="Arial Narrow"/>
        </w:rPr>
      </w:pPr>
      <w:r>
        <w:rPr>
          <w:rFonts w:hint="eastAsia" w:ascii="宋体" w:hAnsi="宋体" w:eastAsia="宋体" w:cs="宋体"/>
        </w:rPr>
        <w:t>③</w:t>
      </w:r>
      <w:r>
        <w:rPr>
          <w:rFonts w:ascii="Arial Narrow" w:hAnsi="Arial Narrow" w:cs="Arial Narrow"/>
        </w:rPr>
        <w:t>《武昌区财政支出绩效评价管理暂行办法》</w:t>
      </w:r>
    </w:p>
    <w:p>
      <w:pPr>
        <w:snapToGrid w:val="0"/>
        <w:ind w:firstLine="480"/>
        <w:jc w:val="left"/>
        <w:rPr>
          <w:rFonts w:ascii="Arial Narrow" w:hAnsi="Arial Narrow" w:cs="Arial Narrow"/>
        </w:rPr>
      </w:pPr>
      <w:r>
        <w:rPr>
          <w:rFonts w:ascii="Arial Narrow" w:hAnsi="Arial Narrow" w:cs="Arial Narrow"/>
        </w:rPr>
        <w:t>（3）项目财务资料依据</w:t>
      </w:r>
    </w:p>
    <w:p>
      <w:pPr>
        <w:snapToGrid w:val="0"/>
        <w:ind w:firstLine="480"/>
        <w:jc w:val="left"/>
        <w:rPr>
          <w:rFonts w:ascii="Arial Narrow" w:hAnsi="Arial Narrow" w:cs="Arial Narrow"/>
        </w:rPr>
      </w:pPr>
      <w:r>
        <w:rPr>
          <w:rFonts w:hint="eastAsia" w:ascii="宋体" w:hAnsi="宋体" w:eastAsia="宋体" w:cs="宋体"/>
        </w:rPr>
        <w:t>①</w:t>
      </w:r>
      <w:r>
        <w:rPr>
          <w:rFonts w:hint="eastAsia" w:ascii="Arial Narrow" w:hAnsi="Arial Narrow" w:cs="Arial Narrow"/>
        </w:rPr>
        <w:t>《财务科制度》</w:t>
      </w:r>
    </w:p>
    <w:p>
      <w:pPr>
        <w:snapToGrid w:val="0"/>
        <w:ind w:firstLine="480"/>
        <w:jc w:val="left"/>
        <w:rPr>
          <w:rFonts w:ascii="宋体" w:hAnsi="宋体" w:eastAsia="宋体" w:cs="宋体"/>
        </w:rPr>
      </w:pPr>
      <w:r>
        <w:rPr>
          <w:rFonts w:hint="eastAsia" w:ascii="宋体" w:hAnsi="宋体" w:eastAsia="宋体" w:cs="宋体"/>
        </w:rPr>
        <w:t>②</w:t>
      </w:r>
      <w:r>
        <w:rPr>
          <w:rFonts w:hint="eastAsia" w:ascii="仿宋_GB2312" w:hAnsi="宋体" w:cs="宋体"/>
        </w:rPr>
        <w:t>《经费支出管理制度》</w:t>
      </w:r>
    </w:p>
    <w:p>
      <w:pPr>
        <w:snapToGrid w:val="0"/>
        <w:ind w:firstLine="480"/>
        <w:jc w:val="left"/>
        <w:rPr>
          <w:rFonts w:ascii="Arial Narrow" w:hAnsi="Arial Narrow" w:cs="Arial Narrow"/>
        </w:rPr>
      </w:pPr>
      <w:r>
        <w:rPr>
          <w:rFonts w:hint="eastAsia" w:ascii="宋体" w:hAnsi="宋体" w:eastAsia="宋体" w:cs="宋体"/>
        </w:rPr>
        <w:t>③</w:t>
      </w:r>
      <w:r>
        <w:rPr>
          <w:rFonts w:ascii="Arial Narrow" w:hAnsi="Arial Narrow" w:cs="Arial Narrow"/>
        </w:rPr>
        <w:t>《武昌区财政局关于武昌区机关运行保障中心2017年部门预算的批复》（武昌财预【2016】295号）</w:t>
      </w:r>
    </w:p>
    <w:p>
      <w:pPr>
        <w:snapToGrid w:val="0"/>
        <w:ind w:firstLine="480"/>
        <w:jc w:val="left"/>
        <w:rPr>
          <w:rFonts w:ascii="Arial Narrow" w:hAnsi="Arial Narrow" w:cs="Arial Narrow"/>
        </w:rPr>
      </w:pPr>
      <w:r>
        <w:rPr>
          <w:rFonts w:hint="eastAsia" w:ascii="宋体" w:hAnsi="宋体" w:eastAsia="宋体" w:cs="宋体"/>
        </w:rPr>
        <w:t>④</w:t>
      </w:r>
      <w:r>
        <w:rPr>
          <w:rFonts w:hint="eastAsia" w:ascii="Arial Narrow" w:hAnsi="Arial Narrow" w:cs="Arial Narrow"/>
        </w:rPr>
        <w:t>项目支出明细表</w:t>
      </w:r>
    </w:p>
    <w:p>
      <w:pPr>
        <w:snapToGrid w:val="0"/>
        <w:ind w:firstLine="480"/>
        <w:jc w:val="left"/>
        <w:rPr>
          <w:rFonts w:ascii="Arial Narrow" w:hAnsi="Arial Narrow" w:cs="Arial Narrow"/>
        </w:rPr>
      </w:pPr>
      <w:r>
        <w:rPr>
          <w:rFonts w:hint="eastAsia" w:ascii="Arial Narrow" w:hAnsi="Arial Narrow" w:cs="Arial Narrow"/>
        </w:rPr>
        <w:t>（4）基础数据、资料依据</w:t>
      </w:r>
    </w:p>
    <w:p>
      <w:pPr>
        <w:snapToGrid w:val="0"/>
        <w:ind w:firstLine="480"/>
        <w:jc w:val="left"/>
        <w:rPr>
          <w:rFonts w:ascii="Arial Narrow" w:hAnsi="Arial Narrow" w:cs="Arial Narrow"/>
        </w:rPr>
      </w:pPr>
      <w:r>
        <w:rPr>
          <w:rFonts w:hint="eastAsia" w:ascii="Arial Narrow" w:hAnsi="Arial Narrow" w:cs="Arial Narrow"/>
        </w:rPr>
        <w:t>①《武昌老年大学规章制度汇编》</w:t>
      </w:r>
    </w:p>
    <w:p>
      <w:pPr>
        <w:snapToGrid w:val="0"/>
        <w:ind w:firstLine="480"/>
        <w:jc w:val="left"/>
        <w:rPr>
          <w:rFonts w:ascii="Arial Narrow" w:hAnsi="Arial Narrow" w:cs="Arial Narrow"/>
        </w:rPr>
      </w:pPr>
      <w:r>
        <w:rPr>
          <w:rFonts w:hint="eastAsia" w:ascii="Arial Narrow" w:hAnsi="Arial Narrow" w:cs="Arial Narrow"/>
        </w:rPr>
        <w:t>②武昌老年大学2017年度工作总结</w:t>
      </w:r>
    </w:p>
    <w:p>
      <w:pPr>
        <w:snapToGrid w:val="0"/>
        <w:ind w:firstLine="480"/>
        <w:jc w:val="left"/>
        <w:rPr>
          <w:rFonts w:ascii="Arial Narrow" w:hAnsi="Arial Narrow" w:cs="Arial Narrow"/>
        </w:rPr>
      </w:pPr>
      <w:r>
        <w:rPr>
          <w:rFonts w:hint="eastAsia" w:ascii="Arial Narrow" w:hAnsi="Arial Narrow" w:cs="Arial Narrow"/>
        </w:rPr>
        <w:t>③《国务院办公厅关于印发老年教育发展规划（2016-2020年）的通知》（国办发【2016】74号）</w:t>
      </w:r>
    </w:p>
    <w:p>
      <w:pPr>
        <w:snapToGrid w:val="0"/>
        <w:ind w:firstLine="480"/>
        <w:jc w:val="left"/>
        <w:rPr>
          <w:rFonts w:ascii="Arial Narrow" w:hAnsi="Arial Narrow" w:cs="Arial Narrow"/>
        </w:rPr>
      </w:pPr>
      <w:r>
        <w:rPr>
          <w:rFonts w:hint="eastAsia" w:ascii="Arial Narrow" w:hAnsi="Arial Narrow" w:cs="Arial Narrow"/>
        </w:rPr>
        <w:t>④开展创建优秀班集体活动基本总结</w:t>
      </w:r>
    </w:p>
    <w:p>
      <w:pPr>
        <w:snapToGrid w:val="0"/>
        <w:ind w:firstLine="480"/>
        <w:jc w:val="left"/>
        <w:rPr>
          <w:rFonts w:ascii="Arial Narrow" w:hAnsi="Arial Narrow" w:cs="Arial Narrow"/>
        </w:rPr>
      </w:pPr>
      <w:r>
        <w:rPr>
          <w:rFonts w:hint="eastAsia" w:ascii="Arial Narrow" w:hAnsi="Arial Narrow" w:cs="Arial Narrow"/>
        </w:rPr>
        <w:t>⑤《武昌社保处劳动合同制人员管理办法》</w:t>
      </w:r>
    </w:p>
    <w:p>
      <w:pPr>
        <w:snapToGrid w:val="0"/>
        <w:ind w:firstLine="480"/>
        <w:jc w:val="left"/>
        <w:rPr>
          <w:rFonts w:ascii="Arial Narrow" w:hAnsi="Arial Narrow" w:cs="Arial Narrow"/>
        </w:rPr>
      </w:pPr>
      <w:r>
        <w:rPr>
          <w:rFonts w:hint="eastAsia" w:ascii="Arial Narrow" w:hAnsi="Arial Narrow" w:cs="Arial Narrow"/>
        </w:rPr>
        <w:t>⑥社保服务站工作总结</w:t>
      </w:r>
    </w:p>
    <w:p>
      <w:pPr>
        <w:snapToGrid w:val="0"/>
        <w:ind w:firstLine="482"/>
        <w:jc w:val="left"/>
        <w:rPr>
          <w:rFonts w:ascii="Arial Narrow" w:hAnsi="Arial Narrow" w:cs="Arial Narrow"/>
          <w:b/>
        </w:rPr>
      </w:pPr>
      <w:r>
        <w:rPr>
          <w:rFonts w:ascii="Arial Narrow" w:hAnsi="Arial Narrow" w:cs="Arial Narrow"/>
          <w:b/>
        </w:rPr>
        <w:t>3.评价指标体系</w:t>
      </w:r>
    </w:p>
    <w:p>
      <w:pPr>
        <w:snapToGrid w:val="0"/>
        <w:ind w:firstLine="480"/>
        <w:rPr>
          <w:rFonts w:ascii="Arial Narrow" w:hAnsi="Arial Narrow" w:cs="Arial Narrow"/>
        </w:rPr>
      </w:pPr>
      <w:r>
        <w:rPr>
          <w:rFonts w:ascii="Arial Narrow" w:hAnsi="Arial Narrow" w:cs="Arial Narrow"/>
        </w:rPr>
        <w:t>绩效评价指标体系是开展绩效评价工作的核心。绩效评价工作小组在参考财政支出绩效评价指标框架的基础上，依据《武昌区财政支出绩效评价管理暂行办法》，结合</w:t>
      </w:r>
      <w:r>
        <w:rPr>
          <w:rFonts w:ascii="Arial Narrow" w:hAnsi="Arial Narrow" w:cs="Arial Narrow"/>
          <w:bCs/>
        </w:rPr>
        <w:t>区老年大学等工作经费项目</w:t>
      </w:r>
      <w:r>
        <w:rPr>
          <w:rFonts w:ascii="Arial Narrow" w:hAnsi="Arial Narrow" w:cs="Arial Narrow"/>
        </w:rPr>
        <w:t>的特点，运用定量定性原则，确定了绩效评价一级指标、二级指标和三级指标。</w:t>
      </w:r>
    </w:p>
    <w:p>
      <w:pPr>
        <w:widowControl/>
        <w:ind w:firstLine="480"/>
        <w:jc w:val="center"/>
        <w:rPr>
          <w:rFonts w:ascii="Arial Narrow" w:hAnsi="Arial Narrow"/>
        </w:rPr>
      </w:pPr>
      <w:r>
        <w:rPr>
          <w:rFonts w:ascii="Arial Narrow" w:hAnsi="Arial Narrow" w:cs="宋体"/>
          <w:kern w:val="0"/>
        </w:rPr>
        <w:drawing>
          <wp:inline distT="0" distB="0" distL="114300" distR="114300">
            <wp:extent cx="4667250" cy="2349500"/>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7"/>
                    <a:stretch>
                      <a:fillRect/>
                    </a:stretch>
                  </pic:blipFill>
                  <pic:spPr>
                    <a:xfrm>
                      <a:off x="0" y="0"/>
                      <a:ext cx="4667250" cy="2349500"/>
                    </a:xfrm>
                    <a:prstGeom prst="rect">
                      <a:avLst/>
                    </a:prstGeom>
                    <a:noFill/>
                    <a:ln w="9525">
                      <a:noFill/>
                    </a:ln>
                  </pic:spPr>
                </pic:pic>
              </a:graphicData>
            </a:graphic>
          </wp:inline>
        </w:drawing>
      </w:r>
    </w:p>
    <w:p>
      <w:pPr>
        <w:snapToGrid w:val="0"/>
        <w:ind w:firstLine="480"/>
        <w:rPr>
          <w:rFonts w:ascii="Arial Narrow" w:hAnsi="Arial Narrow" w:cs="Arial Narrow"/>
        </w:rPr>
      </w:pPr>
      <w:r>
        <w:rPr>
          <w:rFonts w:ascii="Arial Narrow" w:hAnsi="Arial Narrow" w:cs="Arial Narrow"/>
        </w:rPr>
        <w:t>绩效评价指标体系是开展绩效评价工作的核心。</w:t>
      </w:r>
      <w:r>
        <w:rPr>
          <w:rFonts w:hint="eastAsia" w:ascii="Arial Narrow" w:hAnsi="Arial Narrow" w:cs="Arial Narrow"/>
        </w:rPr>
        <w:t>绩效</w:t>
      </w:r>
      <w:r>
        <w:rPr>
          <w:rFonts w:ascii="Arial Narrow" w:hAnsi="Arial Narrow" w:cs="Arial Narrow"/>
        </w:rPr>
        <w:t>评价</w:t>
      </w:r>
      <w:r>
        <w:rPr>
          <w:rFonts w:hint="eastAsia" w:ascii="Arial Narrow" w:hAnsi="Arial Narrow" w:cs="Arial Narrow"/>
        </w:rPr>
        <w:t>工作</w:t>
      </w:r>
      <w:r>
        <w:rPr>
          <w:rFonts w:ascii="Arial Narrow" w:hAnsi="Arial Narrow" w:cs="Arial Narrow"/>
        </w:rPr>
        <w:t>小组在参考财政支出绩效评价指标框架的基础上，依据《武昌区财政支出绩效评价管理暂行办法》，结合</w:t>
      </w:r>
      <w:r>
        <w:rPr>
          <w:rFonts w:hint="eastAsia" w:ascii="Arial Narrow" w:hAnsi="Arial Narrow" w:cs="Arial Narrow"/>
          <w:bCs/>
        </w:rPr>
        <w:t>区老年大学等工作经费项目</w:t>
      </w:r>
      <w:r>
        <w:rPr>
          <w:rFonts w:ascii="Arial Narrow" w:hAnsi="Arial Narrow" w:cs="Arial Narrow"/>
        </w:rPr>
        <w:t>的特点，运用定量定性原则，确定了绩效评价一级指标、二级指标</w:t>
      </w:r>
      <w:r>
        <w:rPr>
          <w:rFonts w:hint="eastAsia" w:ascii="Arial Narrow" w:hAnsi="Arial Narrow" w:cs="Arial Narrow"/>
        </w:rPr>
        <w:t>及</w:t>
      </w:r>
      <w:r>
        <w:rPr>
          <w:rFonts w:ascii="Arial Narrow" w:hAnsi="Arial Narrow" w:cs="Arial Narrow"/>
        </w:rPr>
        <w:t>三级指标。</w:t>
      </w:r>
    </w:p>
    <w:p>
      <w:pPr>
        <w:snapToGrid w:val="0"/>
        <w:ind w:firstLine="480"/>
        <w:rPr>
          <w:rFonts w:ascii="Arial Narrow" w:hAnsi="Arial Narrow" w:cs="Arial Narrow"/>
        </w:rPr>
      </w:pPr>
      <w:r>
        <w:rPr>
          <w:rFonts w:hint="eastAsia" w:ascii="Arial Narrow" w:hAnsi="Arial Narrow" w:cs="Arial Narrow"/>
        </w:rPr>
        <w:t>绩效评价指标体系包括投入、过程、产出、效果四个方面。</w:t>
      </w:r>
    </w:p>
    <w:p>
      <w:pPr>
        <w:snapToGrid w:val="0"/>
        <w:ind w:firstLine="240" w:firstLineChars="100"/>
        <w:rPr>
          <w:rFonts w:ascii="Arial Narrow" w:hAnsi="Arial Narrow" w:cs="Arial Narrow"/>
        </w:rPr>
      </w:pPr>
      <w:r>
        <w:rPr>
          <w:rFonts w:hint="eastAsia" w:ascii="Arial Narrow" w:hAnsi="Arial Narrow" w:cs="Arial Narrow"/>
        </w:rPr>
        <w:t>“投入”权重16分，下设二级指标“项目立项”、“资金落实”，主要评价项目立项规范性、绩效目标合理性、绩效指标明确性，下设4个三级指标具体评价；</w:t>
      </w:r>
    </w:p>
    <w:p>
      <w:pPr>
        <w:snapToGrid w:val="0"/>
        <w:ind w:firstLine="480"/>
        <w:rPr>
          <w:rFonts w:ascii="Arial Narrow" w:hAnsi="Arial Narrow" w:cs="Arial Narrow"/>
        </w:rPr>
      </w:pPr>
      <w:r>
        <w:rPr>
          <w:rFonts w:hint="eastAsia" w:ascii="Arial Narrow" w:hAnsi="Arial Narrow" w:cs="Arial Narrow"/>
        </w:rPr>
        <w:t>“过程”权重24分，下设二级指标“项目管理”、“财务管理”，主要评价项目管理制度的执行、资金使用情况，下设6个三级指标具体评价；</w:t>
      </w:r>
    </w:p>
    <w:p>
      <w:pPr>
        <w:snapToGrid w:val="0"/>
        <w:ind w:firstLine="480"/>
        <w:rPr>
          <w:rFonts w:ascii="Arial Narrow" w:hAnsi="Arial Narrow" w:cs="Arial Narrow"/>
        </w:rPr>
      </w:pPr>
      <w:r>
        <w:rPr>
          <w:rFonts w:hint="eastAsia" w:ascii="Arial Narrow" w:hAnsi="Arial Narrow" w:cs="Arial Narrow"/>
        </w:rPr>
        <w:t>“产出”权重30分，下设二级指标“项目产出”，主要评价项目各项数量产出和质量产出的实现程度以及预算执行率，下设7个三级指标具体评价；</w:t>
      </w:r>
    </w:p>
    <w:p>
      <w:pPr>
        <w:snapToGrid w:val="0"/>
        <w:ind w:firstLine="480"/>
        <w:rPr>
          <w:rFonts w:ascii="Arial Narrow" w:hAnsi="Arial Narrow" w:cs="Arial Narrow"/>
        </w:rPr>
      </w:pPr>
      <w:r>
        <w:rPr>
          <w:rFonts w:hint="eastAsia" w:ascii="Arial Narrow" w:hAnsi="Arial Narrow" w:cs="Arial Narrow"/>
        </w:rPr>
        <w:t>“效果”权重30分，下设二级指标“项目效益”，主要评价项目实施后的社会效益、可持续影响、服务对象满意度，下设7个三级指标具体评价。</w:t>
      </w:r>
    </w:p>
    <w:p>
      <w:pPr>
        <w:snapToGrid w:val="0"/>
        <w:ind w:firstLine="480"/>
        <w:rPr>
          <w:rFonts w:ascii="Arial Narrow" w:hAnsi="Arial Narrow" w:cs="Arial Narrow"/>
        </w:rPr>
      </w:pPr>
      <w:r>
        <w:rPr>
          <w:rFonts w:hint="eastAsia" w:ascii="Arial Narrow" w:hAnsi="Arial Narrow" w:cs="Arial Narrow"/>
        </w:rPr>
        <w:t>具体指标的分布情况、权重、指标解释、指标说明如下表所示：</w:t>
      </w:r>
    </w:p>
    <w:tbl>
      <w:tblPr>
        <w:tblStyle w:val="25"/>
        <w:tblW w:w="8662" w:type="dxa"/>
        <w:tblInd w:w="93" w:type="dxa"/>
        <w:tblLayout w:type="fixed"/>
        <w:tblCellMar>
          <w:top w:w="0" w:type="dxa"/>
          <w:left w:w="108" w:type="dxa"/>
          <w:bottom w:w="0" w:type="dxa"/>
          <w:right w:w="108" w:type="dxa"/>
        </w:tblCellMar>
      </w:tblPr>
      <w:tblGrid>
        <w:gridCol w:w="1140"/>
        <w:gridCol w:w="2703"/>
        <w:gridCol w:w="4819"/>
      </w:tblGrid>
      <w:tr>
        <w:tblPrEx>
          <w:tblLayout w:type="fixed"/>
          <w:tblCellMar>
            <w:top w:w="0" w:type="dxa"/>
            <w:left w:w="108" w:type="dxa"/>
            <w:bottom w:w="0" w:type="dxa"/>
            <w:right w:w="108" w:type="dxa"/>
          </w:tblCellMar>
        </w:tblPrEx>
        <w:trPr>
          <w:trHeight w:val="514" w:hRule="atLeast"/>
          <w:tblHeader/>
        </w:trPr>
        <w:tc>
          <w:tcPr>
            <w:tcW w:w="1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rPr>
                <w:rFonts w:ascii="仿宋_GB2312" w:hAnsi="宋体" w:cs="宋体"/>
                <w:b/>
                <w:bCs/>
                <w:kern w:val="0"/>
                <w:sz w:val="20"/>
                <w:szCs w:val="20"/>
              </w:rPr>
            </w:pPr>
            <w:r>
              <w:rPr>
                <w:rFonts w:hint="eastAsia" w:ascii="仿宋_GB2312" w:hAnsi="宋体" w:cs="宋体"/>
                <w:b/>
                <w:bCs/>
                <w:kern w:val="0"/>
                <w:sz w:val="20"/>
                <w:szCs w:val="20"/>
              </w:rPr>
              <w:t>指标名称</w:t>
            </w:r>
          </w:p>
        </w:tc>
        <w:tc>
          <w:tcPr>
            <w:tcW w:w="270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指标解释</w:t>
            </w:r>
          </w:p>
        </w:tc>
        <w:tc>
          <w:tcPr>
            <w:tcW w:w="481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指标说明</w:t>
            </w:r>
          </w:p>
        </w:tc>
      </w:tr>
      <w:tr>
        <w:tblPrEx>
          <w:tblLayout w:type="fixed"/>
          <w:tblCellMar>
            <w:top w:w="0" w:type="dxa"/>
            <w:left w:w="108" w:type="dxa"/>
            <w:bottom w:w="0" w:type="dxa"/>
            <w:right w:w="108" w:type="dxa"/>
          </w:tblCellMar>
        </w:tblPrEx>
        <w:trPr>
          <w:trHeight w:val="2720"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项目立项规范性</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项目的申请、设立过程是否符合相关要求，用以反映和考核项目立项的规范情况。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评价要点：</w:t>
            </w:r>
            <w:r>
              <w:rPr>
                <w:rFonts w:hint="eastAsia" w:ascii="仿宋_GB2312" w:hAnsi="宋体" w:cs="宋体"/>
                <w:kern w:val="0"/>
                <w:sz w:val="20"/>
                <w:szCs w:val="20"/>
              </w:rPr>
              <w:br w:type="textWrapping"/>
            </w:r>
            <w:r>
              <w:rPr>
                <w:rFonts w:hint="eastAsia" w:ascii="仿宋_GB2312" w:hAnsi="宋体" w:cs="宋体"/>
                <w:kern w:val="0"/>
                <w:sz w:val="20"/>
                <w:szCs w:val="20"/>
              </w:rPr>
              <w:t>①是否有规划；</w:t>
            </w:r>
            <w:r>
              <w:rPr>
                <w:rFonts w:hint="eastAsia" w:ascii="仿宋_GB2312" w:hAnsi="宋体" w:cs="宋体"/>
                <w:kern w:val="0"/>
                <w:sz w:val="20"/>
                <w:szCs w:val="20"/>
              </w:rPr>
              <w:br w:type="textWrapping"/>
            </w:r>
            <w:r>
              <w:rPr>
                <w:rFonts w:hint="eastAsia" w:ascii="仿宋_GB2312" w:hAnsi="宋体" w:cs="宋体"/>
                <w:kern w:val="0"/>
                <w:sz w:val="20"/>
                <w:szCs w:val="20"/>
              </w:rPr>
              <w:t>②项目是否按照规定的程序申请设立；</w:t>
            </w:r>
            <w:r>
              <w:rPr>
                <w:rFonts w:hint="eastAsia" w:ascii="仿宋_GB2312" w:hAnsi="宋体" w:cs="宋体"/>
                <w:kern w:val="0"/>
                <w:sz w:val="20"/>
                <w:szCs w:val="20"/>
              </w:rPr>
              <w:br w:type="textWrapping"/>
            </w:r>
            <w:r>
              <w:rPr>
                <w:rFonts w:hint="eastAsia" w:ascii="仿宋_GB2312" w:hAnsi="宋体" w:cs="宋体"/>
                <w:kern w:val="0"/>
                <w:sz w:val="20"/>
                <w:szCs w:val="20"/>
              </w:rPr>
              <w:t>③所提交的文件、材料是否符合相关要求；</w:t>
            </w:r>
            <w:r>
              <w:rPr>
                <w:rFonts w:hint="eastAsia" w:ascii="仿宋_GB2312" w:hAnsi="宋体" w:cs="宋体"/>
                <w:kern w:val="0"/>
                <w:sz w:val="20"/>
                <w:szCs w:val="20"/>
              </w:rPr>
              <w:br w:type="textWrapping"/>
            </w:r>
            <w:r>
              <w:rPr>
                <w:rFonts w:hint="eastAsia" w:ascii="仿宋_GB2312" w:hAnsi="宋体" w:cs="宋体"/>
                <w:kern w:val="0"/>
                <w:sz w:val="20"/>
                <w:szCs w:val="20"/>
              </w:rPr>
              <w:t>④事前是否已经过必要的可行性研究、专家论证、风险评估、集体决策等；</w:t>
            </w:r>
            <w:r>
              <w:rPr>
                <w:rFonts w:hint="eastAsia" w:ascii="仿宋_GB2312" w:hAnsi="宋体" w:cs="宋体"/>
                <w:kern w:val="0"/>
                <w:sz w:val="20"/>
                <w:szCs w:val="20"/>
              </w:rPr>
              <w:br w:type="textWrapping"/>
            </w:r>
            <w:r>
              <w:rPr>
                <w:rFonts w:hint="eastAsia" w:ascii="仿宋_GB2312" w:hAnsi="宋体" w:cs="宋体"/>
                <w:kern w:val="0"/>
                <w:sz w:val="20"/>
                <w:szCs w:val="20"/>
              </w:rPr>
              <w:t>⑤项目执行时是否发生重大调整。</w:t>
            </w:r>
          </w:p>
        </w:tc>
      </w:tr>
      <w:tr>
        <w:tblPrEx>
          <w:tblLayout w:type="fixed"/>
          <w:tblCellMar>
            <w:top w:w="0" w:type="dxa"/>
            <w:left w:w="108" w:type="dxa"/>
            <w:bottom w:w="0" w:type="dxa"/>
            <w:right w:w="108" w:type="dxa"/>
          </w:tblCellMar>
        </w:tblPrEx>
        <w:trPr>
          <w:trHeight w:val="1938"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绩效目标合理性</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项目是否设定绩效目标和绩效指标，所设定的绩效目标和指标是否符合实际，用以反映和考核项目绩效目标与项目实施的相符情况。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①是否设定长期目标、年度目标和绩效指标；</w:t>
            </w:r>
            <w:r>
              <w:rPr>
                <w:rFonts w:hint="eastAsia" w:ascii="仿宋_GB2312" w:hAnsi="Arial Narrow" w:cs="宋体"/>
                <w:kern w:val="0"/>
                <w:sz w:val="20"/>
                <w:szCs w:val="20"/>
              </w:rPr>
              <w:br w:type="textWrapping"/>
            </w:r>
            <w:r>
              <w:rPr>
                <w:rFonts w:hint="eastAsia" w:ascii="仿宋_GB2312" w:hAnsi="Arial Narrow" w:cs="宋体"/>
                <w:kern w:val="0"/>
                <w:sz w:val="20"/>
                <w:szCs w:val="20"/>
              </w:rPr>
              <w:t>②目标和指标的设计是否符合目标管理规范；</w:t>
            </w:r>
            <w:r>
              <w:rPr>
                <w:rFonts w:hint="eastAsia" w:ascii="仿宋_GB2312" w:hAnsi="Arial Narrow" w:cs="宋体"/>
                <w:kern w:val="0"/>
                <w:sz w:val="20"/>
                <w:szCs w:val="20"/>
              </w:rPr>
              <w:br w:type="textWrapping"/>
            </w:r>
            <w:r>
              <w:rPr>
                <w:rFonts w:hint="eastAsia" w:ascii="仿宋_GB2312" w:hAnsi="Arial Narrow" w:cs="宋体"/>
                <w:kern w:val="0"/>
                <w:sz w:val="20"/>
                <w:szCs w:val="20"/>
              </w:rPr>
              <w:t>③根据绩效目标和完成情况的对比考核目标设立的合理性；</w:t>
            </w:r>
            <w:r>
              <w:rPr>
                <w:rFonts w:hint="eastAsia" w:ascii="仿宋_GB2312" w:hAnsi="Arial Narrow" w:cs="宋体"/>
                <w:kern w:val="0"/>
                <w:sz w:val="20"/>
                <w:szCs w:val="20"/>
              </w:rPr>
              <w:br w:type="textWrapping"/>
            </w:r>
            <w:r>
              <w:rPr>
                <w:rFonts w:hint="eastAsia" w:ascii="仿宋_GB2312" w:hAnsi="Arial Narrow" w:cs="宋体"/>
                <w:kern w:val="0"/>
                <w:sz w:val="20"/>
                <w:szCs w:val="20"/>
              </w:rPr>
              <w:t>④绩效指标是否具有可测性。</w:t>
            </w:r>
          </w:p>
        </w:tc>
      </w:tr>
      <w:tr>
        <w:tblPrEx>
          <w:tblLayout w:type="fixed"/>
          <w:tblCellMar>
            <w:top w:w="0" w:type="dxa"/>
            <w:left w:w="108" w:type="dxa"/>
            <w:bottom w:w="0" w:type="dxa"/>
            <w:right w:w="108" w:type="dxa"/>
          </w:tblCellMar>
        </w:tblPrEx>
        <w:trPr>
          <w:trHeight w:val="1454"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资金到位率（4分）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实际到位资金与计划投入资金的比率，用以反映和考核资金落实情况对项目实施的总体保障程度。</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资金到位率</w:t>
            </w:r>
            <w:r>
              <w:rPr>
                <w:rFonts w:ascii="Arial Narrow" w:hAnsi="Arial Narrow" w:eastAsia="宋体" w:cs="宋体"/>
                <w:kern w:val="0"/>
                <w:sz w:val="20"/>
                <w:szCs w:val="20"/>
              </w:rPr>
              <w:t>=</w:t>
            </w:r>
            <w:r>
              <w:rPr>
                <w:rFonts w:hint="eastAsia" w:ascii="仿宋_GB2312" w:hAnsi="Arial Narrow" w:cs="宋体"/>
                <w:kern w:val="0"/>
                <w:sz w:val="20"/>
                <w:szCs w:val="20"/>
              </w:rPr>
              <w:t>（实际到位资金</w:t>
            </w:r>
            <w:r>
              <w:rPr>
                <w:rFonts w:ascii="Arial Narrow" w:hAnsi="Arial Narrow" w:eastAsia="宋体" w:cs="宋体"/>
                <w:kern w:val="0"/>
                <w:sz w:val="20"/>
                <w:szCs w:val="20"/>
              </w:rPr>
              <w:t>/</w:t>
            </w:r>
            <w:r>
              <w:rPr>
                <w:rFonts w:hint="eastAsia" w:ascii="仿宋_GB2312" w:hAnsi="Arial Narrow" w:cs="宋体"/>
                <w:kern w:val="0"/>
                <w:sz w:val="20"/>
                <w:szCs w:val="20"/>
              </w:rPr>
              <w:t>计划投入资金）</w:t>
            </w:r>
            <w:r>
              <w:rPr>
                <w:rFonts w:ascii="Arial Narrow" w:hAnsi="Arial Narrow" w:eastAsia="宋体" w:cs="宋体"/>
                <w:kern w:val="0"/>
                <w:sz w:val="20"/>
                <w:szCs w:val="20"/>
              </w:rPr>
              <w:t>×100%</w:t>
            </w:r>
            <w:r>
              <w:rPr>
                <w:rFonts w:hint="eastAsia" w:ascii="仿宋_GB2312" w:hAnsi="Arial Narrow" w:cs="宋体"/>
                <w:kern w:val="0"/>
                <w:sz w:val="20"/>
                <w:szCs w:val="20"/>
              </w:rPr>
              <w:t>。</w:t>
            </w:r>
            <w:r>
              <w:rPr>
                <w:rFonts w:hint="eastAsia" w:ascii="仿宋_GB2312" w:hAnsi="Arial Narrow" w:cs="宋体"/>
                <w:kern w:val="0"/>
                <w:sz w:val="20"/>
                <w:szCs w:val="20"/>
              </w:rPr>
              <w:br w:type="textWrapping"/>
            </w:r>
            <w:r>
              <w:rPr>
                <w:rFonts w:hint="eastAsia" w:ascii="仿宋_GB2312" w:hAnsi="Arial Narrow" w:cs="宋体"/>
                <w:kern w:val="0"/>
                <w:sz w:val="20"/>
                <w:szCs w:val="20"/>
              </w:rPr>
              <w:t>实际到位资金：一定时期（本年度或项目期）内实际落实到具体项目的资金。</w:t>
            </w:r>
            <w:r>
              <w:rPr>
                <w:rFonts w:hint="eastAsia" w:ascii="仿宋_GB2312" w:hAnsi="Arial Narrow" w:cs="宋体"/>
                <w:kern w:val="0"/>
                <w:sz w:val="20"/>
                <w:szCs w:val="20"/>
              </w:rPr>
              <w:br w:type="textWrapping"/>
            </w:r>
            <w:r>
              <w:rPr>
                <w:rFonts w:hint="eastAsia" w:ascii="仿宋_GB2312" w:hAnsi="Arial Narrow" w:cs="宋体"/>
                <w:kern w:val="0"/>
                <w:sz w:val="20"/>
                <w:szCs w:val="20"/>
              </w:rPr>
              <w:t>计划投入资金：一定时期（本年度或项目期）内计划投入到具体项目的资金。</w:t>
            </w:r>
          </w:p>
        </w:tc>
      </w:tr>
      <w:tr>
        <w:tblPrEx>
          <w:tblLayout w:type="fixed"/>
          <w:tblCellMar>
            <w:top w:w="0" w:type="dxa"/>
            <w:left w:w="108" w:type="dxa"/>
            <w:bottom w:w="0" w:type="dxa"/>
            <w:right w:w="108" w:type="dxa"/>
          </w:tblCellMar>
        </w:tblPrEx>
        <w:trPr>
          <w:trHeight w:val="1385"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到位及时率（4分）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及时到位资金与应到位资金的比率，用以反映和考核项目资金落实的及时性程度。</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到位及时率</w:t>
            </w:r>
            <w:r>
              <w:rPr>
                <w:rFonts w:ascii="Arial Narrow" w:hAnsi="Arial Narrow" w:eastAsia="宋体" w:cs="宋体"/>
                <w:kern w:val="0"/>
                <w:sz w:val="20"/>
                <w:szCs w:val="20"/>
              </w:rPr>
              <w:t>=</w:t>
            </w:r>
            <w:r>
              <w:rPr>
                <w:rFonts w:hint="eastAsia" w:ascii="仿宋_GB2312" w:hAnsi="Arial Narrow" w:cs="宋体"/>
                <w:kern w:val="0"/>
                <w:sz w:val="20"/>
                <w:szCs w:val="20"/>
              </w:rPr>
              <w:t>（及时到位资金</w:t>
            </w:r>
            <w:r>
              <w:rPr>
                <w:rFonts w:ascii="Arial Narrow" w:hAnsi="Arial Narrow" w:eastAsia="宋体" w:cs="宋体"/>
                <w:kern w:val="0"/>
                <w:sz w:val="20"/>
                <w:szCs w:val="20"/>
              </w:rPr>
              <w:t>/</w:t>
            </w:r>
            <w:r>
              <w:rPr>
                <w:rFonts w:hint="eastAsia" w:ascii="仿宋_GB2312" w:hAnsi="Arial Narrow" w:cs="宋体"/>
                <w:kern w:val="0"/>
                <w:sz w:val="20"/>
                <w:szCs w:val="20"/>
              </w:rPr>
              <w:t>应到位资金）</w:t>
            </w:r>
            <w:r>
              <w:rPr>
                <w:rFonts w:ascii="Arial Narrow" w:hAnsi="Arial Narrow" w:eastAsia="宋体" w:cs="宋体"/>
                <w:kern w:val="0"/>
                <w:sz w:val="20"/>
                <w:szCs w:val="20"/>
              </w:rPr>
              <w:t>×100%</w:t>
            </w:r>
            <w:r>
              <w:rPr>
                <w:rFonts w:hint="eastAsia" w:ascii="仿宋_GB2312" w:hAnsi="Arial Narrow" w:cs="宋体"/>
                <w:kern w:val="0"/>
                <w:sz w:val="20"/>
                <w:szCs w:val="20"/>
              </w:rPr>
              <w:t>。</w:t>
            </w:r>
            <w:r>
              <w:rPr>
                <w:rFonts w:hint="eastAsia" w:ascii="仿宋_GB2312" w:hAnsi="Arial Narrow" w:cs="宋体"/>
                <w:kern w:val="0"/>
                <w:sz w:val="20"/>
                <w:szCs w:val="20"/>
              </w:rPr>
              <w:br w:type="textWrapping"/>
            </w:r>
            <w:r>
              <w:rPr>
                <w:rFonts w:hint="eastAsia" w:ascii="仿宋_GB2312" w:hAnsi="Arial Narrow" w:cs="宋体"/>
                <w:kern w:val="0"/>
                <w:sz w:val="20"/>
                <w:szCs w:val="20"/>
              </w:rPr>
              <w:t>及时到位资金：截至规定时点实际落实到具体项目的资金。</w:t>
            </w:r>
            <w:r>
              <w:rPr>
                <w:rFonts w:hint="eastAsia" w:ascii="仿宋_GB2312" w:hAnsi="Arial Narrow" w:cs="宋体"/>
                <w:kern w:val="0"/>
                <w:sz w:val="20"/>
                <w:szCs w:val="20"/>
              </w:rPr>
              <w:br w:type="textWrapping"/>
            </w:r>
            <w:r>
              <w:rPr>
                <w:rFonts w:hint="eastAsia" w:ascii="仿宋_GB2312" w:hAnsi="Arial Narrow" w:cs="宋体"/>
                <w:kern w:val="0"/>
                <w:sz w:val="20"/>
                <w:szCs w:val="20"/>
              </w:rPr>
              <w:t>应到位资金：按照合同或项目进度要求截至规定时点应落实到具体项目的资金。</w:t>
            </w:r>
          </w:p>
        </w:tc>
      </w:tr>
      <w:tr>
        <w:tblPrEx>
          <w:tblLayout w:type="fixed"/>
          <w:tblCellMar>
            <w:top w:w="0" w:type="dxa"/>
            <w:left w:w="108" w:type="dxa"/>
            <w:bottom w:w="0" w:type="dxa"/>
            <w:right w:w="108" w:type="dxa"/>
          </w:tblCellMar>
        </w:tblPrEx>
        <w:trPr>
          <w:trHeight w:val="1184"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管理制度健全性</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项目管理制度是否健全，用以反映和考核项目管理制度对项目顺利实施的保障情况。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①是否已制定或具有相应的项目管理制度；</w:t>
            </w:r>
            <w:r>
              <w:rPr>
                <w:rFonts w:hint="eastAsia" w:ascii="仿宋_GB2312" w:hAnsi="Arial Narrow" w:cs="宋体"/>
                <w:kern w:val="0"/>
                <w:sz w:val="20"/>
                <w:szCs w:val="20"/>
              </w:rPr>
              <w:br w:type="textWrapping"/>
            </w:r>
            <w:r>
              <w:rPr>
                <w:rFonts w:hint="eastAsia" w:ascii="仿宋_GB2312" w:hAnsi="Arial Narrow" w:cs="宋体"/>
                <w:kern w:val="0"/>
                <w:sz w:val="20"/>
                <w:szCs w:val="20"/>
              </w:rPr>
              <w:t>②项目管理制度是否合法、合规、完整。</w:t>
            </w:r>
          </w:p>
        </w:tc>
      </w:tr>
      <w:tr>
        <w:tblPrEx>
          <w:tblLayout w:type="fixed"/>
          <w:tblCellMar>
            <w:top w:w="0" w:type="dxa"/>
            <w:left w:w="108" w:type="dxa"/>
            <w:bottom w:w="0" w:type="dxa"/>
            <w:right w:w="108" w:type="dxa"/>
          </w:tblCellMar>
        </w:tblPrEx>
        <w:trPr>
          <w:trHeight w:val="1391"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制度执行有效性</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项目实施是否符合相关项目管理规定，用以反映和考核项目管理制度的有效执行情况。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①是否遵守相关法律法规和项目管理规定；</w:t>
            </w:r>
            <w:r>
              <w:rPr>
                <w:rFonts w:hint="eastAsia" w:ascii="仿宋_GB2312" w:hAnsi="Arial Narrow" w:cs="宋体"/>
                <w:kern w:val="0"/>
                <w:sz w:val="20"/>
                <w:szCs w:val="20"/>
              </w:rPr>
              <w:br w:type="textWrapping"/>
            </w:r>
            <w:r>
              <w:rPr>
                <w:rFonts w:hint="eastAsia" w:ascii="仿宋_GB2312" w:hAnsi="Arial Narrow" w:cs="宋体"/>
                <w:kern w:val="0"/>
                <w:sz w:val="20"/>
                <w:szCs w:val="20"/>
              </w:rPr>
              <w:t>②项目资料是否保存完整、齐全。</w:t>
            </w:r>
          </w:p>
        </w:tc>
      </w:tr>
      <w:tr>
        <w:tblPrEx>
          <w:tblLayout w:type="fixed"/>
          <w:tblCellMar>
            <w:top w:w="0" w:type="dxa"/>
            <w:left w:w="108" w:type="dxa"/>
            <w:bottom w:w="0" w:type="dxa"/>
            <w:right w:w="108" w:type="dxa"/>
          </w:tblCellMar>
        </w:tblPrEx>
        <w:trPr>
          <w:trHeight w:val="606"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项目质量可控性</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项目实施单位是否为达到项目质量要求而采取了必需的措施</w:t>
            </w:r>
            <w:r>
              <w:rPr>
                <w:rFonts w:ascii="Arial Narrow" w:hAnsi="Arial Narrow" w:eastAsia="宋体" w:cs="宋体"/>
                <w:kern w:val="0"/>
                <w:sz w:val="20"/>
                <w:szCs w:val="20"/>
              </w:rPr>
              <w:t>,</w:t>
            </w:r>
            <w:r>
              <w:rPr>
                <w:rFonts w:hint="eastAsia" w:ascii="仿宋_GB2312" w:hAnsi="Arial Narrow" w:cs="宋体"/>
                <w:kern w:val="0"/>
                <w:sz w:val="20"/>
                <w:szCs w:val="20"/>
              </w:rPr>
              <w:t>用以反映和考核项目实施单位对项目质量的控制情况。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①是否已制定或具有相应的项目质量要求或标准；</w:t>
            </w:r>
            <w:r>
              <w:rPr>
                <w:rFonts w:hint="eastAsia" w:ascii="仿宋_GB2312" w:hAnsi="Arial Narrow" w:cs="宋体"/>
                <w:kern w:val="0"/>
                <w:sz w:val="20"/>
                <w:szCs w:val="20"/>
              </w:rPr>
              <w:br w:type="textWrapping"/>
            </w:r>
            <w:r>
              <w:rPr>
                <w:rFonts w:hint="eastAsia" w:ascii="仿宋_GB2312" w:hAnsi="Arial Narrow" w:cs="宋体"/>
                <w:kern w:val="0"/>
                <w:sz w:val="20"/>
                <w:szCs w:val="20"/>
              </w:rPr>
              <w:t>②是否采取了相应的项目质量检查等必需的控制措施或手段。</w:t>
            </w:r>
          </w:p>
        </w:tc>
      </w:tr>
      <w:tr>
        <w:tblPrEx>
          <w:tblLayout w:type="fixed"/>
          <w:tblCellMar>
            <w:top w:w="0" w:type="dxa"/>
            <w:left w:w="108" w:type="dxa"/>
            <w:bottom w:w="0" w:type="dxa"/>
            <w:right w:w="108" w:type="dxa"/>
          </w:tblCellMar>
        </w:tblPrEx>
        <w:trPr>
          <w:trHeight w:val="1600"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财务制度健全性</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项目实施单位的财务制度是否健全，用以反映和考核财务管理制度对资金规范、安全运行的保障情况。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page"/>
            </w:r>
            <w:r>
              <w:rPr>
                <w:rFonts w:hint="eastAsia" w:ascii="仿宋_GB2312" w:hAnsi="Arial Narrow" w:cs="宋体"/>
                <w:kern w:val="0"/>
                <w:sz w:val="20"/>
                <w:szCs w:val="20"/>
              </w:rPr>
              <w:t>①是否已制定或具有相应的项目资金管理办法；</w:t>
            </w:r>
            <w:r>
              <w:rPr>
                <w:rFonts w:hint="eastAsia" w:ascii="仿宋_GB2312" w:hAnsi="Arial Narrow" w:cs="宋体"/>
                <w:kern w:val="0"/>
                <w:sz w:val="20"/>
                <w:szCs w:val="20"/>
              </w:rPr>
              <w:br w:type="page"/>
            </w:r>
            <w:r>
              <w:rPr>
                <w:rFonts w:hint="eastAsia" w:ascii="仿宋_GB2312" w:hAnsi="Arial Narrow" w:cs="宋体"/>
                <w:kern w:val="0"/>
                <w:sz w:val="20"/>
                <w:szCs w:val="20"/>
              </w:rPr>
              <w:t>②项目资金管理办法是否符合相关财务会计制度的规定。</w:t>
            </w:r>
          </w:p>
        </w:tc>
      </w:tr>
      <w:tr>
        <w:tblPrEx>
          <w:tblLayout w:type="fixed"/>
          <w:tblCellMar>
            <w:top w:w="0" w:type="dxa"/>
            <w:left w:w="108" w:type="dxa"/>
            <w:bottom w:w="0" w:type="dxa"/>
            <w:right w:w="108" w:type="dxa"/>
          </w:tblCellMar>
        </w:tblPrEx>
        <w:trPr>
          <w:trHeight w:val="1878"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资金使用合规性（4分）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项目资金使用是否符合相关的财务管理制度规定，用以反映和考核项目资金的规范运行情况。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①是否符合国家财经法规和财务管理制度以及有关专项资金管理办法的规定；</w:t>
            </w:r>
            <w:r>
              <w:rPr>
                <w:rFonts w:hint="eastAsia" w:ascii="仿宋_GB2312" w:hAnsi="Arial Narrow" w:cs="宋体"/>
                <w:kern w:val="0"/>
                <w:sz w:val="20"/>
                <w:szCs w:val="20"/>
              </w:rPr>
              <w:br w:type="textWrapping"/>
            </w:r>
            <w:r>
              <w:rPr>
                <w:rFonts w:hint="eastAsia" w:ascii="仿宋_GB2312" w:hAnsi="Arial Narrow" w:cs="宋体"/>
                <w:kern w:val="0"/>
                <w:sz w:val="20"/>
                <w:szCs w:val="20"/>
              </w:rPr>
              <w:t>②资金的拨付是否有完整的审批程序和手续；</w:t>
            </w:r>
            <w:r>
              <w:rPr>
                <w:rFonts w:hint="eastAsia" w:ascii="仿宋_GB2312" w:hAnsi="Arial Narrow" w:cs="宋体"/>
                <w:kern w:val="0"/>
                <w:sz w:val="20"/>
                <w:szCs w:val="20"/>
              </w:rPr>
              <w:br w:type="textWrapping"/>
            </w:r>
            <w:r>
              <w:rPr>
                <w:rFonts w:hint="eastAsia" w:ascii="仿宋_GB2312" w:hAnsi="Arial Narrow" w:cs="宋体"/>
                <w:kern w:val="0"/>
                <w:sz w:val="20"/>
                <w:szCs w:val="20"/>
              </w:rPr>
              <w:t>③项目的重大开支是否经过评估认证；</w:t>
            </w:r>
            <w:r>
              <w:rPr>
                <w:rFonts w:hint="eastAsia" w:ascii="仿宋_GB2312" w:hAnsi="Arial Narrow" w:cs="宋体"/>
                <w:kern w:val="0"/>
                <w:sz w:val="20"/>
                <w:szCs w:val="20"/>
              </w:rPr>
              <w:br w:type="textWrapping"/>
            </w:r>
            <w:r>
              <w:rPr>
                <w:rFonts w:hint="eastAsia" w:ascii="仿宋_GB2312" w:hAnsi="Arial Narrow" w:cs="宋体"/>
                <w:kern w:val="0"/>
                <w:sz w:val="20"/>
                <w:szCs w:val="20"/>
              </w:rPr>
              <w:t>④是否符合项目预算批复或合同规定的用途；</w:t>
            </w:r>
            <w:r>
              <w:rPr>
                <w:rFonts w:hint="eastAsia" w:ascii="仿宋_GB2312" w:hAnsi="Arial Narrow" w:cs="宋体"/>
                <w:kern w:val="0"/>
                <w:sz w:val="20"/>
                <w:szCs w:val="20"/>
              </w:rPr>
              <w:br w:type="textWrapping"/>
            </w:r>
            <w:r>
              <w:rPr>
                <w:rFonts w:hint="eastAsia" w:ascii="仿宋_GB2312" w:hAnsi="Arial Narrow" w:cs="宋体"/>
                <w:kern w:val="0"/>
                <w:sz w:val="20"/>
                <w:szCs w:val="20"/>
              </w:rPr>
              <w:t>⑤是否存在截留、挤占、挪用、虚列支出等情况。</w:t>
            </w:r>
          </w:p>
        </w:tc>
      </w:tr>
      <w:tr>
        <w:tblPrEx>
          <w:tblLayout w:type="fixed"/>
          <w:tblCellMar>
            <w:top w:w="0" w:type="dxa"/>
            <w:left w:w="108" w:type="dxa"/>
            <w:bottom w:w="0" w:type="dxa"/>
            <w:right w:w="108" w:type="dxa"/>
          </w:tblCellMar>
        </w:tblPrEx>
        <w:trPr>
          <w:trHeight w:val="1550"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财务监控有效性</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项目实施单位是否为保障资金的安全、规范运行而采取了必要的监控措施，用以反映和考核项目实施单位对资金运行的控制情况。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①是否已制定或具有相应的监控机制；</w:t>
            </w:r>
            <w:r>
              <w:rPr>
                <w:rFonts w:hint="eastAsia" w:ascii="仿宋_GB2312" w:hAnsi="Arial Narrow" w:cs="宋体"/>
                <w:kern w:val="0"/>
                <w:sz w:val="20"/>
                <w:szCs w:val="20"/>
              </w:rPr>
              <w:br w:type="textWrapping"/>
            </w:r>
            <w:r>
              <w:rPr>
                <w:rFonts w:hint="eastAsia" w:ascii="仿宋_GB2312" w:hAnsi="Arial Narrow" w:cs="宋体"/>
                <w:kern w:val="0"/>
                <w:sz w:val="20"/>
                <w:szCs w:val="20"/>
              </w:rPr>
              <w:t>②是否采取了相应的财务检查等必要的监控措施或手段。</w:t>
            </w:r>
          </w:p>
        </w:tc>
      </w:tr>
      <w:tr>
        <w:tblPrEx>
          <w:tblLayout w:type="fixed"/>
          <w:tblCellMar>
            <w:top w:w="0" w:type="dxa"/>
            <w:left w:w="108" w:type="dxa"/>
            <w:bottom w:w="0" w:type="dxa"/>
            <w:right w:w="108" w:type="dxa"/>
          </w:tblCellMar>
        </w:tblPrEx>
        <w:trPr>
          <w:trHeight w:val="3027"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专业课程开放情况（4分）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项目实施后，是否按照招生简介上安排专业和对应的课程，用以反映和考核项目的数量产出。</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page"/>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①</w:t>
            </w:r>
            <w:r>
              <w:rPr>
                <w:rFonts w:ascii="Arial Narrow" w:hAnsi="Arial Narrow" w:eastAsia="宋体" w:cs="宋体"/>
                <w:kern w:val="0"/>
                <w:sz w:val="20"/>
                <w:szCs w:val="20"/>
              </w:rPr>
              <w:t>2017</w:t>
            </w:r>
            <w:r>
              <w:rPr>
                <w:rFonts w:hint="eastAsia" w:ascii="仿宋_GB2312" w:hAnsi="Arial Narrow" w:cs="宋体"/>
                <w:kern w:val="0"/>
                <w:sz w:val="20"/>
                <w:szCs w:val="20"/>
              </w:rPr>
              <w:t>年上学期安排文哲、电脑、书画、摄影、保健、舞蹈、健身舞、武术、瑜伽、戏曲、声乐、钢琴、电子琴、器乐、时尚生活</w:t>
            </w:r>
            <w:r>
              <w:rPr>
                <w:rFonts w:ascii="Arial Narrow" w:hAnsi="Arial Narrow" w:eastAsia="宋体" w:cs="宋体"/>
                <w:kern w:val="0"/>
                <w:sz w:val="20"/>
                <w:szCs w:val="20"/>
              </w:rPr>
              <w:t>15</w:t>
            </w:r>
            <w:r>
              <w:rPr>
                <w:rFonts w:hint="eastAsia" w:ascii="仿宋_GB2312" w:hAnsi="Arial Narrow" w:cs="宋体"/>
                <w:kern w:val="0"/>
                <w:sz w:val="20"/>
                <w:szCs w:val="20"/>
              </w:rPr>
              <w:t>个专业，班级达到</w:t>
            </w:r>
            <w:r>
              <w:rPr>
                <w:rFonts w:ascii="Arial Narrow" w:hAnsi="Arial Narrow" w:eastAsia="宋体" w:cs="宋体"/>
                <w:kern w:val="0"/>
                <w:sz w:val="20"/>
                <w:szCs w:val="20"/>
              </w:rPr>
              <w:t>316</w:t>
            </w:r>
            <w:r>
              <w:rPr>
                <w:rFonts w:hint="eastAsia" w:ascii="仿宋_GB2312" w:hAnsi="Arial Narrow" w:cs="宋体"/>
                <w:kern w:val="0"/>
                <w:sz w:val="20"/>
                <w:szCs w:val="20"/>
              </w:rPr>
              <w:t>个；</w:t>
            </w:r>
            <w:r>
              <w:rPr>
                <w:rFonts w:hint="eastAsia" w:ascii="仿宋_GB2312" w:hAnsi="Arial Narrow" w:cs="宋体"/>
                <w:kern w:val="0"/>
                <w:sz w:val="20"/>
                <w:szCs w:val="20"/>
              </w:rPr>
              <w:br w:type="page"/>
            </w:r>
            <w:r>
              <w:rPr>
                <w:rFonts w:hint="eastAsia" w:ascii="仿宋_GB2312" w:hAnsi="Arial Narrow" w:cs="宋体"/>
                <w:kern w:val="0"/>
                <w:sz w:val="20"/>
                <w:szCs w:val="20"/>
              </w:rPr>
              <w:t>②</w:t>
            </w:r>
            <w:r>
              <w:rPr>
                <w:rFonts w:ascii="Arial Narrow" w:hAnsi="Arial Narrow" w:eastAsia="宋体" w:cs="宋体"/>
                <w:kern w:val="0"/>
                <w:sz w:val="20"/>
                <w:szCs w:val="20"/>
              </w:rPr>
              <w:t>2017</w:t>
            </w:r>
            <w:r>
              <w:rPr>
                <w:rFonts w:hint="eastAsia" w:ascii="仿宋_GB2312" w:hAnsi="Arial Narrow" w:cs="宋体"/>
                <w:kern w:val="0"/>
                <w:sz w:val="20"/>
                <w:szCs w:val="20"/>
              </w:rPr>
              <w:t>年下学期安排语言文学系、书画绘画系、电脑摄影系、运动保健系、舞蹈系、声乐系、钢琴系、器乐系、戏曲系、生活技能系</w:t>
            </w:r>
            <w:r>
              <w:rPr>
                <w:rFonts w:ascii="Arial Narrow" w:hAnsi="Arial Narrow" w:eastAsia="宋体" w:cs="宋体"/>
                <w:kern w:val="0"/>
                <w:sz w:val="20"/>
                <w:szCs w:val="20"/>
              </w:rPr>
              <w:t>10</w:t>
            </w:r>
            <w:r>
              <w:rPr>
                <w:rFonts w:hint="eastAsia" w:ascii="仿宋_GB2312" w:hAnsi="Arial Narrow" w:cs="宋体"/>
                <w:kern w:val="0"/>
                <w:sz w:val="20"/>
                <w:szCs w:val="20"/>
              </w:rPr>
              <w:t>个专业，班级达到</w:t>
            </w:r>
            <w:r>
              <w:rPr>
                <w:rFonts w:ascii="Arial Narrow" w:hAnsi="Arial Narrow" w:eastAsia="宋体" w:cs="宋体"/>
                <w:kern w:val="0"/>
                <w:sz w:val="20"/>
                <w:szCs w:val="20"/>
              </w:rPr>
              <w:t>319</w:t>
            </w:r>
            <w:r>
              <w:rPr>
                <w:rFonts w:hint="eastAsia" w:ascii="仿宋_GB2312" w:hAnsi="Arial Narrow" w:cs="宋体"/>
                <w:kern w:val="0"/>
                <w:sz w:val="20"/>
                <w:szCs w:val="20"/>
              </w:rPr>
              <w:t>个。</w:t>
            </w:r>
            <w:r>
              <w:rPr>
                <w:rFonts w:hint="eastAsia" w:ascii="仿宋_GB2312" w:hAnsi="Arial Narrow" w:cs="宋体"/>
                <w:kern w:val="0"/>
                <w:sz w:val="20"/>
                <w:szCs w:val="20"/>
              </w:rPr>
              <w:br w:type="page"/>
            </w:r>
          </w:p>
        </w:tc>
      </w:tr>
      <w:tr>
        <w:tblPrEx>
          <w:tblLayout w:type="fixed"/>
          <w:tblCellMar>
            <w:top w:w="0" w:type="dxa"/>
            <w:left w:w="108" w:type="dxa"/>
            <w:bottom w:w="0" w:type="dxa"/>
            <w:right w:w="108" w:type="dxa"/>
          </w:tblCellMar>
        </w:tblPrEx>
        <w:trPr>
          <w:trHeight w:val="607"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教师课酬分配合理性（4分）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项目实施后，聘请的教室人数是否满足课程要求，用以反映和考核项目的数量产出。</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①是否按课酬分配档次实施课酬分配；</w:t>
            </w:r>
            <w:r>
              <w:rPr>
                <w:rFonts w:hint="eastAsia" w:ascii="仿宋_GB2312" w:hAnsi="Arial Narrow" w:cs="宋体"/>
                <w:kern w:val="0"/>
                <w:sz w:val="20"/>
                <w:szCs w:val="20"/>
              </w:rPr>
              <w:br w:type="textWrapping"/>
            </w:r>
            <w:r>
              <w:rPr>
                <w:rFonts w:hint="eastAsia" w:ascii="仿宋_GB2312" w:hAnsi="Arial Narrow" w:cs="宋体"/>
                <w:kern w:val="0"/>
                <w:sz w:val="20"/>
                <w:szCs w:val="20"/>
              </w:rPr>
              <w:t>②课酬分配是否按照预算要求执行。</w:t>
            </w:r>
          </w:p>
        </w:tc>
      </w:tr>
      <w:tr>
        <w:tblPrEx>
          <w:tblLayout w:type="fixed"/>
          <w:tblCellMar>
            <w:top w:w="0" w:type="dxa"/>
            <w:left w:w="108" w:type="dxa"/>
            <w:bottom w:w="0" w:type="dxa"/>
            <w:right w:w="108" w:type="dxa"/>
          </w:tblCellMar>
        </w:tblPrEx>
        <w:trPr>
          <w:trHeight w:val="1239"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持有教师资格证占比（4分）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项目实施后，老年大学持有教师资格证的教师人数占总教师人数的比率，用以反映和考核项目的质量产出。</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按教育要求，教学老师都应具有教师资格证。</w:t>
            </w:r>
          </w:p>
        </w:tc>
      </w:tr>
      <w:tr>
        <w:tblPrEx>
          <w:tblLayout w:type="fixed"/>
          <w:tblCellMar>
            <w:top w:w="0" w:type="dxa"/>
            <w:left w:w="108" w:type="dxa"/>
            <w:bottom w:w="0" w:type="dxa"/>
            <w:right w:w="108" w:type="dxa"/>
          </w:tblCellMar>
        </w:tblPrEx>
        <w:trPr>
          <w:trHeight w:val="1890"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社保业务引导程度（4分）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项目实施后，水果湖和杨园街社保服务站带动街道行政服务处理中心办理社会保险的情况，用以反映和考核项目的完成情况。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①按业务清单要求，对街道开展</w:t>
            </w:r>
            <w:r>
              <w:rPr>
                <w:rFonts w:ascii="Arial Narrow" w:hAnsi="Arial Narrow" w:eastAsia="宋体" w:cs="宋体"/>
                <w:kern w:val="0"/>
                <w:sz w:val="20"/>
                <w:szCs w:val="20"/>
              </w:rPr>
              <w:t>32</w:t>
            </w:r>
            <w:r>
              <w:rPr>
                <w:rFonts w:hint="eastAsia" w:ascii="仿宋_GB2312" w:hAnsi="Arial Narrow" w:cs="宋体"/>
                <w:kern w:val="0"/>
                <w:sz w:val="20"/>
                <w:szCs w:val="20"/>
              </w:rPr>
              <w:t>项社会保险业务进行引导；</w:t>
            </w:r>
          </w:p>
        </w:tc>
      </w:tr>
      <w:tr>
        <w:tblPrEx>
          <w:tblLayout w:type="fixed"/>
          <w:tblCellMar>
            <w:top w:w="0" w:type="dxa"/>
            <w:left w:w="108" w:type="dxa"/>
            <w:bottom w:w="0" w:type="dxa"/>
            <w:right w:w="108" w:type="dxa"/>
          </w:tblCellMar>
        </w:tblPrEx>
        <w:trPr>
          <w:trHeight w:val="1770"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办公设备到位率（5分）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项目实施后，是否按预算要求，购置相关的办公设备，办公设备是否配备到位，用以反映项目的数量产出。</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ascii="Arial Narrow" w:hAnsi="Arial Narrow" w:eastAsia="宋体" w:cs="宋体"/>
                <w:kern w:val="0"/>
                <w:sz w:val="20"/>
                <w:szCs w:val="20"/>
              </w:rPr>
              <w:t>:</w:t>
            </w:r>
            <w:r>
              <w:rPr>
                <w:rFonts w:ascii="Arial Narrow" w:hAnsi="Arial Narrow" w:eastAsia="宋体" w:cs="宋体"/>
                <w:kern w:val="0"/>
                <w:sz w:val="20"/>
                <w:szCs w:val="20"/>
              </w:rPr>
              <w:br w:type="textWrapping"/>
            </w:r>
            <w:r>
              <w:rPr>
                <w:rFonts w:hint="eastAsia" w:ascii="仿宋_GB2312" w:hAnsi="Arial Narrow" w:cs="宋体"/>
                <w:kern w:val="0"/>
                <w:sz w:val="20"/>
                <w:szCs w:val="20"/>
              </w:rPr>
              <w:t>①办公设备到位率</w:t>
            </w:r>
            <w:r>
              <w:rPr>
                <w:rFonts w:ascii="Arial Narrow" w:hAnsi="Arial Narrow" w:eastAsia="宋体" w:cs="宋体"/>
                <w:kern w:val="0"/>
                <w:sz w:val="20"/>
                <w:szCs w:val="20"/>
              </w:rPr>
              <w:t>=</w:t>
            </w:r>
            <w:r>
              <w:rPr>
                <w:rFonts w:hint="eastAsia" w:ascii="仿宋_GB2312" w:hAnsi="Arial Narrow" w:cs="宋体"/>
                <w:kern w:val="0"/>
                <w:sz w:val="20"/>
                <w:szCs w:val="20"/>
              </w:rPr>
              <w:t>（实际到位的设备</w:t>
            </w:r>
            <w:r>
              <w:rPr>
                <w:rFonts w:ascii="Arial Narrow" w:hAnsi="Arial Narrow" w:eastAsia="宋体" w:cs="宋体"/>
                <w:kern w:val="0"/>
                <w:sz w:val="20"/>
                <w:szCs w:val="20"/>
              </w:rPr>
              <w:t>/</w:t>
            </w:r>
            <w:r>
              <w:rPr>
                <w:rFonts w:hint="eastAsia" w:ascii="仿宋_GB2312" w:hAnsi="Arial Narrow" w:cs="宋体"/>
                <w:kern w:val="0"/>
                <w:sz w:val="20"/>
                <w:szCs w:val="20"/>
              </w:rPr>
              <w:t>计划配备购置设备）</w:t>
            </w:r>
            <w:r>
              <w:rPr>
                <w:rFonts w:ascii="Arial Narrow" w:hAnsi="Arial Narrow" w:eastAsia="宋体" w:cs="宋体"/>
                <w:kern w:val="0"/>
                <w:sz w:val="20"/>
                <w:szCs w:val="20"/>
              </w:rPr>
              <w:t>*100%</w:t>
            </w:r>
          </w:p>
        </w:tc>
      </w:tr>
      <w:tr>
        <w:tblPrEx>
          <w:tblLayout w:type="fixed"/>
          <w:tblCellMar>
            <w:top w:w="0" w:type="dxa"/>
            <w:left w:w="108" w:type="dxa"/>
            <w:bottom w:w="0" w:type="dxa"/>
            <w:right w:w="108" w:type="dxa"/>
          </w:tblCellMar>
        </w:tblPrEx>
        <w:trPr>
          <w:trHeight w:val="50"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工作培训力度（4分）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项目实施后，老年大学开展教师培训工作和社保工作站开展业务知识培训工作的情况，用以反映业务工作能力的保障程度。</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①老年大学是否定期或不定期开展教师培训工作；</w:t>
            </w:r>
            <w:r>
              <w:rPr>
                <w:rFonts w:hint="eastAsia" w:ascii="仿宋_GB2312" w:hAnsi="Arial Narrow" w:cs="宋体"/>
                <w:kern w:val="0"/>
                <w:sz w:val="20"/>
                <w:szCs w:val="20"/>
              </w:rPr>
              <w:br w:type="textWrapping"/>
            </w:r>
            <w:r>
              <w:rPr>
                <w:rFonts w:hint="eastAsia" w:ascii="仿宋_GB2312" w:hAnsi="Arial Narrow" w:cs="宋体"/>
                <w:kern w:val="0"/>
                <w:sz w:val="20"/>
                <w:szCs w:val="20"/>
              </w:rPr>
              <w:t>②水果湖和杨园街社保服务站是否经常对各街道开展业务培训工作。</w:t>
            </w:r>
          </w:p>
        </w:tc>
      </w:tr>
      <w:tr>
        <w:tblPrEx>
          <w:tblLayout w:type="fixed"/>
          <w:tblCellMar>
            <w:top w:w="0" w:type="dxa"/>
            <w:left w:w="108" w:type="dxa"/>
            <w:bottom w:w="0" w:type="dxa"/>
            <w:right w:w="108" w:type="dxa"/>
          </w:tblCellMar>
        </w:tblPrEx>
        <w:trPr>
          <w:trHeight w:val="617"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资金使用率（5分）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项目实际支出与项目到位资金的比率，用以反映和考核项目资金使用情况。</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资金使用率</w:t>
            </w:r>
            <w:r>
              <w:rPr>
                <w:rFonts w:ascii="Arial Narrow" w:hAnsi="Arial Narrow" w:eastAsia="宋体" w:cs="宋体"/>
                <w:kern w:val="0"/>
                <w:sz w:val="20"/>
                <w:szCs w:val="20"/>
              </w:rPr>
              <w:t>=</w:t>
            </w:r>
            <w:r>
              <w:rPr>
                <w:rFonts w:hint="eastAsia" w:ascii="仿宋_GB2312" w:hAnsi="Arial Narrow" w:cs="宋体"/>
                <w:kern w:val="0"/>
                <w:sz w:val="20"/>
                <w:szCs w:val="20"/>
              </w:rPr>
              <w:t>项目实际支出</w:t>
            </w:r>
            <w:r>
              <w:rPr>
                <w:rFonts w:ascii="Arial Narrow" w:hAnsi="Arial Narrow" w:eastAsia="宋体" w:cs="宋体"/>
                <w:kern w:val="0"/>
                <w:sz w:val="20"/>
                <w:szCs w:val="20"/>
              </w:rPr>
              <w:t>/</w:t>
            </w:r>
            <w:r>
              <w:rPr>
                <w:rFonts w:hint="eastAsia" w:ascii="仿宋_GB2312" w:hAnsi="Arial Narrow" w:cs="宋体"/>
                <w:kern w:val="0"/>
                <w:sz w:val="20"/>
                <w:szCs w:val="20"/>
              </w:rPr>
              <w:t>项目到位资金</w:t>
            </w:r>
            <w:r>
              <w:rPr>
                <w:rFonts w:ascii="Arial Narrow" w:hAnsi="Arial Narrow" w:eastAsia="宋体" w:cs="宋体"/>
                <w:kern w:val="0"/>
                <w:sz w:val="20"/>
                <w:szCs w:val="20"/>
              </w:rPr>
              <w:t>×100%</w:t>
            </w:r>
            <w:r>
              <w:rPr>
                <w:rFonts w:hint="eastAsia" w:ascii="仿宋_GB2312" w:hAnsi="Arial Narrow" w:cs="宋体"/>
                <w:kern w:val="0"/>
                <w:sz w:val="20"/>
                <w:szCs w:val="20"/>
              </w:rPr>
              <w:t>。</w:t>
            </w:r>
            <w:r>
              <w:rPr>
                <w:rFonts w:hint="eastAsia" w:ascii="仿宋_GB2312" w:hAnsi="Arial Narrow" w:cs="宋体"/>
                <w:kern w:val="0"/>
                <w:sz w:val="20"/>
                <w:szCs w:val="20"/>
              </w:rPr>
              <w:br w:type="textWrapping"/>
            </w:r>
            <w:r>
              <w:rPr>
                <w:rFonts w:hint="eastAsia" w:ascii="仿宋_GB2312" w:hAnsi="Arial Narrow" w:cs="宋体"/>
                <w:kern w:val="0"/>
                <w:sz w:val="20"/>
                <w:szCs w:val="20"/>
              </w:rPr>
              <w:t>实际支出：项目实施单位为完成既定工作目标一定时期（本年度或项目期）内实际所耗费的支出。</w:t>
            </w:r>
            <w:r>
              <w:rPr>
                <w:rFonts w:hint="eastAsia" w:ascii="仿宋_GB2312" w:hAnsi="Arial Narrow" w:cs="宋体"/>
                <w:kern w:val="0"/>
                <w:sz w:val="20"/>
                <w:szCs w:val="20"/>
              </w:rPr>
              <w:br w:type="textWrapping"/>
            </w:r>
            <w:r>
              <w:rPr>
                <w:rFonts w:hint="eastAsia" w:ascii="仿宋_GB2312" w:hAnsi="Arial Narrow" w:cs="宋体"/>
                <w:kern w:val="0"/>
                <w:sz w:val="20"/>
                <w:szCs w:val="20"/>
              </w:rPr>
              <w:t>到位资金：一定时期（本年度或项目期）内实际落实到具体项目的资金。</w:t>
            </w:r>
          </w:p>
        </w:tc>
      </w:tr>
      <w:tr>
        <w:tblPrEx>
          <w:tblLayout w:type="fixed"/>
          <w:tblCellMar>
            <w:top w:w="0" w:type="dxa"/>
            <w:left w:w="108" w:type="dxa"/>
            <w:bottom w:w="0" w:type="dxa"/>
            <w:right w:w="108" w:type="dxa"/>
          </w:tblCellMar>
        </w:tblPrEx>
        <w:trPr>
          <w:trHeight w:val="1416"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优秀班集体评比率（4分）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项目实施后，学校开展创建优秀班集体活动，以加强教风、学风、班风建设，用以反映和考核项目的实施效果。</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br w:type="page"/>
            </w:r>
            <w:r>
              <w:rPr>
                <w:rFonts w:hint="eastAsia" w:ascii="仿宋_GB2312" w:hAnsi="Arial Narrow" w:cs="宋体"/>
                <w:kern w:val="0"/>
                <w:sz w:val="20"/>
                <w:szCs w:val="20"/>
              </w:rPr>
              <w:t>①优秀班集体评比率</w:t>
            </w:r>
            <w:r>
              <w:rPr>
                <w:rFonts w:ascii="Arial Narrow" w:hAnsi="Arial Narrow" w:eastAsia="宋体" w:cs="宋体"/>
                <w:kern w:val="0"/>
                <w:sz w:val="20"/>
                <w:szCs w:val="20"/>
              </w:rPr>
              <w:t>=</w:t>
            </w:r>
            <w:r>
              <w:rPr>
                <w:rFonts w:hint="eastAsia" w:ascii="仿宋_GB2312" w:hAnsi="Arial Narrow" w:cs="宋体"/>
                <w:kern w:val="0"/>
                <w:sz w:val="20"/>
                <w:szCs w:val="20"/>
              </w:rPr>
              <w:t>实际评比优秀班级个数</w:t>
            </w:r>
            <w:r>
              <w:rPr>
                <w:rFonts w:ascii="Arial Narrow" w:hAnsi="Arial Narrow" w:eastAsia="宋体" w:cs="宋体"/>
                <w:kern w:val="0"/>
                <w:sz w:val="20"/>
                <w:szCs w:val="20"/>
              </w:rPr>
              <w:t>/</w:t>
            </w:r>
            <w:r>
              <w:rPr>
                <w:rFonts w:hint="eastAsia" w:ascii="仿宋_GB2312" w:hAnsi="Arial Narrow" w:cs="宋体"/>
                <w:kern w:val="0"/>
                <w:sz w:val="20"/>
                <w:szCs w:val="20"/>
              </w:rPr>
              <w:t>计划评比优秀班级个数</w:t>
            </w:r>
            <w:r>
              <w:rPr>
                <w:rFonts w:ascii="Arial Narrow" w:hAnsi="Arial Narrow" w:eastAsia="宋体" w:cs="宋体"/>
                <w:kern w:val="0"/>
                <w:sz w:val="20"/>
                <w:szCs w:val="20"/>
              </w:rPr>
              <w:t>*100%</w:t>
            </w:r>
          </w:p>
        </w:tc>
      </w:tr>
      <w:tr>
        <w:tblPrEx>
          <w:tblLayout w:type="fixed"/>
          <w:tblCellMar>
            <w:top w:w="0" w:type="dxa"/>
            <w:left w:w="108" w:type="dxa"/>
            <w:bottom w:w="0" w:type="dxa"/>
            <w:right w:w="108" w:type="dxa"/>
          </w:tblCellMar>
        </w:tblPrEx>
        <w:trPr>
          <w:trHeight w:val="1219"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老年大学成果展示（4分）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老年大学开展各个专业课程后，每学期各专业学会（协会）都会适时组织学员进行学习成果汇报，展示学员风采。</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①各个专业都进行风采展示；</w:t>
            </w:r>
            <w:r>
              <w:rPr>
                <w:rFonts w:hint="eastAsia" w:ascii="仿宋_GB2312" w:hAnsi="Arial Narrow" w:cs="宋体"/>
                <w:kern w:val="0"/>
                <w:sz w:val="20"/>
                <w:szCs w:val="20"/>
              </w:rPr>
              <w:br w:type="textWrapping"/>
            </w:r>
            <w:r>
              <w:rPr>
                <w:rFonts w:hint="eastAsia" w:ascii="仿宋_GB2312" w:hAnsi="Arial Narrow" w:cs="宋体"/>
                <w:kern w:val="0"/>
                <w:sz w:val="20"/>
                <w:szCs w:val="20"/>
              </w:rPr>
              <w:t>②成果编印成书籍、期刊、杂志等。</w:t>
            </w:r>
          </w:p>
        </w:tc>
      </w:tr>
      <w:tr>
        <w:tblPrEx>
          <w:tblLayout w:type="fixed"/>
          <w:tblCellMar>
            <w:top w:w="0" w:type="dxa"/>
            <w:left w:w="108" w:type="dxa"/>
            <w:bottom w:w="0" w:type="dxa"/>
            <w:right w:w="108" w:type="dxa"/>
          </w:tblCellMar>
        </w:tblPrEx>
        <w:trPr>
          <w:trHeight w:val="2120"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老年生活丰富度（4分）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项目实施后，老年大学里的老年人生活是否得到丰富，用以反映和考核项目的社会效益。</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老年生活丰富度，结果采用问卷调查的方式获取。</w:t>
            </w:r>
          </w:p>
        </w:tc>
      </w:tr>
      <w:tr>
        <w:tblPrEx>
          <w:tblLayout w:type="fixed"/>
          <w:tblCellMar>
            <w:top w:w="0" w:type="dxa"/>
            <w:left w:w="108" w:type="dxa"/>
            <w:bottom w:w="0" w:type="dxa"/>
            <w:right w:w="108" w:type="dxa"/>
          </w:tblCellMar>
        </w:tblPrEx>
        <w:trPr>
          <w:trHeight w:val="1860"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社保业务便捷程度（4分）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设立水果湖、杨园街社保服务站后，各街道服务中心经办社保业务，是否可以实现社区居民出门</w:t>
            </w:r>
            <w:r>
              <w:rPr>
                <w:rFonts w:ascii="Arial Narrow" w:hAnsi="Arial Narrow" w:eastAsia="宋体" w:cs="宋体"/>
                <w:kern w:val="0"/>
                <w:sz w:val="20"/>
                <w:szCs w:val="20"/>
              </w:rPr>
              <w:t>15</w:t>
            </w:r>
            <w:r>
              <w:rPr>
                <w:rFonts w:hint="eastAsia" w:ascii="仿宋_GB2312" w:hAnsi="Arial Narrow" w:cs="宋体"/>
                <w:kern w:val="0"/>
                <w:sz w:val="20"/>
                <w:szCs w:val="20"/>
              </w:rPr>
              <w:t>分钟就能处理业务，反映业务的便捷程度。</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社保业务便捷程度，结果采用问卷调查的方式获取。</w:t>
            </w:r>
          </w:p>
        </w:tc>
      </w:tr>
      <w:tr>
        <w:tblPrEx>
          <w:tblLayout w:type="fixed"/>
          <w:tblCellMar>
            <w:top w:w="0" w:type="dxa"/>
            <w:left w:w="108" w:type="dxa"/>
            <w:bottom w:w="0" w:type="dxa"/>
            <w:right w:w="108" w:type="dxa"/>
          </w:tblCellMar>
        </w:tblPrEx>
        <w:trPr>
          <w:trHeight w:val="50"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可持续性（4分）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项目实施后，是否有充足的人员和设施支撑项目的长期运行，用以反映项目的可持续性。</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评价要点：</w:t>
            </w:r>
            <w:r>
              <w:rPr>
                <w:rFonts w:hint="eastAsia" w:ascii="仿宋_GB2312" w:hAnsi="Arial Narrow" w:cs="宋体"/>
                <w:kern w:val="0"/>
                <w:sz w:val="20"/>
                <w:szCs w:val="20"/>
              </w:rPr>
              <w:br w:type="textWrapping"/>
            </w:r>
            <w:r>
              <w:rPr>
                <w:rFonts w:hint="eastAsia" w:ascii="仿宋_GB2312" w:hAnsi="Arial Narrow" w:cs="宋体"/>
                <w:kern w:val="0"/>
                <w:sz w:val="20"/>
                <w:szCs w:val="20"/>
              </w:rPr>
              <w:t>是否有充足的人员和设施支撑项目的长期运行。</w:t>
            </w:r>
          </w:p>
        </w:tc>
      </w:tr>
      <w:tr>
        <w:tblPrEx>
          <w:tblLayout w:type="fixed"/>
          <w:tblCellMar>
            <w:top w:w="0" w:type="dxa"/>
            <w:left w:w="108" w:type="dxa"/>
            <w:bottom w:w="0" w:type="dxa"/>
            <w:right w:w="108" w:type="dxa"/>
          </w:tblCellMar>
        </w:tblPrEx>
        <w:trPr>
          <w:trHeight w:val="475"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老年大学学员满意度（5分）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项目实施后，老年大学学员对老年大学整体的满意程度，用以反映项目的社会效益。</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老年大学学员满意度，结果采取调查问卷的方式获取。</w:t>
            </w:r>
          </w:p>
        </w:tc>
      </w:tr>
      <w:tr>
        <w:tblPrEx>
          <w:tblLayout w:type="fixed"/>
          <w:tblCellMar>
            <w:top w:w="0" w:type="dxa"/>
            <w:left w:w="108" w:type="dxa"/>
            <w:bottom w:w="0" w:type="dxa"/>
            <w:right w:w="108" w:type="dxa"/>
          </w:tblCellMar>
        </w:tblPrEx>
        <w:trPr>
          <w:trHeight w:val="1249" w:hRule="atLeast"/>
        </w:trPr>
        <w:tc>
          <w:tcPr>
            <w:tcW w:w="114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社区居民满意度</w:t>
            </w:r>
          </w:p>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（5分）</w:t>
            </w:r>
          </w:p>
        </w:tc>
        <w:tc>
          <w:tcPr>
            <w:tcW w:w="2703"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项目实施后，社区居民对武昌区社保工作的效果的评价，用以反映项目的社会效益。</w:t>
            </w:r>
          </w:p>
        </w:tc>
        <w:tc>
          <w:tcPr>
            <w:tcW w:w="481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Arial Narrow" w:cs="宋体"/>
                <w:kern w:val="0"/>
                <w:sz w:val="20"/>
                <w:szCs w:val="20"/>
              </w:rPr>
            </w:pPr>
            <w:r>
              <w:rPr>
                <w:rFonts w:hint="eastAsia" w:ascii="仿宋_GB2312" w:hAnsi="Arial Narrow" w:cs="宋体"/>
                <w:kern w:val="0"/>
                <w:sz w:val="20"/>
                <w:szCs w:val="20"/>
              </w:rPr>
              <w:t>评价要点：</w:t>
            </w:r>
          </w:p>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社区居民满意度，结果采取问卷调查的方式获取。</w:t>
            </w:r>
          </w:p>
        </w:tc>
      </w:tr>
    </w:tbl>
    <w:p>
      <w:pPr>
        <w:spacing w:before="204" w:beforeLines="50"/>
        <w:ind w:firstLine="0" w:firstLineChars="0"/>
        <w:rPr>
          <w:rFonts w:ascii="仿宋_GB2312" w:hAnsi="仿宋_GB2312" w:cs="仿宋_GB2312"/>
        </w:rPr>
      </w:pPr>
      <w:r>
        <w:rPr>
          <w:rFonts w:hint="eastAsia" w:ascii="仿宋_GB2312" w:hAnsi="仿宋_GB2312" w:cs="仿宋_GB2312"/>
        </w:rPr>
        <w:t>具体指标目标值、绩效标准、评分细则如下表所示：</w:t>
      </w:r>
    </w:p>
    <w:tbl>
      <w:tblPr>
        <w:tblStyle w:val="25"/>
        <w:tblW w:w="8662" w:type="dxa"/>
        <w:tblInd w:w="93" w:type="dxa"/>
        <w:shd w:val="clear" w:color="auto" w:fill="FFFFFF" w:themeFill="background1"/>
        <w:tblLayout w:type="fixed"/>
        <w:tblCellMar>
          <w:top w:w="0" w:type="dxa"/>
          <w:left w:w="108" w:type="dxa"/>
          <w:bottom w:w="0" w:type="dxa"/>
          <w:right w:w="108" w:type="dxa"/>
        </w:tblCellMar>
      </w:tblPr>
      <w:tblGrid>
        <w:gridCol w:w="1433"/>
        <w:gridCol w:w="1134"/>
        <w:gridCol w:w="1134"/>
        <w:gridCol w:w="4961"/>
      </w:tblGrid>
      <w:tr>
        <w:tblPrEx>
          <w:shd w:val="clear" w:color="auto" w:fill="FFFFFF" w:themeFill="background1"/>
          <w:tblLayout w:type="fixed"/>
          <w:tblCellMar>
            <w:top w:w="0" w:type="dxa"/>
            <w:left w:w="108" w:type="dxa"/>
            <w:bottom w:w="0" w:type="dxa"/>
            <w:right w:w="108" w:type="dxa"/>
          </w:tblCellMar>
        </w:tblPrEx>
        <w:trPr>
          <w:trHeight w:val="960" w:hRule="atLeast"/>
          <w:tblHeader/>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rPr>
                <w:rFonts w:ascii="仿宋_GB2312" w:hAnsi="宋体" w:cs="宋体"/>
                <w:b/>
                <w:bCs/>
                <w:kern w:val="0"/>
                <w:sz w:val="20"/>
                <w:szCs w:val="20"/>
              </w:rPr>
            </w:pPr>
            <w:r>
              <w:rPr>
                <w:rFonts w:hint="eastAsia" w:ascii="仿宋_GB2312" w:hAnsi="宋体" w:cs="宋体"/>
                <w:b/>
                <w:bCs/>
                <w:kern w:val="0"/>
                <w:sz w:val="20"/>
                <w:szCs w:val="20"/>
              </w:rPr>
              <w:t>指标名称</w:t>
            </w:r>
          </w:p>
        </w:tc>
        <w:tc>
          <w:tcPr>
            <w:tcW w:w="113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参考值</w:t>
            </w:r>
            <w:r>
              <w:rPr>
                <w:rFonts w:hint="eastAsia" w:ascii="仿宋_GB2312" w:hAnsi="Arial Narrow" w:cs="宋体"/>
                <w:b/>
                <w:bCs/>
                <w:kern w:val="0"/>
                <w:sz w:val="20"/>
                <w:szCs w:val="20"/>
              </w:rPr>
              <w:br w:type="textWrapping"/>
            </w:r>
            <w:r>
              <w:rPr>
                <w:rFonts w:hint="eastAsia" w:ascii="仿宋_GB2312" w:hAnsi="Arial Narrow" w:cs="宋体"/>
                <w:b/>
                <w:bCs/>
                <w:kern w:val="0"/>
                <w:sz w:val="20"/>
                <w:szCs w:val="20"/>
              </w:rPr>
              <w:t>（目标值）</w:t>
            </w:r>
          </w:p>
        </w:tc>
        <w:tc>
          <w:tcPr>
            <w:tcW w:w="1134"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绩效标准</w:t>
            </w:r>
          </w:p>
        </w:tc>
        <w:tc>
          <w:tcPr>
            <w:tcW w:w="4961"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b/>
                <w:bCs/>
                <w:kern w:val="0"/>
                <w:sz w:val="20"/>
                <w:szCs w:val="20"/>
              </w:rPr>
            </w:pPr>
            <w:r>
              <w:rPr>
                <w:rFonts w:hint="eastAsia" w:ascii="仿宋_GB2312" w:hAnsi="Arial Narrow" w:cs="宋体"/>
                <w:b/>
                <w:bCs/>
                <w:kern w:val="0"/>
                <w:sz w:val="20"/>
                <w:szCs w:val="20"/>
              </w:rPr>
              <w:t>评分细则</w:t>
            </w:r>
          </w:p>
        </w:tc>
      </w:tr>
      <w:tr>
        <w:tblPrEx>
          <w:tblLayout w:type="fixed"/>
          <w:tblCellMar>
            <w:top w:w="0" w:type="dxa"/>
            <w:left w:w="108" w:type="dxa"/>
            <w:bottom w:w="0" w:type="dxa"/>
            <w:right w:w="108" w:type="dxa"/>
          </w:tblCellMar>
        </w:tblPrEx>
        <w:trPr>
          <w:trHeight w:val="178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项目立项规范性（4分）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项目按照规定的程序申请设立，提交的文件、材料符合相关要求计</w:t>
            </w:r>
            <w:r>
              <w:rPr>
                <w:rFonts w:ascii="Arial Narrow" w:hAnsi="Arial Narrow" w:eastAsia="宋体" w:cs="宋体"/>
                <w:kern w:val="0"/>
                <w:sz w:val="20"/>
                <w:szCs w:val="20"/>
              </w:rPr>
              <w:t>1</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事前已经过必要的可行性研究、专家论证、风险评估、集体决策的，计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项目执行时发生重大调整，有相应调整手续的，计</w:t>
            </w:r>
            <w:r>
              <w:rPr>
                <w:rFonts w:ascii="Arial Narrow" w:hAnsi="Arial Narrow" w:eastAsia="宋体" w:cs="宋体"/>
                <w:kern w:val="0"/>
                <w:sz w:val="20"/>
                <w:szCs w:val="20"/>
              </w:rPr>
              <w:t>1</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1144"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绩效目标合理性（4分）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项目设定长期目标、年度目标和绩效指标，目标和指标的设计符合目标管理规范，计</w:t>
            </w:r>
            <w:r>
              <w:rPr>
                <w:rFonts w:ascii="Arial Narrow" w:hAnsi="Arial Narrow" w:eastAsia="宋体" w:cs="宋体"/>
                <w:kern w:val="0"/>
                <w:sz w:val="20"/>
                <w:szCs w:val="20"/>
              </w:rPr>
              <w:t>2</w:t>
            </w:r>
            <w:r>
              <w:rPr>
                <w:rFonts w:hint="eastAsia" w:ascii="仿宋_GB2312" w:hAnsi="Arial Narrow" w:cs="宋体"/>
                <w:kern w:val="0"/>
                <w:sz w:val="20"/>
                <w:szCs w:val="20"/>
              </w:rPr>
              <w:t>分；根据绩效目标和完成情况的对比考核目标设立的合理性，绩效指标具有可测性，计</w:t>
            </w:r>
            <w:r>
              <w:rPr>
                <w:rFonts w:ascii="Arial Narrow" w:hAnsi="Arial Narrow" w:eastAsia="宋体" w:cs="宋体"/>
                <w:kern w:val="0"/>
                <w:sz w:val="20"/>
                <w:szCs w:val="20"/>
              </w:rPr>
              <w:t>2</w:t>
            </w:r>
            <w:r>
              <w:rPr>
                <w:rFonts w:hint="eastAsia" w:ascii="仿宋_GB2312" w:hAnsi="Arial Narrow" w:cs="宋体"/>
                <w:kern w:val="0"/>
                <w:sz w:val="20"/>
                <w:szCs w:val="20"/>
              </w:rPr>
              <w:t>分，否则计</w:t>
            </w:r>
            <w:r>
              <w:rPr>
                <w:rFonts w:ascii="Arial Narrow" w:hAnsi="Arial Narrow" w:eastAsia="宋体" w:cs="宋体"/>
                <w:kern w:val="0"/>
                <w:sz w:val="20"/>
                <w:szCs w:val="20"/>
              </w:rPr>
              <w:t>0</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501"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资金到位率（4分）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100%</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资金的到位及时率达到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4</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243"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到位及时率（4分）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100%</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到位及时率达到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4</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694"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管理制度健全性（4分）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项目实施单位已制定或具有相应的业务管理制度，计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制定的管理制度合法、合规、完整，计2分。</w:t>
            </w:r>
          </w:p>
        </w:tc>
      </w:tr>
      <w:tr>
        <w:tblPrEx>
          <w:tblLayout w:type="fixed"/>
          <w:tblCellMar>
            <w:top w:w="0" w:type="dxa"/>
            <w:left w:w="108" w:type="dxa"/>
            <w:bottom w:w="0" w:type="dxa"/>
            <w:right w:w="108" w:type="dxa"/>
          </w:tblCellMar>
        </w:tblPrEx>
        <w:trPr>
          <w:trHeight w:val="156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制度执行有效性（4分）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项目实施过程遵守相关法律法规计和项目管理制度，计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项目资料保存完整、齐全，计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745"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项目质量可控性（4分）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已制定或具有相应的项目质量要求或标准计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采取了相应的项目质量检查等必需的控制措施或手段计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634"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财务制度健全性（4分）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项目实施单位已制定或具有相应的业务管理制度，计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page"/>
            </w:r>
            <w:r>
              <w:rPr>
                <w:rFonts w:hint="eastAsia" w:ascii="仿宋_GB2312" w:hAnsi="Arial Narrow" w:cs="宋体"/>
                <w:kern w:val="0"/>
                <w:sz w:val="20"/>
                <w:szCs w:val="20"/>
              </w:rPr>
              <w:t>项目资金管理办法符合相关财务会计制度的规定计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964"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资金使用合规性（4分）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项目支出符合国家财经法规和财务管理制度的规定计</w:t>
            </w:r>
            <w:r>
              <w:rPr>
                <w:rFonts w:ascii="Arial Narrow" w:hAnsi="Arial Narrow" w:eastAsia="宋体" w:cs="宋体"/>
                <w:kern w:val="0"/>
                <w:sz w:val="20"/>
                <w:szCs w:val="20"/>
              </w:rPr>
              <w:t>1</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符合项目预算批复或合同规定的用途，计</w:t>
            </w:r>
            <w:r>
              <w:rPr>
                <w:rFonts w:ascii="Arial Narrow" w:hAnsi="Arial Narrow" w:eastAsia="宋体" w:cs="宋体"/>
                <w:kern w:val="0"/>
                <w:sz w:val="20"/>
                <w:szCs w:val="20"/>
              </w:rPr>
              <w:t>1</w:t>
            </w:r>
            <w:r>
              <w:rPr>
                <w:rFonts w:hint="eastAsia" w:ascii="仿宋_GB2312" w:hAnsi="Arial Narrow" w:cs="宋体"/>
                <w:kern w:val="0"/>
                <w:sz w:val="20"/>
                <w:szCs w:val="20"/>
              </w:rPr>
              <w:t>分；重大开支经过评估认证且符合预算规定的用途，计</w:t>
            </w:r>
            <w:r>
              <w:rPr>
                <w:rFonts w:ascii="Arial Narrow" w:hAnsi="Arial Narrow" w:eastAsia="宋体" w:cs="宋体"/>
                <w:kern w:val="0"/>
                <w:sz w:val="20"/>
                <w:szCs w:val="20"/>
              </w:rPr>
              <w:t>1</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不存在截留、挤占、挪用、虚列支出等情况计</w:t>
            </w:r>
            <w:r>
              <w:rPr>
                <w:rFonts w:ascii="Arial Narrow" w:hAnsi="Arial Narrow" w:eastAsia="宋体" w:cs="宋体"/>
                <w:kern w:val="0"/>
                <w:sz w:val="20"/>
                <w:szCs w:val="20"/>
              </w:rPr>
              <w:t>1</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327"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财务监控有效性（4分）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制定了相应的监控机制计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采取了相应的财务检查等必要的监控措施，计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636"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专业课程开放情况（4分）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仿宋_GB2312" w:hAnsi="Arial Narrow" w:cs="宋体"/>
                <w:kern w:val="0"/>
                <w:sz w:val="20"/>
                <w:szCs w:val="20"/>
              </w:rPr>
            </w:pPr>
            <w:r>
              <w:rPr>
                <w:rFonts w:ascii="Arial Narrow" w:hAnsi="Arial Narrow" w:eastAsia="宋体" w:cs="宋体"/>
                <w:kern w:val="0"/>
                <w:sz w:val="20"/>
                <w:szCs w:val="20"/>
              </w:rPr>
              <w:t>15</w:t>
            </w:r>
            <w:r>
              <w:rPr>
                <w:rFonts w:hint="eastAsia" w:ascii="仿宋_GB2312" w:hAnsi="Arial Narrow" w:cs="宋体"/>
                <w:kern w:val="0"/>
                <w:sz w:val="20"/>
                <w:szCs w:val="20"/>
              </w:rPr>
              <w:t>、</w:t>
            </w:r>
            <w:r>
              <w:rPr>
                <w:rFonts w:ascii="Arial Narrow" w:hAnsi="Arial Narrow" w:eastAsia="宋体" w:cs="宋体"/>
                <w:kern w:val="0"/>
                <w:sz w:val="20"/>
                <w:szCs w:val="20"/>
              </w:rPr>
              <w:t>316</w:t>
            </w:r>
            <w:r>
              <w:rPr>
                <w:rFonts w:hint="eastAsia" w:ascii="仿宋_GB2312" w:hAnsi="Arial Narrow" w:cs="宋体"/>
                <w:kern w:val="0"/>
                <w:sz w:val="20"/>
                <w:szCs w:val="20"/>
              </w:rPr>
              <w:t>；</w:t>
            </w:r>
          </w:p>
          <w:p>
            <w:pPr>
              <w:widowControl/>
              <w:spacing w:line="240" w:lineRule="auto"/>
              <w:ind w:firstLine="0" w:firstLineChars="0"/>
              <w:jc w:val="center"/>
              <w:rPr>
                <w:rFonts w:ascii="Arial Narrow" w:hAnsi="Arial Narrow" w:eastAsia="宋体" w:cs="宋体"/>
                <w:kern w:val="0"/>
                <w:sz w:val="20"/>
                <w:szCs w:val="20"/>
              </w:rPr>
            </w:pPr>
            <w:r>
              <w:rPr>
                <w:rFonts w:hint="eastAsia" w:ascii="仿宋_GB2312" w:hAnsi="Arial Narrow" w:cs="宋体"/>
                <w:kern w:val="0"/>
                <w:sz w:val="20"/>
                <w:szCs w:val="20"/>
              </w:rPr>
              <w:br w:type="page"/>
            </w:r>
            <w:r>
              <w:rPr>
                <w:rFonts w:ascii="Arial Narrow" w:hAnsi="Arial Narrow" w:eastAsia="宋体" w:cs="宋体"/>
                <w:kern w:val="0"/>
                <w:sz w:val="20"/>
                <w:szCs w:val="20"/>
              </w:rPr>
              <w:t>10</w:t>
            </w:r>
            <w:r>
              <w:rPr>
                <w:rFonts w:hint="eastAsia" w:ascii="仿宋_GB2312" w:hAnsi="Arial Narrow" w:cs="宋体"/>
                <w:kern w:val="0"/>
                <w:sz w:val="20"/>
                <w:szCs w:val="20"/>
              </w:rPr>
              <w:t>、</w:t>
            </w:r>
            <w:r>
              <w:rPr>
                <w:rFonts w:ascii="Arial Narrow" w:hAnsi="Arial Narrow" w:eastAsia="宋体" w:cs="宋体"/>
                <w:kern w:val="0"/>
                <w:sz w:val="20"/>
                <w:szCs w:val="20"/>
              </w:rPr>
              <w:t>319</w:t>
            </w:r>
            <w:r>
              <w:rPr>
                <w:rFonts w:hint="eastAsia" w:ascii="仿宋_GB2312" w:hAnsi="Arial Narrow" w:cs="宋体"/>
                <w:kern w:val="0"/>
                <w:sz w:val="20"/>
                <w:szCs w:val="20"/>
              </w:rPr>
              <w:t>；</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全年实际开展</w:t>
            </w:r>
            <w:r>
              <w:rPr>
                <w:rFonts w:ascii="Arial Narrow" w:hAnsi="Arial Narrow" w:eastAsia="宋体" w:cs="宋体"/>
                <w:kern w:val="0"/>
                <w:sz w:val="20"/>
                <w:szCs w:val="20"/>
              </w:rPr>
              <w:t>25</w:t>
            </w:r>
            <w:r>
              <w:rPr>
                <w:rFonts w:hint="eastAsia" w:ascii="仿宋_GB2312" w:hAnsi="Arial Narrow" w:cs="宋体"/>
                <w:kern w:val="0"/>
                <w:sz w:val="20"/>
                <w:szCs w:val="20"/>
              </w:rPr>
              <w:t>个专业课程，课程班级</w:t>
            </w:r>
            <w:r>
              <w:rPr>
                <w:rFonts w:ascii="Arial Narrow" w:hAnsi="Arial Narrow" w:eastAsia="宋体" w:cs="宋体"/>
                <w:kern w:val="0"/>
                <w:sz w:val="20"/>
                <w:szCs w:val="20"/>
              </w:rPr>
              <w:t>635</w:t>
            </w:r>
            <w:r>
              <w:rPr>
                <w:rFonts w:hint="eastAsia" w:ascii="仿宋_GB2312" w:hAnsi="Arial Narrow" w:cs="宋体"/>
                <w:kern w:val="0"/>
                <w:sz w:val="20"/>
                <w:szCs w:val="20"/>
              </w:rPr>
              <w:t>个，计</w:t>
            </w:r>
            <w:r>
              <w:rPr>
                <w:rFonts w:ascii="Arial Narrow" w:hAnsi="Arial Narrow" w:eastAsia="宋体" w:cs="宋体"/>
                <w:kern w:val="0"/>
                <w:sz w:val="20"/>
                <w:szCs w:val="20"/>
              </w:rPr>
              <w:t>4</w:t>
            </w:r>
            <w:r>
              <w:rPr>
                <w:rFonts w:hint="eastAsia" w:ascii="仿宋_GB2312" w:hAnsi="Arial Narrow" w:cs="宋体"/>
                <w:kern w:val="0"/>
                <w:sz w:val="20"/>
                <w:szCs w:val="20"/>
              </w:rPr>
              <w:t>分，否则计</w:t>
            </w:r>
            <w:r>
              <w:rPr>
                <w:rFonts w:ascii="Arial Narrow" w:hAnsi="Arial Narrow" w:eastAsia="宋体" w:cs="宋体"/>
                <w:kern w:val="0"/>
                <w:sz w:val="20"/>
                <w:szCs w:val="20"/>
              </w:rPr>
              <w:t>0</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54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教师课酬分配合理性（4分）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按课酬分配档次实施课酬分配，计</w:t>
            </w:r>
            <w:r>
              <w:rPr>
                <w:rFonts w:ascii="Arial Narrow" w:hAnsi="Arial Narrow" w:eastAsia="宋体" w:cs="宋体"/>
                <w:kern w:val="0"/>
                <w:sz w:val="20"/>
                <w:szCs w:val="20"/>
              </w:rPr>
              <w:t>2</w:t>
            </w:r>
            <w:r>
              <w:rPr>
                <w:rFonts w:hint="eastAsia" w:ascii="仿宋_GB2312" w:hAnsi="Arial Narrow" w:cs="宋体"/>
                <w:kern w:val="0"/>
                <w:sz w:val="20"/>
                <w:szCs w:val="20"/>
              </w:rPr>
              <w:t>分；课酬分配按照预算要求执行，计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43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持有教师资格证占比（4分）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100%</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教师资格证占比达到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4</w:t>
            </w:r>
            <w:r>
              <w:rPr>
                <w:rFonts w:hint="eastAsia" w:ascii="仿宋_GB2312" w:hAnsi="Arial Narrow" w:cs="宋体"/>
                <w:kern w:val="0"/>
                <w:sz w:val="20"/>
                <w:szCs w:val="20"/>
              </w:rPr>
              <w:t>分，每降低</w:t>
            </w:r>
            <w:r>
              <w:rPr>
                <w:rFonts w:ascii="Arial Narrow" w:hAnsi="Arial Narrow" w:eastAsia="宋体" w:cs="宋体"/>
                <w:kern w:val="0"/>
                <w:sz w:val="20"/>
                <w:szCs w:val="20"/>
              </w:rPr>
              <w:t>15%</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5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社保业务引导程度（4分）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100%</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社保业务引导程度达到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4</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5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办公设备到位率（5分）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100%</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办公设备到位率达到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5</w:t>
            </w:r>
            <w:r>
              <w:rPr>
                <w:rFonts w:hint="eastAsia" w:ascii="仿宋_GB2312" w:hAnsi="Arial Narrow" w:cs="宋体"/>
                <w:kern w:val="0"/>
                <w:sz w:val="20"/>
                <w:szCs w:val="20"/>
              </w:rPr>
              <w:t>分，每降低</w:t>
            </w:r>
            <w:r>
              <w:rPr>
                <w:rFonts w:ascii="Arial Narrow" w:hAnsi="Arial Narrow" w:eastAsia="宋体" w:cs="宋体"/>
                <w:kern w:val="0"/>
                <w:sz w:val="20"/>
                <w:szCs w:val="20"/>
              </w:rPr>
              <w:t>5%</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5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工作培训力度（4分）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定期或不定期开展教师培训工作，计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水果湖和杨园街社保服务站对各街道开展业务培训工作，计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5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资金使用率（5分）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95%</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资金使用率达到</w:t>
            </w:r>
            <w:r>
              <w:rPr>
                <w:rFonts w:ascii="Arial Narrow" w:hAnsi="Arial Narrow" w:eastAsia="宋体" w:cs="宋体"/>
                <w:kern w:val="0"/>
                <w:sz w:val="20"/>
                <w:szCs w:val="20"/>
              </w:rPr>
              <w:t>95%</w:t>
            </w:r>
            <w:r>
              <w:rPr>
                <w:rFonts w:hint="eastAsia" w:ascii="仿宋_GB2312" w:hAnsi="Arial Narrow" w:cs="宋体"/>
                <w:kern w:val="0"/>
                <w:sz w:val="20"/>
                <w:szCs w:val="20"/>
              </w:rPr>
              <w:t>，计</w:t>
            </w:r>
            <w:r>
              <w:rPr>
                <w:rFonts w:ascii="Arial Narrow" w:hAnsi="Arial Narrow" w:eastAsia="宋体" w:cs="宋体"/>
                <w:kern w:val="0"/>
                <w:sz w:val="20"/>
                <w:szCs w:val="20"/>
              </w:rPr>
              <w:t>5</w:t>
            </w:r>
            <w:r>
              <w:rPr>
                <w:rFonts w:hint="eastAsia" w:ascii="仿宋_GB2312" w:hAnsi="Arial Narrow" w:cs="宋体"/>
                <w:kern w:val="0"/>
                <w:sz w:val="20"/>
                <w:szCs w:val="20"/>
              </w:rPr>
              <w:t>分，每降低</w:t>
            </w:r>
            <w:r>
              <w:rPr>
                <w:rFonts w:ascii="Arial Narrow" w:hAnsi="Arial Narrow" w:eastAsia="宋体" w:cs="宋体"/>
                <w:kern w:val="0"/>
                <w:sz w:val="20"/>
                <w:szCs w:val="20"/>
              </w:rPr>
              <w:t>5%</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67"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优秀班集体评比率（4分）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100%</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优秀班集体评比率达到</w:t>
            </w:r>
            <w:r>
              <w:rPr>
                <w:rFonts w:ascii="Arial Narrow" w:hAnsi="Arial Narrow" w:eastAsia="宋体" w:cs="宋体"/>
                <w:kern w:val="0"/>
                <w:sz w:val="20"/>
                <w:szCs w:val="20"/>
              </w:rPr>
              <w:t>100%</w:t>
            </w:r>
            <w:r>
              <w:rPr>
                <w:rFonts w:hint="eastAsia" w:ascii="仿宋_GB2312" w:hAnsi="Arial Narrow" w:cs="宋体"/>
                <w:kern w:val="0"/>
                <w:sz w:val="20"/>
                <w:szCs w:val="20"/>
              </w:rPr>
              <w:t>，计</w:t>
            </w:r>
            <w:r>
              <w:rPr>
                <w:rFonts w:ascii="Arial Narrow" w:hAnsi="Arial Narrow" w:eastAsia="宋体" w:cs="宋体"/>
                <w:kern w:val="0"/>
                <w:sz w:val="20"/>
                <w:szCs w:val="20"/>
              </w:rPr>
              <w:t>4</w:t>
            </w:r>
            <w:r>
              <w:rPr>
                <w:rFonts w:hint="eastAsia" w:ascii="仿宋_GB2312" w:hAnsi="Arial Narrow" w:cs="宋体"/>
                <w:kern w:val="0"/>
                <w:sz w:val="20"/>
                <w:szCs w:val="20"/>
              </w:rPr>
              <w:t>分，每降低</w:t>
            </w:r>
            <w:r>
              <w:rPr>
                <w:rFonts w:ascii="Arial Narrow" w:hAnsi="Arial Narrow" w:eastAsia="宋体" w:cs="宋体"/>
                <w:kern w:val="0"/>
                <w:sz w:val="20"/>
                <w:szCs w:val="20"/>
              </w:rPr>
              <w:t>5%</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221"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老年大学成果展示（4分）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各个专业都进行风采展示，计</w:t>
            </w:r>
            <w:r>
              <w:rPr>
                <w:rFonts w:ascii="Arial Narrow" w:hAnsi="Arial Narrow" w:eastAsia="宋体" w:cs="宋体"/>
                <w:kern w:val="0"/>
                <w:sz w:val="20"/>
                <w:szCs w:val="20"/>
              </w:rPr>
              <w:t>2</w:t>
            </w:r>
            <w:r>
              <w:rPr>
                <w:rFonts w:hint="eastAsia" w:ascii="仿宋_GB2312" w:hAnsi="Arial Narrow" w:cs="宋体"/>
                <w:kern w:val="0"/>
                <w:sz w:val="20"/>
                <w:szCs w:val="20"/>
              </w:rPr>
              <w:t>分；</w:t>
            </w:r>
            <w:r>
              <w:rPr>
                <w:rFonts w:hint="eastAsia" w:ascii="仿宋_GB2312" w:hAnsi="Arial Narrow" w:cs="宋体"/>
                <w:kern w:val="0"/>
                <w:sz w:val="20"/>
                <w:szCs w:val="20"/>
              </w:rPr>
              <w:br w:type="textWrapping"/>
            </w:r>
            <w:r>
              <w:rPr>
                <w:rFonts w:hint="eastAsia" w:ascii="仿宋_GB2312" w:hAnsi="Arial Narrow" w:cs="宋体"/>
                <w:kern w:val="0"/>
                <w:sz w:val="20"/>
                <w:szCs w:val="20"/>
              </w:rPr>
              <w:t>成果编印成书籍、期刊、杂志等，计</w:t>
            </w:r>
            <w:r>
              <w:rPr>
                <w:rFonts w:ascii="Arial Narrow" w:hAnsi="Arial Narrow" w:eastAsia="宋体" w:cs="宋体"/>
                <w:kern w:val="0"/>
                <w:sz w:val="20"/>
                <w:szCs w:val="20"/>
              </w:rPr>
              <w:t>2</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5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老年生活丰富度（4分）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95%</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老年生活丰富度达到</w:t>
            </w:r>
            <w:r>
              <w:rPr>
                <w:rFonts w:ascii="Arial Narrow" w:hAnsi="Arial Narrow" w:eastAsia="宋体" w:cs="宋体"/>
                <w:kern w:val="0"/>
                <w:sz w:val="20"/>
                <w:szCs w:val="20"/>
              </w:rPr>
              <w:t>95%</w:t>
            </w:r>
            <w:r>
              <w:rPr>
                <w:rFonts w:hint="eastAsia" w:ascii="仿宋_GB2312" w:hAnsi="Arial Narrow" w:cs="宋体"/>
                <w:kern w:val="0"/>
                <w:sz w:val="20"/>
                <w:szCs w:val="20"/>
              </w:rPr>
              <w:t>，计</w:t>
            </w:r>
            <w:r>
              <w:rPr>
                <w:rFonts w:ascii="Arial Narrow" w:hAnsi="Arial Narrow" w:eastAsia="宋体" w:cs="宋体"/>
                <w:kern w:val="0"/>
                <w:sz w:val="20"/>
                <w:szCs w:val="20"/>
              </w:rPr>
              <w:t>4</w:t>
            </w:r>
            <w:r>
              <w:rPr>
                <w:rFonts w:hint="eastAsia" w:ascii="仿宋_GB2312" w:hAnsi="Arial Narrow" w:cs="宋体"/>
                <w:kern w:val="0"/>
                <w:sz w:val="20"/>
                <w:szCs w:val="20"/>
              </w:rPr>
              <w:t>分，每降低</w:t>
            </w:r>
            <w:r>
              <w:rPr>
                <w:rFonts w:ascii="Arial Narrow" w:hAnsi="Arial Narrow" w:eastAsia="宋体" w:cs="宋体"/>
                <w:kern w:val="0"/>
                <w:sz w:val="20"/>
                <w:szCs w:val="20"/>
              </w:rPr>
              <w:t>5%</w:t>
            </w:r>
            <w:r>
              <w:rPr>
                <w:rFonts w:hint="eastAsia" w:ascii="仿宋_GB2312" w:hAnsi="Arial Narrow" w:cs="宋体"/>
                <w:kern w:val="0"/>
                <w:sz w:val="20"/>
                <w:szCs w:val="20"/>
              </w:rPr>
              <w:t>，扣</w:t>
            </w:r>
            <w:r>
              <w:rPr>
                <w:rFonts w:ascii="Arial Narrow" w:hAnsi="Arial Narrow" w:eastAsia="宋体" w:cs="宋体"/>
                <w:kern w:val="0"/>
                <w:sz w:val="20"/>
                <w:szCs w:val="20"/>
              </w:rPr>
              <w:t>0.5</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557"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社保业务便捷程度（4分）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95%</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社保业务便捷程度达到</w:t>
            </w:r>
            <w:r>
              <w:rPr>
                <w:rFonts w:ascii="Arial Narrow" w:hAnsi="Arial Narrow" w:eastAsia="宋体" w:cs="宋体"/>
                <w:kern w:val="0"/>
                <w:sz w:val="20"/>
                <w:szCs w:val="20"/>
              </w:rPr>
              <w:t>95%</w:t>
            </w:r>
            <w:r>
              <w:rPr>
                <w:rFonts w:hint="eastAsia" w:ascii="仿宋_GB2312" w:hAnsi="Arial Narrow" w:cs="宋体"/>
                <w:kern w:val="0"/>
                <w:sz w:val="20"/>
                <w:szCs w:val="20"/>
              </w:rPr>
              <w:t>，计</w:t>
            </w:r>
            <w:r>
              <w:rPr>
                <w:rFonts w:ascii="Arial Narrow" w:hAnsi="Arial Narrow" w:eastAsia="宋体" w:cs="宋体"/>
                <w:kern w:val="0"/>
                <w:sz w:val="20"/>
                <w:szCs w:val="20"/>
              </w:rPr>
              <w:t>4</w:t>
            </w:r>
            <w:r>
              <w:rPr>
                <w:rFonts w:hint="eastAsia" w:ascii="仿宋_GB2312" w:hAnsi="Arial Narrow" w:cs="宋体"/>
                <w:kern w:val="0"/>
                <w:sz w:val="20"/>
                <w:szCs w:val="20"/>
              </w:rPr>
              <w:t>分，每降低</w:t>
            </w:r>
            <w:r>
              <w:rPr>
                <w:rFonts w:ascii="Arial Narrow" w:hAnsi="Arial Narrow" w:eastAsia="宋体" w:cs="宋体"/>
                <w:kern w:val="0"/>
                <w:sz w:val="20"/>
                <w:szCs w:val="20"/>
              </w:rPr>
              <w:t>10%</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440"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可持续性（4分）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有充足的人员和设施支撑项目的长期运行，计</w:t>
            </w:r>
            <w:r>
              <w:rPr>
                <w:rFonts w:ascii="Arial Narrow" w:hAnsi="Arial Narrow" w:eastAsia="宋体" w:cs="宋体"/>
                <w:kern w:val="0"/>
                <w:sz w:val="20"/>
                <w:szCs w:val="20"/>
              </w:rPr>
              <w:t>4</w:t>
            </w:r>
            <w:r>
              <w:rPr>
                <w:rFonts w:hint="eastAsia" w:ascii="仿宋_GB2312" w:hAnsi="Arial Narrow" w:cs="宋体"/>
                <w:kern w:val="0"/>
                <w:sz w:val="20"/>
                <w:szCs w:val="20"/>
              </w:rPr>
              <w:t>分。</w:t>
            </w:r>
          </w:p>
        </w:tc>
      </w:tr>
      <w:tr>
        <w:tblPrEx>
          <w:tblLayout w:type="fixed"/>
          <w:tblCellMar>
            <w:top w:w="0" w:type="dxa"/>
            <w:left w:w="108" w:type="dxa"/>
            <w:bottom w:w="0" w:type="dxa"/>
            <w:right w:w="108" w:type="dxa"/>
          </w:tblCellMar>
        </w:tblPrEx>
        <w:trPr>
          <w:trHeight w:val="467"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老年大学学员满意度（5分）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95%</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老年大学学员满意度达到</w:t>
            </w:r>
            <w:r>
              <w:rPr>
                <w:rFonts w:ascii="Arial Narrow" w:hAnsi="Arial Narrow" w:eastAsia="宋体" w:cs="宋体"/>
                <w:kern w:val="0"/>
                <w:sz w:val="20"/>
                <w:szCs w:val="20"/>
              </w:rPr>
              <w:t>95%</w:t>
            </w:r>
            <w:r>
              <w:rPr>
                <w:rFonts w:hint="eastAsia" w:ascii="仿宋_GB2312" w:hAnsi="Arial Narrow" w:cs="宋体"/>
                <w:kern w:val="0"/>
                <w:sz w:val="20"/>
                <w:szCs w:val="20"/>
              </w:rPr>
              <w:t>，计</w:t>
            </w:r>
            <w:r>
              <w:rPr>
                <w:rFonts w:ascii="Arial Narrow" w:hAnsi="Arial Narrow" w:eastAsia="宋体" w:cs="宋体"/>
                <w:kern w:val="0"/>
                <w:sz w:val="20"/>
                <w:szCs w:val="20"/>
              </w:rPr>
              <w:t>5</w:t>
            </w:r>
            <w:r>
              <w:rPr>
                <w:rFonts w:hint="eastAsia" w:ascii="仿宋_GB2312" w:hAnsi="Arial Narrow" w:cs="宋体"/>
                <w:kern w:val="0"/>
                <w:sz w:val="20"/>
                <w:szCs w:val="20"/>
              </w:rPr>
              <w:t>分，每降低</w:t>
            </w:r>
            <w:r>
              <w:rPr>
                <w:rFonts w:ascii="Arial Narrow" w:hAnsi="Arial Narrow" w:eastAsia="宋体" w:cs="宋体"/>
                <w:kern w:val="0"/>
                <w:sz w:val="20"/>
                <w:szCs w:val="20"/>
              </w:rPr>
              <w:t>5%</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r>
        <w:tblPrEx>
          <w:tblLayout w:type="fixed"/>
          <w:tblCellMar>
            <w:top w:w="0" w:type="dxa"/>
            <w:left w:w="108" w:type="dxa"/>
            <w:bottom w:w="0" w:type="dxa"/>
            <w:right w:w="108" w:type="dxa"/>
          </w:tblCellMar>
        </w:tblPrEx>
        <w:trPr>
          <w:trHeight w:val="209" w:hRule="atLeast"/>
        </w:trPr>
        <w:tc>
          <w:tcPr>
            <w:tcW w:w="1433"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仿宋_GB2312" w:hAnsi="宋体" w:cs="宋体"/>
                <w:kern w:val="0"/>
                <w:sz w:val="20"/>
                <w:szCs w:val="20"/>
              </w:rPr>
            </w:pPr>
            <w:r>
              <w:rPr>
                <w:rFonts w:hint="eastAsia" w:ascii="仿宋_GB2312" w:hAnsi="宋体" w:cs="宋体"/>
                <w:kern w:val="0"/>
                <w:sz w:val="20"/>
                <w:szCs w:val="20"/>
              </w:rPr>
              <w:t>社区居民满意度（5分）</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ascii="Arial Narrow" w:hAnsi="Arial Narrow" w:eastAsia="宋体" w:cs="宋体"/>
                <w:kern w:val="0"/>
                <w:sz w:val="20"/>
                <w:szCs w:val="20"/>
              </w:rPr>
            </w:pPr>
            <w:r>
              <w:rPr>
                <w:rFonts w:ascii="Arial Narrow" w:hAnsi="Arial Narrow" w:eastAsia="宋体" w:cs="宋体"/>
                <w:kern w:val="0"/>
                <w:sz w:val="20"/>
                <w:szCs w:val="20"/>
              </w:rPr>
              <w:t>95%</w:t>
            </w:r>
          </w:p>
        </w:tc>
        <w:tc>
          <w:tcPr>
            <w:tcW w:w="113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计划标准</w:t>
            </w:r>
          </w:p>
        </w:tc>
        <w:tc>
          <w:tcPr>
            <w:tcW w:w="4961"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ascii="Arial Narrow" w:hAnsi="Arial Narrow" w:eastAsia="宋体" w:cs="宋体"/>
                <w:kern w:val="0"/>
                <w:sz w:val="20"/>
                <w:szCs w:val="20"/>
              </w:rPr>
            </w:pPr>
            <w:r>
              <w:rPr>
                <w:rFonts w:hint="eastAsia" w:ascii="仿宋_GB2312" w:hAnsi="Arial Narrow" w:cs="宋体"/>
                <w:kern w:val="0"/>
                <w:sz w:val="20"/>
                <w:szCs w:val="20"/>
              </w:rPr>
              <w:t>社区居民满意度达到</w:t>
            </w:r>
            <w:r>
              <w:rPr>
                <w:rFonts w:ascii="Arial Narrow" w:hAnsi="Arial Narrow" w:eastAsia="宋体" w:cs="宋体"/>
                <w:kern w:val="0"/>
                <w:sz w:val="20"/>
                <w:szCs w:val="20"/>
              </w:rPr>
              <w:t>95%</w:t>
            </w:r>
            <w:r>
              <w:rPr>
                <w:rFonts w:hint="eastAsia" w:ascii="仿宋_GB2312" w:hAnsi="Arial Narrow" w:cs="宋体"/>
                <w:kern w:val="0"/>
                <w:sz w:val="20"/>
                <w:szCs w:val="20"/>
              </w:rPr>
              <w:t>，计</w:t>
            </w:r>
            <w:r>
              <w:rPr>
                <w:rFonts w:ascii="Arial Narrow" w:hAnsi="Arial Narrow" w:eastAsia="宋体" w:cs="宋体"/>
                <w:kern w:val="0"/>
                <w:sz w:val="20"/>
                <w:szCs w:val="20"/>
              </w:rPr>
              <w:t>5</w:t>
            </w:r>
            <w:r>
              <w:rPr>
                <w:rFonts w:hint="eastAsia" w:ascii="仿宋_GB2312" w:hAnsi="Arial Narrow" w:cs="宋体"/>
                <w:kern w:val="0"/>
                <w:sz w:val="20"/>
                <w:szCs w:val="20"/>
              </w:rPr>
              <w:t>分，每降低</w:t>
            </w:r>
            <w:r>
              <w:rPr>
                <w:rFonts w:ascii="Arial Narrow" w:hAnsi="Arial Narrow" w:eastAsia="宋体" w:cs="宋体"/>
                <w:kern w:val="0"/>
                <w:sz w:val="20"/>
                <w:szCs w:val="20"/>
              </w:rPr>
              <w:t>5%</w:t>
            </w:r>
            <w:r>
              <w:rPr>
                <w:rFonts w:hint="eastAsia" w:ascii="仿宋_GB2312" w:hAnsi="Arial Narrow" w:cs="宋体"/>
                <w:kern w:val="0"/>
                <w:sz w:val="20"/>
                <w:szCs w:val="20"/>
              </w:rPr>
              <w:t>，扣</w:t>
            </w:r>
            <w:r>
              <w:rPr>
                <w:rFonts w:ascii="Arial Narrow" w:hAnsi="Arial Narrow" w:eastAsia="宋体" w:cs="宋体"/>
                <w:kern w:val="0"/>
                <w:sz w:val="20"/>
                <w:szCs w:val="20"/>
              </w:rPr>
              <w:t>1</w:t>
            </w:r>
            <w:r>
              <w:rPr>
                <w:rFonts w:hint="eastAsia" w:ascii="仿宋_GB2312" w:hAnsi="Arial Narrow" w:cs="宋体"/>
                <w:kern w:val="0"/>
                <w:sz w:val="20"/>
                <w:szCs w:val="20"/>
              </w:rPr>
              <w:t>分，扣完为止。</w:t>
            </w:r>
          </w:p>
        </w:tc>
      </w:tr>
    </w:tbl>
    <w:p>
      <w:pPr>
        <w:snapToGrid w:val="0"/>
        <w:ind w:firstLine="482"/>
        <w:jc w:val="left"/>
        <w:rPr>
          <w:rFonts w:ascii="Arial Narrow" w:hAnsi="Arial Narrow" w:cs="Arial Narrow"/>
          <w:b/>
          <w:color w:val="FF0000"/>
        </w:rPr>
      </w:pPr>
      <w:r>
        <w:rPr>
          <w:rFonts w:hint="eastAsia" w:ascii="Arial Narrow" w:hAnsi="Arial Narrow" w:cs="Arial Narrow"/>
          <w:b/>
        </w:rPr>
        <w:t>绩效评价指标体系补充说明</w:t>
      </w:r>
    </w:p>
    <w:p>
      <w:pPr>
        <w:snapToGrid w:val="0"/>
        <w:ind w:firstLine="480"/>
        <w:rPr>
          <w:rFonts w:ascii="Arial Narrow" w:hAnsi="Arial Narrow" w:cs="Arial Narrow"/>
        </w:rPr>
      </w:pPr>
      <w:r>
        <w:rPr>
          <w:rFonts w:hint="eastAsia" w:ascii="Arial Narrow" w:hAnsi="Arial Narrow" w:cs="Arial Narrow"/>
        </w:rPr>
        <w:t>区老年大学等工作经费项目年初没有项目申报表，故以下评价指标均为新增，调整情况如下：</w:t>
      </w:r>
    </w:p>
    <w:p>
      <w:pPr>
        <w:snapToGrid w:val="0"/>
        <w:ind w:firstLine="480"/>
        <w:rPr>
          <w:rFonts w:ascii="Arial Narrow" w:hAnsi="Arial Narrow" w:cs="Arial Narrow"/>
        </w:rPr>
      </w:pPr>
      <w:r>
        <w:rPr>
          <w:rFonts w:hint="eastAsia" w:ascii="Arial Narrow" w:hAnsi="Arial Narrow" w:cs="Arial Narrow"/>
        </w:rPr>
        <w:t>①新增“专业课程开放情况”、“教师课酬分配合理性”、“持有教师资格证占比”、“社保业务引导程度”、“办公设备到位率”、“工作培训力度”、“资金使用率”、“优秀班集体评比率”、“老年大学成果展示”、“老年生活丰富度”、“社保业务便捷程度”、“可持续性”，调整原因：根据项目实际产出与社会效益，新增上述指标以反映项目数量、质量目标的实现程度以及项目的社会效益。</w:t>
      </w:r>
    </w:p>
    <w:p>
      <w:pPr>
        <w:snapToGrid w:val="0"/>
        <w:ind w:firstLine="480"/>
        <w:rPr>
          <w:rFonts w:ascii="Arial Narrow" w:hAnsi="Arial Narrow" w:cs="Arial Narrow"/>
        </w:rPr>
      </w:pPr>
      <w:r>
        <w:rPr>
          <w:rFonts w:hint="eastAsia" w:ascii="Arial Narrow" w:hAnsi="Arial Narrow" w:cs="Arial Narrow"/>
        </w:rPr>
        <w:t>②新增“老年大学学员满意度”、“社区居民满意度”，调整原因：根据项目实际产出与社会效益，新增上述指标从社会群众方面反映项目的社会效益。</w:t>
      </w:r>
    </w:p>
    <w:p>
      <w:pPr>
        <w:snapToGrid w:val="0"/>
        <w:ind w:firstLine="482"/>
        <w:jc w:val="left"/>
        <w:rPr>
          <w:rFonts w:ascii="Arial Narrow" w:hAnsi="Arial Narrow" w:cs="Arial Narrow"/>
          <w:b/>
        </w:rPr>
      </w:pPr>
      <w:r>
        <w:rPr>
          <w:rFonts w:ascii="Arial Narrow" w:hAnsi="Arial Narrow" w:cs="Arial Narrow"/>
          <w:b/>
        </w:rPr>
        <w:t>4.评价方法</w:t>
      </w:r>
    </w:p>
    <w:p>
      <w:pPr>
        <w:snapToGrid w:val="0"/>
        <w:ind w:firstLine="482"/>
        <w:jc w:val="center"/>
        <w:rPr>
          <w:rFonts w:ascii="Arial Narrow" w:hAnsi="Arial Narrow" w:cs="Arial Narrow"/>
          <w:b/>
        </w:rPr>
      </w:pPr>
      <w:r>
        <w:rPr>
          <w:rFonts w:ascii="Arial Narrow" w:hAnsi="Arial Narrow" w:cs="Arial Narrow"/>
          <w:b/>
          <w:bCs/>
        </w:rPr>
        <w:drawing>
          <wp:inline distT="0" distB="0" distL="0" distR="0">
            <wp:extent cx="3648710" cy="1631315"/>
            <wp:effectExtent l="76200" t="0" r="85090" b="0"/>
            <wp:docPr id="6" name="组织结构图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snapToGrid w:val="0"/>
        <w:ind w:firstLine="480"/>
        <w:rPr>
          <w:rFonts w:ascii="Arial Narrow" w:hAnsi="Arial Narrow" w:cs="Arial Narrow"/>
        </w:rPr>
      </w:pPr>
      <w:r>
        <w:rPr>
          <w:rFonts w:ascii="Arial Narrow" w:hAnsi="Arial Narrow" w:cs="Arial Narrow"/>
        </w:rPr>
        <w:t>（1）综合评分方法</w:t>
      </w:r>
    </w:p>
    <w:p>
      <w:pPr>
        <w:snapToGrid w:val="0"/>
        <w:ind w:firstLine="480"/>
        <w:rPr>
          <w:rFonts w:ascii="Arial Narrow" w:hAnsi="Arial Narrow" w:cs="Arial Narrow"/>
        </w:rPr>
      </w:pPr>
      <w:r>
        <w:rPr>
          <w:rFonts w:ascii="Arial Narrow" w:hAnsi="Arial Narrow" w:cs="Arial Narrow"/>
        </w:rPr>
        <w:t>评价采用加权平均法进行综合评分，通过对</w:t>
      </w:r>
      <w:r>
        <w:rPr>
          <w:rFonts w:ascii="Arial Narrow" w:hAnsi="Arial Narrow" w:cs="Arial Narrow"/>
          <w:bCs/>
        </w:rPr>
        <w:t>区老年大学等工作经费项目</w:t>
      </w:r>
      <w:r>
        <w:rPr>
          <w:rFonts w:ascii="Arial Narrow" w:hAnsi="Arial Narrow" w:cs="Arial Narrow"/>
        </w:rPr>
        <w:t>绩效目标与实际实施效果的对比，综合分析其绩效目标实现程度，对各项指标要素评分，结合各项评分值与指标要素权重得出评价综合分值。</w:t>
      </w:r>
    </w:p>
    <w:p>
      <w:pPr>
        <w:snapToGrid w:val="0"/>
        <w:ind w:firstLine="480"/>
        <w:rPr>
          <w:rFonts w:ascii="Arial Narrow" w:hAnsi="Arial Narrow" w:cs="Arial Narrow"/>
        </w:rPr>
      </w:pPr>
      <w:r>
        <w:rPr>
          <w:rFonts w:ascii="Arial Narrow" w:hAnsi="Arial Narrow" w:cs="Arial Narrow"/>
        </w:rPr>
        <w:t>（2）指标计算方法</w:t>
      </w:r>
    </w:p>
    <w:p>
      <w:pPr>
        <w:snapToGrid w:val="0"/>
        <w:ind w:firstLine="480"/>
        <w:rPr>
          <w:rFonts w:ascii="Arial Narrow" w:hAnsi="Arial Narrow" w:cs="Arial Narrow"/>
        </w:rPr>
      </w:pPr>
      <w:r>
        <w:rPr>
          <w:rFonts w:ascii="Arial Narrow" w:hAnsi="Arial Narrow" w:cs="Arial Narrow"/>
        </w:rPr>
        <w:t>评价采用比率法对指标进行计算，先计算出指标实现值与指标标准值的比率，再将该项比率和对应指标满分值相乘，取整后得出指标评分值。</w:t>
      </w:r>
    </w:p>
    <w:p>
      <w:pPr>
        <w:snapToGrid w:val="0"/>
        <w:ind w:firstLine="480"/>
        <w:rPr>
          <w:rFonts w:ascii="Arial Narrow" w:hAnsi="Arial Narrow" w:cs="Arial Narrow"/>
        </w:rPr>
      </w:pPr>
      <w:r>
        <w:rPr>
          <w:rFonts w:ascii="Arial Narrow" w:hAnsi="Arial Narrow" w:cs="Arial Narrow"/>
        </w:rPr>
        <w:t>（3）权重确定方法</w:t>
      </w:r>
    </w:p>
    <w:p>
      <w:pPr>
        <w:snapToGrid w:val="0"/>
        <w:ind w:firstLine="480"/>
        <w:rPr>
          <w:rFonts w:ascii="Arial Narrow" w:hAnsi="Arial Narrow" w:cs="Arial Narrow"/>
        </w:rPr>
      </w:pPr>
      <w:r>
        <w:rPr>
          <w:rFonts w:ascii="Arial Narrow" w:hAnsi="Arial Narrow" w:cs="Arial Narrow"/>
        </w:rPr>
        <w:t>评价指标的权重量化参考《武昌区财政支出绩效评价管理暂行办法》，同时采用了逐项对比法和层次分析法，对每个层次的指标根据重要性依次进行比较并确定权重值。</w:t>
      </w:r>
    </w:p>
    <w:p>
      <w:pPr>
        <w:snapToGrid w:val="0"/>
        <w:ind w:firstLine="480"/>
        <w:rPr>
          <w:rFonts w:ascii="Arial Narrow" w:hAnsi="Arial Narrow" w:cs="Arial Narrow"/>
        </w:rPr>
      </w:pPr>
      <w:r>
        <w:rPr>
          <w:rFonts w:ascii="Arial Narrow" w:hAnsi="Arial Narrow" w:cs="Arial Narrow"/>
        </w:rPr>
        <w:t>（4）标准值的确定方法</w:t>
      </w:r>
    </w:p>
    <w:p>
      <w:pPr>
        <w:snapToGrid w:val="0"/>
        <w:ind w:firstLine="480"/>
        <w:rPr>
          <w:rFonts w:ascii="Arial Narrow" w:hAnsi="Arial Narrow" w:cs="Arial Narrow"/>
        </w:rPr>
      </w:pPr>
      <w:r>
        <w:rPr>
          <w:rFonts w:ascii="Arial Narrow" w:hAnsi="Arial Narrow" w:cs="Arial Narrow"/>
        </w:rPr>
        <w:t>本次评价采用了计划标准来确定标准值。以预先制定的目标、计划、预算、定额等数据作为评价标准，或者参照同类指标的历史数据或经验数据确定标准值。</w:t>
      </w:r>
    </w:p>
    <w:p>
      <w:pPr>
        <w:snapToGrid w:val="0"/>
        <w:ind w:firstLine="482"/>
        <w:jc w:val="left"/>
        <w:outlineLvl w:val="1"/>
        <w:rPr>
          <w:rFonts w:ascii="Arial Narrow" w:hAnsi="Arial Narrow" w:cs="Arial Narrow"/>
          <w:b/>
        </w:rPr>
      </w:pPr>
      <w:bookmarkStart w:id="69" w:name="_Toc3088"/>
      <w:r>
        <w:rPr>
          <w:rFonts w:ascii="Arial Narrow" w:hAnsi="Arial Narrow" w:cs="Arial Narrow"/>
          <w:b/>
        </w:rPr>
        <w:t>（四）证据收集方式</w:t>
      </w:r>
      <w:bookmarkEnd w:id="69"/>
    </w:p>
    <w:p>
      <w:pPr>
        <w:snapToGrid w:val="0"/>
        <w:ind w:firstLine="480"/>
        <w:rPr>
          <w:rFonts w:ascii="Arial Narrow" w:hAnsi="Arial Narrow" w:cs="Arial Narrow"/>
        </w:rPr>
      </w:pPr>
      <w:r>
        <w:rPr>
          <w:rFonts w:ascii="Arial Narrow" w:hAnsi="Arial Narrow" w:cs="Arial Narrow"/>
        </w:rPr>
        <w:t>“</w:t>
      </w:r>
      <w:r>
        <w:rPr>
          <w:rFonts w:ascii="Arial Narrow" w:hAnsi="Arial Narrow" w:cs="Arial Narrow"/>
          <w:bCs/>
        </w:rPr>
        <w:t>区老年大学等工作经费项目</w:t>
      </w:r>
      <w:r>
        <w:rPr>
          <w:rFonts w:ascii="Arial Narrow" w:hAnsi="Arial Narrow" w:cs="Arial Narrow"/>
        </w:rPr>
        <w:t>”绩效评价采取深入项目单位实地察看、面访、座谈、查阅相关资料、核查财务凭证等证据收集方法，获取大量高质量和准确可靠的数据信息，同时对项目实施相关机构进行访谈，发放调查问卷，收集绩效评价所需的基础性资料。</w:t>
      </w:r>
    </w:p>
    <w:p>
      <w:pPr>
        <w:snapToGrid w:val="0"/>
        <w:ind w:firstLine="480"/>
        <w:rPr>
          <w:rFonts w:ascii="Arial Narrow" w:hAnsi="Arial Narrow" w:cs="Arial Narrow"/>
        </w:rPr>
      </w:pPr>
      <w:r>
        <w:rPr>
          <w:rFonts w:ascii="Arial Narrow" w:hAnsi="Arial Narrow" w:cs="Arial Narrow"/>
        </w:rPr>
        <w:t>（1）评价信息资料的收集途径。评价小组前往项目实施单位，对负责人和财务人员收集相关资料文件，并对其进行访谈，了解各项目的开展过程和效果，并向社区居民直接发放调查问卷采集信息。</w:t>
      </w:r>
    </w:p>
    <w:p>
      <w:pPr>
        <w:snapToGrid w:val="0"/>
        <w:ind w:firstLine="480"/>
        <w:rPr>
          <w:rFonts w:ascii="Arial Narrow" w:hAnsi="Arial Narrow" w:cs="Arial Narrow"/>
        </w:rPr>
      </w:pPr>
      <w:r>
        <w:rPr>
          <w:rFonts w:ascii="Arial Narrow" w:hAnsi="Arial Narrow" w:cs="Arial Narrow"/>
        </w:rPr>
        <w:t>（2）信息资料的验证方式。财务数据方面，评价小组在项目现场查阅项目经费使用凭证、经费支出明细表及原始附件，将统计表与凭证明细进行核对，与项目相关人员进行经费使用情况的核实；项目实施方面，评价小组通过现场访谈、调查问卷的方式，从项目实施单位和服务对象多方面了解，将了解的信息与收集的资料进行对比验证。</w:t>
      </w:r>
    </w:p>
    <w:p>
      <w:pPr>
        <w:snapToGrid w:val="0"/>
        <w:ind w:firstLine="480"/>
        <w:rPr>
          <w:rFonts w:ascii="Arial Narrow" w:hAnsi="Arial Narrow" w:cs="Arial Narrow"/>
          <w:b/>
        </w:rPr>
      </w:pPr>
      <w:r>
        <w:rPr>
          <w:rFonts w:ascii="Arial Narrow" w:hAnsi="Arial Narrow" w:cs="Arial Narrow"/>
        </w:rPr>
        <w:t>（3）调查问卷的制作与安排。调查问卷由绩效评价小组根据项目资料，结合绩效指标框架，针对项目实际情况，设计合理的调查问题，收集相关、有效的问卷信息，综合分析调查结果，便于对项目进行评价。评价小组根据统计抽样法从武昌区</w:t>
      </w:r>
      <w:r>
        <w:rPr>
          <w:rFonts w:hint="eastAsia" w:ascii="Arial Narrow" w:hAnsi="Arial Narrow" w:cs="Arial Narrow"/>
        </w:rPr>
        <w:t>1</w:t>
      </w:r>
      <w:r>
        <w:rPr>
          <w:rFonts w:ascii="Arial Narrow" w:hAnsi="Arial Narrow" w:cs="Arial Narrow"/>
        </w:rPr>
        <w:t>4个街道中，随机抽取了2个社区向居民发放社保站工作的调查问卷</w:t>
      </w:r>
      <w:r>
        <w:rPr>
          <w:rFonts w:hint="eastAsia" w:ascii="Arial Narrow" w:hAnsi="Arial Narrow" w:cs="Arial Narrow"/>
        </w:rPr>
        <w:t>；</w:t>
      </w:r>
      <w:r>
        <w:rPr>
          <w:rFonts w:ascii="Arial Narrow" w:hAnsi="Arial Narrow" w:cs="Arial Narrow"/>
        </w:rPr>
        <w:t>评价小组随机在老年大学发放调查</w:t>
      </w:r>
      <w:r>
        <w:rPr>
          <w:rFonts w:hint="eastAsia" w:ascii="Arial Narrow" w:hAnsi="Arial Narrow" w:cs="Arial Narrow"/>
        </w:rPr>
        <w:t>问卷。</w:t>
      </w:r>
    </w:p>
    <w:bookmarkEnd w:id="59"/>
    <w:bookmarkEnd w:id="60"/>
    <w:bookmarkEnd w:id="61"/>
    <w:bookmarkEnd w:id="62"/>
    <w:bookmarkEnd w:id="63"/>
    <w:p>
      <w:pPr>
        <w:snapToGrid w:val="0"/>
        <w:ind w:firstLine="482"/>
        <w:outlineLvl w:val="0"/>
        <w:rPr>
          <w:rFonts w:ascii="Arial Narrow" w:hAnsi="Arial Narrow" w:cs="Arial Narrow"/>
          <w:b/>
        </w:rPr>
      </w:pPr>
      <w:bookmarkStart w:id="70" w:name="_Toc18443"/>
      <w:bookmarkStart w:id="71" w:name="_Toc361304693"/>
      <w:bookmarkStart w:id="72" w:name="_Toc27667"/>
      <w:bookmarkStart w:id="73" w:name="_Toc387957819"/>
      <w:bookmarkStart w:id="74" w:name="_Toc406666370"/>
      <w:bookmarkStart w:id="75" w:name="_Toc28432"/>
      <w:bookmarkStart w:id="76" w:name="_Toc406668044"/>
      <w:r>
        <w:rPr>
          <w:rFonts w:ascii="Arial Narrow" w:hAnsi="Arial Narrow" w:cs="Arial Narrow"/>
          <w:b/>
        </w:rPr>
        <w:t>三、绩效分析</w:t>
      </w:r>
      <w:bookmarkEnd w:id="70"/>
      <w:bookmarkEnd w:id="71"/>
      <w:bookmarkEnd w:id="72"/>
      <w:bookmarkEnd w:id="73"/>
      <w:bookmarkEnd w:id="74"/>
      <w:bookmarkEnd w:id="75"/>
      <w:bookmarkEnd w:id="76"/>
    </w:p>
    <w:p>
      <w:pPr>
        <w:snapToGrid w:val="0"/>
        <w:ind w:firstLine="482"/>
        <w:outlineLvl w:val="1"/>
        <w:rPr>
          <w:rFonts w:ascii="Arial Narrow" w:hAnsi="Arial Narrow"/>
          <w:b/>
        </w:rPr>
      </w:pPr>
      <w:bookmarkStart w:id="77" w:name="_Toc21462"/>
      <w:bookmarkStart w:id="78" w:name="_Toc2992"/>
      <w:bookmarkStart w:id="79" w:name="_Toc361304697"/>
      <w:bookmarkStart w:id="80" w:name="_Toc387957822"/>
      <w:bookmarkStart w:id="81" w:name="_Toc406666373"/>
      <w:bookmarkStart w:id="82" w:name="_Toc406668047"/>
      <w:bookmarkStart w:id="83" w:name="_Toc361302034"/>
      <w:r>
        <w:rPr>
          <w:rFonts w:ascii="Arial Narrow" w:hAnsi="Arial Narrow"/>
          <w:b/>
        </w:rPr>
        <w:t>（一）项目</w:t>
      </w:r>
      <w:bookmarkStart w:id="84" w:name="_Toc394181010"/>
      <w:r>
        <w:rPr>
          <w:rFonts w:ascii="Arial Narrow" w:hAnsi="Arial Narrow"/>
          <w:b/>
        </w:rPr>
        <w:t>投入（</w:t>
      </w:r>
      <w:r>
        <w:rPr>
          <w:rFonts w:ascii="Arial Narrow" w:hAnsi="Arial Narrow" w:cs="Arial Narrow"/>
          <w:b/>
        </w:rPr>
        <w:t>16</w:t>
      </w:r>
      <w:r>
        <w:rPr>
          <w:rFonts w:ascii="Arial Narrow" w:hAnsi="Arial Narrow"/>
          <w:b/>
        </w:rPr>
        <w:t>分）</w:t>
      </w:r>
      <w:bookmarkEnd w:id="77"/>
      <w:bookmarkEnd w:id="78"/>
      <w:bookmarkEnd w:id="84"/>
    </w:p>
    <w:p>
      <w:pPr>
        <w:snapToGrid w:val="0"/>
        <w:ind w:firstLine="480"/>
        <w:rPr>
          <w:rFonts w:ascii="Arial Narrow" w:hAnsi="Arial Narrow" w:cs="Arial Narrow"/>
        </w:rPr>
      </w:pPr>
      <w:bookmarkStart w:id="85" w:name="_Toc394181009"/>
      <w:bookmarkStart w:id="86" w:name="_Toc394490596"/>
      <w:r>
        <w:rPr>
          <w:rFonts w:ascii="Arial Narrow" w:hAnsi="Arial Narrow" w:cs="Arial Narrow"/>
        </w:rPr>
        <w:t>根据评价原则，项目决策评价得分为14分，评价结果为良。</w:t>
      </w:r>
      <w:bookmarkEnd w:id="85"/>
      <w:bookmarkEnd w:id="86"/>
      <w:bookmarkStart w:id="87" w:name="_Toc394490597"/>
    </w:p>
    <w:p>
      <w:pPr>
        <w:snapToGrid w:val="0"/>
        <w:ind w:firstLine="480"/>
        <w:jc w:val="center"/>
        <w:rPr>
          <w:rFonts w:ascii="Arial Narrow" w:hAnsi="Arial Narrow" w:cs="Arial Narrow"/>
        </w:rPr>
      </w:pPr>
      <w:r>
        <w:rPr>
          <w:rFonts w:ascii="Arial Narrow" w:hAnsi="Arial Narrow"/>
        </w:rPr>
        <w:drawing>
          <wp:inline distT="0" distB="0" distL="114300" distR="114300">
            <wp:extent cx="4572000" cy="2743200"/>
            <wp:effectExtent l="0" t="0" r="0"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napToGrid w:val="0"/>
        <w:spacing w:before="204" w:beforeLines="50"/>
        <w:ind w:firstLine="480"/>
        <w:rPr>
          <w:rFonts w:ascii="Arial Narrow" w:hAnsi="Arial Narrow" w:cs="Arial Narrow"/>
        </w:rPr>
      </w:pPr>
      <w:r>
        <w:rPr>
          <w:rFonts w:ascii="Arial Narrow" w:hAnsi="Arial Narrow" w:cs="Arial Narrow"/>
        </w:rPr>
        <w:t>投入方面主要评价项目立项规范性，绩效目标的合理性、规范性，资金到位情况和配套设施投入的合理性。对于该项的评价，评价小组主要采取了案卷研究方式进行资料收集、整理和分析，查看了《武昌区财政局关于武昌区机关运行保障中心2017年部门预算的批复》（武昌财预【2016】295号）、部门预算申报表、项目支出预算表、项目明细账等资料，对项目投入涉及的指标进行打分，并逐级加权计算结果。</w:t>
      </w:r>
    </w:p>
    <w:bookmarkEnd w:id="87"/>
    <w:p>
      <w:pPr>
        <w:pStyle w:val="38"/>
        <w:numPr>
          <w:ilvl w:val="0"/>
          <w:numId w:val="4"/>
        </w:numPr>
        <w:snapToGrid w:val="0"/>
        <w:ind w:firstLineChars="0"/>
        <w:rPr>
          <w:rFonts w:ascii="Arial Narrow" w:hAnsi="Arial Narrow" w:cs="Arial Narrow"/>
          <w:b/>
          <w:bCs/>
        </w:rPr>
      </w:pPr>
      <w:r>
        <w:rPr>
          <w:rFonts w:ascii="Arial Narrow" w:hAnsi="Arial Narrow" w:cs="Arial Narrow"/>
          <w:b/>
          <w:bCs/>
        </w:rPr>
        <w:t>项目立项（8分）</w:t>
      </w:r>
    </w:p>
    <w:p>
      <w:pPr>
        <w:snapToGrid w:val="0"/>
        <w:ind w:firstLine="480"/>
        <w:rPr>
          <w:rFonts w:ascii="Arial Narrow" w:hAnsi="Arial Narrow" w:cs="Arial Narrow"/>
          <w:b/>
          <w:bCs/>
        </w:rPr>
      </w:pPr>
      <w:r>
        <w:rPr>
          <w:rFonts w:ascii="Arial Narrow" w:hAnsi="Arial Narrow" w:cs="Arial Narrow"/>
        </w:rPr>
        <w:t>项目立项是指项目的申请、设立过程是否符合相关要求，所设定的绩效目标是否参考相关的依据，并且对项目的具体目标进行细化、量化。项目立项主要通过项目立项规范性和绩效目标合理性两个指标反映。该项指标评价得分为6分，评价结果为</w:t>
      </w:r>
      <w:r>
        <w:rPr>
          <w:rFonts w:hint="eastAsia" w:ascii="Arial Narrow" w:hAnsi="Arial Narrow" w:cs="Arial Narrow"/>
        </w:rPr>
        <w:t>中</w:t>
      </w:r>
      <w:r>
        <w:rPr>
          <w:rFonts w:ascii="Arial Narrow" w:hAnsi="Arial Narrow" w:cs="Arial Narrow"/>
        </w:rPr>
        <w:t>。</w:t>
      </w:r>
    </w:p>
    <w:p>
      <w:pPr>
        <w:snapToGrid w:val="0"/>
        <w:ind w:firstLine="480"/>
        <w:rPr>
          <w:rFonts w:ascii="Arial Narrow" w:hAnsi="Arial Narrow" w:cs="Arial Narrow"/>
        </w:rPr>
      </w:pPr>
      <w:r>
        <w:rPr>
          <w:rFonts w:ascii="Arial Narrow" w:hAnsi="Arial Narrow" w:cs="Arial Narrow"/>
        </w:rPr>
        <w:t>（1）项目立项规范性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4分，实际得分4分。该</w:t>
      </w:r>
      <w:r>
        <w:rPr>
          <w:rFonts w:ascii="Arial Narrow" w:hAnsi="Arial Narrow" w:cs="Arial Narrow"/>
        </w:rPr>
        <w:t>指标是指项目的申请、设立过程是否符合相关要求，用以反映和考核项目立项的规范情况。评价小组查阅《武昌区财政局关于武昌区机关运行保障中心2017年部门预算的批复》（武昌财预【2016】295号），</w:t>
      </w:r>
      <w:r>
        <w:rPr>
          <w:rFonts w:hint="eastAsia" w:ascii="Arial Narrow" w:hAnsi="Arial Narrow" w:cs="Arial Narrow"/>
        </w:rPr>
        <w:t>了解到运行保障中心年初向武昌区财政局提交了项目预算文件，并于2016年12月26日收到批复，项目申请设立程序合规，且提交的文件、材料符合要求。重大项目经过“三重一大”会议集体决策，项目执行未发生重大调整。</w:t>
      </w:r>
    </w:p>
    <w:p>
      <w:pPr>
        <w:snapToGrid w:val="0"/>
        <w:ind w:firstLine="480"/>
        <w:rPr>
          <w:rFonts w:ascii="Arial Narrow" w:hAnsi="Arial Narrow" w:cs="Arial Narrow"/>
        </w:rPr>
      </w:pPr>
      <w:r>
        <w:rPr>
          <w:rFonts w:ascii="Arial Narrow" w:hAnsi="Arial Narrow" w:cs="Arial Narrow"/>
        </w:rPr>
        <w:t>（2）绩效目标合理性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4分，实际得分2分。该</w:t>
      </w:r>
      <w:r>
        <w:rPr>
          <w:rFonts w:ascii="Arial Narrow" w:hAnsi="Arial Narrow" w:cs="Arial Narrow"/>
        </w:rPr>
        <w:t>指标是指项目所设定的绩效目标是否依据充分，是否符合客观实际，用以反映和考核项目绩效目标与项目实施的相符情况。</w:t>
      </w:r>
      <w:r>
        <w:rPr>
          <w:rFonts w:hint="eastAsia" w:ascii="Arial Narrow" w:hAnsi="Arial Narrow" w:cs="Arial Narrow"/>
        </w:rPr>
        <w:t>评价小组通过访谈了解到，项目单位仅制定了年度工作计划，未设立长期目标和年度目标以及绩效指标，酌情扣分，扣2分。</w:t>
      </w:r>
    </w:p>
    <w:p>
      <w:pPr>
        <w:snapToGrid w:val="0"/>
        <w:ind w:firstLine="482"/>
        <w:rPr>
          <w:rFonts w:ascii="Arial Narrow" w:hAnsi="Arial Narrow" w:cs="Arial Narrow"/>
          <w:b/>
          <w:bCs/>
        </w:rPr>
      </w:pPr>
      <w:r>
        <w:rPr>
          <w:rFonts w:ascii="Arial Narrow" w:hAnsi="Arial Narrow" w:cs="Arial Narrow"/>
          <w:b/>
          <w:bCs/>
        </w:rPr>
        <w:t>2、资金落实（8分）</w:t>
      </w:r>
    </w:p>
    <w:bookmarkEnd w:id="79"/>
    <w:bookmarkEnd w:id="80"/>
    <w:bookmarkEnd w:id="81"/>
    <w:bookmarkEnd w:id="82"/>
    <w:bookmarkEnd w:id="83"/>
    <w:p>
      <w:pPr>
        <w:snapToGrid w:val="0"/>
        <w:ind w:firstLine="480" w:firstLineChars="0"/>
        <w:rPr>
          <w:rFonts w:ascii="Arial Narrow" w:hAnsi="Arial Narrow" w:cs="Arial Narrow"/>
        </w:rPr>
      </w:pPr>
      <w:bookmarkStart w:id="88" w:name="_Toc11787"/>
      <w:bookmarkStart w:id="89" w:name="_Toc406668048"/>
      <w:bookmarkStart w:id="90" w:name="_Toc361302036"/>
      <w:bookmarkStart w:id="91" w:name="_Toc361304699"/>
      <w:bookmarkStart w:id="92" w:name="_Toc406666374"/>
      <w:bookmarkStart w:id="93" w:name="_Toc387957823"/>
      <w:r>
        <w:rPr>
          <w:rFonts w:ascii="Arial Narrow" w:hAnsi="Arial Narrow" w:cs="Arial Narrow"/>
        </w:rPr>
        <w:t>资金落实情况主要评价项目是否设定绩效目标和绩效指标，所设定的绩效目标和指标是否符合实际，用以反映和考核项目绩效目标与项目实施的相符情况。该情况通过资金到位率和到位及时率两个指标来反映。</w:t>
      </w:r>
    </w:p>
    <w:p>
      <w:pPr>
        <w:numPr>
          <w:ilvl w:val="0"/>
          <w:numId w:val="5"/>
        </w:numPr>
        <w:snapToGrid w:val="0"/>
        <w:ind w:firstLine="480" w:firstLineChars="0"/>
        <w:rPr>
          <w:rFonts w:ascii="Arial Narrow" w:hAnsi="Arial Narrow" w:cs="Arial Narrow"/>
        </w:rPr>
      </w:pPr>
      <w:r>
        <w:rPr>
          <w:rFonts w:ascii="Arial Narrow" w:hAnsi="Arial Narrow" w:cs="Arial Narrow"/>
        </w:rPr>
        <w:t>资金到位率</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4分，实际得分4分。该指标</w:t>
      </w:r>
      <w:r>
        <w:rPr>
          <w:rFonts w:ascii="Arial Narrow" w:hAnsi="Arial Narrow" w:cs="Arial Narrow"/>
        </w:rPr>
        <w:t>是指实际到位资金与计划投入资金的比率，用以反映和考核资金落实情况对项目实施的总体保障程度。</w:t>
      </w:r>
      <w:r>
        <w:rPr>
          <w:rFonts w:hint="eastAsia" w:ascii="Arial Narrow" w:hAnsi="Arial Narrow" w:cs="Arial Narrow"/>
        </w:rPr>
        <w:t>项目预算资金341.00万元，实际到位341.00万元，资金到位率100.00%。</w:t>
      </w:r>
    </w:p>
    <w:p>
      <w:pPr>
        <w:numPr>
          <w:ilvl w:val="0"/>
          <w:numId w:val="5"/>
        </w:numPr>
        <w:snapToGrid w:val="0"/>
        <w:ind w:firstLine="480" w:firstLineChars="0"/>
        <w:rPr>
          <w:rFonts w:ascii="Arial Narrow" w:hAnsi="Arial Narrow" w:cs="Arial Narrow"/>
        </w:rPr>
      </w:pPr>
      <w:r>
        <w:rPr>
          <w:rFonts w:ascii="Arial Narrow" w:hAnsi="Arial Narrow" w:cs="Arial Narrow"/>
        </w:rPr>
        <w:t>资金到位及时率</w:t>
      </w:r>
      <w:r>
        <w:rPr>
          <w:rFonts w:hint="eastAsia" w:ascii="Arial Narrow" w:hAnsi="Arial Narrow" w:cs="Arial Narrow"/>
        </w:rPr>
        <w:t>，满分4分，实际得分4分。该</w:t>
      </w:r>
      <w:r>
        <w:rPr>
          <w:rFonts w:ascii="Arial Narrow" w:hAnsi="Arial Narrow" w:cs="Arial Narrow"/>
        </w:rPr>
        <w:t>指标是指到位资金与应到位资金的比率，用以反映和考核项目资金落实的及时性程度。根据武昌区财政局的批复，资金全部到位，到位及时率100.00%。</w:t>
      </w:r>
    </w:p>
    <w:p>
      <w:pPr>
        <w:snapToGrid w:val="0"/>
        <w:ind w:firstLine="482"/>
        <w:outlineLvl w:val="1"/>
        <w:rPr>
          <w:rFonts w:ascii="Arial Narrow" w:hAnsi="Arial Narrow"/>
          <w:b/>
        </w:rPr>
      </w:pPr>
      <w:bookmarkStart w:id="94" w:name="_Toc30565"/>
      <w:r>
        <w:rPr>
          <w:rFonts w:ascii="Arial Narrow" w:hAnsi="Arial Narrow"/>
          <w:b/>
        </w:rPr>
        <w:t>（二）项目过程（24分）</w:t>
      </w:r>
      <w:bookmarkEnd w:id="88"/>
      <w:bookmarkEnd w:id="94"/>
    </w:p>
    <w:p>
      <w:pPr>
        <w:snapToGrid w:val="0"/>
        <w:ind w:firstLine="480"/>
        <w:rPr>
          <w:rFonts w:ascii="Arial Narrow" w:hAnsi="Arial Narrow" w:cs="Arial Narrow"/>
        </w:rPr>
      </w:pPr>
      <w:bookmarkStart w:id="95" w:name="_Toc394490599"/>
      <w:bookmarkStart w:id="96" w:name="_Toc394181012"/>
      <w:r>
        <w:rPr>
          <w:rFonts w:ascii="Arial Narrow" w:hAnsi="Arial Narrow" w:cs="Arial Narrow"/>
        </w:rPr>
        <w:t>根据评价原则，项目过程评价得分为2</w:t>
      </w:r>
      <w:r>
        <w:rPr>
          <w:rFonts w:hint="eastAsia" w:ascii="Arial Narrow" w:hAnsi="Arial Narrow" w:cs="Arial Narrow"/>
        </w:rPr>
        <w:t>3</w:t>
      </w:r>
      <w:r>
        <w:rPr>
          <w:rFonts w:ascii="Arial Narrow" w:hAnsi="Arial Narrow" w:cs="Arial Narrow"/>
        </w:rPr>
        <w:t>分，评价结果为优。</w:t>
      </w:r>
      <w:bookmarkEnd w:id="95"/>
      <w:bookmarkEnd w:id="96"/>
    </w:p>
    <w:p>
      <w:pPr>
        <w:snapToGrid w:val="0"/>
        <w:ind w:firstLine="480"/>
        <w:jc w:val="center"/>
        <w:rPr>
          <w:rFonts w:ascii="Arial Narrow" w:hAnsi="Arial Narrow" w:cs="Arial Narrow"/>
        </w:rPr>
      </w:pPr>
      <w:r>
        <w:rPr>
          <w:rFonts w:ascii="Arial Narrow" w:hAnsi="Arial Narrow"/>
        </w:rPr>
        <w:drawing>
          <wp:inline distT="0" distB="0" distL="114300" distR="114300">
            <wp:extent cx="4572000" cy="2743200"/>
            <wp:effectExtent l="0" t="0" r="0" b="0"/>
            <wp:docPr id="27"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napToGrid w:val="0"/>
        <w:spacing w:before="204" w:beforeLines="50"/>
        <w:ind w:firstLine="480"/>
        <w:rPr>
          <w:rFonts w:ascii="Arial Narrow" w:hAnsi="Arial Narrow" w:cs="Arial Narrow"/>
        </w:rPr>
      </w:pPr>
      <w:r>
        <w:rPr>
          <w:rFonts w:ascii="Arial Narrow" w:hAnsi="Arial Narrow" w:cs="Arial Narrow"/>
        </w:rPr>
        <w:t>过程指标主要从项目管理和财务管理两个方面来具体评价；主要考核项目实施单位项目管理制度的健全性、有效性和可控性，财务管理制度的健全性、合规性及有效性。对于该项的评价，评价小组主要采取了案卷研究、访谈等方式进行资料收集、整理和分析，收集了项目实施单位的项目管理制度及财务管理制度，查看了财政专项资金的支付凭证，核查其账务处理是否符合规范、资金安全能否得到保障。同时评价小组通过访谈了解到项目支出符合国家财经法规和财务管理制度，资金的拨付有完整的审批程序和手续，重大支出符合规定用途，不存在截留、挤占、挪用、虚列支出等情况。通过对项目过程涉及的指标进行打分，并逐级加权计算结果。经过综合计分，过程指标得分为2</w:t>
      </w:r>
      <w:r>
        <w:rPr>
          <w:rFonts w:hint="eastAsia" w:ascii="Arial Narrow" w:hAnsi="Arial Narrow" w:cs="Arial Narrow"/>
        </w:rPr>
        <w:t>3</w:t>
      </w:r>
      <w:r>
        <w:rPr>
          <w:rFonts w:ascii="Arial Narrow" w:hAnsi="Arial Narrow" w:cs="Arial Narrow"/>
        </w:rPr>
        <w:t>分，评价等级为优。</w:t>
      </w:r>
    </w:p>
    <w:p>
      <w:pPr>
        <w:snapToGrid w:val="0"/>
        <w:ind w:firstLine="318" w:firstLineChars="132"/>
        <w:rPr>
          <w:rFonts w:ascii="Arial Narrow" w:hAnsi="Arial Narrow" w:cs="Arial Narrow"/>
          <w:b/>
          <w:bCs/>
        </w:rPr>
      </w:pPr>
      <w:r>
        <w:rPr>
          <w:rFonts w:ascii="Arial Narrow" w:hAnsi="Arial Narrow" w:cs="Arial Narrow"/>
          <w:b/>
          <w:bCs/>
        </w:rPr>
        <w:t>1、项目管理（12分）</w:t>
      </w:r>
    </w:p>
    <w:p>
      <w:pPr>
        <w:snapToGrid w:val="0"/>
        <w:ind w:firstLine="480"/>
        <w:rPr>
          <w:rFonts w:ascii="Arial Narrow" w:hAnsi="Arial Narrow" w:cs="Arial Narrow"/>
        </w:rPr>
      </w:pPr>
      <w:r>
        <w:rPr>
          <w:rFonts w:ascii="Arial Narrow" w:hAnsi="Arial Narrow" w:cs="Arial Narrow"/>
        </w:rPr>
        <w:t>项目管理情况主要评价项目是否设定绩效目标和绩效指标，所设定的绩效目标和指标是否符合实际，用以反映和考核项目绩效目标与项目实施的相符情况。该情况通过管理制度健全性、制度执行有效性和项目质量可控性三个指标来反映。该项指标评价得分为</w:t>
      </w:r>
      <w:r>
        <w:rPr>
          <w:rFonts w:hint="eastAsia" w:ascii="Arial Narrow" w:hAnsi="Arial Narrow" w:cs="Arial Narrow"/>
        </w:rPr>
        <w:t>12</w:t>
      </w:r>
      <w:r>
        <w:rPr>
          <w:rFonts w:ascii="Arial Narrow" w:hAnsi="Arial Narrow" w:cs="Arial Narrow"/>
        </w:rPr>
        <w:t>分，评价结果为优。</w:t>
      </w:r>
    </w:p>
    <w:p>
      <w:pPr>
        <w:snapToGrid w:val="0"/>
        <w:ind w:firstLine="480"/>
        <w:rPr>
          <w:rFonts w:ascii="Arial Narrow" w:hAnsi="Arial Narrow" w:cs="Arial Narrow"/>
        </w:rPr>
      </w:pPr>
      <w:r>
        <w:rPr>
          <w:rFonts w:hint="eastAsia" w:ascii="Arial Narrow" w:hAnsi="Arial Narrow" w:cs="Arial Narrow"/>
        </w:rPr>
        <w:t>（1）</w:t>
      </w:r>
      <w:r>
        <w:rPr>
          <w:rFonts w:ascii="Arial Narrow" w:hAnsi="Arial Narrow" w:cs="Arial Narrow"/>
        </w:rPr>
        <w:t>管理制度健全性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4分，实际得分4分。该</w:t>
      </w:r>
      <w:r>
        <w:rPr>
          <w:rFonts w:ascii="Arial Narrow" w:hAnsi="Arial Narrow" w:cs="Arial Narrow"/>
        </w:rPr>
        <w:t>指标是指项目管理制度是否健全，用以反映和考核项目管理制度对项目顺利实施的保障情况。评价小组通过卷宗研究</w:t>
      </w:r>
      <w:r>
        <w:rPr>
          <w:rFonts w:hint="eastAsia" w:ascii="Arial Narrow" w:hAnsi="Arial Narrow" w:cs="Arial Narrow"/>
        </w:rPr>
        <w:t>了解到武昌区老年大学在教师管理方面制定《加强教师队伍建设的建议》、《对任课老师的基本要求》、《教师聘用办法》、《评比先进班集体、优秀学员、优秀教师、优秀班主任暂行办法》等办法；武昌社保处制定了《武昌社保处劳动合同制人员管理办法》，管理制度合法、合规、完整。</w:t>
      </w:r>
    </w:p>
    <w:p>
      <w:pPr>
        <w:snapToGrid w:val="0"/>
        <w:ind w:firstLine="480"/>
        <w:rPr>
          <w:rFonts w:ascii="Arial Narrow" w:hAnsi="Arial Narrow" w:cs="Arial Narrow"/>
        </w:rPr>
      </w:pPr>
      <w:r>
        <w:rPr>
          <w:rFonts w:hint="eastAsia" w:ascii="Arial Narrow" w:hAnsi="Arial Narrow" w:cs="Arial Narrow"/>
        </w:rPr>
        <w:t>（2）</w:t>
      </w:r>
      <w:r>
        <w:rPr>
          <w:rFonts w:ascii="Arial Narrow" w:hAnsi="Arial Narrow" w:cs="Arial Narrow"/>
        </w:rPr>
        <w:t>制度执行有效性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4分，实际得分4分。该指标</w:t>
      </w:r>
      <w:r>
        <w:rPr>
          <w:rFonts w:ascii="Arial Narrow" w:hAnsi="Arial Narrow" w:cs="Arial Narrow"/>
        </w:rPr>
        <w:t>是指项目实施是否符合相关项目管理规定，用以反映和考核项目管理制度的有效执行情况。评价小组通过访谈记录等相关文件了解到</w:t>
      </w:r>
      <w:r>
        <w:rPr>
          <w:rFonts w:hint="eastAsia" w:ascii="Arial Narrow" w:hAnsi="Arial Narrow" w:cs="Arial Narrow"/>
        </w:rPr>
        <w:t>项目实施过程遵守相关法律法规计和项目管理制度，项目资料保存完整、齐全。</w:t>
      </w:r>
    </w:p>
    <w:p>
      <w:pPr>
        <w:snapToGrid w:val="0"/>
        <w:ind w:firstLine="480"/>
        <w:rPr>
          <w:rFonts w:ascii="Arial Narrow" w:hAnsi="Arial Narrow" w:cs="Arial Narrow"/>
        </w:rPr>
      </w:pPr>
      <w:r>
        <w:rPr>
          <w:rFonts w:hint="eastAsia" w:ascii="Arial Narrow" w:hAnsi="Arial Narrow" w:cs="Arial Narrow"/>
        </w:rPr>
        <w:t>（3）</w:t>
      </w:r>
      <w:r>
        <w:rPr>
          <w:rFonts w:ascii="Arial Narrow" w:hAnsi="Arial Narrow" w:cs="Arial Narrow"/>
        </w:rPr>
        <w:t>项目质量可控性</w:t>
      </w:r>
      <w:r>
        <w:rPr>
          <w:rFonts w:hint="eastAsia" w:ascii="Arial Narrow" w:hAnsi="Arial Narrow" w:cs="Arial Narrow"/>
        </w:rPr>
        <w:t>，满分4分，实际得分4分。该项指标</w:t>
      </w:r>
      <w:r>
        <w:rPr>
          <w:rFonts w:ascii="Arial Narrow" w:hAnsi="Arial Narrow" w:cs="Arial Narrow"/>
        </w:rPr>
        <w:t>是指项目实施单位是否为达到项目质量要求而采取了必需的措施,用以反映和考核项目实施单位对项目质量的控制情况。</w:t>
      </w:r>
      <w:r>
        <w:rPr>
          <w:rFonts w:hint="eastAsia" w:ascii="Arial Narrow" w:hAnsi="Arial Narrow" w:cs="Arial Narrow"/>
        </w:rPr>
        <w:t>武昌区老年大学建立教师考核机制，每学期对学员发放老年大学调查问卷表，学员对教学质量、班主任管理水平、班级水平、课程给出一定评价；工作站建立了检查机制。主要有四个方面，第一：人员每月对街道社区的网申工作完成量、投诉率、差错率进行统计，及时讲评和纠正；第二，每月组织一次例会，总结当月异动中遇到的问题，及时传达新的社保；第三，定期检查街道办业务资料，不定期走访了解各街道实际经办情况。另外，武昌社保处每半年对聘用人员进行考核，考核未通过者开除，通过者奖励一个月薪水。</w:t>
      </w:r>
    </w:p>
    <w:p>
      <w:pPr>
        <w:snapToGrid w:val="0"/>
        <w:ind w:firstLine="482"/>
        <w:jc w:val="left"/>
        <w:rPr>
          <w:rFonts w:ascii="Arial Narrow" w:hAnsi="Arial Narrow" w:cs="Arial Narrow"/>
          <w:b/>
          <w:bCs/>
        </w:rPr>
      </w:pPr>
      <w:r>
        <w:rPr>
          <w:rFonts w:ascii="Arial Narrow" w:hAnsi="Arial Narrow" w:cs="Arial Narrow"/>
          <w:b/>
          <w:bCs/>
        </w:rPr>
        <w:t>2、财务管理（12分）</w:t>
      </w:r>
    </w:p>
    <w:p>
      <w:pPr>
        <w:snapToGrid w:val="0"/>
        <w:ind w:firstLine="480"/>
        <w:rPr>
          <w:rFonts w:ascii="Arial Narrow" w:hAnsi="Arial Narrow" w:cs="Arial Narrow"/>
        </w:rPr>
      </w:pPr>
      <w:r>
        <w:rPr>
          <w:rFonts w:ascii="Arial Narrow" w:hAnsi="Arial Narrow" w:cs="Arial Narrow"/>
        </w:rPr>
        <w:t>财务管理情况主要考核财务管理制度对资金规范、安全运行的保障情况，项目资金的规范运行情况及项目实施单位对资金运行的控制情况。该情况主要从资金使用合规性和财务监控有效性两方面具体评价。该项指标评价得分为11分，评价结果为优。</w:t>
      </w:r>
    </w:p>
    <w:p>
      <w:pPr>
        <w:numPr>
          <w:ilvl w:val="0"/>
          <w:numId w:val="6"/>
        </w:numPr>
        <w:snapToGrid w:val="0"/>
        <w:ind w:firstLine="480" w:firstLineChars="0"/>
        <w:rPr>
          <w:rFonts w:ascii="Arial Narrow" w:hAnsi="Arial Narrow" w:cs="Arial Narrow"/>
        </w:rPr>
      </w:pPr>
      <w:r>
        <w:rPr>
          <w:rFonts w:hint="eastAsia" w:ascii="Arial Narrow" w:hAnsi="Arial Narrow" w:cs="Arial Narrow"/>
        </w:rPr>
        <w:t>财务制度健全性，满分4分，实际得分4分。该项指标是项目实施单位的财务制度是否健全，用以反映和考核财务管理制度对资金规范、安全运行的保障情况。项目实施单位已制定《财务科制度》、《经费支出管理制度》等管理制度，管理办法符合相关财务会计制度的规定。</w:t>
      </w:r>
    </w:p>
    <w:p>
      <w:pPr>
        <w:numPr>
          <w:ilvl w:val="0"/>
          <w:numId w:val="6"/>
        </w:numPr>
        <w:snapToGrid w:val="0"/>
        <w:ind w:firstLine="480"/>
        <w:rPr>
          <w:rFonts w:ascii="Arial Narrow" w:hAnsi="Arial Narrow" w:cs="Arial Narrow"/>
        </w:rPr>
      </w:pPr>
      <w:r>
        <w:rPr>
          <w:rFonts w:ascii="Arial Narrow" w:hAnsi="Arial Narrow" w:cs="Arial Narrow"/>
        </w:rPr>
        <w:t>资金使用合规性</w:t>
      </w:r>
      <w:r>
        <w:rPr>
          <w:rFonts w:hint="eastAsia" w:ascii="Arial Narrow" w:hAnsi="Arial Narrow" w:cs="Arial Narrow"/>
        </w:rPr>
        <w:t>，满分4分，实际得分4分。该项</w:t>
      </w:r>
      <w:r>
        <w:rPr>
          <w:rFonts w:ascii="Arial Narrow" w:hAnsi="Arial Narrow" w:cs="Arial Narrow"/>
        </w:rPr>
        <w:t>指标是指项目资金使用是否符合相关的财务管理制度规定，用以反映和考核项目资金的规范运行情况。评价小组通过访谈了解到项目支出符合国家财经法规和财务管理制度，资金的拨付有完整的审批程序和手续，重大开支依据《武昌区机关运行保障中心“三重一大”议事决策制度》的规定进行评估，符合规定用途的才允许支出，不存在截留、挤占、挪用、虚列支出等情况。</w:t>
      </w:r>
    </w:p>
    <w:p>
      <w:pPr>
        <w:numPr>
          <w:ilvl w:val="0"/>
          <w:numId w:val="6"/>
        </w:numPr>
        <w:snapToGrid w:val="0"/>
        <w:ind w:firstLine="480"/>
        <w:rPr>
          <w:rFonts w:ascii="Arial Narrow" w:hAnsi="Arial Narrow"/>
        </w:rPr>
      </w:pPr>
      <w:r>
        <w:rPr>
          <w:rFonts w:ascii="Arial Narrow" w:hAnsi="Arial Narrow" w:cs="Arial Narrow"/>
        </w:rPr>
        <w:t>财务监控有效性</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4分，实际得分3分。该项</w:t>
      </w:r>
      <w:r>
        <w:rPr>
          <w:rFonts w:ascii="Arial Narrow" w:hAnsi="Arial Narrow" w:cs="Arial Narrow"/>
        </w:rPr>
        <w:t>指标是指项目实施单位是否为保障资金的安全、规范运行而采取了必要的监控措施，用以反映和考核项目实施单位对资金运行的控制情况。</w:t>
      </w:r>
      <w:bookmarkEnd w:id="89"/>
      <w:bookmarkEnd w:id="90"/>
      <w:bookmarkEnd w:id="91"/>
      <w:bookmarkEnd w:id="92"/>
      <w:bookmarkEnd w:id="93"/>
      <w:bookmarkStart w:id="97" w:name="_Toc5732"/>
      <w:bookmarkStart w:id="98" w:name="_Toc387957824"/>
      <w:bookmarkStart w:id="99" w:name="_Toc406668049"/>
      <w:bookmarkStart w:id="100" w:name="_Toc406666375"/>
      <w:r>
        <w:rPr>
          <w:rFonts w:ascii="Arial Narrow" w:hAnsi="Arial Narrow" w:cs="Arial Narrow"/>
        </w:rPr>
        <w:t>评价小组通过现场访谈了解到，项目实施单位制定了相应的监控机制，但2017单位内部未对财务进行有关检查，扣1分。</w:t>
      </w:r>
    </w:p>
    <w:p>
      <w:pPr>
        <w:snapToGrid w:val="0"/>
        <w:ind w:firstLine="482"/>
        <w:outlineLvl w:val="1"/>
        <w:rPr>
          <w:rFonts w:ascii="Arial Narrow" w:hAnsi="Arial Narrow"/>
          <w:b/>
        </w:rPr>
      </w:pPr>
      <w:bookmarkStart w:id="101" w:name="_Toc25989"/>
      <w:r>
        <w:rPr>
          <w:rFonts w:ascii="Arial Narrow" w:hAnsi="Arial Narrow"/>
          <w:b/>
        </w:rPr>
        <w:t>（三）项目产出（30分）</w:t>
      </w:r>
      <w:bookmarkEnd w:id="97"/>
      <w:bookmarkEnd w:id="101"/>
    </w:p>
    <w:p>
      <w:pPr>
        <w:snapToGrid w:val="0"/>
        <w:ind w:firstLine="480"/>
        <w:rPr>
          <w:rFonts w:ascii="Arial Narrow" w:hAnsi="Arial Narrow" w:cs="Arial Narrow"/>
        </w:rPr>
      </w:pPr>
      <w:bookmarkStart w:id="102" w:name="_Toc394490602"/>
      <w:bookmarkStart w:id="103" w:name="_Toc394181015"/>
      <w:r>
        <w:rPr>
          <w:rFonts w:ascii="Arial Narrow" w:hAnsi="Arial Narrow" w:cs="Arial Narrow"/>
        </w:rPr>
        <w:t>根据评价原则，绩效评价得分为2</w:t>
      </w:r>
      <w:r>
        <w:rPr>
          <w:rFonts w:hint="eastAsia" w:ascii="Arial Narrow" w:hAnsi="Arial Narrow" w:cs="Arial Narrow"/>
        </w:rPr>
        <w:t>6</w:t>
      </w:r>
      <w:r>
        <w:rPr>
          <w:rFonts w:ascii="Arial Narrow" w:hAnsi="Arial Narrow" w:cs="Arial Narrow"/>
        </w:rPr>
        <w:t>分，评价结果为良。</w:t>
      </w:r>
      <w:bookmarkEnd w:id="102"/>
      <w:bookmarkEnd w:id="103"/>
    </w:p>
    <w:p>
      <w:pPr>
        <w:snapToGrid w:val="0"/>
        <w:ind w:firstLine="480"/>
        <w:jc w:val="center"/>
        <w:rPr>
          <w:rFonts w:ascii="Arial Narrow" w:hAnsi="Arial Narrow" w:cs="Arial Narrow"/>
          <w:b/>
          <w:bCs/>
        </w:rPr>
      </w:pPr>
      <w:bookmarkStart w:id="104" w:name="_Toc394490603"/>
      <w:bookmarkStart w:id="105" w:name="_Toc394181016"/>
      <w:r>
        <w:rPr>
          <w:rFonts w:ascii="Arial Narrow" w:hAnsi="Arial Narrow"/>
        </w:rPr>
        <w:drawing>
          <wp:inline distT="0" distB="0" distL="114300" distR="114300">
            <wp:extent cx="4171950" cy="2832100"/>
            <wp:effectExtent l="0" t="0" r="0" b="6350"/>
            <wp:docPr id="125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napToGrid w:val="0"/>
        <w:ind w:firstLine="480"/>
        <w:rPr>
          <w:rFonts w:ascii="Arial Narrow" w:hAnsi="Arial Narrow" w:cs="Arial Narrow"/>
        </w:rPr>
      </w:pPr>
      <w:r>
        <w:rPr>
          <w:rFonts w:ascii="Arial Narrow" w:hAnsi="Arial Narrow" w:cs="Arial Narrow"/>
        </w:rPr>
        <w:t>项目产出方面主要从</w:t>
      </w:r>
      <w:r>
        <w:rPr>
          <w:rFonts w:hint="eastAsia" w:ascii="Arial Narrow" w:hAnsi="Arial Narrow" w:cs="Arial Narrow"/>
        </w:rPr>
        <w:t>专业课程开放情况，教师课酬分配合理性，持有教师资格证占比，社保业务引导程度，办公设备到位率，工作培训力度，资金使用率</w:t>
      </w:r>
      <w:r>
        <w:rPr>
          <w:rFonts w:ascii="Arial Narrow" w:hAnsi="Arial Narrow" w:cs="Arial Narrow"/>
        </w:rPr>
        <w:t>等七个方面来进行评价。主要评价项目申报实施内容的完成情况，包括完成数量、质量以及时效。对于该项的评价，评价小组主要采取了案卷研究、询问、访谈、观察、实地调研等方式进行资料收集、整理和分析，对项目产出涉及的指标进行打分，并逐级加权计算结果。经过综合计分，产出指标得分为2</w:t>
      </w:r>
      <w:r>
        <w:rPr>
          <w:rFonts w:hint="eastAsia" w:ascii="Arial Narrow" w:hAnsi="Arial Narrow" w:cs="Arial Narrow"/>
        </w:rPr>
        <w:t>6</w:t>
      </w:r>
      <w:r>
        <w:rPr>
          <w:rFonts w:ascii="Arial Narrow" w:hAnsi="Arial Narrow" w:cs="Arial Narrow"/>
        </w:rPr>
        <w:t>分，评价等级为良。</w:t>
      </w:r>
    </w:p>
    <w:p>
      <w:pPr>
        <w:snapToGrid w:val="0"/>
        <w:ind w:firstLine="723" w:firstLineChars="300"/>
        <w:rPr>
          <w:rFonts w:ascii="Arial Narrow" w:hAnsi="Arial Narrow" w:cs="Arial Narrow"/>
          <w:b/>
          <w:bCs/>
        </w:rPr>
      </w:pPr>
      <w:r>
        <w:rPr>
          <w:rFonts w:ascii="Arial Narrow" w:hAnsi="Arial Narrow" w:cs="Arial Narrow"/>
          <w:b/>
          <w:bCs/>
        </w:rPr>
        <w:t>1、项目产出（30分）</w:t>
      </w:r>
    </w:p>
    <w:bookmarkEnd w:id="98"/>
    <w:bookmarkEnd w:id="99"/>
    <w:bookmarkEnd w:id="100"/>
    <w:bookmarkEnd w:id="104"/>
    <w:bookmarkEnd w:id="105"/>
    <w:p>
      <w:pPr>
        <w:snapToGrid w:val="0"/>
        <w:ind w:firstLine="480"/>
        <w:rPr>
          <w:rFonts w:ascii="Arial Narrow" w:hAnsi="Arial Narrow" w:cs="Arial Narrow"/>
        </w:rPr>
      </w:pPr>
      <w:bookmarkStart w:id="106" w:name="_Toc394181022"/>
      <w:bookmarkStart w:id="107" w:name="_Toc361302038"/>
      <w:bookmarkStart w:id="108" w:name="_Toc406668051"/>
      <w:bookmarkStart w:id="109" w:name="_Toc406666377"/>
      <w:bookmarkStart w:id="110" w:name="_Toc387957826"/>
      <w:bookmarkStart w:id="111" w:name="_Toc361304701"/>
      <w:r>
        <w:rPr>
          <w:rFonts w:ascii="Arial Narrow" w:hAnsi="Arial Narrow" w:cs="Arial Narrow"/>
        </w:rPr>
        <w:t>（1）</w:t>
      </w:r>
      <w:r>
        <w:rPr>
          <w:rFonts w:hint="eastAsia" w:ascii="Arial Narrow" w:hAnsi="Arial Narrow" w:cs="Arial Narrow"/>
        </w:rPr>
        <w:t>专业课程开放情况，满分4分，实际得分4分。该指标</w:t>
      </w:r>
      <w:r>
        <w:rPr>
          <w:rFonts w:ascii="Arial Narrow" w:hAnsi="Arial Narrow" w:cs="Arial Narrow"/>
        </w:rPr>
        <w:t>是指</w:t>
      </w:r>
      <w:r>
        <w:rPr>
          <w:rFonts w:hint="eastAsia" w:ascii="Arial Narrow" w:hAnsi="Arial Narrow" w:cs="Arial Narrow"/>
        </w:rPr>
        <w:t>项目实施后，是否按照招生简介上安排专业和对应的课程，用以反映和考核项目的数量产出。</w:t>
      </w:r>
      <w:r>
        <w:rPr>
          <w:rFonts w:ascii="Arial Narrow" w:hAnsi="Arial Narrow" w:cs="Arial Narrow"/>
        </w:rPr>
        <w:t>评价小组通过卷宗研究了解到，</w:t>
      </w:r>
      <w:r>
        <w:rPr>
          <w:rFonts w:hint="eastAsia" w:ascii="Arial Narrow" w:hAnsi="Arial Narrow" w:cs="Arial Narrow"/>
        </w:rPr>
        <w:t>2017年上、下两学期开展25个专业，开设643个班级，学员数达到22854人次。</w:t>
      </w:r>
    </w:p>
    <w:p>
      <w:pPr>
        <w:tabs>
          <w:tab w:val="center" w:pos="4590"/>
        </w:tabs>
        <w:snapToGrid w:val="0"/>
        <w:ind w:firstLine="480"/>
        <w:rPr>
          <w:rFonts w:ascii="Arial Narrow" w:hAnsi="Arial Narrow" w:cs="Arial Narrow"/>
        </w:rPr>
      </w:pPr>
      <w:r>
        <w:rPr>
          <w:rFonts w:ascii="Arial Narrow" w:hAnsi="Arial Narrow" w:cs="Arial Narrow"/>
        </w:rPr>
        <w:t>（2）</w:t>
      </w:r>
      <w:r>
        <w:rPr>
          <w:rFonts w:hint="eastAsia" w:ascii="Arial Narrow" w:hAnsi="Arial Narrow" w:cs="Arial Narrow"/>
        </w:rPr>
        <w:t>教师课酬分配合理性，满分4分，实际得分3分。该指标</w:t>
      </w:r>
      <w:r>
        <w:rPr>
          <w:rFonts w:ascii="Arial Narrow" w:hAnsi="Arial Narrow" w:cs="Arial Narrow"/>
        </w:rPr>
        <w:t>是指</w:t>
      </w:r>
      <w:r>
        <w:rPr>
          <w:rFonts w:hint="eastAsia" w:ascii="Arial Narrow" w:hAnsi="Arial Narrow" w:cs="Arial Narrow"/>
        </w:rPr>
        <w:t>项目实施后，聘请的教室人数是否满足课程要求，用以反映和考核项目的数量产出。</w:t>
      </w:r>
      <w:r>
        <w:rPr>
          <w:rFonts w:ascii="Arial Narrow" w:hAnsi="Arial Narrow" w:cs="Arial Narrow"/>
        </w:rPr>
        <w:t>评价小组通过卷宗研究和现场访谈了解到</w:t>
      </w:r>
      <w:r>
        <w:rPr>
          <w:rFonts w:hint="eastAsia" w:ascii="Arial Narrow" w:hAnsi="Arial Narrow" w:cs="Arial Narrow"/>
        </w:rPr>
        <w:t>，教师课酬分成三个档次，分别是90元/课时、95元/课时、100元/课时，另外补贴餐补3元/课时，5元/绩效餐补/课时。教师平均课酬为103元/课时，一周16个课时，教师人数330人，全年两个学期，计算结果为108.77万元，与预算安排110万元课酬费差异不大，但老年大学未建立项目辅助账，无法查阅该项目资金具体使用情况，扣1分。</w:t>
      </w:r>
    </w:p>
    <w:p>
      <w:pPr>
        <w:tabs>
          <w:tab w:val="center" w:pos="4590"/>
        </w:tabs>
        <w:snapToGrid w:val="0"/>
        <w:ind w:firstLine="480"/>
        <w:rPr>
          <w:rFonts w:ascii="Arial Narrow" w:hAnsi="Arial Narrow" w:cs="Arial Narrow"/>
        </w:rPr>
      </w:pPr>
      <w:r>
        <w:rPr>
          <w:rFonts w:ascii="Arial Narrow" w:hAnsi="Arial Narrow" w:cs="Arial Narrow"/>
        </w:rPr>
        <w:t>（3）</w:t>
      </w:r>
      <w:r>
        <w:rPr>
          <w:rFonts w:hint="eastAsia" w:ascii="Arial Narrow" w:hAnsi="Arial Narrow" w:cs="Arial Narrow"/>
        </w:rPr>
        <w:t>持有教师资格证占比，满分4分，实际得分2分。该指标</w:t>
      </w:r>
      <w:r>
        <w:rPr>
          <w:rFonts w:ascii="Arial Narrow" w:hAnsi="Arial Narrow" w:cs="Arial Narrow"/>
        </w:rPr>
        <w:t>是指</w:t>
      </w:r>
      <w:r>
        <w:rPr>
          <w:rFonts w:hint="eastAsia" w:ascii="Arial Narrow" w:hAnsi="Arial Narrow" w:cs="Arial Narrow"/>
        </w:rPr>
        <w:t>项目实施后，老年大学持有教师资格证的教师人数占总教师人数的比率，用以反映和考核项目的质量产出。评价小组通过现场访谈了解到，老年大学持有教师资格人数达到75%，扣2分。</w:t>
      </w:r>
    </w:p>
    <w:p>
      <w:pPr>
        <w:tabs>
          <w:tab w:val="center" w:pos="4590"/>
        </w:tabs>
        <w:snapToGrid w:val="0"/>
        <w:ind w:firstLine="480"/>
        <w:rPr>
          <w:rFonts w:ascii="Arial Narrow" w:hAnsi="Arial Narrow" w:cs="Arial Narrow"/>
        </w:rPr>
      </w:pPr>
      <w:r>
        <w:rPr>
          <w:rFonts w:ascii="Arial Narrow" w:hAnsi="Arial Narrow" w:cs="Arial Narrow"/>
        </w:rPr>
        <w:t>（4）</w:t>
      </w:r>
      <w:r>
        <w:rPr>
          <w:rFonts w:hint="eastAsia" w:ascii="Arial Narrow" w:hAnsi="Arial Narrow" w:cs="Arial Narrow"/>
        </w:rPr>
        <w:t>社保业务引导程度，满分4分，实际得分4分。该指标</w:t>
      </w:r>
      <w:r>
        <w:rPr>
          <w:rFonts w:ascii="Arial Narrow" w:hAnsi="Arial Narrow" w:cs="Arial Narrow"/>
        </w:rPr>
        <w:t>是指</w:t>
      </w:r>
      <w:r>
        <w:rPr>
          <w:rFonts w:hint="eastAsia" w:ascii="Arial Narrow" w:hAnsi="Arial Narrow" w:cs="Arial Narrow"/>
        </w:rPr>
        <w:t>项目实施后，水果湖和杨园街社保服务站带动街道行政服务处理中心办理社会保险的情况，用以反映和考核项目的完成情况。</w:t>
      </w:r>
      <w:r>
        <w:rPr>
          <w:rFonts w:ascii="Arial Narrow" w:hAnsi="Arial Narrow" w:cs="Arial Narrow"/>
        </w:rPr>
        <w:t>评价小组通过卷宗研究了解到</w:t>
      </w:r>
      <w:r>
        <w:rPr>
          <w:rFonts w:hint="eastAsia" w:ascii="Arial Narrow" w:hAnsi="Arial Narrow" w:cs="Arial Narrow"/>
        </w:rPr>
        <w:t>，水果湖和杨园街社保服务站针对社保类32项经办业务对政策依据、受理条件、申请材料、办事程序及办结时限进一步明确，组织街道科学合理宣传引导办事群众，并及时解决街道业务疑问，社保业务引导程度达到100%。</w:t>
      </w:r>
    </w:p>
    <w:p>
      <w:pPr>
        <w:snapToGrid w:val="0"/>
        <w:ind w:firstLine="480" w:firstLineChars="0"/>
        <w:rPr>
          <w:rFonts w:ascii="Arial Narrow" w:hAnsi="Arial Narrow" w:cs="Arial Narrow"/>
        </w:rPr>
      </w:pPr>
      <w:r>
        <w:rPr>
          <w:rFonts w:ascii="Arial Narrow" w:hAnsi="Arial Narrow" w:cs="Arial Narrow"/>
        </w:rPr>
        <w:t>（5）</w:t>
      </w:r>
      <w:r>
        <w:rPr>
          <w:rFonts w:hint="eastAsia" w:ascii="Arial Narrow" w:hAnsi="Arial Narrow" w:cs="Arial Narrow"/>
        </w:rPr>
        <w:t>办公设备到位率，满分5分，实际得分5分。该指标</w:t>
      </w:r>
      <w:r>
        <w:rPr>
          <w:rFonts w:ascii="Arial Narrow" w:hAnsi="Arial Narrow" w:cs="Arial Narrow"/>
        </w:rPr>
        <w:t>是指</w:t>
      </w:r>
      <w:r>
        <w:rPr>
          <w:rFonts w:hint="eastAsia" w:ascii="Arial Narrow" w:hAnsi="Arial Narrow" w:cs="Arial Narrow"/>
        </w:rPr>
        <w:t>项目实施后，是否按预算要求，购置相关的办公设备，办公设备是否配备到位，用以反映项目的数量产出。</w:t>
      </w:r>
      <w:r>
        <w:rPr>
          <w:rFonts w:ascii="Arial Narrow" w:hAnsi="Arial Narrow" w:cs="Arial Narrow"/>
        </w:rPr>
        <w:t>评价小组通过查凭证了解到</w:t>
      </w:r>
      <w:r>
        <w:rPr>
          <w:rFonts w:hint="eastAsia" w:ascii="Arial Narrow" w:hAnsi="Arial Narrow" w:cs="Arial Narrow"/>
        </w:rPr>
        <w:t>项目计划购置社保排队机1台、移动硬盘18个、社保购多功能机3台、社保购视频监控系统1套、社保LED屏1套、社保购电脑35台，实际按计划要求购置，办公设备到位率为100%。</w:t>
      </w:r>
    </w:p>
    <w:p>
      <w:pPr>
        <w:snapToGrid w:val="0"/>
        <w:ind w:firstLine="439" w:firstLineChars="183"/>
        <w:rPr>
          <w:rFonts w:ascii="Arial Narrow" w:hAnsi="Arial Narrow" w:cs="Arial Narrow"/>
        </w:rPr>
      </w:pPr>
      <w:r>
        <w:rPr>
          <w:rFonts w:hint="eastAsia" w:ascii="Arial Narrow" w:hAnsi="Arial Narrow" w:cs="Arial Narrow"/>
        </w:rPr>
        <w:t>（6）工作培训力度，满分4分，实际得分3分。该指标是指项目实施后，老年大学开展教师培训工作和社保工作站开展业务知识培训工作的情况，用以反映业务工作能力的保障程度。2017年5月底老年大学举办了班主任工作专题培训班，年中举办全区老年教育教师培训交流会，但学校很少对教师的业务能力进行培训，扣1分。工作站每月定期组织各街道行政中心业务骨干召开例会，每年开两次集中业务培训。其中7月份对养老保险补缴新规和9月对全省城乡居民医疗新系统上线操作流程进行详细。</w:t>
      </w:r>
    </w:p>
    <w:p>
      <w:pPr>
        <w:snapToGrid w:val="0"/>
        <w:ind w:firstLine="439" w:firstLineChars="183"/>
        <w:rPr>
          <w:rFonts w:ascii="Arial Narrow" w:hAnsi="Arial Narrow" w:cs="Arial Narrow"/>
        </w:rPr>
      </w:pPr>
      <w:r>
        <w:rPr>
          <w:rFonts w:ascii="Arial Narrow" w:hAnsi="Arial Narrow" w:cs="Arial Narrow"/>
        </w:rPr>
        <w:t>（</w:t>
      </w:r>
      <w:r>
        <w:rPr>
          <w:rFonts w:hint="eastAsia" w:ascii="Arial Narrow" w:hAnsi="Arial Narrow" w:cs="Arial Narrow"/>
        </w:rPr>
        <w:t>7</w:t>
      </w:r>
      <w:r>
        <w:rPr>
          <w:rFonts w:ascii="Arial Narrow" w:hAnsi="Arial Narrow" w:cs="Arial Narrow"/>
        </w:rPr>
        <w:t>）资金使用率</w:t>
      </w:r>
      <w:r>
        <w:rPr>
          <w:rFonts w:hint="eastAsia" w:ascii="Arial Narrow" w:hAnsi="Arial Narrow" w:cs="Arial Narrow"/>
        </w:rPr>
        <w:t>，满分5分，实际得分5分。该</w:t>
      </w:r>
      <w:r>
        <w:rPr>
          <w:rFonts w:ascii="Arial Narrow" w:hAnsi="Arial Narrow" w:cs="Arial Narrow"/>
        </w:rPr>
        <w:t>指标是指项目实际支出与项目到位资金的比率，用以反映和考核项目资金使用情况。</w:t>
      </w:r>
      <w:r>
        <w:rPr>
          <w:rFonts w:hint="eastAsia" w:ascii="Arial Narrow" w:hAnsi="Arial Narrow" w:cs="Arial Narrow"/>
        </w:rPr>
        <w:t>区老年大学等工作经费项目到位资金341.00万元，实际使用（下拨）321.00万元，资金使用率为94.13%。资金具体使用情况：①预备预师项目到位20万元，实际下拨0万元；②社保处工作站经费116万元，实际使用116万元；③老年大学工作预算经费145万元，实际下拨145万元。其中老年大学教师课酬费110万元，教学成果、评比表彰3万元，老年大学下拨给南湖分校8万元，杨园分校4万元，徐家棚分校8万元，紫阳分校6万元，水果湖分校6万元；④仲裁委员会经费40万元，实际下拨40万元；⑤摄影家协会经费20万元，实际下拨20万元。</w:t>
      </w:r>
    </w:p>
    <w:p>
      <w:pPr>
        <w:snapToGrid w:val="0"/>
        <w:ind w:firstLine="482"/>
        <w:outlineLvl w:val="1"/>
        <w:rPr>
          <w:rFonts w:ascii="Arial Narrow" w:hAnsi="Arial Narrow"/>
          <w:b/>
        </w:rPr>
      </w:pPr>
      <w:bookmarkStart w:id="112" w:name="_Toc25965"/>
      <w:r>
        <w:rPr>
          <w:rFonts w:ascii="Arial Narrow" w:hAnsi="Arial Narrow"/>
          <w:b/>
        </w:rPr>
        <w:t>（四）项目效益（30分）</w:t>
      </w:r>
      <w:bookmarkEnd w:id="112"/>
    </w:p>
    <w:p>
      <w:pPr>
        <w:snapToGrid w:val="0"/>
        <w:ind w:firstLine="480"/>
        <w:rPr>
          <w:rFonts w:ascii="Arial Narrow" w:hAnsi="Arial Narrow" w:cs="Arial Narrow"/>
        </w:rPr>
      </w:pPr>
      <w:r>
        <w:rPr>
          <w:rFonts w:ascii="Arial Narrow" w:hAnsi="Arial Narrow" w:cs="Arial Narrow"/>
        </w:rPr>
        <w:t>根据评价原则，效益评价得分为</w:t>
      </w:r>
      <w:r>
        <w:rPr>
          <w:rFonts w:hint="eastAsia" w:ascii="Arial Narrow" w:hAnsi="Arial Narrow" w:cs="Arial Narrow"/>
        </w:rPr>
        <w:t>29</w:t>
      </w:r>
      <w:r>
        <w:rPr>
          <w:rFonts w:ascii="Arial Narrow" w:hAnsi="Arial Narrow" w:cs="Arial Narrow"/>
        </w:rPr>
        <w:t>分，评价结果为优。</w:t>
      </w:r>
    </w:p>
    <w:p>
      <w:pPr>
        <w:snapToGrid w:val="0"/>
        <w:spacing w:before="204" w:beforeLines="50"/>
        <w:ind w:firstLine="482" w:firstLineChars="0"/>
        <w:jc w:val="center"/>
        <w:rPr>
          <w:rFonts w:ascii="Arial Narrow" w:hAnsi="Arial Narrow" w:cs="Arial Narrow"/>
        </w:rPr>
      </w:pPr>
      <w:r>
        <w:rPr>
          <w:rFonts w:ascii="Arial Narrow" w:hAnsi="Arial Narrow"/>
        </w:rPr>
        <w:drawing>
          <wp:inline distT="0" distB="0" distL="114300" distR="114300">
            <wp:extent cx="4236720" cy="2770505"/>
            <wp:effectExtent l="0" t="0" r="11430" b="10795"/>
            <wp:docPr id="125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napToGrid w:val="0"/>
        <w:spacing w:before="204" w:beforeLines="50"/>
        <w:ind w:firstLine="482" w:firstLineChars="0"/>
        <w:rPr>
          <w:rFonts w:ascii="Arial Narrow" w:hAnsi="Arial Narrow"/>
          <w:b/>
        </w:rPr>
      </w:pPr>
      <w:r>
        <w:rPr>
          <w:rFonts w:ascii="Arial Narrow" w:hAnsi="Arial Narrow" w:cs="Arial Narrow"/>
        </w:rPr>
        <w:t>效果方面主要评价项目实施所产生的社会效益，以及对社会的需求和发展所带来的直接或间接影响，反映项目后续运行及成效发挥的可持续影响情况。主要评价的指标是</w:t>
      </w:r>
      <w:r>
        <w:rPr>
          <w:rFonts w:hint="eastAsia" w:ascii="Arial Narrow" w:hAnsi="Arial Narrow" w:cs="Arial Narrow"/>
        </w:rPr>
        <w:t>优秀班集体评比率、老年大学成果展示、老年生活丰富度、社保业务便捷程度、可持续性、老年大学学员满意度及社区居民满意度</w:t>
      </w:r>
      <w:r>
        <w:rPr>
          <w:rFonts w:ascii="Arial Narrow" w:hAnsi="Arial Narrow" w:cs="Arial Narrow"/>
        </w:rPr>
        <w:t>。对于该项的评价，评价小组主要采取了案卷研究、询问、访谈、观察等方式进行资料收集、整理和分析，查看了项目实施单位的绩效报告，发放调查问卷，采集相关信息，对项目效果涉及的指标进行打分，并逐级加权计算结果。经过综合计分，效果指标得分为2</w:t>
      </w:r>
      <w:r>
        <w:rPr>
          <w:rFonts w:hint="eastAsia" w:ascii="Arial Narrow" w:hAnsi="Arial Narrow" w:cs="Arial Narrow"/>
        </w:rPr>
        <w:t>9</w:t>
      </w:r>
      <w:r>
        <w:rPr>
          <w:rFonts w:ascii="Arial Narrow" w:hAnsi="Arial Narrow" w:cs="Arial Narrow"/>
        </w:rPr>
        <w:t>分，评价等级为优。</w:t>
      </w:r>
    </w:p>
    <w:p>
      <w:pPr>
        <w:snapToGrid w:val="0"/>
        <w:ind w:firstLine="723" w:firstLineChars="300"/>
        <w:rPr>
          <w:rFonts w:ascii="Arial Narrow" w:hAnsi="Arial Narrow" w:cs="Arial Narrow"/>
          <w:b/>
          <w:bCs/>
        </w:rPr>
      </w:pPr>
      <w:r>
        <w:rPr>
          <w:rFonts w:hint="eastAsia" w:ascii="Arial Narrow" w:hAnsi="Arial Narrow" w:cs="Arial Narrow"/>
          <w:b/>
          <w:bCs/>
        </w:rPr>
        <w:t>1、</w:t>
      </w:r>
      <w:r>
        <w:rPr>
          <w:rFonts w:ascii="Arial Narrow" w:hAnsi="Arial Narrow" w:cs="Arial Narrow"/>
          <w:b/>
          <w:bCs/>
        </w:rPr>
        <w:t>项目效益（30分）</w:t>
      </w:r>
    </w:p>
    <w:p>
      <w:pPr>
        <w:numPr>
          <w:ilvl w:val="0"/>
          <w:numId w:val="7"/>
        </w:numPr>
        <w:snapToGrid w:val="0"/>
        <w:ind w:firstLine="480" w:firstLineChars="0"/>
        <w:rPr>
          <w:rFonts w:ascii="Arial Narrow" w:hAnsi="Arial Narrow" w:cs="Arial Narrow"/>
        </w:rPr>
      </w:pPr>
      <w:r>
        <w:rPr>
          <w:rFonts w:hint="eastAsia" w:ascii="Arial Narrow" w:hAnsi="Arial Narrow" w:cs="Arial Narrow"/>
        </w:rPr>
        <w:t>优秀班集体评比率，满分4分，实际得分4分。该指标</w:t>
      </w:r>
      <w:r>
        <w:rPr>
          <w:rFonts w:ascii="Arial Narrow" w:hAnsi="Arial Narrow" w:cs="Arial Narrow"/>
        </w:rPr>
        <w:t>是指</w:t>
      </w:r>
      <w:r>
        <w:rPr>
          <w:rFonts w:hint="eastAsia" w:ascii="Arial Narrow" w:hAnsi="Arial Narrow" w:cs="Arial Narrow"/>
        </w:rPr>
        <w:t>项目实施后，学校开展创建优秀班集体活动，以加强教风、学风、班风建设，用以反映和考核项目的实施效果。</w:t>
      </w:r>
      <w:r>
        <w:rPr>
          <w:rFonts w:ascii="Arial Narrow" w:hAnsi="Arial Narrow" w:cs="Arial Narrow"/>
        </w:rPr>
        <w:t>评价小组通过卷宗研究了解到，</w:t>
      </w:r>
      <w:r>
        <w:rPr>
          <w:rFonts w:hint="eastAsia" w:ascii="Arial Narrow" w:hAnsi="Arial Narrow" w:cs="Arial Narrow"/>
        </w:rPr>
        <w:t>截止2017年秋季学期期末，武昌区老年大学评比产生40个优秀班集体，五个分校评比产生21个优秀班集体，优秀班集体评比率为100%。</w:t>
      </w:r>
    </w:p>
    <w:p>
      <w:pPr>
        <w:snapToGrid w:val="0"/>
        <w:ind w:firstLine="480"/>
        <w:rPr>
          <w:rFonts w:ascii="Arial Narrow" w:hAnsi="Arial Narrow" w:cs="Arial Narrow"/>
        </w:rPr>
      </w:pPr>
      <w:r>
        <w:rPr>
          <w:rFonts w:ascii="Arial Narrow" w:hAnsi="Arial Narrow" w:cs="Arial Narrow"/>
        </w:rPr>
        <w:t>（2）</w:t>
      </w:r>
      <w:r>
        <w:rPr>
          <w:rFonts w:hint="eastAsia" w:ascii="Arial Narrow" w:hAnsi="Arial Narrow" w:cs="Arial Narrow"/>
        </w:rPr>
        <w:t>老年大学成果展示，满分4分，实际得分4分。该指标</w:t>
      </w:r>
      <w:r>
        <w:rPr>
          <w:rFonts w:ascii="Arial Narrow" w:hAnsi="Arial Narrow" w:cs="Arial Narrow"/>
        </w:rPr>
        <w:t>是指</w:t>
      </w:r>
      <w:r>
        <w:rPr>
          <w:rFonts w:hint="eastAsia" w:ascii="Arial Narrow" w:hAnsi="Arial Narrow" w:cs="Arial Narrow"/>
        </w:rPr>
        <w:t>老年大学开展各个专业课程后，每学期各专业学会（协会）都会适时组织学员进行学习成果汇报，展示学员风采。</w:t>
      </w:r>
      <w:r>
        <w:rPr>
          <w:rFonts w:ascii="Arial Narrow" w:hAnsi="Arial Narrow" w:cs="Arial Narrow"/>
        </w:rPr>
        <w:t>评价小组通过卷宗研究了解到，</w:t>
      </w:r>
      <w:r>
        <w:rPr>
          <w:rFonts w:hint="eastAsia" w:ascii="Arial Narrow" w:hAnsi="Arial Narrow" w:cs="Arial Narrow"/>
        </w:rPr>
        <w:t>老年大学各专业都有开展成果展示活动，如诗词楹联协会举办了“礼赞十九大、讴歌新时代”演唱吟诵会，书画协会和服装裁剪专业举办了作品展。瑜伽专业编印了《瑜海拾贝》、书画学会印制了《武昌老年大学书画专辑》、中医保健学会编印了《老年保健活页资料》等。</w:t>
      </w:r>
    </w:p>
    <w:p>
      <w:pPr>
        <w:numPr>
          <w:ilvl w:val="0"/>
          <w:numId w:val="8"/>
        </w:numPr>
        <w:snapToGrid w:val="0"/>
        <w:ind w:firstLine="480" w:firstLineChars="0"/>
        <w:rPr>
          <w:rFonts w:ascii="Arial Narrow" w:hAnsi="Arial Narrow" w:cs="Arial Narrow"/>
        </w:rPr>
      </w:pPr>
      <w:r>
        <w:rPr>
          <w:rFonts w:hint="eastAsia" w:ascii="Arial Narrow" w:hAnsi="Arial Narrow" w:cs="Arial Narrow"/>
        </w:rPr>
        <w:t>老年生活丰富度，满分4分，实际得分4分。该指标</w:t>
      </w:r>
      <w:r>
        <w:rPr>
          <w:rFonts w:ascii="Arial Narrow" w:hAnsi="Arial Narrow" w:cs="Arial Narrow"/>
        </w:rPr>
        <w:t>是指</w:t>
      </w:r>
      <w:r>
        <w:rPr>
          <w:rFonts w:hint="eastAsia" w:ascii="Arial Narrow" w:hAnsi="Arial Narrow" w:cs="Arial Narrow"/>
        </w:rPr>
        <w:t>项目实施后，老年大学里的老年人生活是否得到丰富，用以反映和考核项目的社会效益。</w:t>
      </w:r>
      <w:r>
        <w:rPr>
          <w:rFonts w:ascii="Arial Narrow" w:hAnsi="Arial Narrow" w:cs="Arial Narrow"/>
        </w:rPr>
        <w:t>评价小组</w:t>
      </w:r>
      <w:r>
        <w:rPr>
          <w:rFonts w:hint="eastAsia" w:ascii="Arial Narrow" w:hAnsi="Arial Narrow" w:cs="Arial Narrow"/>
        </w:rPr>
        <w:t>对老年大学学员发放的43份有效问卷中，有40人表示满意，占比93.02%；有3人表示比较满意，占比6.98%。通过权重计算得出，老年生活丰富度为97.67%。</w:t>
      </w:r>
    </w:p>
    <w:p>
      <w:pPr>
        <w:pStyle w:val="41"/>
        <w:numPr>
          <w:ilvl w:val="0"/>
          <w:numId w:val="8"/>
        </w:numPr>
        <w:snapToGrid w:val="0"/>
        <w:ind w:firstLineChars="0"/>
        <w:rPr>
          <w:rFonts w:ascii="Arial Narrow" w:hAnsi="Arial Narrow" w:cs="Arial Narrow"/>
        </w:rPr>
      </w:pPr>
      <w:r>
        <w:rPr>
          <w:rFonts w:hint="eastAsia" w:ascii="Arial Narrow" w:hAnsi="Arial Narrow" w:cs="Arial Narrow"/>
        </w:rPr>
        <w:t>社保业务便捷程度，满分4分，实际得分4分。该指标</w:t>
      </w:r>
      <w:r>
        <w:rPr>
          <w:rFonts w:ascii="Arial Narrow" w:hAnsi="Arial Narrow" w:cs="Arial Narrow"/>
        </w:rPr>
        <w:t>是指</w:t>
      </w:r>
      <w:r>
        <w:rPr>
          <w:rFonts w:hint="eastAsia" w:ascii="Arial Narrow" w:hAnsi="Arial Narrow" w:cs="Arial Narrow"/>
        </w:rPr>
        <w:t>设立水果湖、杨园街社保服务站后，各街道服务中心经办社保业务，是否可以实现社区居民出门15分钟就能处理业务，反映业务的便捷程度。评价小组抽选青鱼嘴社区和东亭社区，针对社区居民发放有效问卷15分。有14人表示满意，占比93.33%；有1人表示比较满意，占比7.14%。通过权重计算得出，社保业务便捷程度为98.09%。</w:t>
      </w:r>
    </w:p>
    <w:p>
      <w:pPr>
        <w:pStyle w:val="41"/>
        <w:numPr>
          <w:ilvl w:val="0"/>
          <w:numId w:val="8"/>
        </w:numPr>
        <w:snapToGrid w:val="0"/>
        <w:ind w:firstLineChars="0"/>
        <w:rPr>
          <w:rFonts w:ascii="Arial Narrow" w:hAnsi="Arial Narrow" w:cs="Arial Narrow"/>
        </w:rPr>
      </w:pPr>
      <w:r>
        <w:rPr>
          <w:rFonts w:hint="eastAsia" w:ascii="Arial Narrow" w:hAnsi="Arial Narrow" w:cs="Arial Narrow"/>
        </w:rPr>
        <w:t>可持续性，满分4分，实际得分3分。该指标</w:t>
      </w:r>
      <w:r>
        <w:rPr>
          <w:rFonts w:ascii="Arial Narrow" w:hAnsi="Arial Narrow" w:cs="Arial Narrow"/>
        </w:rPr>
        <w:t>是指</w:t>
      </w:r>
      <w:r>
        <w:rPr>
          <w:rFonts w:hint="eastAsia" w:ascii="Arial Narrow" w:hAnsi="Arial Narrow" w:cs="Arial Narrow"/>
        </w:rPr>
        <w:t>项目实施后，是否有充足的人员和设施支撑项目的长期运行，用以反映项目的可持续性。</w:t>
      </w:r>
      <w:r>
        <w:rPr>
          <w:rFonts w:ascii="Arial Narrow" w:hAnsi="Arial Narrow" w:cs="Arial Narrow"/>
        </w:rPr>
        <w:t>评价小组</w:t>
      </w:r>
      <w:r>
        <w:rPr>
          <w:rFonts w:hint="eastAsia" w:ascii="Arial Narrow" w:hAnsi="Arial Narrow" w:cs="Arial Narrow"/>
        </w:rPr>
        <w:t>经访谈了解到，由于老年大学教师薪酬在武昌区属于中高水平，教师人数暂时满足教学要求；社保工作站聘用人员仅8人，人员紧张，扣0.5分。老年大学在教学设施方面有所增添，如添置钢琴、古筝、投影等设备；社保工作仅两个工作站，工作站数量不足，扣0.5分。</w:t>
      </w:r>
    </w:p>
    <w:p>
      <w:pPr>
        <w:pStyle w:val="41"/>
        <w:numPr>
          <w:ilvl w:val="0"/>
          <w:numId w:val="8"/>
        </w:numPr>
        <w:snapToGrid w:val="0"/>
        <w:ind w:firstLineChars="0"/>
        <w:rPr>
          <w:rFonts w:ascii="Arial Narrow" w:hAnsi="Arial Narrow" w:cs="Arial Narrow"/>
        </w:rPr>
      </w:pPr>
      <w:r>
        <w:rPr>
          <w:rFonts w:hint="eastAsia" w:ascii="Arial Narrow" w:hAnsi="Arial Narrow" w:cs="Arial Narrow"/>
        </w:rPr>
        <w:t>老年大学学员满意度，满分5分，实际得分5分。项目实施后，老年大学学员对老年大学整体的满意程度，用以反映项目的社会效益。对老年大学学员发放的43份有效问卷中，有42人表示满意，占比97.67%；有1人表示比较满意，占比2.33%，设定满意选项权重3分，比较满意选项权重2分，不太满意选项权重1分，不满意选项权重0分。通过权重计算得出，老年大学学员满意度为99.22%。</w:t>
      </w:r>
    </w:p>
    <w:p>
      <w:pPr>
        <w:pStyle w:val="41"/>
        <w:numPr>
          <w:ilvl w:val="0"/>
          <w:numId w:val="8"/>
        </w:numPr>
        <w:snapToGrid w:val="0"/>
        <w:ind w:firstLineChars="0"/>
        <w:rPr>
          <w:rFonts w:ascii="Arial Narrow" w:hAnsi="Arial Narrow" w:cs="Arial Narrow"/>
        </w:rPr>
      </w:pPr>
      <w:r>
        <w:rPr>
          <w:rFonts w:ascii="Arial Narrow" w:hAnsi="Arial Narrow" w:cs="Arial Narrow"/>
        </w:rPr>
        <w:t>社区居民满意度</w:t>
      </w:r>
      <w:r>
        <w:rPr>
          <w:rFonts w:hint="eastAsia" w:ascii="Arial Narrow" w:hAnsi="Arial Narrow" w:cs="Arial Narrow"/>
        </w:rPr>
        <w:t>，</w:t>
      </w:r>
      <w:r>
        <w:rPr>
          <w:rFonts w:ascii="Arial Narrow" w:hAnsi="Arial Narrow" w:cs="Arial Narrow"/>
        </w:rPr>
        <w:t>满分</w:t>
      </w:r>
      <w:r>
        <w:rPr>
          <w:rFonts w:hint="eastAsia" w:ascii="Arial Narrow" w:hAnsi="Arial Narrow" w:cs="Arial Narrow"/>
        </w:rPr>
        <w:t>5分，实际得分5分。该</w:t>
      </w:r>
      <w:r>
        <w:rPr>
          <w:rFonts w:ascii="Arial Narrow" w:hAnsi="Arial Narrow" w:cs="Arial Narrow"/>
        </w:rPr>
        <w:t>指标是指项目实施后，社区居民对政府协调办协调工作的效果的评价，用以反映项目的社会效益。</w:t>
      </w:r>
      <w:r>
        <w:rPr>
          <w:rFonts w:hint="eastAsia" w:ascii="Arial Narrow" w:hAnsi="Arial Narrow" w:cs="Arial Narrow"/>
        </w:rPr>
        <w:t>评价小组抽选青鱼嘴社区和东亭社区，针对社区居民发放有效问卷15分。有13人表示满意，占比86.67%；有2人表示比较满意，占比13.33%，设定满意选项权重3分，比较满意选项权重2分，不太满意选项权重1分，不满意选项权重0分。通过权重计算得出，社保业务便捷程度为95.56%。</w:t>
      </w:r>
    </w:p>
    <w:bookmarkEnd w:id="106"/>
    <w:p>
      <w:pPr>
        <w:snapToGrid w:val="0"/>
        <w:ind w:firstLine="482"/>
        <w:outlineLvl w:val="0"/>
        <w:rPr>
          <w:rFonts w:ascii="Arial Narrow" w:hAnsi="Arial Narrow" w:cs="Arial Narrow"/>
          <w:b/>
          <w:bCs/>
        </w:rPr>
      </w:pPr>
      <w:bookmarkStart w:id="113" w:name="_Toc17932"/>
      <w:bookmarkStart w:id="114" w:name="_Toc18639"/>
      <w:bookmarkStart w:id="115" w:name="_Toc14716"/>
      <w:r>
        <w:rPr>
          <w:rFonts w:ascii="Arial Narrow" w:hAnsi="Arial Narrow" w:cs="Arial Narrow"/>
          <w:b/>
          <w:bCs/>
        </w:rPr>
        <w:t>四、评价结论</w:t>
      </w:r>
      <w:bookmarkEnd w:id="107"/>
      <w:bookmarkEnd w:id="108"/>
      <w:bookmarkEnd w:id="109"/>
      <w:bookmarkEnd w:id="110"/>
      <w:bookmarkEnd w:id="111"/>
      <w:bookmarkEnd w:id="113"/>
      <w:bookmarkEnd w:id="114"/>
      <w:bookmarkEnd w:id="115"/>
      <w:bookmarkStart w:id="116" w:name="_Toc361302039"/>
      <w:bookmarkStart w:id="117" w:name="_Toc361304702"/>
    </w:p>
    <w:bookmarkEnd w:id="116"/>
    <w:bookmarkEnd w:id="117"/>
    <w:p>
      <w:pPr>
        <w:snapToGrid w:val="0"/>
        <w:ind w:firstLine="480" w:firstLineChars="0"/>
        <w:rPr>
          <w:rFonts w:ascii="Arial Narrow" w:hAnsi="Arial Narrow" w:cs="Arial Narrow"/>
          <w:b/>
          <w:bCs/>
        </w:rPr>
      </w:pPr>
      <w:r>
        <w:rPr>
          <w:rFonts w:ascii="Arial Narrow" w:hAnsi="Arial Narrow"/>
          <w:b/>
        </w:rPr>
        <w:t>（一）</w:t>
      </w:r>
      <w:r>
        <w:rPr>
          <w:rFonts w:ascii="Arial Narrow" w:hAnsi="Arial Narrow" w:cs="Arial Narrow"/>
          <w:b/>
          <w:bCs/>
        </w:rPr>
        <w:t>评分结果</w:t>
      </w:r>
    </w:p>
    <w:p>
      <w:pPr>
        <w:snapToGrid w:val="0"/>
        <w:ind w:firstLine="480"/>
        <w:rPr>
          <w:rFonts w:ascii="Arial Narrow" w:hAnsi="Arial Narrow" w:cs="Arial Narrow"/>
        </w:rPr>
      </w:pPr>
      <w:r>
        <w:rPr>
          <w:rFonts w:ascii="Arial Narrow" w:hAnsi="Arial Narrow" w:cs="Arial Narrow"/>
        </w:rPr>
        <w:t>区老年大学等工作经费项目绩效评价得分为</w:t>
      </w:r>
      <w:r>
        <w:rPr>
          <w:rFonts w:hint="eastAsia" w:ascii="Arial Narrow" w:hAnsi="Arial Narrow" w:cs="Arial Narrow"/>
        </w:rPr>
        <w:t>92</w:t>
      </w:r>
      <w:r>
        <w:rPr>
          <w:rFonts w:ascii="Arial Narrow" w:hAnsi="Arial Narrow" w:cs="Arial Narrow"/>
        </w:rPr>
        <w:t>分，评价结果为优，</w:t>
      </w:r>
      <w:r>
        <w:rPr>
          <w:rFonts w:hint="eastAsia" w:ascii="Arial Narrow" w:hAnsi="Arial Narrow" w:cs="Arial Narrow"/>
        </w:rPr>
        <w:t>其中投入得分14分，过程得分23分，产出得分26分，效果得分29分。具体各指标评分情况如下：</w:t>
      </w:r>
    </w:p>
    <w:p>
      <w:pPr>
        <w:snapToGrid w:val="0"/>
        <w:ind w:firstLine="991" w:firstLineChars="413"/>
        <w:jc w:val="center"/>
        <w:rPr>
          <w:rFonts w:ascii="Arial Narrow" w:hAnsi="Arial Narrow" w:cs="Arial Narrow"/>
        </w:rPr>
      </w:pPr>
      <w:bookmarkStart w:id="118" w:name="_Toc361304705"/>
      <w:bookmarkStart w:id="119" w:name="_Toc406666380"/>
      <w:bookmarkStart w:id="120" w:name="_Toc387957829"/>
      <w:bookmarkStart w:id="121" w:name="_Toc406668054"/>
      <w:r>
        <w:rPr>
          <w:rFonts w:ascii="Arial Narrow" w:hAnsi="Arial Narrow"/>
        </w:rPr>
        <w:drawing>
          <wp:inline distT="0" distB="0" distL="114300" distR="114300">
            <wp:extent cx="4572000" cy="2451100"/>
            <wp:effectExtent l="0" t="0" r="0" b="635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napToGrid w:val="0"/>
        <w:ind w:firstLine="480" w:firstLineChars="0"/>
        <w:rPr>
          <w:rFonts w:ascii="Arial Narrow" w:hAnsi="Arial Narrow" w:cs="Arial Narrow"/>
          <w:b/>
          <w:bCs/>
        </w:rPr>
      </w:pPr>
      <w:r>
        <w:rPr>
          <w:rFonts w:ascii="Arial Narrow" w:hAnsi="Arial Narrow" w:cs="Arial Narrow"/>
          <w:b/>
          <w:bCs/>
        </w:rPr>
        <w:t>（二）主要结论</w:t>
      </w:r>
    </w:p>
    <w:p>
      <w:pPr>
        <w:snapToGrid w:val="0"/>
        <w:ind w:firstLine="480" w:firstLineChars="0"/>
        <w:rPr>
          <w:rFonts w:ascii="Arial Narrow" w:hAnsi="Arial Narrow" w:cs="Arial Narrow"/>
        </w:rPr>
      </w:pPr>
      <w:r>
        <w:rPr>
          <w:rFonts w:ascii="Arial Narrow" w:hAnsi="Arial Narrow" w:cs="Arial Narrow"/>
        </w:rPr>
        <w:t>1、项目投入指标评分结果为14分，评价等级为良。项目投入分为项目立项和资金落实两个方面。</w:t>
      </w:r>
      <w:r>
        <w:rPr>
          <w:rFonts w:hint="eastAsia" w:ascii="Arial Narrow" w:hAnsi="Arial Narrow" w:cs="Arial Narrow"/>
        </w:rPr>
        <w:t>在项目立项方面，项目申请设立程序合规，提交的文件、材料符合要求，事前经过集体决策，但项目未制定长期目标、年度目标以及绩效指标；在资金落实方面，项目资金基本到位且到位及时。</w:t>
      </w:r>
    </w:p>
    <w:p>
      <w:pPr>
        <w:snapToGrid w:val="0"/>
        <w:ind w:firstLine="480" w:firstLineChars="0"/>
        <w:rPr>
          <w:rFonts w:ascii="Arial Narrow" w:hAnsi="Arial Narrow" w:cs="Arial Narrow"/>
        </w:rPr>
      </w:pPr>
      <w:r>
        <w:rPr>
          <w:rFonts w:ascii="Arial Narrow" w:hAnsi="Arial Narrow" w:cs="Arial Narrow"/>
        </w:rPr>
        <w:t>2、项目过程指标评分结果为2</w:t>
      </w:r>
      <w:r>
        <w:rPr>
          <w:rFonts w:hint="eastAsia" w:ascii="Arial Narrow" w:hAnsi="Arial Narrow" w:cs="Arial Narrow"/>
        </w:rPr>
        <w:t>3</w:t>
      </w:r>
      <w:r>
        <w:rPr>
          <w:rFonts w:ascii="Arial Narrow" w:hAnsi="Arial Narrow" w:cs="Arial Narrow"/>
        </w:rPr>
        <w:t>分，评价等级为优。项目过程分为项目管理和财务管理两个方面。在项目管理方面，项目</w:t>
      </w:r>
      <w:r>
        <w:rPr>
          <w:rFonts w:hint="eastAsia" w:ascii="Arial Narrow" w:hAnsi="Arial Narrow" w:cs="Arial Narrow"/>
        </w:rPr>
        <w:t>按照</w:t>
      </w:r>
      <w:r>
        <w:rPr>
          <w:rFonts w:ascii="Arial Narrow" w:hAnsi="Arial Narrow" w:cs="Arial Narrow"/>
        </w:rPr>
        <w:t>制定的管理办法执行，武</w:t>
      </w:r>
      <w:r>
        <w:rPr>
          <w:rFonts w:hint="eastAsia" w:ascii="Arial Narrow" w:hAnsi="Arial Narrow" w:cs="Arial Narrow"/>
        </w:rPr>
        <w:t>昌区老年大学建立教师考核机制，武昌工作站建立了检查机制；</w:t>
      </w:r>
      <w:r>
        <w:rPr>
          <w:rFonts w:ascii="Arial Narrow" w:hAnsi="Arial Narrow" w:cs="Arial Narrow"/>
        </w:rPr>
        <w:t>财务管理方面，财务管理制度和项目资金管理制度齐全，并基本按制度执行，资金使用合规</w:t>
      </w:r>
      <w:r>
        <w:rPr>
          <w:rFonts w:hint="eastAsia" w:ascii="Arial Narrow" w:hAnsi="Arial Narrow" w:cs="Arial Narrow"/>
        </w:rPr>
        <w:t>，</w:t>
      </w:r>
      <w:r>
        <w:rPr>
          <w:rFonts w:ascii="Arial Narrow" w:hAnsi="Arial Narrow" w:cs="Arial Narrow"/>
        </w:rPr>
        <w:t>但2017单位内部未对财务进行有关检查。</w:t>
      </w:r>
    </w:p>
    <w:p>
      <w:pPr>
        <w:snapToGrid w:val="0"/>
        <w:ind w:firstLine="480" w:firstLineChars="0"/>
        <w:rPr>
          <w:rFonts w:ascii="Arial Narrow" w:hAnsi="Arial Narrow" w:cs="Arial Narrow"/>
        </w:rPr>
      </w:pPr>
      <w:r>
        <w:rPr>
          <w:rFonts w:hint="eastAsia" w:ascii="Arial Narrow" w:hAnsi="Arial Narrow" w:cs="Arial Narrow"/>
        </w:rPr>
        <w:t>3、</w:t>
      </w:r>
      <w:r>
        <w:rPr>
          <w:rFonts w:ascii="Arial Narrow" w:hAnsi="Arial Narrow" w:cs="Arial Narrow"/>
        </w:rPr>
        <w:t>项目产出指标评分结果为2</w:t>
      </w:r>
      <w:r>
        <w:rPr>
          <w:rFonts w:hint="eastAsia" w:ascii="Arial Narrow" w:hAnsi="Arial Narrow" w:cs="Arial Narrow"/>
        </w:rPr>
        <w:t>6</w:t>
      </w:r>
      <w:r>
        <w:rPr>
          <w:rFonts w:ascii="Arial Narrow" w:hAnsi="Arial Narrow" w:cs="Arial Narrow"/>
        </w:rPr>
        <w:t>分，评价等级为良。各类工作基本保质保量完成，其中：老年大学</w:t>
      </w:r>
      <w:r>
        <w:rPr>
          <w:rFonts w:hint="eastAsia" w:ascii="Arial Narrow" w:hAnsi="Arial Narrow" w:cs="Arial Narrow"/>
        </w:rPr>
        <w:t>专业课程和班级数按计划开放，教师课酬分三个档次，课酬分配合理；社保服务站及时解决街道业务疑问，组织街道科学合理宣传引导办事群众，社保办公设备全部购置到位且配备到位。工作站业务培训力度较大，但老年大学对教师的业务能力进行培训频次不高，项目资金使用率为94.13%。</w:t>
      </w:r>
    </w:p>
    <w:p>
      <w:pPr>
        <w:snapToGrid w:val="0"/>
        <w:ind w:firstLine="480"/>
        <w:rPr>
          <w:rFonts w:ascii="Arial Narrow" w:hAnsi="Arial Narrow" w:cs="Arial Narrow"/>
        </w:rPr>
      </w:pPr>
      <w:r>
        <w:rPr>
          <w:rFonts w:hint="eastAsia" w:ascii="Arial Narrow" w:hAnsi="Arial Narrow" w:cs="Arial Narrow"/>
        </w:rPr>
        <w:t>4、</w:t>
      </w:r>
      <w:r>
        <w:rPr>
          <w:rFonts w:ascii="Arial Narrow" w:hAnsi="Arial Narrow" w:cs="Arial Narrow"/>
        </w:rPr>
        <w:t>项目效益指标评分结果为2</w:t>
      </w:r>
      <w:r>
        <w:rPr>
          <w:rFonts w:hint="eastAsia" w:ascii="Arial Narrow" w:hAnsi="Arial Narrow" w:cs="Arial Narrow"/>
        </w:rPr>
        <w:t>9</w:t>
      </w:r>
      <w:r>
        <w:rPr>
          <w:rFonts w:ascii="Arial Narrow" w:hAnsi="Arial Narrow" w:cs="Arial Narrow"/>
        </w:rPr>
        <w:t>分，评价等级为优。</w:t>
      </w:r>
      <w:bookmarkStart w:id="122" w:name="_Toc14373"/>
      <w:r>
        <w:rPr>
          <w:rFonts w:ascii="Arial Narrow" w:hAnsi="Arial Narrow" w:cs="Arial Narrow"/>
        </w:rPr>
        <w:t>其中</w:t>
      </w:r>
      <w:r>
        <w:rPr>
          <w:rFonts w:hint="eastAsia" w:ascii="Arial Narrow" w:hAnsi="Arial Narrow" w:cs="Arial Narrow"/>
        </w:rPr>
        <w:t>：</w:t>
      </w:r>
      <w:r>
        <w:rPr>
          <w:rFonts w:ascii="Arial Narrow" w:hAnsi="Arial Narrow" w:cs="Arial Narrow"/>
        </w:rPr>
        <w:t>优秀班集体评比工作按计划完成</w:t>
      </w:r>
      <w:r>
        <w:rPr>
          <w:rFonts w:hint="eastAsia" w:ascii="Arial Narrow" w:hAnsi="Arial Narrow" w:cs="Arial Narrow"/>
        </w:rPr>
        <w:t>，老年大学各专业都有开展课堂成果展示活动，</w:t>
      </w:r>
      <w:r>
        <w:rPr>
          <w:rFonts w:ascii="Arial Narrow" w:hAnsi="Arial Narrow" w:cs="Arial Narrow"/>
        </w:rPr>
        <w:t>社会群众到</w:t>
      </w:r>
      <w:r>
        <w:rPr>
          <w:rFonts w:hint="eastAsia" w:ascii="Arial Narrow" w:hAnsi="Arial Narrow" w:cs="Arial Narrow"/>
        </w:rPr>
        <w:t>各街道服务中心经办社保业务比较便捷，老年大学学员对学校整体的满意程度高，但社保服务站数量较少，社保工作站聘用人员不足。</w:t>
      </w:r>
    </w:p>
    <w:p>
      <w:pPr>
        <w:snapToGrid w:val="0"/>
        <w:ind w:firstLine="482"/>
        <w:outlineLvl w:val="0"/>
        <w:rPr>
          <w:rFonts w:ascii="Arial Narrow" w:hAnsi="Arial Narrow" w:cs="Arial Narrow"/>
          <w:b/>
        </w:rPr>
      </w:pPr>
      <w:bookmarkStart w:id="123" w:name="_Toc6692"/>
      <w:bookmarkStart w:id="124" w:name="_Toc28557"/>
      <w:r>
        <w:rPr>
          <w:rFonts w:ascii="Arial Narrow" w:hAnsi="Arial Narrow" w:cs="Arial Narrow"/>
          <w:b/>
        </w:rPr>
        <w:t>五、</w:t>
      </w:r>
      <w:bookmarkEnd w:id="118"/>
      <w:bookmarkEnd w:id="119"/>
      <w:bookmarkEnd w:id="120"/>
      <w:bookmarkEnd w:id="121"/>
      <w:r>
        <w:rPr>
          <w:rFonts w:ascii="Arial Narrow" w:hAnsi="Arial Narrow" w:cs="Arial Narrow"/>
          <w:b/>
        </w:rPr>
        <w:t>主要经验及做法、存在的问题和建议</w:t>
      </w:r>
      <w:bookmarkEnd w:id="122"/>
      <w:bookmarkEnd w:id="123"/>
      <w:bookmarkEnd w:id="124"/>
    </w:p>
    <w:p>
      <w:pPr>
        <w:snapToGrid w:val="0"/>
        <w:ind w:firstLine="482"/>
        <w:outlineLvl w:val="1"/>
        <w:rPr>
          <w:rFonts w:ascii="Arial Narrow" w:hAnsi="Arial Narrow" w:cs="Arial Narrow"/>
          <w:b/>
          <w:bCs/>
        </w:rPr>
      </w:pPr>
      <w:bookmarkStart w:id="125" w:name="_Toc27928"/>
      <w:bookmarkStart w:id="126" w:name="_Toc17652"/>
      <w:bookmarkStart w:id="127" w:name="_Toc406668055"/>
      <w:bookmarkStart w:id="128" w:name="_Toc406666381"/>
      <w:bookmarkStart w:id="129" w:name="_Toc23057"/>
      <w:bookmarkStart w:id="130" w:name="_Toc361304706"/>
      <w:bookmarkStart w:id="131" w:name="_Toc387957830"/>
      <w:r>
        <w:rPr>
          <w:rFonts w:ascii="Arial Narrow" w:hAnsi="Arial Narrow" w:cs="Arial Narrow"/>
          <w:b/>
          <w:bCs/>
        </w:rPr>
        <w:t>（一）主要经验及做法</w:t>
      </w:r>
      <w:bookmarkEnd w:id="125"/>
      <w:bookmarkEnd w:id="126"/>
      <w:bookmarkEnd w:id="127"/>
      <w:bookmarkEnd w:id="128"/>
      <w:bookmarkEnd w:id="129"/>
      <w:bookmarkEnd w:id="130"/>
      <w:bookmarkEnd w:id="131"/>
    </w:p>
    <w:p>
      <w:pPr>
        <w:numPr>
          <w:ilvl w:val="0"/>
          <w:numId w:val="9"/>
        </w:numPr>
        <w:snapToGrid w:val="0"/>
        <w:ind w:firstLine="480" w:firstLineChars="0"/>
        <w:rPr>
          <w:rFonts w:ascii="Arial Narrow" w:hAnsi="Arial Narrow" w:cs="Arial Narrow"/>
          <w:bCs/>
        </w:rPr>
      </w:pPr>
      <w:r>
        <w:rPr>
          <w:rFonts w:ascii="Arial Narrow" w:hAnsi="Arial Narrow" w:cs="Arial Narrow"/>
          <w:bCs/>
        </w:rPr>
        <w:t>武昌老年大学发挥各学会的能动性</w:t>
      </w:r>
      <w:r>
        <w:rPr>
          <w:rFonts w:hint="eastAsia" w:ascii="Arial Narrow" w:hAnsi="Arial Narrow" w:cs="Arial Narrow"/>
          <w:bCs/>
        </w:rPr>
        <w:t>，</w:t>
      </w:r>
      <w:r>
        <w:rPr>
          <w:rFonts w:ascii="Arial Narrow" w:hAnsi="Arial Narrow" w:cs="Arial Narrow"/>
          <w:bCs/>
        </w:rPr>
        <w:t>延伸课堂教学</w:t>
      </w:r>
      <w:r>
        <w:rPr>
          <w:rFonts w:hint="eastAsia" w:ascii="Arial Narrow" w:hAnsi="Arial Narrow" w:cs="Arial Narrow"/>
          <w:bCs/>
        </w:rPr>
        <w:t>。</w:t>
      </w:r>
      <w:r>
        <w:rPr>
          <w:rFonts w:ascii="Arial Narrow" w:hAnsi="Arial Narrow" w:cs="Arial Narrow"/>
          <w:bCs/>
        </w:rPr>
        <w:t>在每周</w:t>
      </w:r>
      <w:r>
        <w:rPr>
          <w:rFonts w:hint="eastAsia" w:ascii="Arial Narrow" w:hAnsi="Arial Narrow" w:cs="Arial Narrow"/>
          <w:bCs/>
        </w:rPr>
        <w:t>16次课内容教学基础上，每学期各专业学会（协会）都会适时组织学员进行成果汇报，并通过第二、三课堂展示学员风采。如：诗词楹联学会举办了“礼赞十九大、讴歌新时代”演唱吟诵会；摄影学会组织十余次实操学习活动，进而推动了摄影水平共同提高；古筝学会在教师带领下，积极参加社区活动及电视台举办的精神文明进万家活动等。</w:t>
      </w:r>
    </w:p>
    <w:p>
      <w:pPr>
        <w:numPr>
          <w:ilvl w:val="0"/>
          <w:numId w:val="9"/>
        </w:numPr>
        <w:snapToGrid w:val="0"/>
        <w:ind w:firstLine="480" w:firstLineChars="0"/>
        <w:rPr>
          <w:rFonts w:ascii="Arial Narrow" w:hAnsi="Arial Narrow" w:cs="Arial Narrow"/>
          <w:bCs/>
        </w:rPr>
      </w:pPr>
      <w:r>
        <w:rPr>
          <w:rFonts w:ascii="Arial Narrow" w:hAnsi="Arial Narrow" w:cs="Arial Narrow"/>
          <w:bCs/>
        </w:rPr>
        <w:t>规范社保业务操作流程</w:t>
      </w:r>
      <w:r>
        <w:rPr>
          <w:rFonts w:hint="eastAsia" w:ascii="Arial Narrow" w:hAnsi="Arial Narrow" w:cs="Arial Narrow"/>
          <w:bCs/>
        </w:rPr>
        <w:t>，</w:t>
      </w:r>
      <w:r>
        <w:rPr>
          <w:rFonts w:ascii="Arial Narrow" w:hAnsi="Arial Narrow" w:cs="Arial Narrow"/>
          <w:bCs/>
        </w:rPr>
        <w:t>提升社保业务能力和经办水平</w:t>
      </w:r>
      <w:r>
        <w:rPr>
          <w:rFonts w:hint="eastAsia" w:ascii="Arial Narrow" w:hAnsi="Arial Narrow" w:cs="Arial Narrow"/>
          <w:bCs/>
        </w:rPr>
        <w:t>。水果湖、杨园社保工作站</w:t>
      </w:r>
      <w:r>
        <w:rPr>
          <w:rFonts w:ascii="Arial Narrow" w:hAnsi="Arial Narrow" w:cs="Arial Narrow"/>
          <w:bCs/>
        </w:rPr>
        <w:t>根据经办业务规范化的要求</w:t>
      </w:r>
      <w:r>
        <w:rPr>
          <w:rFonts w:hint="eastAsia" w:ascii="Arial Narrow" w:hAnsi="Arial Narrow" w:cs="Arial Narrow"/>
          <w:bCs/>
        </w:rPr>
        <w:t>，</w:t>
      </w:r>
      <w:r>
        <w:rPr>
          <w:rFonts w:ascii="Arial Narrow" w:hAnsi="Arial Narrow" w:cs="Arial Narrow"/>
          <w:bCs/>
        </w:rPr>
        <w:t>针对社保类</w:t>
      </w:r>
      <w:r>
        <w:rPr>
          <w:rFonts w:hint="eastAsia" w:ascii="Arial Narrow" w:hAnsi="Arial Narrow" w:cs="Arial Narrow"/>
          <w:bCs/>
        </w:rPr>
        <w:t>32项经办业务对政策依据、受理条件、申请材料、办事程序及办结时限等作了进一步明确，组织街道科学合理的宣传引导办事群众，全程追踪网申工作的进行的进展情况，及时准确地回复街道的业务疑问，做好街道行政事务服务中心与社保处相关业务科室的沟通协调工作，提高各街行政服务中心一次性办结率，有效缓解了社保处经办大厅的压力。</w:t>
      </w:r>
    </w:p>
    <w:p>
      <w:pPr>
        <w:numPr>
          <w:ilvl w:val="0"/>
          <w:numId w:val="10"/>
        </w:numPr>
        <w:snapToGrid w:val="0"/>
        <w:ind w:firstLine="482"/>
        <w:outlineLvl w:val="1"/>
        <w:rPr>
          <w:rFonts w:ascii="Arial Narrow" w:hAnsi="Arial Narrow" w:cs="Arial Narrow"/>
          <w:b/>
          <w:bCs/>
        </w:rPr>
      </w:pPr>
      <w:bookmarkStart w:id="132" w:name="_Toc406666382"/>
      <w:bookmarkStart w:id="133" w:name="_Toc10206"/>
      <w:bookmarkStart w:id="134" w:name="_Toc16696"/>
      <w:bookmarkStart w:id="135" w:name="_Toc406668056"/>
      <w:bookmarkStart w:id="136" w:name="_Toc18936"/>
      <w:bookmarkStart w:id="137" w:name="_Toc387957833"/>
      <w:r>
        <w:rPr>
          <w:rFonts w:ascii="Arial Narrow" w:hAnsi="Arial Narrow" w:cs="Arial Narrow"/>
          <w:b/>
          <w:bCs/>
        </w:rPr>
        <w:t>存在的问题</w:t>
      </w:r>
      <w:bookmarkEnd w:id="132"/>
      <w:bookmarkEnd w:id="133"/>
      <w:bookmarkEnd w:id="134"/>
      <w:bookmarkEnd w:id="135"/>
      <w:bookmarkEnd w:id="136"/>
    </w:p>
    <w:p>
      <w:pPr>
        <w:snapToGrid w:val="0"/>
        <w:ind w:firstLine="480"/>
        <w:rPr>
          <w:rFonts w:ascii="Arial Narrow" w:hAnsi="Arial Narrow" w:cs="Arial Narrow"/>
          <w:bCs/>
        </w:rPr>
      </w:pPr>
      <w:bookmarkStart w:id="138" w:name="_Toc28128"/>
      <w:r>
        <w:rPr>
          <w:rFonts w:hint="eastAsia" w:ascii="Arial Narrow" w:hAnsi="Arial Narrow" w:cs="Arial Narrow"/>
          <w:bCs/>
        </w:rPr>
        <w:t>1、项目未设置长期目标、年度目标、绩效指标，绩效目标体系不健全。区老年大学等工作经费项目未根据具体工作情况，设置长期目标、年度目标、绩效指标，不利于对工作完成目标情况进行对比分析，难以评价和考核项目的实施情况。</w:t>
      </w:r>
    </w:p>
    <w:p>
      <w:pPr>
        <w:snapToGrid w:val="0"/>
        <w:ind w:firstLine="480"/>
        <w:rPr>
          <w:rFonts w:ascii="Arial Narrow" w:hAnsi="Arial Narrow" w:cs="Arial Narrow"/>
          <w:bCs/>
        </w:rPr>
      </w:pPr>
      <w:r>
        <w:rPr>
          <w:rFonts w:hint="eastAsia" w:ascii="Arial Narrow" w:hAnsi="Arial Narrow" w:cs="Arial Narrow"/>
          <w:bCs/>
        </w:rPr>
        <w:t>2、项目未建立资金辅助账，无法查阅该项目资金具体使用情况。评价小组了解到老年大学目前使用手工账，项目资金与其他资金未分开核算，老年大学经费项目资金具体使用明细无法查询。</w:t>
      </w:r>
    </w:p>
    <w:p>
      <w:pPr>
        <w:snapToGrid w:val="0"/>
        <w:ind w:firstLine="480"/>
        <w:rPr>
          <w:rFonts w:ascii="Arial Narrow" w:hAnsi="Arial Narrow" w:cs="Arial Narrow"/>
          <w:bCs/>
        </w:rPr>
      </w:pPr>
      <w:r>
        <w:rPr>
          <w:rFonts w:hint="eastAsia" w:ascii="Arial Narrow" w:hAnsi="Arial Narrow" w:cs="Arial Narrow"/>
          <w:bCs/>
        </w:rPr>
        <w:t>3、教师资格人数占比率有待提高，教师培训力度有待加强。老年大学教师资格人数占比率仅75%，部分教师虽具有专业教学水平，但未有执业证件。另外，老年大学对教师的业务能力进行培训频次过少，不利于教师能力提升。</w:t>
      </w:r>
    </w:p>
    <w:p>
      <w:pPr>
        <w:numPr>
          <w:ilvl w:val="0"/>
          <w:numId w:val="10"/>
        </w:numPr>
        <w:snapToGrid w:val="0"/>
        <w:ind w:firstLine="482"/>
        <w:outlineLvl w:val="1"/>
        <w:rPr>
          <w:rFonts w:ascii="Arial Narrow" w:hAnsi="Arial Narrow" w:cs="Arial Narrow"/>
          <w:b/>
          <w:bCs/>
        </w:rPr>
      </w:pPr>
      <w:bookmarkStart w:id="139" w:name="_Toc18652"/>
      <w:bookmarkStart w:id="140" w:name="_Toc14333"/>
      <w:r>
        <w:rPr>
          <w:rFonts w:ascii="Arial Narrow" w:hAnsi="Arial Narrow" w:cs="Arial Narrow"/>
          <w:b/>
          <w:bCs/>
        </w:rPr>
        <w:t>建议</w:t>
      </w:r>
      <w:bookmarkEnd w:id="137"/>
      <w:bookmarkEnd w:id="138"/>
      <w:bookmarkEnd w:id="139"/>
      <w:bookmarkEnd w:id="140"/>
      <w:bookmarkStart w:id="141" w:name="_Toc387957834"/>
    </w:p>
    <w:bookmarkEnd w:id="141"/>
    <w:p>
      <w:pPr>
        <w:snapToGrid w:val="0"/>
        <w:ind w:firstLine="480"/>
        <w:rPr>
          <w:rFonts w:ascii="Arial Narrow" w:hAnsi="Arial Narrow" w:cs="Arial Narrow"/>
          <w:bCs/>
        </w:rPr>
      </w:pPr>
      <w:bookmarkStart w:id="142" w:name="_Toc29121"/>
      <w:bookmarkStart w:id="143" w:name="_Toc2454"/>
      <w:bookmarkStart w:id="144" w:name="_Toc387957836"/>
      <w:bookmarkStart w:id="145" w:name="_Toc5673"/>
      <w:bookmarkStart w:id="146" w:name="_Toc406668061"/>
      <w:bookmarkStart w:id="147" w:name="_Toc406666387"/>
      <w:r>
        <w:rPr>
          <w:rFonts w:hint="eastAsia" w:ascii="Arial Narrow" w:hAnsi="Arial Narrow" w:cs="Arial Narrow"/>
          <w:bCs/>
        </w:rPr>
        <w:t>1、项目单位应设置项目的长期目标、年度目标、绩效指标，完善项目目标体系。针对工作的远瞻性，设定近几年需要完成的工作目标；结合下一年年度工作总体计划，设置项目年度目标；根据具体工作计划设置绩效指标，指标具有可考性和全面性，根据指标尽量设置量化、方便搜集数据的指标值。设置目标和指标，利于年末项目工作考核。</w:t>
      </w:r>
    </w:p>
    <w:p>
      <w:pPr>
        <w:snapToGrid w:val="0"/>
        <w:ind w:firstLine="480"/>
        <w:rPr>
          <w:rFonts w:ascii="Arial Narrow" w:hAnsi="Arial Narrow" w:cs="Arial Narrow"/>
          <w:bCs/>
        </w:rPr>
      </w:pPr>
      <w:r>
        <w:rPr>
          <w:rFonts w:hint="eastAsia" w:ascii="Arial Narrow" w:hAnsi="Arial Narrow" w:cs="Arial Narrow"/>
          <w:bCs/>
        </w:rPr>
        <w:t>2、规范账务处理，建立项目资金辅助账。老年大学应规范财务管理，使用财务软件对账务进行处理，项目资金分开核算，便于查询目资金具体使用情况，提高资金使用效益。</w:t>
      </w:r>
    </w:p>
    <w:p>
      <w:pPr>
        <w:snapToGrid w:val="0"/>
        <w:ind w:firstLine="480"/>
        <w:rPr>
          <w:rFonts w:ascii="Arial Narrow" w:hAnsi="Arial Narrow" w:cs="Arial Narrow"/>
          <w:bCs/>
        </w:rPr>
      </w:pPr>
      <w:r>
        <w:rPr>
          <w:rFonts w:hint="eastAsia" w:ascii="Arial Narrow" w:hAnsi="Arial Narrow" w:cs="Arial Narrow"/>
          <w:bCs/>
        </w:rPr>
        <w:t>3、加强教师持证管理，提高教师业务能力水平。建议学校鼓励已入职教师考证，对新聘教师资格严格审核，提升教师资质水平。同时，老年大学应定期或不定期安排教师外出学习，加强对教师的业务能力培训，不断提高其业务工作能力。</w:t>
      </w:r>
    </w:p>
    <w:p>
      <w:pPr>
        <w:snapToGrid w:val="0"/>
        <w:ind w:firstLine="482"/>
        <w:outlineLvl w:val="0"/>
        <w:rPr>
          <w:rFonts w:ascii="Arial Narrow" w:hAnsi="Arial Narrow" w:cs="Arial Narrow"/>
          <w:b/>
        </w:rPr>
      </w:pPr>
      <w:r>
        <w:rPr>
          <w:rFonts w:ascii="Arial Narrow" w:hAnsi="Arial Narrow" w:cs="Arial Narrow"/>
          <w:b/>
        </w:rPr>
        <w:t>六、其他需说明的问题</w:t>
      </w:r>
      <w:bookmarkEnd w:id="142"/>
      <w:bookmarkEnd w:id="143"/>
    </w:p>
    <w:p>
      <w:pPr>
        <w:snapToGrid w:val="0"/>
        <w:ind w:firstLine="482"/>
        <w:outlineLvl w:val="1"/>
        <w:rPr>
          <w:rFonts w:ascii="Arial Narrow" w:hAnsi="Arial Narrow" w:cs="Arial Narrow"/>
          <w:b/>
          <w:bCs/>
        </w:rPr>
      </w:pPr>
      <w:bookmarkStart w:id="148" w:name="_Toc21413"/>
      <w:bookmarkStart w:id="149" w:name="_Toc9691"/>
      <w:r>
        <w:rPr>
          <w:rFonts w:ascii="Arial Narrow" w:hAnsi="Arial Narrow" w:cs="Arial Narrow"/>
          <w:b/>
          <w:bCs/>
        </w:rPr>
        <w:t>（一）关于评价责任的说明</w:t>
      </w:r>
      <w:bookmarkEnd w:id="148"/>
      <w:bookmarkEnd w:id="149"/>
    </w:p>
    <w:p>
      <w:pPr>
        <w:snapToGrid w:val="0"/>
        <w:ind w:firstLine="480"/>
        <w:rPr>
          <w:rFonts w:ascii="Arial Narrow" w:hAnsi="Arial Narrow" w:cs="Arial Narrow"/>
        </w:rPr>
      </w:pPr>
      <w:r>
        <w:rPr>
          <w:rFonts w:ascii="Arial Narrow" w:hAnsi="Arial Narrow" w:cs="Arial Narrow"/>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pPr>
        <w:snapToGrid w:val="0"/>
        <w:ind w:firstLine="482"/>
        <w:outlineLvl w:val="1"/>
        <w:rPr>
          <w:rFonts w:ascii="Arial Narrow" w:hAnsi="Arial Narrow" w:cs="Arial Narrow"/>
          <w:b/>
          <w:bCs/>
        </w:rPr>
      </w:pPr>
      <w:bookmarkStart w:id="150" w:name="_Toc21288"/>
      <w:bookmarkStart w:id="151" w:name="_Toc17267"/>
      <w:r>
        <w:rPr>
          <w:rFonts w:ascii="Arial Narrow" w:hAnsi="Arial Narrow" w:cs="Arial Narrow"/>
          <w:b/>
          <w:bCs/>
        </w:rPr>
        <w:t>（二）关于本项目评价中局限性的说明</w:t>
      </w:r>
      <w:bookmarkEnd w:id="150"/>
      <w:bookmarkEnd w:id="151"/>
    </w:p>
    <w:p>
      <w:pPr>
        <w:snapToGrid w:val="0"/>
        <w:ind w:firstLine="480"/>
        <w:rPr>
          <w:rFonts w:ascii="Arial Narrow" w:hAnsi="Arial Narrow" w:cs="Arial Narrow"/>
        </w:rPr>
      </w:pPr>
      <w:r>
        <w:rPr>
          <w:rFonts w:ascii="Arial Narrow" w:hAnsi="Arial Narrow" w:cs="Arial Narrow"/>
        </w:rPr>
        <w:t>1、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pPr>
        <w:snapToGrid w:val="0"/>
        <w:ind w:firstLine="480"/>
        <w:rPr>
          <w:rFonts w:ascii="Arial Narrow" w:hAnsi="Arial Narrow" w:cs="Arial Narrow"/>
        </w:rPr>
      </w:pPr>
      <w:r>
        <w:rPr>
          <w:rFonts w:ascii="Arial Narrow" w:hAnsi="Arial Narrow" w:cs="Arial Narrow"/>
        </w:rPr>
        <w:t>2、本项目是经常性的资金使用项目，而且专业性较强。受具体参加本次项目的评价人员的专业能力的影响，对专业指标设定的全面性以及问题、建议提出的专业性可能存在一定的局限性。</w:t>
      </w: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480" w:firstLineChars="0"/>
        <w:rPr>
          <w:rFonts w:ascii="Arial Narrow" w:hAnsi="Arial Narrow" w:cs="Arial Narrow"/>
          <w:bCs/>
        </w:rPr>
      </w:pPr>
    </w:p>
    <w:p>
      <w:pPr>
        <w:snapToGrid w:val="0"/>
        <w:ind w:firstLine="0" w:firstLineChars="0"/>
        <w:outlineLvl w:val="1"/>
        <w:rPr>
          <w:rFonts w:ascii="Arial Narrow" w:hAnsi="Arial Narrow" w:cs="Arial Narrow"/>
          <w:bCs/>
        </w:rPr>
      </w:pPr>
      <w:bookmarkStart w:id="152" w:name="_Toc29726"/>
      <w:bookmarkStart w:id="153" w:name="_Toc29196"/>
    </w:p>
    <w:p>
      <w:pPr>
        <w:snapToGrid w:val="0"/>
        <w:ind w:firstLine="0" w:firstLineChars="0"/>
        <w:outlineLvl w:val="1"/>
        <w:rPr>
          <w:rFonts w:ascii="Arial Narrow" w:hAnsi="Arial Narrow" w:cs="Arial Narrow"/>
          <w:bCs/>
        </w:rPr>
      </w:pPr>
    </w:p>
    <w:p>
      <w:pPr>
        <w:snapToGrid w:val="0"/>
        <w:ind w:firstLine="0" w:firstLineChars="0"/>
        <w:outlineLvl w:val="1"/>
        <w:rPr>
          <w:rFonts w:ascii="Arial Narrow" w:hAnsi="Arial Narrow" w:cs="Arial Narrow"/>
          <w:bCs/>
        </w:rPr>
      </w:pPr>
    </w:p>
    <w:p>
      <w:pPr>
        <w:snapToGrid w:val="0"/>
        <w:ind w:firstLine="0" w:firstLineChars="0"/>
        <w:outlineLvl w:val="1"/>
        <w:rPr>
          <w:rFonts w:ascii="Arial Narrow" w:hAnsi="Arial Narrow" w:cs="Arial Narrow"/>
          <w:bCs/>
        </w:rPr>
      </w:pPr>
    </w:p>
    <w:p>
      <w:pPr>
        <w:snapToGrid w:val="0"/>
        <w:ind w:firstLine="0" w:firstLineChars="0"/>
        <w:outlineLvl w:val="1"/>
        <w:rPr>
          <w:rFonts w:ascii="Arial Narrow" w:hAnsi="Arial Narrow" w:cs="Arial Narrow"/>
          <w:bCs/>
        </w:rPr>
      </w:pPr>
    </w:p>
    <w:p>
      <w:pPr>
        <w:snapToGrid w:val="0"/>
        <w:ind w:firstLine="0" w:firstLineChars="0"/>
        <w:outlineLvl w:val="1"/>
        <w:rPr>
          <w:rFonts w:ascii="Arial Narrow" w:hAnsi="Arial Narrow" w:cs="Arial Narrow"/>
          <w:bCs/>
        </w:rPr>
      </w:pPr>
    </w:p>
    <w:p>
      <w:pPr>
        <w:snapToGrid w:val="0"/>
        <w:ind w:firstLine="0" w:firstLineChars="0"/>
        <w:outlineLvl w:val="1"/>
        <w:rPr>
          <w:rFonts w:ascii="Arial Narrow" w:hAnsi="Arial Narrow" w:cs="Arial Narrow"/>
          <w:bCs/>
        </w:rPr>
      </w:pPr>
    </w:p>
    <w:p>
      <w:pPr>
        <w:snapToGrid w:val="0"/>
        <w:ind w:firstLine="0" w:firstLineChars="0"/>
        <w:outlineLvl w:val="1"/>
        <w:rPr>
          <w:rFonts w:ascii="Arial Narrow" w:hAnsi="Arial Narrow" w:cs="Arial Narrow"/>
        </w:rPr>
      </w:pPr>
      <w:r>
        <w:rPr>
          <w:rFonts w:ascii="Arial Narrow" w:hAnsi="Arial Narrow" w:cs="Arial Narrow"/>
          <w:b/>
          <w:bCs/>
        </w:rPr>
        <w:t>附件</w:t>
      </w:r>
      <w:bookmarkEnd w:id="144"/>
      <w:r>
        <w:rPr>
          <w:rFonts w:ascii="Arial Narrow" w:hAnsi="Arial Narrow" w:cs="Arial Narrow"/>
          <w:b/>
          <w:bCs/>
        </w:rPr>
        <w:t>：</w:t>
      </w:r>
      <w:bookmarkEnd w:id="145"/>
      <w:bookmarkEnd w:id="146"/>
      <w:bookmarkEnd w:id="147"/>
      <w:bookmarkEnd w:id="152"/>
      <w:bookmarkEnd w:id="153"/>
    </w:p>
    <w:p>
      <w:pPr>
        <w:snapToGrid w:val="0"/>
        <w:ind w:firstLine="480"/>
        <w:rPr>
          <w:rFonts w:ascii="Arial Narrow" w:hAnsi="Arial Narrow" w:cs="Arial Narrow"/>
        </w:rPr>
      </w:pPr>
      <w:r>
        <w:rPr>
          <w:rFonts w:ascii="Arial Narrow" w:hAnsi="Arial Narrow" w:cs="Arial Narrow"/>
        </w:rPr>
        <w:t>1：项目绩效评价评分表及说明</w:t>
      </w:r>
    </w:p>
    <w:p>
      <w:pPr>
        <w:snapToGrid w:val="0"/>
        <w:ind w:firstLine="480"/>
        <w:rPr>
          <w:rFonts w:ascii="Arial Narrow" w:hAnsi="Arial Narrow" w:cs="Arial Narrow"/>
        </w:rPr>
      </w:pPr>
      <w:r>
        <w:rPr>
          <w:rFonts w:ascii="Arial Narrow" w:hAnsi="Arial Narrow" w:cs="Arial Narrow"/>
        </w:rPr>
        <w:t>2：绩效目标完成情况对比表</w:t>
      </w:r>
    </w:p>
    <w:p>
      <w:pPr>
        <w:snapToGrid w:val="0"/>
        <w:ind w:firstLine="480"/>
        <w:rPr>
          <w:rFonts w:ascii="Arial Narrow" w:hAnsi="Arial Narrow" w:cs="Arial Narrow"/>
        </w:rPr>
      </w:pPr>
      <w:r>
        <w:rPr>
          <w:rFonts w:ascii="Arial Narrow" w:hAnsi="Arial Narrow" w:cs="Arial Narrow"/>
        </w:rPr>
        <w:t>3：基础数据表</w:t>
      </w:r>
    </w:p>
    <w:p>
      <w:pPr>
        <w:snapToGrid w:val="0"/>
        <w:ind w:firstLine="480"/>
        <w:rPr>
          <w:rFonts w:ascii="Arial Narrow" w:hAnsi="Arial Narrow" w:cs="Arial Narrow"/>
        </w:rPr>
      </w:pPr>
      <w:r>
        <w:rPr>
          <w:rFonts w:ascii="Arial Narrow" w:hAnsi="Arial Narrow" w:cs="Arial Narrow"/>
        </w:rPr>
        <w:t>4：访谈大纲</w:t>
      </w:r>
    </w:p>
    <w:p>
      <w:pPr>
        <w:snapToGrid w:val="0"/>
        <w:ind w:firstLine="480"/>
        <w:rPr>
          <w:rFonts w:ascii="Arial Narrow" w:hAnsi="Arial Narrow" w:cs="Arial Narrow"/>
        </w:rPr>
      </w:pPr>
      <w:r>
        <w:rPr>
          <w:rFonts w:ascii="Arial Narrow" w:hAnsi="Arial Narrow" w:cs="Arial Narrow"/>
        </w:rPr>
        <w:t>5：访谈记录</w:t>
      </w:r>
    </w:p>
    <w:p>
      <w:pPr>
        <w:snapToGrid w:val="0"/>
        <w:ind w:firstLine="480"/>
        <w:rPr>
          <w:rFonts w:ascii="Arial Narrow" w:hAnsi="Arial Narrow" w:cs="Arial Narrow"/>
        </w:rPr>
      </w:pPr>
      <w:r>
        <w:rPr>
          <w:rFonts w:ascii="Arial Narrow" w:hAnsi="Arial Narrow" w:cs="Arial Narrow"/>
        </w:rPr>
        <w:t>6：调查问卷</w:t>
      </w:r>
    </w:p>
    <w:p>
      <w:pPr>
        <w:snapToGrid w:val="0"/>
        <w:ind w:firstLine="480"/>
        <w:rPr>
          <w:rFonts w:ascii="Arial Narrow" w:hAnsi="Arial Narrow" w:cs="Arial Narrow"/>
        </w:rPr>
      </w:pPr>
      <w:r>
        <w:rPr>
          <w:rFonts w:ascii="Arial Narrow" w:hAnsi="Arial Narrow" w:cs="Arial Narrow"/>
        </w:rPr>
        <w:t>7：调查问卷分析</w:t>
      </w:r>
    </w:p>
    <w:p>
      <w:pPr>
        <w:snapToGrid w:val="0"/>
        <w:ind w:firstLine="480"/>
        <w:rPr>
          <w:rFonts w:ascii="Arial Narrow" w:hAnsi="Arial Narrow" w:cs="Arial Narrow"/>
        </w:rPr>
      </w:pPr>
      <w:r>
        <w:rPr>
          <w:rFonts w:ascii="Arial Narrow" w:hAnsi="Arial Narrow" w:cs="Arial Narrow"/>
        </w:rPr>
        <w:t>8：评价现场照片</w:t>
      </w:r>
    </w:p>
    <w:p>
      <w:pPr>
        <w:snapToGrid w:val="0"/>
        <w:ind w:firstLine="480"/>
        <w:rPr>
          <w:rFonts w:ascii="Arial Narrow" w:hAnsi="Arial Narrow" w:cs="Arial Narrow"/>
        </w:rPr>
      </w:pPr>
      <w:r>
        <w:rPr>
          <w:rFonts w:ascii="Arial Narrow" w:hAnsi="Arial Narrow" w:cs="Arial Narrow"/>
        </w:rPr>
        <w:t>9：绩效评价实施方案</w:t>
      </w:r>
    </w:p>
    <w:p>
      <w:pPr>
        <w:snapToGrid w:val="0"/>
        <w:ind w:firstLine="480"/>
        <w:rPr>
          <w:rFonts w:ascii="Arial Narrow" w:hAnsi="Arial Narrow" w:cs="Arial Narrow"/>
        </w:rPr>
      </w:pPr>
      <w:r>
        <w:rPr>
          <w:rFonts w:ascii="Arial Narrow" w:hAnsi="Arial Narrow" w:cs="Arial Narrow"/>
        </w:rPr>
        <w:t>10:其他支持评价结论的相关资料</w:t>
      </w:r>
    </w:p>
    <w:p>
      <w:pPr>
        <w:snapToGrid w:val="0"/>
        <w:ind w:firstLine="480"/>
        <w:rPr>
          <w:rFonts w:ascii="Arial Narrow" w:hAnsi="Arial Narrow" w:cs="Arial Narrow"/>
        </w:rPr>
      </w:pPr>
      <w:r>
        <w:rPr>
          <w:rFonts w:ascii="Arial Narrow" w:hAnsi="Arial Narrow" w:cs="Arial Narrow"/>
        </w:rPr>
        <w:t>11:评价机构营业执照（复印件）</w:t>
      </w:r>
    </w:p>
    <w:p>
      <w:pPr>
        <w:snapToGrid w:val="0"/>
        <w:ind w:firstLine="480"/>
        <w:rPr>
          <w:rFonts w:ascii="Arial Narrow" w:hAnsi="Arial Narrow" w:cs="Arial Narrow"/>
        </w:rPr>
      </w:pPr>
      <w:r>
        <w:rPr>
          <w:rFonts w:ascii="Arial Narrow" w:hAnsi="Arial Narrow" w:cs="Arial Narrow"/>
        </w:rPr>
        <w:t>12:相关评价人员执业证明文件（复印件）</w:t>
      </w:r>
    </w:p>
    <w:p>
      <w:pPr>
        <w:snapToGrid w:val="0"/>
        <w:ind w:firstLine="480"/>
        <w:rPr>
          <w:rFonts w:ascii="Arial Narrow" w:hAnsi="Arial Narrow" w:cs="Arial Narrow"/>
        </w:rPr>
      </w:pPr>
    </w:p>
    <w:p>
      <w:pPr>
        <w:snapToGrid w:val="0"/>
        <w:ind w:firstLine="480"/>
        <w:rPr>
          <w:rFonts w:ascii="Arial Narrow" w:hAnsi="Arial Narrow" w:cs="Arial Narrow"/>
        </w:rPr>
      </w:pPr>
    </w:p>
    <w:p>
      <w:pPr>
        <w:snapToGrid w:val="0"/>
        <w:ind w:firstLine="480"/>
        <w:jc w:val="right"/>
        <w:rPr>
          <w:rFonts w:ascii="Arial Narrow" w:hAnsi="Arial Narrow" w:cs="Arial Narrow"/>
        </w:rPr>
      </w:pPr>
      <w:r>
        <w:rPr>
          <w:rFonts w:ascii="Arial Narrow" w:hAnsi="Arial Narrow" w:cs="Arial Narrow"/>
        </w:rPr>
        <w:t>致同会计师事务所（特殊普通合伙）</w:t>
      </w:r>
    </w:p>
    <w:p>
      <w:pPr>
        <w:snapToGrid w:val="0"/>
        <w:ind w:firstLine="480"/>
        <w:jc w:val="center"/>
        <w:rPr>
          <w:rFonts w:ascii="Arial Narrow" w:hAnsi="Arial Narrow" w:cs="Arial Narrow"/>
        </w:rPr>
      </w:pPr>
      <w:r>
        <w:rPr>
          <w:rFonts w:hint="eastAsia" w:ascii="Arial Narrow" w:hAnsi="Arial Narrow" w:cs="Arial Narrow"/>
        </w:rPr>
        <w:t xml:space="preserve">                                                            </w:t>
      </w:r>
      <w:r>
        <w:rPr>
          <w:rFonts w:ascii="Arial Narrow" w:hAnsi="Arial Narrow" w:cs="Arial Narrow"/>
        </w:rPr>
        <w:t>武汉分所</w:t>
      </w:r>
    </w:p>
    <w:p>
      <w:pPr>
        <w:snapToGrid w:val="0"/>
        <w:ind w:firstLine="480"/>
        <w:jc w:val="right"/>
        <w:rPr>
          <w:rFonts w:ascii="Arial Narrow" w:hAnsi="Arial Narrow" w:cs="Arial Narrow"/>
        </w:rPr>
      </w:pPr>
      <w:r>
        <w:rPr>
          <w:rFonts w:ascii="Arial Narrow" w:hAnsi="Arial Narrow" w:cs="Arial Narrow"/>
        </w:rPr>
        <w:t>2018年5月</w:t>
      </w:r>
      <w:r>
        <w:rPr>
          <w:rFonts w:hint="eastAsia" w:ascii="Arial Narrow" w:hAnsi="Arial Narrow" w:cs="Arial Narrow"/>
        </w:rPr>
        <w:t>31</w:t>
      </w:r>
      <w:r>
        <w:rPr>
          <w:rFonts w:ascii="Arial Narrow" w:hAnsi="Arial Narrow" w:cs="Arial Narrow"/>
        </w:rPr>
        <w:t>日</w:t>
      </w:r>
    </w:p>
    <w:sectPr>
      <w:headerReference r:id="rId9" w:type="default"/>
      <w:footerReference r:id="rId10" w:type="default"/>
      <w:pgSz w:w="11906" w:h="16838"/>
      <w:pgMar w:top="1440" w:right="1406" w:bottom="1089" w:left="1800" w:header="1814" w:footer="1020" w:gutter="0"/>
      <w:pgNumType w:start="1"/>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swiss"/>
    <w:pitch w:val="default"/>
    <w:sig w:usb0="00000287" w:usb1="080F0000" w:usb2="00000000" w:usb3="00000000" w:csb0="0004009F" w:csb1="DFD70000"/>
  </w:font>
  <w:font w:name="Calibri">
    <w:panose1 w:val="020F0502020204030204"/>
    <w:charset w:val="01"/>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461" w:h="391" w:hRule="exact" w:wrap="around" w:vAnchor="text" w:hAnchor="page" w:x="5791" w:y="253"/>
      <w:ind w:firstLine="210" w:firstLineChars="100"/>
      <w:jc w:val="center"/>
      <w:rPr>
        <w:rStyle w:val="22"/>
        <w:rFonts w:ascii="Arial Narrow" w:hAnsi="Arial Narrow" w:eastAsia="宋体"/>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Pr>
        <w:rFonts w:ascii="Arial Narrow" w:hAnsi="Arial Narrow"/>
        <w:sz w:val="21"/>
        <w:szCs w:val="21"/>
      </w:rPr>
      <w:t>28</w:t>
    </w:r>
    <w:r>
      <w:rPr>
        <w:rFonts w:ascii="Arial Narrow" w:hAnsi="Arial Narrow"/>
        <w:sz w:val="21"/>
        <w:szCs w:val="21"/>
      </w:rPr>
      <w:fldChar w:fldCharType="end"/>
    </w:r>
  </w:p>
  <w:p>
    <w:pPr>
      <w:pStyle w:val="13"/>
      <w:ind w:firstLineChars="1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70528"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10"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a:effectLst/>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670528;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EzMPDbAAAACwEAAA8AAAAAAAAAAQAg&#10;AAAAIgAAAGRycy9kb3ducmV2LnhtbFBLAQIUABQAAAAIAIdO4kCEorqamQEAAA8DAAAOAAAAAAAA&#10;AAEAIAAAACoBAABkcnMvZTJvRG9jLnhtbFBLBQYAAAAABgAGAFkBAAA1BQ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jc w:val="both"/>
    </w:pPr>
    <w:r>
      <w:rPr>
        <w:rFonts w:ascii="Calibri" w:hAnsi="Calibri" w:eastAsia="黑体" w:cs="黑体"/>
        <w:b/>
        <w:sz w:val="14"/>
        <w:szCs w:val="14"/>
      </w:rPr>
      <mc:AlternateContent>
        <mc:Choice Requires="wps">
          <w:drawing>
            <wp:anchor distT="0" distB="0" distL="114300" distR="114300" simplePos="0" relativeHeight="251689984" behindDoc="0" locked="0" layoutInCell="1" allowOverlap="1">
              <wp:simplePos x="0" y="0"/>
              <wp:positionH relativeFrom="page">
                <wp:posOffset>4712335</wp:posOffset>
              </wp:positionH>
              <wp:positionV relativeFrom="page">
                <wp:posOffset>403225</wp:posOffset>
              </wp:positionV>
              <wp:extent cx="1906905" cy="945515"/>
              <wp:effectExtent l="0" t="0" r="0" b="0"/>
              <wp:wrapNone/>
              <wp:docPr id="5" name="Rectangle 1027"/>
              <wp:cNvGraphicFramePr/>
              <a:graphic xmlns:a="http://schemas.openxmlformats.org/drawingml/2006/main">
                <a:graphicData uri="http://schemas.microsoft.com/office/word/2010/wordprocessingShape">
                  <wps:wsp>
                    <wps:cNvSpPr>
                      <a:spLocks noChangeArrowheads="1"/>
                    </wps:cNvSpPr>
                    <wps:spPr bwMode="auto">
                      <a:xfrm>
                        <a:off x="0" y="0"/>
                        <a:ext cx="1906905" cy="945515"/>
                      </a:xfrm>
                      <a:prstGeom prst="rect">
                        <a:avLst/>
                      </a:prstGeom>
                      <a:noFill/>
                      <a:ln>
                        <a:noFill/>
                      </a:ln>
                      <a:effectLst/>
                    </wps:spPr>
                    <wps:txb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www.grantthornton.cn</w:t>
                          </w:r>
                        </w:p>
                      </w:txbxContent>
                    </wps:txbx>
                    <wps:bodyPr rot="0" vert="horz" wrap="square" lIns="91440" tIns="45720" rIns="91440" bIns="45720" anchor="t" anchorCtr="0" upright="1">
                      <a:noAutofit/>
                    </wps:bodyPr>
                  </wps:wsp>
                </a:graphicData>
              </a:graphic>
            </wp:anchor>
          </w:drawing>
        </mc:Choice>
        <mc:Fallback>
          <w:pict>
            <v:rect id="Rectangle 1027" o:spid="_x0000_s1026" o:spt="1" style="position:absolute;left:0pt;margin-left:371.05pt;margin-top:31.75pt;height:74.45pt;width:150.15pt;mso-position-horizontal-relative:page;mso-position-vertical-relative:page;z-index:251689984;mso-width-relative:page;mso-height-relative:page;" filled="f" stroked="f" coordsize="21600,21600" o:gfxdata="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0jC62wAAAAsBAAAPAAAAAAAAAAEAIAAAACIAAABkcnMvZG93bnJldi54bWxQSwECFAAU&#10;AAAACACHTuJA12pvvO4BAADOAwAADgAAAAAAAAABACAAAAAqAQAAZHJzL2Uyb0RvYy54bWxQSwUG&#10;AAAAAAYABgBZAQAAigUAAAAA&#10;">
              <v:fill on="f" focussize="0,0"/>
              <v:stroke on="f"/>
              <v:imagedata o:title=""/>
              <o:lock v:ext="edit" aspectratio="f"/>
              <v:textbox>
                <w:txbxContent>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致同会计师事务所（特殊普通合伙）</w:t>
                    </w:r>
                  </w:p>
                  <w:p>
                    <w:pPr>
                      <w:spacing w:line="240" w:lineRule="auto"/>
                      <w:ind w:firstLine="281"/>
                      <w:rPr>
                        <w:rFonts w:ascii="Arial Narrow" w:hAnsi="Arial Narrow" w:eastAsia="黑体" w:cs="Arial Narrow"/>
                        <w:b/>
                        <w:sz w:val="14"/>
                        <w:szCs w:val="14"/>
                      </w:rPr>
                    </w:pPr>
                    <w:r>
                      <w:rPr>
                        <w:rFonts w:ascii="Arial Narrow" w:hAnsi="Arial Narrow" w:eastAsia="黑体" w:cs="Arial Narrow"/>
                        <w:b/>
                        <w:sz w:val="14"/>
                        <w:szCs w:val="14"/>
                      </w:rPr>
                      <w:t>武汉分所</w:t>
                    </w:r>
                  </w:p>
                  <w:p>
                    <w:pPr>
                      <w:spacing w:line="240" w:lineRule="auto"/>
                      <w:ind w:left="281" w:leftChars="115" w:hanging="5" w:hangingChars="4"/>
                      <w:rPr>
                        <w:rFonts w:ascii="Arial Narrow" w:hAnsi="Arial Narrow" w:eastAsia="黑体" w:cs="Arial Narrow"/>
                        <w:sz w:val="14"/>
                        <w:szCs w:val="14"/>
                      </w:rPr>
                    </w:pPr>
                    <w:r>
                      <w:rPr>
                        <w:rFonts w:ascii="Arial Narrow" w:hAnsi="Arial Narrow" w:eastAsia="黑体" w:cs="Arial Narrow"/>
                        <w:sz w:val="14"/>
                        <w:szCs w:val="14"/>
                      </w:rPr>
                      <w:t>中国武汉武昌区中北路58号汉街总部国际E座29层邮编430071</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电话 +86 27 87819677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传真 +86 27 87812377</w:t>
                    </w:r>
                  </w:p>
                  <w:p>
                    <w:pPr>
                      <w:spacing w:line="240" w:lineRule="auto"/>
                      <w:ind w:firstLine="280"/>
                      <w:rPr>
                        <w:rFonts w:ascii="Arial Narrow" w:hAnsi="Arial Narrow" w:eastAsia="黑体" w:cs="Arial Narrow"/>
                        <w:sz w:val="14"/>
                        <w:szCs w:val="14"/>
                      </w:rPr>
                    </w:pPr>
                    <w:r>
                      <w:rPr>
                        <w:rFonts w:ascii="Arial Narrow" w:hAnsi="Arial Narrow" w:eastAsia="黑体" w:cs="Arial Narrow"/>
                        <w:sz w:val="14"/>
                        <w:szCs w:val="14"/>
                      </w:rPr>
                      <w:t>www.grantthornton.cn</w:t>
                    </w:r>
                  </w:p>
                </w:txbxContent>
              </v:textbox>
            </v:rect>
          </w:pict>
        </mc:Fallback>
      </mc:AlternateContent>
    </w:r>
    <w:r>
      <w:rPr>
        <w:rFonts w:ascii="Calibri" w:hAnsi="Calibri" w:eastAsia="黑体" w:cs="黑体"/>
        <w:b/>
        <w:sz w:val="14"/>
        <w:szCs w:val="14"/>
      </w:rPr>
      <w:drawing>
        <wp:anchor distT="0" distB="0" distL="114300" distR="114300" simplePos="0" relativeHeight="251687936" behindDoc="0" locked="0" layoutInCell="1" allowOverlap="1">
          <wp:simplePos x="0" y="0"/>
          <wp:positionH relativeFrom="page">
            <wp:posOffset>1055370</wp:posOffset>
          </wp:positionH>
          <wp:positionV relativeFrom="page">
            <wp:posOffset>549275</wp:posOffset>
          </wp:positionV>
          <wp:extent cx="2200275" cy="638175"/>
          <wp:effectExtent l="0" t="0" r="0" b="0"/>
          <wp:wrapNone/>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noChangeArrowheads="1"/>
                  </pic:cNvPicPr>
                </pic:nvPicPr>
                <pic:blipFill>
                  <a:blip r:embed="rId1"/>
                  <a:srcRect/>
                  <a:stretch>
                    <a:fillRect/>
                  </a:stretch>
                </pic:blipFill>
                <pic:spPr>
                  <a:xfrm>
                    <a:off x="0" y="0"/>
                    <a:ext cx="2200275" cy="638175"/>
                  </a:xfrm>
                  <a:prstGeom prst="rect">
                    <a:avLst/>
                  </a:prstGeom>
                  <a:noFill/>
                  <a:ln w="9525">
                    <a:noFill/>
                    <a:miter lim="800000"/>
                    <a:headEnd/>
                    <a:tailEnd/>
                  </a:ln>
                </pic:spPr>
              </pic:pic>
            </a:graphicData>
          </a:graphic>
        </wp:anchor>
      </w:drawing>
    </w:r>
    <w:r>
      <w:rPr>
        <w:rFonts w:ascii="Calibri" w:hAnsi="Calibri" w:eastAsia="黑体" w:cs="黑体"/>
        <w:b/>
        <w:sz w:val="14"/>
        <w:szCs w:val="14"/>
      </w:rPr>
      <mc:AlternateContent>
        <mc:Choice Requires="wps">
          <w:drawing>
            <wp:anchor distT="0" distB="0" distL="114300" distR="114300" simplePos="0" relativeHeight="251686912"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3"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a:effectLst/>
                    </wps:spPr>
                    <wps:txbx>
                      <w:txbxContent>
                        <w:p>
                          <w:pPr>
                            <w:ind w:firstLine="280"/>
                            <w:rPr>
                              <w:rFonts w:ascii="Arial Narrow" w:hAnsi="Arial Narrow" w:eastAsia="黑体" w:cs="Arial Narrow"/>
                              <w:sz w:val="14"/>
                              <w:szCs w:val="14"/>
                            </w:rPr>
                          </w:pPr>
                        </w:p>
                      </w:txbxContent>
                    </wps:txbx>
                    <wps:bodyPr upright="1"/>
                  </wps:wsp>
                </a:graphicData>
              </a:graphic>
            </wp:anchor>
          </w:drawing>
        </mc:Choice>
        <mc:Fallback>
          <w:pict>
            <v:rect id="文本框 26" o:spid="_x0000_s1026" o:spt="1" style="position:absolute;left:0pt;margin-left:359.05pt;margin-top:39.95pt;height:74.45pt;width:150.15pt;mso-position-horizontal-relative:page;mso-position-vertical-relative:page;z-index:251686912;mso-width-relative:page;mso-height-relative:page;" filled="f" stroked="f" coordsize="21600,21600" o:gfxdata="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EzMPDbAAAACwEAAA8AAAAAAAAAAQAg&#10;AAAAIgAAAGRycy9kb3ducmV2LnhtbFBLAQIUABQAAAAIAIdO4kCF/MzlmQEAAA4DAAAOAAAAAAAA&#10;AAEAIAAAACoBAABkcnMvZTJvRG9jLnhtbFBLBQYAAAAABgAGAFkBAAA1BQAAAAA=&#10;">
              <v:fill on="f" focussize="0,0"/>
              <v:stroke on="f"/>
              <v:imagedata o:title=""/>
              <o:lock v:ext="edit" aspectratio="f"/>
              <v:textbox>
                <w:txbxContent>
                  <w:p>
                    <w:pPr>
                      <w:ind w:firstLine="280"/>
                      <w:rPr>
                        <w:rFonts w:ascii="Arial Narrow" w:hAnsi="Arial Narrow" w:eastAsia="黑体" w:cs="Arial Narrow"/>
                        <w:sz w:val="14"/>
                        <w:szCs w:val="1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BF808"/>
    <w:multiLevelType w:val="singleLevel"/>
    <w:tmpl w:val="807BF808"/>
    <w:lvl w:ilvl="0" w:tentative="0">
      <w:start w:val="1"/>
      <w:numFmt w:val="decimal"/>
      <w:suff w:val="nothing"/>
      <w:lvlText w:val="%1、"/>
      <w:lvlJc w:val="left"/>
    </w:lvl>
  </w:abstractNum>
  <w:abstractNum w:abstractNumId="1">
    <w:nsid w:val="9F9DCCC2"/>
    <w:multiLevelType w:val="singleLevel"/>
    <w:tmpl w:val="9F9DCCC2"/>
    <w:lvl w:ilvl="0" w:tentative="0">
      <w:start w:val="1"/>
      <w:numFmt w:val="decimal"/>
      <w:suff w:val="nothing"/>
      <w:lvlText w:val="（%1）"/>
      <w:lvlJc w:val="left"/>
    </w:lvl>
  </w:abstractNum>
  <w:abstractNum w:abstractNumId="2">
    <w:nsid w:val="DC88AB5B"/>
    <w:multiLevelType w:val="singleLevel"/>
    <w:tmpl w:val="DC88AB5B"/>
    <w:lvl w:ilvl="0" w:tentative="0">
      <w:start w:val="1"/>
      <w:numFmt w:val="decimal"/>
      <w:suff w:val="nothing"/>
      <w:lvlText w:val="（%1）"/>
      <w:lvlJc w:val="left"/>
    </w:lvl>
  </w:abstractNum>
  <w:abstractNum w:abstractNumId="3">
    <w:nsid w:val="21294B62"/>
    <w:multiLevelType w:val="multilevel"/>
    <w:tmpl w:val="21294B6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9BF6DDD"/>
    <w:multiLevelType w:val="multilevel"/>
    <w:tmpl w:val="49BF6DD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D7580D"/>
    <w:multiLevelType w:val="singleLevel"/>
    <w:tmpl w:val="58D7580D"/>
    <w:lvl w:ilvl="0" w:tentative="0">
      <w:start w:val="4"/>
      <w:numFmt w:val="chineseCounting"/>
      <w:suff w:val="nothing"/>
      <w:lvlText w:val="%1、"/>
      <w:lvlJc w:val="left"/>
    </w:lvl>
  </w:abstractNum>
  <w:abstractNum w:abstractNumId="6">
    <w:nsid w:val="58D773B3"/>
    <w:multiLevelType w:val="singleLevel"/>
    <w:tmpl w:val="58D773B3"/>
    <w:lvl w:ilvl="0" w:tentative="0">
      <w:start w:val="1"/>
      <w:numFmt w:val="decimal"/>
      <w:suff w:val="nothing"/>
      <w:lvlText w:val="（%1）"/>
      <w:lvlJc w:val="left"/>
    </w:lvl>
  </w:abstractNum>
  <w:abstractNum w:abstractNumId="7">
    <w:nsid w:val="58DB2990"/>
    <w:multiLevelType w:val="singleLevel"/>
    <w:tmpl w:val="58DB2990"/>
    <w:lvl w:ilvl="0" w:tentative="0">
      <w:start w:val="2"/>
      <w:numFmt w:val="chineseCounting"/>
      <w:suff w:val="nothing"/>
      <w:lvlText w:val="（%1）"/>
      <w:lvlJc w:val="left"/>
    </w:lvl>
  </w:abstractNum>
  <w:abstractNum w:abstractNumId="8">
    <w:nsid w:val="58DB52DA"/>
    <w:multiLevelType w:val="singleLevel"/>
    <w:tmpl w:val="58DB52DA"/>
    <w:lvl w:ilvl="0" w:tentative="0">
      <w:start w:val="3"/>
      <w:numFmt w:val="decimal"/>
      <w:suff w:val="nothing"/>
      <w:lvlText w:val="（%1）"/>
      <w:lvlJc w:val="left"/>
    </w:lvl>
  </w:abstractNum>
  <w:abstractNum w:abstractNumId="9">
    <w:nsid w:val="58DCFDFE"/>
    <w:multiLevelType w:val="singleLevel"/>
    <w:tmpl w:val="58DCFDFE"/>
    <w:lvl w:ilvl="0" w:tentative="0">
      <w:start w:val="3"/>
      <w:numFmt w:val="chineseCounting"/>
      <w:suff w:val="nothing"/>
      <w:lvlText w:val="%1、"/>
      <w:lvlJc w:val="left"/>
    </w:lvl>
  </w:abstractNum>
  <w:num w:numId="1">
    <w:abstractNumId w:val="4"/>
  </w:num>
  <w:num w:numId="2">
    <w:abstractNumId w:val="9"/>
  </w:num>
  <w:num w:numId="3">
    <w:abstractNumId w:val="5"/>
  </w:num>
  <w:num w:numId="4">
    <w:abstractNumId w:val="3"/>
  </w:num>
  <w:num w:numId="5">
    <w:abstractNumId w:val="1"/>
  </w:num>
  <w:num w:numId="6">
    <w:abstractNumId w:val="2"/>
  </w:num>
  <w:num w:numId="7">
    <w:abstractNumId w:val="6"/>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20"/>
  <w:drawingGridVerticalSpacing w:val="204"/>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9"/>
    <w:rsid w:val="000107B2"/>
    <w:rsid w:val="00012B09"/>
    <w:rsid w:val="000153F5"/>
    <w:rsid w:val="00016011"/>
    <w:rsid w:val="00017F05"/>
    <w:rsid w:val="000225A4"/>
    <w:rsid w:val="000231B2"/>
    <w:rsid w:val="000235EA"/>
    <w:rsid w:val="00027617"/>
    <w:rsid w:val="00030459"/>
    <w:rsid w:val="00034CB1"/>
    <w:rsid w:val="00037160"/>
    <w:rsid w:val="00037D9B"/>
    <w:rsid w:val="00037FDA"/>
    <w:rsid w:val="00041931"/>
    <w:rsid w:val="000435FD"/>
    <w:rsid w:val="00050C89"/>
    <w:rsid w:val="00051092"/>
    <w:rsid w:val="0005129C"/>
    <w:rsid w:val="0005263F"/>
    <w:rsid w:val="00060B99"/>
    <w:rsid w:val="000647BB"/>
    <w:rsid w:val="00065443"/>
    <w:rsid w:val="00070099"/>
    <w:rsid w:val="0007044D"/>
    <w:rsid w:val="0007184E"/>
    <w:rsid w:val="00071B04"/>
    <w:rsid w:val="00071C74"/>
    <w:rsid w:val="00071E05"/>
    <w:rsid w:val="00075530"/>
    <w:rsid w:val="000777F4"/>
    <w:rsid w:val="00077E96"/>
    <w:rsid w:val="00082AA1"/>
    <w:rsid w:val="000839C4"/>
    <w:rsid w:val="00083F0C"/>
    <w:rsid w:val="000850E9"/>
    <w:rsid w:val="00086B6B"/>
    <w:rsid w:val="00092652"/>
    <w:rsid w:val="00092834"/>
    <w:rsid w:val="00093F40"/>
    <w:rsid w:val="00095860"/>
    <w:rsid w:val="00097F61"/>
    <w:rsid w:val="000A2B58"/>
    <w:rsid w:val="000A38CF"/>
    <w:rsid w:val="000B0707"/>
    <w:rsid w:val="000B351B"/>
    <w:rsid w:val="000B44D2"/>
    <w:rsid w:val="000B4B41"/>
    <w:rsid w:val="000C0AC8"/>
    <w:rsid w:val="000C29C2"/>
    <w:rsid w:val="000C2C67"/>
    <w:rsid w:val="000C3253"/>
    <w:rsid w:val="000C4653"/>
    <w:rsid w:val="000C4C40"/>
    <w:rsid w:val="000C7932"/>
    <w:rsid w:val="000C793B"/>
    <w:rsid w:val="000D124B"/>
    <w:rsid w:val="000D13BE"/>
    <w:rsid w:val="000D264B"/>
    <w:rsid w:val="000D32E5"/>
    <w:rsid w:val="000D34A6"/>
    <w:rsid w:val="000D37BE"/>
    <w:rsid w:val="000D5CCA"/>
    <w:rsid w:val="000D7608"/>
    <w:rsid w:val="000E16BD"/>
    <w:rsid w:val="000E1A4F"/>
    <w:rsid w:val="000E3E46"/>
    <w:rsid w:val="000E5026"/>
    <w:rsid w:val="000E5B9F"/>
    <w:rsid w:val="000F02FC"/>
    <w:rsid w:val="000F1F5E"/>
    <w:rsid w:val="000F2AE1"/>
    <w:rsid w:val="000F482F"/>
    <w:rsid w:val="00101AA1"/>
    <w:rsid w:val="00107C77"/>
    <w:rsid w:val="00107E2F"/>
    <w:rsid w:val="00110469"/>
    <w:rsid w:val="00115891"/>
    <w:rsid w:val="00117519"/>
    <w:rsid w:val="00121F3F"/>
    <w:rsid w:val="00134F95"/>
    <w:rsid w:val="00142BA0"/>
    <w:rsid w:val="00143DA4"/>
    <w:rsid w:val="001441F8"/>
    <w:rsid w:val="0014542F"/>
    <w:rsid w:val="00147E31"/>
    <w:rsid w:val="00152FB6"/>
    <w:rsid w:val="001542F3"/>
    <w:rsid w:val="001548CF"/>
    <w:rsid w:val="00156601"/>
    <w:rsid w:val="001575DE"/>
    <w:rsid w:val="00157614"/>
    <w:rsid w:val="0016074D"/>
    <w:rsid w:val="00164900"/>
    <w:rsid w:val="001676D8"/>
    <w:rsid w:val="00172A27"/>
    <w:rsid w:val="00173694"/>
    <w:rsid w:val="0017597C"/>
    <w:rsid w:val="0018053D"/>
    <w:rsid w:val="00180BDD"/>
    <w:rsid w:val="00180C97"/>
    <w:rsid w:val="0018363A"/>
    <w:rsid w:val="001871E1"/>
    <w:rsid w:val="001907A0"/>
    <w:rsid w:val="001907BC"/>
    <w:rsid w:val="00191A3B"/>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4085"/>
    <w:rsid w:val="001D50A9"/>
    <w:rsid w:val="001E1192"/>
    <w:rsid w:val="001E3766"/>
    <w:rsid w:val="001E4DD7"/>
    <w:rsid w:val="001E57AC"/>
    <w:rsid w:val="001E63EB"/>
    <w:rsid w:val="001E73FF"/>
    <w:rsid w:val="001F0DE7"/>
    <w:rsid w:val="001F6C62"/>
    <w:rsid w:val="00203E55"/>
    <w:rsid w:val="00205C9D"/>
    <w:rsid w:val="002060DB"/>
    <w:rsid w:val="00206B01"/>
    <w:rsid w:val="00206B46"/>
    <w:rsid w:val="0020706B"/>
    <w:rsid w:val="002109B1"/>
    <w:rsid w:val="0021433B"/>
    <w:rsid w:val="00214BA4"/>
    <w:rsid w:val="002165BF"/>
    <w:rsid w:val="00220AE1"/>
    <w:rsid w:val="00226CA1"/>
    <w:rsid w:val="00227F82"/>
    <w:rsid w:val="002331CD"/>
    <w:rsid w:val="002365FE"/>
    <w:rsid w:val="00242395"/>
    <w:rsid w:val="00242589"/>
    <w:rsid w:val="00243172"/>
    <w:rsid w:val="00243D70"/>
    <w:rsid w:val="00244256"/>
    <w:rsid w:val="00244813"/>
    <w:rsid w:val="0024753B"/>
    <w:rsid w:val="0024762E"/>
    <w:rsid w:val="0024782F"/>
    <w:rsid w:val="00247BA5"/>
    <w:rsid w:val="00251B7B"/>
    <w:rsid w:val="002520DB"/>
    <w:rsid w:val="002557A7"/>
    <w:rsid w:val="00256349"/>
    <w:rsid w:val="002604FB"/>
    <w:rsid w:val="002612E9"/>
    <w:rsid w:val="00263172"/>
    <w:rsid w:val="00263192"/>
    <w:rsid w:val="00263E33"/>
    <w:rsid w:val="00263E5D"/>
    <w:rsid w:val="002650A4"/>
    <w:rsid w:val="00267DA6"/>
    <w:rsid w:val="002706C6"/>
    <w:rsid w:val="00273665"/>
    <w:rsid w:val="0027412C"/>
    <w:rsid w:val="0027499A"/>
    <w:rsid w:val="00275D0D"/>
    <w:rsid w:val="00280B02"/>
    <w:rsid w:val="0028549D"/>
    <w:rsid w:val="0028633D"/>
    <w:rsid w:val="002911A7"/>
    <w:rsid w:val="00291951"/>
    <w:rsid w:val="002953EE"/>
    <w:rsid w:val="002974CC"/>
    <w:rsid w:val="002A0822"/>
    <w:rsid w:val="002A1A6A"/>
    <w:rsid w:val="002A731C"/>
    <w:rsid w:val="002A7693"/>
    <w:rsid w:val="002B2BB0"/>
    <w:rsid w:val="002B55AD"/>
    <w:rsid w:val="002C012C"/>
    <w:rsid w:val="002C05DC"/>
    <w:rsid w:val="002C21EB"/>
    <w:rsid w:val="002C439E"/>
    <w:rsid w:val="002C5757"/>
    <w:rsid w:val="002C5D77"/>
    <w:rsid w:val="002C6E21"/>
    <w:rsid w:val="002D1D84"/>
    <w:rsid w:val="002E11FA"/>
    <w:rsid w:val="002E21D6"/>
    <w:rsid w:val="002F1C3F"/>
    <w:rsid w:val="002F2D5E"/>
    <w:rsid w:val="002F44AB"/>
    <w:rsid w:val="002F7973"/>
    <w:rsid w:val="0030476B"/>
    <w:rsid w:val="00307E93"/>
    <w:rsid w:val="0031024E"/>
    <w:rsid w:val="00312F11"/>
    <w:rsid w:val="003132F6"/>
    <w:rsid w:val="00315407"/>
    <w:rsid w:val="00322C3A"/>
    <w:rsid w:val="00325F57"/>
    <w:rsid w:val="003313C3"/>
    <w:rsid w:val="003363C3"/>
    <w:rsid w:val="00337289"/>
    <w:rsid w:val="0034018A"/>
    <w:rsid w:val="00343216"/>
    <w:rsid w:val="00344CC3"/>
    <w:rsid w:val="0034515E"/>
    <w:rsid w:val="00347FD1"/>
    <w:rsid w:val="003506E6"/>
    <w:rsid w:val="00352DF8"/>
    <w:rsid w:val="00356E00"/>
    <w:rsid w:val="00362AF1"/>
    <w:rsid w:val="0036466F"/>
    <w:rsid w:val="00365966"/>
    <w:rsid w:val="00365BDD"/>
    <w:rsid w:val="00366746"/>
    <w:rsid w:val="003712A9"/>
    <w:rsid w:val="00372944"/>
    <w:rsid w:val="003749FD"/>
    <w:rsid w:val="00374FFF"/>
    <w:rsid w:val="003750CC"/>
    <w:rsid w:val="0037593E"/>
    <w:rsid w:val="00376DC7"/>
    <w:rsid w:val="0038083D"/>
    <w:rsid w:val="0038407D"/>
    <w:rsid w:val="00384C04"/>
    <w:rsid w:val="00387964"/>
    <w:rsid w:val="00387FD5"/>
    <w:rsid w:val="0039007B"/>
    <w:rsid w:val="00390399"/>
    <w:rsid w:val="0039079D"/>
    <w:rsid w:val="003919EC"/>
    <w:rsid w:val="003920BE"/>
    <w:rsid w:val="0039236F"/>
    <w:rsid w:val="00392AA2"/>
    <w:rsid w:val="00392F5E"/>
    <w:rsid w:val="00394FAF"/>
    <w:rsid w:val="0039690B"/>
    <w:rsid w:val="003A00D7"/>
    <w:rsid w:val="003B1278"/>
    <w:rsid w:val="003B229C"/>
    <w:rsid w:val="003B4847"/>
    <w:rsid w:val="003B6145"/>
    <w:rsid w:val="003C032D"/>
    <w:rsid w:val="003C10E7"/>
    <w:rsid w:val="003C3C8A"/>
    <w:rsid w:val="003C49E8"/>
    <w:rsid w:val="003C5736"/>
    <w:rsid w:val="003C757F"/>
    <w:rsid w:val="003D0B43"/>
    <w:rsid w:val="003D37E8"/>
    <w:rsid w:val="003D5E40"/>
    <w:rsid w:val="003D6BE5"/>
    <w:rsid w:val="003D7EF3"/>
    <w:rsid w:val="003D7FF0"/>
    <w:rsid w:val="003E16C4"/>
    <w:rsid w:val="003E2919"/>
    <w:rsid w:val="003E346A"/>
    <w:rsid w:val="003E3C53"/>
    <w:rsid w:val="003E4F91"/>
    <w:rsid w:val="003E6369"/>
    <w:rsid w:val="003E732D"/>
    <w:rsid w:val="003E7CE2"/>
    <w:rsid w:val="003F0641"/>
    <w:rsid w:val="003F107D"/>
    <w:rsid w:val="003F10F7"/>
    <w:rsid w:val="003F2581"/>
    <w:rsid w:val="003F3003"/>
    <w:rsid w:val="003F40C8"/>
    <w:rsid w:val="003F4A08"/>
    <w:rsid w:val="003F640B"/>
    <w:rsid w:val="003F78E3"/>
    <w:rsid w:val="00400826"/>
    <w:rsid w:val="004016BF"/>
    <w:rsid w:val="00402380"/>
    <w:rsid w:val="00405173"/>
    <w:rsid w:val="00406529"/>
    <w:rsid w:val="0040727E"/>
    <w:rsid w:val="00412C52"/>
    <w:rsid w:val="0041356F"/>
    <w:rsid w:val="00414470"/>
    <w:rsid w:val="004156F2"/>
    <w:rsid w:val="0041689F"/>
    <w:rsid w:val="00417F32"/>
    <w:rsid w:val="0042114C"/>
    <w:rsid w:val="00422548"/>
    <w:rsid w:val="00424A8D"/>
    <w:rsid w:val="004251FE"/>
    <w:rsid w:val="00432769"/>
    <w:rsid w:val="00436630"/>
    <w:rsid w:val="00436685"/>
    <w:rsid w:val="00436978"/>
    <w:rsid w:val="00437ABF"/>
    <w:rsid w:val="004406CE"/>
    <w:rsid w:val="004416B6"/>
    <w:rsid w:val="00444C92"/>
    <w:rsid w:val="00444F7A"/>
    <w:rsid w:val="00446C56"/>
    <w:rsid w:val="00446E9B"/>
    <w:rsid w:val="004470FF"/>
    <w:rsid w:val="00447CE1"/>
    <w:rsid w:val="00461176"/>
    <w:rsid w:val="00461FB4"/>
    <w:rsid w:val="004637D6"/>
    <w:rsid w:val="00465728"/>
    <w:rsid w:val="004720AA"/>
    <w:rsid w:val="00480CB4"/>
    <w:rsid w:val="00481B30"/>
    <w:rsid w:val="00484EBE"/>
    <w:rsid w:val="00485244"/>
    <w:rsid w:val="0049123B"/>
    <w:rsid w:val="00496736"/>
    <w:rsid w:val="00497DCD"/>
    <w:rsid w:val="004A2CE0"/>
    <w:rsid w:val="004A4024"/>
    <w:rsid w:val="004A4C34"/>
    <w:rsid w:val="004A5982"/>
    <w:rsid w:val="004A5CFE"/>
    <w:rsid w:val="004B0A18"/>
    <w:rsid w:val="004B2A1B"/>
    <w:rsid w:val="004B2DE5"/>
    <w:rsid w:val="004B331B"/>
    <w:rsid w:val="004B6F1C"/>
    <w:rsid w:val="004B7C44"/>
    <w:rsid w:val="004C2F4D"/>
    <w:rsid w:val="004C3638"/>
    <w:rsid w:val="004C39A4"/>
    <w:rsid w:val="004C52FF"/>
    <w:rsid w:val="004D33DF"/>
    <w:rsid w:val="004D5A42"/>
    <w:rsid w:val="004D749D"/>
    <w:rsid w:val="004D7DEA"/>
    <w:rsid w:val="004E04DA"/>
    <w:rsid w:val="004E1D06"/>
    <w:rsid w:val="004E1FA4"/>
    <w:rsid w:val="004E20B1"/>
    <w:rsid w:val="004E2B5A"/>
    <w:rsid w:val="004E3457"/>
    <w:rsid w:val="004E3DAA"/>
    <w:rsid w:val="004E440F"/>
    <w:rsid w:val="004E6203"/>
    <w:rsid w:val="004F42A1"/>
    <w:rsid w:val="004F4DF0"/>
    <w:rsid w:val="004F5FA6"/>
    <w:rsid w:val="00500581"/>
    <w:rsid w:val="005013BC"/>
    <w:rsid w:val="005041BE"/>
    <w:rsid w:val="005134B0"/>
    <w:rsid w:val="0051384D"/>
    <w:rsid w:val="0051441E"/>
    <w:rsid w:val="005155D3"/>
    <w:rsid w:val="0051679B"/>
    <w:rsid w:val="00525692"/>
    <w:rsid w:val="00527E66"/>
    <w:rsid w:val="00534945"/>
    <w:rsid w:val="005360A1"/>
    <w:rsid w:val="00537516"/>
    <w:rsid w:val="00537AE0"/>
    <w:rsid w:val="00537C3E"/>
    <w:rsid w:val="0054431F"/>
    <w:rsid w:val="00544890"/>
    <w:rsid w:val="00547FC6"/>
    <w:rsid w:val="0055114A"/>
    <w:rsid w:val="00552615"/>
    <w:rsid w:val="00555FB3"/>
    <w:rsid w:val="005567B3"/>
    <w:rsid w:val="005632D3"/>
    <w:rsid w:val="005655D1"/>
    <w:rsid w:val="005658C9"/>
    <w:rsid w:val="00565929"/>
    <w:rsid w:val="005659EE"/>
    <w:rsid w:val="00565D9A"/>
    <w:rsid w:val="00566498"/>
    <w:rsid w:val="005666D5"/>
    <w:rsid w:val="005672F7"/>
    <w:rsid w:val="005708E6"/>
    <w:rsid w:val="005810B2"/>
    <w:rsid w:val="005812C2"/>
    <w:rsid w:val="00583F95"/>
    <w:rsid w:val="00596AF0"/>
    <w:rsid w:val="00597947"/>
    <w:rsid w:val="005A0891"/>
    <w:rsid w:val="005A0AF1"/>
    <w:rsid w:val="005A21FC"/>
    <w:rsid w:val="005A36D6"/>
    <w:rsid w:val="005B1178"/>
    <w:rsid w:val="005B159F"/>
    <w:rsid w:val="005C7BB8"/>
    <w:rsid w:val="005D24E1"/>
    <w:rsid w:val="005D7826"/>
    <w:rsid w:val="005E015A"/>
    <w:rsid w:val="005E016C"/>
    <w:rsid w:val="005E06C2"/>
    <w:rsid w:val="005E0E0C"/>
    <w:rsid w:val="005E38D2"/>
    <w:rsid w:val="005E4DF6"/>
    <w:rsid w:val="005E6A5B"/>
    <w:rsid w:val="005E7290"/>
    <w:rsid w:val="005E78E9"/>
    <w:rsid w:val="005F072F"/>
    <w:rsid w:val="005F0A83"/>
    <w:rsid w:val="005F234F"/>
    <w:rsid w:val="005F3C50"/>
    <w:rsid w:val="005F646D"/>
    <w:rsid w:val="006047F8"/>
    <w:rsid w:val="006066A6"/>
    <w:rsid w:val="00606CC4"/>
    <w:rsid w:val="006138EE"/>
    <w:rsid w:val="0061452E"/>
    <w:rsid w:val="00615D9E"/>
    <w:rsid w:val="00620571"/>
    <w:rsid w:val="00621643"/>
    <w:rsid w:val="00624274"/>
    <w:rsid w:val="00626CD9"/>
    <w:rsid w:val="00630956"/>
    <w:rsid w:val="00636115"/>
    <w:rsid w:val="00640016"/>
    <w:rsid w:val="00641EED"/>
    <w:rsid w:val="00642106"/>
    <w:rsid w:val="00642696"/>
    <w:rsid w:val="00646876"/>
    <w:rsid w:val="00650DEF"/>
    <w:rsid w:val="00651741"/>
    <w:rsid w:val="006559EF"/>
    <w:rsid w:val="00656BC8"/>
    <w:rsid w:val="006618C0"/>
    <w:rsid w:val="0066273D"/>
    <w:rsid w:val="00662D0D"/>
    <w:rsid w:val="006642D3"/>
    <w:rsid w:val="006711A5"/>
    <w:rsid w:val="0067191D"/>
    <w:rsid w:val="00671AC6"/>
    <w:rsid w:val="00676441"/>
    <w:rsid w:val="00677567"/>
    <w:rsid w:val="00682BA7"/>
    <w:rsid w:val="00687B7B"/>
    <w:rsid w:val="00691499"/>
    <w:rsid w:val="0069183D"/>
    <w:rsid w:val="0069222F"/>
    <w:rsid w:val="00692356"/>
    <w:rsid w:val="0069340D"/>
    <w:rsid w:val="006A769A"/>
    <w:rsid w:val="006A7A55"/>
    <w:rsid w:val="006B2DDC"/>
    <w:rsid w:val="006B31FC"/>
    <w:rsid w:val="006B4E85"/>
    <w:rsid w:val="006B5939"/>
    <w:rsid w:val="006B6D45"/>
    <w:rsid w:val="006B776D"/>
    <w:rsid w:val="006C0C87"/>
    <w:rsid w:val="006C2D83"/>
    <w:rsid w:val="006C3F2E"/>
    <w:rsid w:val="006C4D9E"/>
    <w:rsid w:val="006C541E"/>
    <w:rsid w:val="006D10DC"/>
    <w:rsid w:val="006D22CB"/>
    <w:rsid w:val="006D281E"/>
    <w:rsid w:val="006D3823"/>
    <w:rsid w:val="006D3E5C"/>
    <w:rsid w:val="006D431A"/>
    <w:rsid w:val="006D6540"/>
    <w:rsid w:val="006D6DB9"/>
    <w:rsid w:val="006E149F"/>
    <w:rsid w:val="006E4514"/>
    <w:rsid w:val="006E5C42"/>
    <w:rsid w:val="006F581B"/>
    <w:rsid w:val="006F5D25"/>
    <w:rsid w:val="006F74F7"/>
    <w:rsid w:val="006F7E68"/>
    <w:rsid w:val="00702AE3"/>
    <w:rsid w:val="0070567E"/>
    <w:rsid w:val="00705ADC"/>
    <w:rsid w:val="0070659F"/>
    <w:rsid w:val="007148E9"/>
    <w:rsid w:val="0071735E"/>
    <w:rsid w:val="00721C9B"/>
    <w:rsid w:val="0072285B"/>
    <w:rsid w:val="00722909"/>
    <w:rsid w:val="00723249"/>
    <w:rsid w:val="007260DC"/>
    <w:rsid w:val="00726E74"/>
    <w:rsid w:val="00727EF2"/>
    <w:rsid w:val="00731661"/>
    <w:rsid w:val="00733038"/>
    <w:rsid w:val="0073421A"/>
    <w:rsid w:val="00737E3E"/>
    <w:rsid w:val="007455A5"/>
    <w:rsid w:val="00747C3E"/>
    <w:rsid w:val="00750C7B"/>
    <w:rsid w:val="00753FB8"/>
    <w:rsid w:val="00756213"/>
    <w:rsid w:val="00757369"/>
    <w:rsid w:val="00760264"/>
    <w:rsid w:val="0076125E"/>
    <w:rsid w:val="007614A0"/>
    <w:rsid w:val="00762146"/>
    <w:rsid w:val="00766CC5"/>
    <w:rsid w:val="0076789B"/>
    <w:rsid w:val="0077612D"/>
    <w:rsid w:val="0078403F"/>
    <w:rsid w:val="007857C2"/>
    <w:rsid w:val="007951AE"/>
    <w:rsid w:val="007960FC"/>
    <w:rsid w:val="007A1325"/>
    <w:rsid w:val="007A260C"/>
    <w:rsid w:val="007A38B5"/>
    <w:rsid w:val="007A4561"/>
    <w:rsid w:val="007B096A"/>
    <w:rsid w:val="007B5BCC"/>
    <w:rsid w:val="007B63BA"/>
    <w:rsid w:val="007C0582"/>
    <w:rsid w:val="007C2929"/>
    <w:rsid w:val="007C5815"/>
    <w:rsid w:val="007D0A9C"/>
    <w:rsid w:val="007D12ED"/>
    <w:rsid w:val="007D518A"/>
    <w:rsid w:val="007D6002"/>
    <w:rsid w:val="007D6F8A"/>
    <w:rsid w:val="007E062F"/>
    <w:rsid w:val="007E5FF6"/>
    <w:rsid w:val="007F0CD4"/>
    <w:rsid w:val="007F15F0"/>
    <w:rsid w:val="007F3EA6"/>
    <w:rsid w:val="007F581B"/>
    <w:rsid w:val="00800E4A"/>
    <w:rsid w:val="008015DF"/>
    <w:rsid w:val="00801640"/>
    <w:rsid w:val="0080288E"/>
    <w:rsid w:val="008053EB"/>
    <w:rsid w:val="00805A0A"/>
    <w:rsid w:val="00806CFF"/>
    <w:rsid w:val="0081201D"/>
    <w:rsid w:val="00812ECD"/>
    <w:rsid w:val="0081473D"/>
    <w:rsid w:val="008157AE"/>
    <w:rsid w:val="008167AB"/>
    <w:rsid w:val="00816E94"/>
    <w:rsid w:val="00820A25"/>
    <w:rsid w:val="0082440D"/>
    <w:rsid w:val="008308A0"/>
    <w:rsid w:val="008325FA"/>
    <w:rsid w:val="00835356"/>
    <w:rsid w:val="008355A6"/>
    <w:rsid w:val="00844F4F"/>
    <w:rsid w:val="008453B8"/>
    <w:rsid w:val="0084547F"/>
    <w:rsid w:val="008468CD"/>
    <w:rsid w:val="00847827"/>
    <w:rsid w:val="0085148F"/>
    <w:rsid w:val="00854541"/>
    <w:rsid w:val="008616A6"/>
    <w:rsid w:val="00861CDB"/>
    <w:rsid w:val="00862075"/>
    <w:rsid w:val="00865636"/>
    <w:rsid w:val="00865F1F"/>
    <w:rsid w:val="008662A2"/>
    <w:rsid w:val="00866E95"/>
    <w:rsid w:val="00867CF9"/>
    <w:rsid w:val="0087108E"/>
    <w:rsid w:val="00871DE9"/>
    <w:rsid w:val="00873D44"/>
    <w:rsid w:val="00885CF7"/>
    <w:rsid w:val="00886E69"/>
    <w:rsid w:val="008934FA"/>
    <w:rsid w:val="008A0F83"/>
    <w:rsid w:val="008A175E"/>
    <w:rsid w:val="008A2E40"/>
    <w:rsid w:val="008A435D"/>
    <w:rsid w:val="008A6880"/>
    <w:rsid w:val="008B15BE"/>
    <w:rsid w:val="008B7645"/>
    <w:rsid w:val="008B7834"/>
    <w:rsid w:val="008C5857"/>
    <w:rsid w:val="008C6161"/>
    <w:rsid w:val="008D0512"/>
    <w:rsid w:val="008D1468"/>
    <w:rsid w:val="008D2459"/>
    <w:rsid w:val="008D33D6"/>
    <w:rsid w:val="008D3FEB"/>
    <w:rsid w:val="008D4015"/>
    <w:rsid w:val="008D5A00"/>
    <w:rsid w:val="008E0EA8"/>
    <w:rsid w:val="008E5384"/>
    <w:rsid w:val="008E5FB9"/>
    <w:rsid w:val="008E7E86"/>
    <w:rsid w:val="008F4B60"/>
    <w:rsid w:val="008F5689"/>
    <w:rsid w:val="008F624B"/>
    <w:rsid w:val="008F69BF"/>
    <w:rsid w:val="009003B0"/>
    <w:rsid w:val="009015AD"/>
    <w:rsid w:val="009036DE"/>
    <w:rsid w:val="0090416C"/>
    <w:rsid w:val="009043EF"/>
    <w:rsid w:val="00905763"/>
    <w:rsid w:val="00907956"/>
    <w:rsid w:val="00907A8F"/>
    <w:rsid w:val="0091079F"/>
    <w:rsid w:val="00910EDD"/>
    <w:rsid w:val="009153E3"/>
    <w:rsid w:val="0091597F"/>
    <w:rsid w:val="009177D8"/>
    <w:rsid w:val="00921DCF"/>
    <w:rsid w:val="00923D59"/>
    <w:rsid w:val="0092464E"/>
    <w:rsid w:val="00924F4C"/>
    <w:rsid w:val="009337F2"/>
    <w:rsid w:val="00934B5A"/>
    <w:rsid w:val="009354C0"/>
    <w:rsid w:val="0094138A"/>
    <w:rsid w:val="00942666"/>
    <w:rsid w:val="00946554"/>
    <w:rsid w:val="00950C8F"/>
    <w:rsid w:val="00952A91"/>
    <w:rsid w:val="00953385"/>
    <w:rsid w:val="009536E4"/>
    <w:rsid w:val="009546CE"/>
    <w:rsid w:val="009553EB"/>
    <w:rsid w:val="009556E8"/>
    <w:rsid w:val="00960332"/>
    <w:rsid w:val="00960C8E"/>
    <w:rsid w:val="00963C82"/>
    <w:rsid w:val="009754A1"/>
    <w:rsid w:val="009769B6"/>
    <w:rsid w:val="00977B6C"/>
    <w:rsid w:val="00981B94"/>
    <w:rsid w:val="009850DD"/>
    <w:rsid w:val="0098524A"/>
    <w:rsid w:val="009852EE"/>
    <w:rsid w:val="0098581C"/>
    <w:rsid w:val="00990F8D"/>
    <w:rsid w:val="009918A8"/>
    <w:rsid w:val="00995440"/>
    <w:rsid w:val="00995CC6"/>
    <w:rsid w:val="009964F7"/>
    <w:rsid w:val="009A07B6"/>
    <w:rsid w:val="009A1A74"/>
    <w:rsid w:val="009A2934"/>
    <w:rsid w:val="009A3167"/>
    <w:rsid w:val="009A488C"/>
    <w:rsid w:val="009A6B01"/>
    <w:rsid w:val="009B0E77"/>
    <w:rsid w:val="009B7C3D"/>
    <w:rsid w:val="009C21D3"/>
    <w:rsid w:val="009C3BDF"/>
    <w:rsid w:val="009C4D79"/>
    <w:rsid w:val="009C6399"/>
    <w:rsid w:val="009C700D"/>
    <w:rsid w:val="009D02A1"/>
    <w:rsid w:val="009D117E"/>
    <w:rsid w:val="009D2C81"/>
    <w:rsid w:val="009D3BCE"/>
    <w:rsid w:val="009D4762"/>
    <w:rsid w:val="009D5459"/>
    <w:rsid w:val="009D61D3"/>
    <w:rsid w:val="009D6FD8"/>
    <w:rsid w:val="009E0181"/>
    <w:rsid w:val="009E1ED3"/>
    <w:rsid w:val="009E33EB"/>
    <w:rsid w:val="009E493E"/>
    <w:rsid w:val="009E6619"/>
    <w:rsid w:val="009F0897"/>
    <w:rsid w:val="009F5345"/>
    <w:rsid w:val="009F53C2"/>
    <w:rsid w:val="009F58A2"/>
    <w:rsid w:val="009F6F50"/>
    <w:rsid w:val="00A00406"/>
    <w:rsid w:val="00A0057C"/>
    <w:rsid w:val="00A0210F"/>
    <w:rsid w:val="00A05796"/>
    <w:rsid w:val="00A058CF"/>
    <w:rsid w:val="00A06EE8"/>
    <w:rsid w:val="00A072FE"/>
    <w:rsid w:val="00A07475"/>
    <w:rsid w:val="00A07496"/>
    <w:rsid w:val="00A10865"/>
    <w:rsid w:val="00A11537"/>
    <w:rsid w:val="00A11A7A"/>
    <w:rsid w:val="00A1212F"/>
    <w:rsid w:val="00A128C5"/>
    <w:rsid w:val="00A20055"/>
    <w:rsid w:val="00A210A1"/>
    <w:rsid w:val="00A21767"/>
    <w:rsid w:val="00A22D6C"/>
    <w:rsid w:val="00A231F8"/>
    <w:rsid w:val="00A24CA1"/>
    <w:rsid w:val="00A269A7"/>
    <w:rsid w:val="00A26AC2"/>
    <w:rsid w:val="00A31277"/>
    <w:rsid w:val="00A34428"/>
    <w:rsid w:val="00A4294D"/>
    <w:rsid w:val="00A441FB"/>
    <w:rsid w:val="00A44C1F"/>
    <w:rsid w:val="00A46DAF"/>
    <w:rsid w:val="00A47C58"/>
    <w:rsid w:val="00A529A1"/>
    <w:rsid w:val="00A52BA6"/>
    <w:rsid w:val="00A52F2C"/>
    <w:rsid w:val="00A54B3F"/>
    <w:rsid w:val="00A61261"/>
    <w:rsid w:val="00A61FD4"/>
    <w:rsid w:val="00A63AA9"/>
    <w:rsid w:val="00A669E9"/>
    <w:rsid w:val="00A67D0F"/>
    <w:rsid w:val="00A82A6B"/>
    <w:rsid w:val="00A84ACC"/>
    <w:rsid w:val="00A86542"/>
    <w:rsid w:val="00A87F7C"/>
    <w:rsid w:val="00A908A5"/>
    <w:rsid w:val="00A91DAE"/>
    <w:rsid w:val="00A9633A"/>
    <w:rsid w:val="00AA46EA"/>
    <w:rsid w:val="00AA559B"/>
    <w:rsid w:val="00AB29C4"/>
    <w:rsid w:val="00AB3A99"/>
    <w:rsid w:val="00AB4E07"/>
    <w:rsid w:val="00AB60C4"/>
    <w:rsid w:val="00AC14F0"/>
    <w:rsid w:val="00AC2DF7"/>
    <w:rsid w:val="00AC3436"/>
    <w:rsid w:val="00AC548A"/>
    <w:rsid w:val="00AC64C9"/>
    <w:rsid w:val="00AD0B44"/>
    <w:rsid w:val="00AD5C59"/>
    <w:rsid w:val="00AE270B"/>
    <w:rsid w:val="00AE5064"/>
    <w:rsid w:val="00AE5365"/>
    <w:rsid w:val="00AE55CB"/>
    <w:rsid w:val="00AF358E"/>
    <w:rsid w:val="00AF3FDF"/>
    <w:rsid w:val="00AF5069"/>
    <w:rsid w:val="00AF564E"/>
    <w:rsid w:val="00B005FA"/>
    <w:rsid w:val="00B01326"/>
    <w:rsid w:val="00B0164D"/>
    <w:rsid w:val="00B019F5"/>
    <w:rsid w:val="00B02152"/>
    <w:rsid w:val="00B04507"/>
    <w:rsid w:val="00B04CC4"/>
    <w:rsid w:val="00B04F4E"/>
    <w:rsid w:val="00B052BC"/>
    <w:rsid w:val="00B0597C"/>
    <w:rsid w:val="00B05BCA"/>
    <w:rsid w:val="00B05CB2"/>
    <w:rsid w:val="00B10C00"/>
    <w:rsid w:val="00B166FD"/>
    <w:rsid w:val="00B222AE"/>
    <w:rsid w:val="00B22D6C"/>
    <w:rsid w:val="00B33B98"/>
    <w:rsid w:val="00B349F7"/>
    <w:rsid w:val="00B3578A"/>
    <w:rsid w:val="00B421D1"/>
    <w:rsid w:val="00B431EF"/>
    <w:rsid w:val="00B51ADD"/>
    <w:rsid w:val="00B553D8"/>
    <w:rsid w:val="00B569AD"/>
    <w:rsid w:val="00B56E34"/>
    <w:rsid w:val="00B57039"/>
    <w:rsid w:val="00B57519"/>
    <w:rsid w:val="00B6093A"/>
    <w:rsid w:val="00B668D2"/>
    <w:rsid w:val="00B72C1F"/>
    <w:rsid w:val="00B73C5F"/>
    <w:rsid w:val="00B74177"/>
    <w:rsid w:val="00B7692A"/>
    <w:rsid w:val="00B76D53"/>
    <w:rsid w:val="00B80AAA"/>
    <w:rsid w:val="00B82656"/>
    <w:rsid w:val="00B83704"/>
    <w:rsid w:val="00B85AAF"/>
    <w:rsid w:val="00B90CC2"/>
    <w:rsid w:val="00B93330"/>
    <w:rsid w:val="00B944AB"/>
    <w:rsid w:val="00B96017"/>
    <w:rsid w:val="00B96778"/>
    <w:rsid w:val="00BA2BEC"/>
    <w:rsid w:val="00BA3F77"/>
    <w:rsid w:val="00BA4E80"/>
    <w:rsid w:val="00BA56B6"/>
    <w:rsid w:val="00BB0C97"/>
    <w:rsid w:val="00BB1475"/>
    <w:rsid w:val="00BB60A8"/>
    <w:rsid w:val="00BB6F43"/>
    <w:rsid w:val="00BC2806"/>
    <w:rsid w:val="00BC3E88"/>
    <w:rsid w:val="00BD0BA4"/>
    <w:rsid w:val="00BD1F78"/>
    <w:rsid w:val="00BD1FC3"/>
    <w:rsid w:val="00BE0890"/>
    <w:rsid w:val="00BE1259"/>
    <w:rsid w:val="00BE30A0"/>
    <w:rsid w:val="00BE49AA"/>
    <w:rsid w:val="00BE73A7"/>
    <w:rsid w:val="00BF0647"/>
    <w:rsid w:val="00BF33D3"/>
    <w:rsid w:val="00C00CEE"/>
    <w:rsid w:val="00C06624"/>
    <w:rsid w:val="00C072DB"/>
    <w:rsid w:val="00C10B17"/>
    <w:rsid w:val="00C112C8"/>
    <w:rsid w:val="00C117C2"/>
    <w:rsid w:val="00C11868"/>
    <w:rsid w:val="00C16188"/>
    <w:rsid w:val="00C22374"/>
    <w:rsid w:val="00C2276F"/>
    <w:rsid w:val="00C227FF"/>
    <w:rsid w:val="00C23FFB"/>
    <w:rsid w:val="00C26608"/>
    <w:rsid w:val="00C2698A"/>
    <w:rsid w:val="00C308CC"/>
    <w:rsid w:val="00C30A7C"/>
    <w:rsid w:val="00C30E54"/>
    <w:rsid w:val="00C32BC8"/>
    <w:rsid w:val="00C34157"/>
    <w:rsid w:val="00C348C3"/>
    <w:rsid w:val="00C36D77"/>
    <w:rsid w:val="00C41CE3"/>
    <w:rsid w:val="00C44CDE"/>
    <w:rsid w:val="00C515F8"/>
    <w:rsid w:val="00C5195C"/>
    <w:rsid w:val="00C52063"/>
    <w:rsid w:val="00C60D35"/>
    <w:rsid w:val="00C61427"/>
    <w:rsid w:val="00C6411B"/>
    <w:rsid w:val="00C66CD2"/>
    <w:rsid w:val="00C71F53"/>
    <w:rsid w:val="00C72429"/>
    <w:rsid w:val="00C75D95"/>
    <w:rsid w:val="00C76049"/>
    <w:rsid w:val="00C770DB"/>
    <w:rsid w:val="00C80786"/>
    <w:rsid w:val="00C807F9"/>
    <w:rsid w:val="00C81629"/>
    <w:rsid w:val="00C81852"/>
    <w:rsid w:val="00C81D03"/>
    <w:rsid w:val="00C830AA"/>
    <w:rsid w:val="00C83E2E"/>
    <w:rsid w:val="00C853F1"/>
    <w:rsid w:val="00C8640F"/>
    <w:rsid w:val="00C92A41"/>
    <w:rsid w:val="00CA3E28"/>
    <w:rsid w:val="00CB0887"/>
    <w:rsid w:val="00CC1988"/>
    <w:rsid w:val="00CC19AA"/>
    <w:rsid w:val="00CC3865"/>
    <w:rsid w:val="00CC5C28"/>
    <w:rsid w:val="00CC6A6D"/>
    <w:rsid w:val="00CD01A6"/>
    <w:rsid w:val="00CD4822"/>
    <w:rsid w:val="00CD4E1A"/>
    <w:rsid w:val="00CD57E7"/>
    <w:rsid w:val="00CD5D7A"/>
    <w:rsid w:val="00CD740C"/>
    <w:rsid w:val="00CE1ACB"/>
    <w:rsid w:val="00CE1BE6"/>
    <w:rsid w:val="00CE36B8"/>
    <w:rsid w:val="00CE4D5D"/>
    <w:rsid w:val="00CE5069"/>
    <w:rsid w:val="00CE5BA4"/>
    <w:rsid w:val="00CE6E37"/>
    <w:rsid w:val="00CE7334"/>
    <w:rsid w:val="00CF161B"/>
    <w:rsid w:val="00CF2267"/>
    <w:rsid w:val="00CF4907"/>
    <w:rsid w:val="00CF7144"/>
    <w:rsid w:val="00CF7BA7"/>
    <w:rsid w:val="00D00EA8"/>
    <w:rsid w:val="00D01135"/>
    <w:rsid w:val="00D015C5"/>
    <w:rsid w:val="00D03455"/>
    <w:rsid w:val="00D05BF5"/>
    <w:rsid w:val="00D066EC"/>
    <w:rsid w:val="00D0705D"/>
    <w:rsid w:val="00D10173"/>
    <w:rsid w:val="00D14C73"/>
    <w:rsid w:val="00D23BBE"/>
    <w:rsid w:val="00D27AF2"/>
    <w:rsid w:val="00D30805"/>
    <w:rsid w:val="00D32D8D"/>
    <w:rsid w:val="00D33266"/>
    <w:rsid w:val="00D33644"/>
    <w:rsid w:val="00D41B3E"/>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0DDF"/>
    <w:rsid w:val="00D61B4E"/>
    <w:rsid w:val="00D726C9"/>
    <w:rsid w:val="00D77B55"/>
    <w:rsid w:val="00D77F22"/>
    <w:rsid w:val="00D800EA"/>
    <w:rsid w:val="00D83991"/>
    <w:rsid w:val="00D83A75"/>
    <w:rsid w:val="00D848FF"/>
    <w:rsid w:val="00D86515"/>
    <w:rsid w:val="00D9131C"/>
    <w:rsid w:val="00D92DBF"/>
    <w:rsid w:val="00D942F0"/>
    <w:rsid w:val="00D9704A"/>
    <w:rsid w:val="00DA2837"/>
    <w:rsid w:val="00DA2C69"/>
    <w:rsid w:val="00DA3DE8"/>
    <w:rsid w:val="00DB0341"/>
    <w:rsid w:val="00DB1144"/>
    <w:rsid w:val="00DB1A6E"/>
    <w:rsid w:val="00DB26BD"/>
    <w:rsid w:val="00DB29FD"/>
    <w:rsid w:val="00DB3373"/>
    <w:rsid w:val="00DB3ACE"/>
    <w:rsid w:val="00DB4415"/>
    <w:rsid w:val="00DB4FB5"/>
    <w:rsid w:val="00DB5C1E"/>
    <w:rsid w:val="00DB662D"/>
    <w:rsid w:val="00DB6793"/>
    <w:rsid w:val="00DC0CAE"/>
    <w:rsid w:val="00DC4310"/>
    <w:rsid w:val="00DC69A7"/>
    <w:rsid w:val="00DC7E56"/>
    <w:rsid w:val="00DD07D3"/>
    <w:rsid w:val="00DD19A1"/>
    <w:rsid w:val="00DD2557"/>
    <w:rsid w:val="00DD7AA1"/>
    <w:rsid w:val="00DE0934"/>
    <w:rsid w:val="00DE105F"/>
    <w:rsid w:val="00DE3273"/>
    <w:rsid w:val="00DE658A"/>
    <w:rsid w:val="00DE6720"/>
    <w:rsid w:val="00DF0BEC"/>
    <w:rsid w:val="00DF0DC5"/>
    <w:rsid w:val="00DF47DD"/>
    <w:rsid w:val="00DF73FE"/>
    <w:rsid w:val="00DF7C2D"/>
    <w:rsid w:val="00E01478"/>
    <w:rsid w:val="00E01655"/>
    <w:rsid w:val="00E01E5D"/>
    <w:rsid w:val="00E04274"/>
    <w:rsid w:val="00E1074D"/>
    <w:rsid w:val="00E11DC5"/>
    <w:rsid w:val="00E12295"/>
    <w:rsid w:val="00E20C05"/>
    <w:rsid w:val="00E22B62"/>
    <w:rsid w:val="00E2632C"/>
    <w:rsid w:val="00E27C26"/>
    <w:rsid w:val="00E31C4A"/>
    <w:rsid w:val="00E377AB"/>
    <w:rsid w:val="00E40AE7"/>
    <w:rsid w:val="00E42612"/>
    <w:rsid w:val="00E45013"/>
    <w:rsid w:val="00E467CB"/>
    <w:rsid w:val="00E50706"/>
    <w:rsid w:val="00E53A1D"/>
    <w:rsid w:val="00E560DE"/>
    <w:rsid w:val="00E56786"/>
    <w:rsid w:val="00E63C72"/>
    <w:rsid w:val="00E67CC2"/>
    <w:rsid w:val="00E720E0"/>
    <w:rsid w:val="00E735DF"/>
    <w:rsid w:val="00E77782"/>
    <w:rsid w:val="00E77DC4"/>
    <w:rsid w:val="00E84161"/>
    <w:rsid w:val="00E854ED"/>
    <w:rsid w:val="00E8595D"/>
    <w:rsid w:val="00E87F02"/>
    <w:rsid w:val="00E90E18"/>
    <w:rsid w:val="00E92306"/>
    <w:rsid w:val="00E94946"/>
    <w:rsid w:val="00E957DC"/>
    <w:rsid w:val="00E96F22"/>
    <w:rsid w:val="00E973BE"/>
    <w:rsid w:val="00EA2BEB"/>
    <w:rsid w:val="00EA35ED"/>
    <w:rsid w:val="00EA7259"/>
    <w:rsid w:val="00EA7F9E"/>
    <w:rsid w:val="00EB1926"/>
    <w:rsid w:val="00EB2560"/>
    <w:rsid w:val="00EB3CE1"/>
    <w:rsid w:val="00EB44D6"/>
    <w:rsid w:val="00EB5268"/>
    <w:rsid w:val="00EB5BB2"/>
    <w:rsid w:val="00EB5CE9"/>
    <w:rsid w:val="00EB69EC"/>
    <w:rsid w:val="00EB7D02"/>
    <w:rsid w:val="00EC0D33"/>
    <w:rsid w:val="00EC243C"/>
    <w:rsid w:val="00EC3D5E"/>
    <w:rsid w:val="00EC5C8F"/>
    <w:rsid w:val="00ED2FCD"/>
    <w:rsid w:val="00ED3252"/>
    <w:rsid w:val="00ED625C"/>
    <w:rsid w:val="00EE3359"/>
    <w:rsid w:val="00EE6CEB"/>
    <w:rsid w:val="00EF2329"/>
    <w:rsid w:val="00EF2883"/>
    <w:rsid w:val="00EF3750"/>
    <w:rsid w:val="00EF3AD0"/>
    <w:rsid w:val="00EF51D9"/>
    <w:rsid w:val="00EF6670"/>
    <w:rsid w:val="00EF7867"/>
    <w:rsid w:val="00F007F5"/>
    <w:rsid w:val="00F023EB"/>
    <w:rsid w:val="00F034DE"/>
    <w:rsid w:val="00F105BB"/>
    <w:rsid w:val="00F11D13"/>
    <w:rsid w:val="00F15BC0"/>
    <w:rsid w:val="00F22E11"/>
    <w:rsid w:val="00F245AA"/>
    <w:rsid w:val="00F32201"/>
    <w:rsid w:val="00F346F0"/>
    <w:rsid w:val="00F34780"/>
    <w:rsid w:val="00F37CA2"/>
    <w:rsid w:val="00F42462"/>
    <w:rsid w:val="00F42C07"/>
    <w:rsid w:val="00F43025"/>
    <w:rsid w:val="00F43CA0"/>
    <w:rsid w:val="00F45F49"/>
    <w:rsid w:val="00F479AC"/>
    <w:rsid w:val="00F47AC0"/>
    <w:rsid w:val="00F50C5F"/>
    <w:rsid w:val="00F537E6"/>
    <w:rsid w:val="00F54C72"/>
    <w:rsid w:val="00F5586D"/>
    <w:rsid w:val="00F56F36"/>
    <w:rsid w:val="00F579C1"/>
    <w:rsid w:val="00F61705"/>
    <w:rsid w:val="00F62710"/>
    <w:rsid w:val="00F75A94"/>
    <w:rsid w:val="00F7643C"/>
    <w:rsid w:val="00F76BB5"/>
    <w:rsid w:val="00F77C0F"/>
    <w:rsid w:val="00F8198A"/>
    <w:rsid w:val="00F864D8"/>
    <w:rsid w:val="00F866DF"/>
    <w:rsid w:val="00F87BB1"/>
    <w:rsid w:val="00F91449"/>
    <w:rsid w:val="00F91525"/>
    <w:rsid w:val="00F93A2D"/>
    <w:rsid w:val="00F93BC2"/>
    <w:rsid w:val="00F945F2"/>
    <w:rsid w:val="00F9606C"/>
    <w:rsid w:val="00F96E1E"/>
    <w:rsid w:val="00F973C9"/>
    <w:rsid w:val="00FA017F"/>
    <w:rsid w:val="00FA08C7"/>
    <w:rsid w:val="00FA614A"/>
    <w:rsid w:val="00FA66DE"/>
    <w:rsid w:val="00FB2DEF"/>
    <w:rsid w:val="00FB4149"/>
    <w:rsid w:val="00FB571F"/>
    <w:rsid w:val="00FB57F6"/>
    <w:rsid w:val="00FB7B69"/>
    <w:rsid w:val="00FB7D78"/>
    <w:rsid w:val="00FC429A"/>
    <w:rsid w:val="00FC451B"/>
    <w:rsid w:val="00FC4EB6"/>
    <w:rsid w:val="00FC52B0"/>
    <w:rsid w:val="00FC69D4"/>
    <w:rsid w:val="00FD1348"/>
    <w:rsid w:val="00FD162D"/>
    <w:rsid w:val="00FD4B23"/>
    <w:rsid w:val="00FE15C5"/>
    <w:rsid w:val="00FE1DB5"/>
    <w:rsid w:val="00FE1F54"/>
    <w:rsid w:val="00FE503C"/>
    <w:rsid w:val="00FE5BA5"/>
    <w:rsid w:val="00FE7174"/>
    <w:rsid w:val="00FF018C"/>
    <w:rsid w:val="00FF0713"/>
    <w:rsid w:val="00FF1DC6"/>
    <w:rsid w:val="00FF6F97"/>
    <w:rsid w:val="00FF7089"/>
    <w:rsid w:val="00FF7A70"/>
    <w:rsid w:val="013E1DCC"/>
    <w:rsid w:val="01746AA6"/>
    <w:rsid w:val="017E3B20"/>
    <w:rsid w:val="01BE6449"/>
    <w:rsid w:val="01EB407F"/>
    <w:rsid w:val="021174A2"/>
    <w:rsid w:val="02152AA4"/>
    <w:rsid w:val="02572AE5"/>
    <w:rsid w:val="02760545"/>
    <w:rsid w:val="02811113"/>
    <w:rsid w:val="02891DA4"/>
    <w:rsid w:val="02B56729"/>
    <w:rsid w:val="02CE7B0D"/>
    <w:rsid w:val="03247782"/>
    <w:rsid w:val="03302A09"/>
    <w:rsid w:val="035E3C12"/>
    <w:rsid w:val="03981576"/>
    <w:rsid w:val="040F1381"/>
    <w:rsid w:val="04107C9A"/>
    <w:rsid w:val="04371D5C"/>
    <w:rsid w:val="04413630"/>
    <w:rsid w:val="04B614D1"/>
    <w:rsid w:val="04C576D8"/>
    <w:rsid w:val="04CB7670"/>
    <w:rsid w:val="05117B49"/>
    <w:rsid w:val="05870D0D"/>
    <w:rsid w:val="059065FF"/>
    <w:rsid w:val="05D214AF"/>
    <w:rsid w:val="05F72B4B"/>
    <w:rsid w:val="061307A8"/>
    <w:rsid w:val="070B6D9F"/>
    <w:rsid w:val="07461935"/>
    <w:rsid w:val="075406CD"/>
    <w:rsid w:val="07970D0E"/>
    <w:rsid w:val="07D4261E"/>
    <w:rsid w:val="085E27F2"/>
    <w:rsid w:val="08B25070"/>
    <w:rsid w:val="093B516D"/>
    <w:rsid w:val="095C4EBF"/>
    <w:rsid w:val="097A1428"/>
    <w:rsid w:val="0984187F"/>
    <w:rsid w:val="099B78DB"/>
    <w:rsid w:val="099C5B9E"/>
    <w:rsid w:val="09A37EFB"/>
    <w:rsid w:val="09F83014"/>
    <w:rsid w:val="0A2B322E"/>
    <w:rsid w:val="0A2C1CF0"/>
    <w:rsid w:val="0A7F7908"/>
    <w:rsid w:val="0A8D29A1"/>
    <w:rsid w:val="0AC64B9A"/>
    <w:rsid w:val="0ACE11BC"/>
    <w:rsid w:val="0B1C3C41"/>
    <w:rsid w:val="0B1F5DBD"/>
    <w:rsid w:val="0B303110"/>
    <w:rsid w:val="0B823F62"/>
    <w:rsid w:val="0B9037FD"/>
    <w:rsid w:val="0BAC163F"/>
    <w:rsid w:val="0C5C0C35"/>
    <w:rsid w:val="0C5F50F4"/>
    <w:rsid w:val="0CC65AE5"/>
    <w:rsid w:val="0D2D1D5B"/>
    <w:rsid w:val="0D533487"/>
    <w:rsid w:val="0D83778A"/>
    <w:rsid w:val="0DA861FF"/>
    <w:rsid w:val="0DB67139"/>
    <w:rsid w:val="0DD82087"/>
    <w:rsid w:val="0E012411"/>
    <w:rsid w:val="0E065AC6"/>
    <w:rsid w:val="0E2E65DF"/>
    <w:rsid w:val="0E697C87"/>
    <w:rsid w:val="0E860A47"/>
    <w:rsid w:val="0EA34F38"/>
    <w:rsid w:val="0EFA5376"/>
    <w:rsid w:val="0FC62ED9"/>
    <w:rsid w:val="0FEC69D3"/>
    <w:rsid w:val="0FED3A2D"/>
    <w:rsid w:val="1042737B"/>
    <w:rsid w:val="106303AF"/>
    <w:rsid w:val="10B142EB"/>
    <w:rsid w:val="1145635C"/>
    <w:rsid w:val="115135FB"/>
    <w:rsid w:val="115A1D54"/>
    <w:rsid w:val="11825904"/>
    <w:rsid w:val="119737F6"/>
    <w:rsid w:val="11A5684F"/>
    <w:rsid w:val="11C50697"/>
    <w:rsid w:val="11CF351D"/>
    <w:rsid w:val="11D37B19"/>
    <w:rsid w:val="11EF6E84"/>
    <w:rsid w:val="12B4467C"/>
    <w:rsid w:val="12C24678"/>
    <w:rsid w:val="134B01A1"/>
    <w:rsid w:val="140F2932"/>
    <w:rsid w:val="147A542A"/>
    <w:rsid w:val="14A37610"/>
    <w:rsid w:val="14C5417D"/>
    <w:rsid w:val="14DB1E94"/>
    <w:rsid w:val="14E4225F"/>
    <w:rsid w:val="14F31E90"/>
    <w:rsid w:val="14F84965"/>
    <w:rsid w:val="15163DF0"/>
    <w:rsid w:val="15552C2B"/>
    <w:rsid w:val="15694D97"/>
    <w:rsid w:val="15D1721F"/>
    <w:rsid w:val="161F4C58"/>
    <w:rsid w:val="162D212E"/>
    <w:rsid w:val="16310BD1"/>
    <w:rsid w:val="16C4523F"/>
    <w:rsid w:val="16D17829"/>
    <w:rsid w:val="16F329E1"/>
    <w:rsid w:val="1795358E"/>
    <w:rsid w:val="17DF2A16"/>
    <w:rsid w:val="1859072B"/>
    <w:rsid w:val="18C53D08"/>
    <w:rsid w:val="191F4D3A"/>
    <w:rsid w:val="197C5A3B"/>
    <w:rsid w:val="19941E43"/>
    <w:rsid w:val="19D31573"/>
    <w:rsid w:val="19FF73DB"/>
    <w:rsid w:val="1A0C7DE8"/>
    <w:rsid w:val="1A102CA3"/>
    <w:rsid w:val="1A396018"/>
    <w:rsid w:val="1A9B1BDE"/>
    <w:rsid w:val="1AEA39EF"/>
    <w:rsid w:val="1AFD16C2"/>
    <w:rsid w:val="1B5934C5"/>
    <w:rsid w:val="1B984758"/>
    <w:rsid w:val="1B9A345B"/>
    <w:rsid w:val="1BC60EFE"/>
    <w:rsid w:val="1BF00100"/>
    <w:rsid w:val="1C355627"/>
    <w:rsid w:val="1C4D7DAD"/>
    <w:rsid w:val="1C565A24"/>
    <w:rsid w:val="1CEE1EE3"/>
    <w:rsid w:val="1D0B2292"/>
    <w:rsid w:val="1D1A1CC6"/>
    <w:rsid w:val="1DA028B7"/>
    <w:rsid w:val="1DB9454B"/>
    <w:rsid w:val="1E484C37"/>
    <w:rsid w:val="1E5B1B25"/>
    <w:rsid w:val="1E63373C"/>
    <w:rsid w:val="1E991179"/>
    <w:rsid w:val="1EA94D9F"/>
    <w:rsid w:val="1EB20CB7"/>
    <w:rsid w:val="1EB930A0"/>
    <w:rsid w:val="1EBF27C1"/>
    <w:rsid w:val="1EDD5A59"/>
    <w:rsid w:val="1EE82BAA"/>
    <w:rsid w:val="1F7179AF"/>
    <w:rsid w:val="1FF20EA8"/>
    <w:rsid w:val="20075BF9"/>
    <w:rsid w:val="200B4E3C"/>
    <w:rsid w:val="20242C2D"/>
    <w:rsid w:val="20354B4F"/>
    <w:rsid w:val="208A27B2"/>
    <w:rsid w:val="20975A6D"/>
    <w:rsid w:val="214261FC"/>
    <w:rsid w:val="21477385"/>
    <w:rsid w:val="218921C0"/>
    <w:rsid w:val="21F30A0A"/>
    <w:rsid w:val="224607CE"/>
    <w:rsid w:val="22BE0BD4"/>
    <w:rsid w:val="22FD1B22"/>
    <w:rsid w:val="23211AE6"/>
    <w:rsid w:val="23482356"/>
    <w:rsid w:val="234C32B2"/>
    <w:rsid w:val="236274FA"/>
    <w:rsid w:val="237C60EE"/>
    <w:rsid w:val="23802CA0"/>
    <w:rsid w:val="24015A76"/>
    <w:rsid w:val="24800F96"/>
    <w:rsid w:val="24AF7481"/>
    <w:rsid w:val="24B05DE9"/>
    <w:rsid w:val="24C00E44"/>
    <w:rsid w:val="24E46860"/>
    <w:rsid w:val="24E91CBF"/>
    <w:rsid w:val="256103B8"/>
    <w:rsid w:val="25D7447D"/>
    <w:rsid w:val="26467289"/>
    <w:rsid w:val="26E03792"/>
    <w:rsid w:val="26E62E71"/>
    <w:rsid w:val="2726227B"/>
    <w:rsid w:val="275C5DE3"/>
    <w:rsid w:val="27A91CE4"/>
    <w:rsid w:val="27B30FF0"/>
    <w:rsid w:val="27DF70ED"/>
    <w:rsid w:val="27F922FE"/>
    <w:rsid w:val="286E35DB"/>
    <w:rsid w:val="288704A5"/>
    <w:rsid w:val="28C817FC"/>
    <w:rsid w:val="28EB1805"/>
    <w:rsid w:val="28FF0F38"/>
    <w:rsid w:val="294C109D"/>
    <w:rsid w:val="29CC2810"/>
    <w:rsid w:val="29D75018"/>
    <w:rsid w:val="29FB6EF2"/>
    <w:rsid w:val="2A0660F7"/>
    <w:rsid w:val="2A107203"/>
    <w:rsid w:val="2A1672F2"/>
    <w:rsid w:val="2A1B570A"/>
    <w:rsid w:val="2A7538C3"/>
    <w:rsid w:val="2A8A7EEF"/>
    <w:rsid w:val="2A927CF9"/>
    <w:rsid w:val="2AB62358"/>
    <w:rsid w:val="2AC8124F"/>
    <w:rsid w:val="2B232975"/>
    <w:rsid w:val="2B782133"/>
    <w:rsid w:val="2BCF2656"/>
    <w:rsid w:val="2BDF596E"/>
    <w:rsid w:val="2BE32EF8"/>
    <w:rsid w:val="2BE57C7B"/>
    <w:rsid w:val="2C2C211D"/>
    <w:rsid w:val="2C3852DB"/>
    <w:rsid w:val="2C5F2163"/>
    <w:rsid w:val="2CC950E5"/>
    <w:rsid w:val="2D436043"/>
    <w:rsid w:val="2D5B3AE7"/>
    <w:rsid w:val="2D9F31A5"/>
    <w:rsid w:val="2DD50827"/>
    <w:rsid w:val="2E573BE0"/>
    <w:rsid w:val="2E946BE3"/>
    <w:rsid w:val="2F022182"/>
    <w:rsid w:val="2F837FC9"/>
    <w:rsid w:val="2FB37716"/>
    <w:rsid w:val="2FEE3198"/>
    <w:rsid w:val="30A27C6C"/>
    <w:rsid w:val="30C07973"/>
    <w:rsid w:val="30DA7943"/>
    <w:rsid w:val="30E53AEE"/>
    <w:rsid w:val="30EC0405"/>
    <w:rsid w:val="30F6431F"/>
    <w:rsid w:val="3186211E"/>
    <w:rsid w:val="318A4517"/>
    <w:rsid w:val="31AE501D"/>
    <w:rsid w:val="31C728C3"/>
    <w:rsid w:val="31D12168"/>
    <w:rsid w:val="31D45FA0"/>
    <w:rsid w:val="3264060F"/>
    <w:rsid w:val="32BB339B"/>
    <w:rsid w:val="32F610D5"/>
    <w:rsid w:val="33303972"/>
    <w:rsid w:val="334A67F8"/>
    <w:rsid w:val="3382329A"/>
    <w:rsid w:val="338D6134"/>
    <w:rsid w:val="338D7655"/>
    <w:rsid w:val="339717D5"/>
    <w:rsid w:val="339D6965"/>
    <w:rsid w:val="33E12FBA"/>
    <w:rsid w:val="35601BC4"/>
    <w:rsid w:val="3587209E"/>
    <w:rsid w:val="35EF0C5D"/>
    <w:rsid w:val="35FF732A"/>
    <w:rsid w:val="361F2110"/>
    <w:rsid w:val="3634632E"/>
    <w:rsid w:val="36AF609A"/>
    <w:rsid w:val="371F3461"/>
    <w:rsid w:val="37D30317"/>
    <w:rsid w:val="37DB1B1F"/>
    <w:rsid w:val="37DC0954"/>
    <w:rsid w:val="38311E12"/>
    <w:rsid w:val="383F791F"/>
    <w:rsid w:val="38BA4298"/>
    <w:rsid w:val="399E530B"/>
    <w:rsid w:val="39FA1B30"/>
    <w:rsid w:val="3A051BEC"/>
    <w:rsid w:val="3A2A1B78"/>
    <w:rsid w:val="3A4A6D0A"/>
    <w:rsid w:val="3A93462D"/>
    <w:rsid w:val="3AA01927"/>
    <w:rsid w:val="3AC577F8"/>
    <w:rsid w:val="3AC9790F"/>
    <w:rsid w:val="3B3B43B2"/>
    <w:rsid w:val="3B9E719A"/>
    <w:rsid w:val="3BAF5AE7"/>
    <w:rsid w:val="3BD30CAD"/>
    <w:rsid w:val="3BF3636C"/>
    <w:rsid w:val="3C175335"/>
    <w:rsid w:val="3C461861"/>
    <w:rsid w:val="3C466C0F"/>
    <w:rsid w:val="3C6279D0"/>
    <w:rsid w:val="3C9C3344"/>
    <w:rsid w:val="3CF857AC"/>
    <w:rsid w:val="3D6B50AE"/>
    <w:rsid w:val="3D900A05"/>
    <w:rsid w:val="3D9E1022"/>
    <w:rsid w:val="3DE2769E"/>
    <w:rsid w:val="3DE70FAE"/>
    <w:rsid w:val="3E3D14F6"/>
    <w:rsid w:val="3E477822"/>
    <w:rsid w:val="3F3C7A0D"/>
    <w:rsid w:val="3F976546"/>
    <w:rsid w:val="3FC502B4"/>
    <w:rsid w:val="3FE0148A"/>
    <w:rsid w:val="3FFC65C2"/>
    <w:rsid w:val="40085C71"/>
    <w:rsid w:val="402C1D55"/>
    <w:rsid w:val="403978D6"/>
    <w:rsid w:val="406F6428"/>
    <w:rsid w:val="41357BDC"/>
    <w:rsid w:val="41E629B8"/>
    <w:rsid w:val="41E87EC1"/>
    <w:rsid w:val="41F17B30"/>
    <w:rsid w:val="4214471C"/>
    <w:rsid w:val="42273987"/>
    <w:rsid w:val="42322FEE"/>
    <w:rsid w:val="42424D59"/>
    <w:rsid w:val="428D09F5"/>
    <w:rsid w:val="42BD1119"/>
    <w:rsid w:val="42CE5B66"/>
    <w:rsid w:val="43776548"/>
    <w:rsid w:val="437E45A7"/>
    <w:rsid w:val="43BF50EB"/>
    <w:rsid w:val="43C520AD"/>
    <w:rsid w:val="43C84FD4"/>
    <w:rsid w:val="44155AB7"/>
    <w:rsid w:val="443033A5"/>
    <w:rsid w:val="44836DBB"/>
    <w:rsid w:val="448C1E4E"/>
    <w:rsid w:val="450D7D78"/>
    <w:rsid w:val="455B2A73"/>
    <w:rsid w:val="459F7288"/>
    <w:rsid w:val="45E820CD"/>
    <w:rsid w:val="45F70E89"/>
    <w:rsid w:val="46205372"/>
    <w:rsid w:val="46830F56"/>
    <w:rsid w:val="46CD5C09"/>
    <w:rsid w:val="475D2277"/>
    <w:rsid w:val="475D56C4"/>
    <w:rsid w:val="47765D77"/>
    <w:rsid w:val="47A57BD5"/>
    <w:rsid w:val="47A96AC0"/>
    <w:rsid w:val="47BA21BF"/>
    <w:rsid w:val="47C95CC2"/>
    <w:rsid w:val="47F32091"/>
    <w:rsid w:val="4844482F"/>
    <w:rsid w:val="48677F7F"/>
    <w:rsid w:val="48A428E6"/>
    <w:rsid w:val="48C60D1C"/>
    <w:rsid w:val="48ED09F0"/>
    <w:rsid w:val="49381C7B"/>
    <w:rsid w:val="499B0F29"/>
    <w:rsid w:val="49AF20CA"/>
    <w:rsid w:val="49EA54B3"/>
    <w:rsid w:val="49EF13F7"/>
    <w:rsid w:val="4A48577F"/>
    <w:rsid w:val="4A607529"/>
    <w:rsid w:val="4AB6434A"/>
    <w:rsid w:val="4B33724A"/>
    <w:rsid w:val="4BD15852"/>
    <w:rsid w:val="4BF87592"/>
    <w:rsid w:val="4C0F38C8"/>
    <w:rsid w:val="4C4152D0"/>
    <w:rsid w:val="4C52189F"/>
    <w:rsid w:val="4C546190"/>
    <w:rsid w:val="4C863099"/>
    <w:rsid w:val="4D036710"/>
    <w:rsid w:val="4D1E7AFE"/>
    <w:rsid w:val="4D717E48"/>
    <w:rsid w:val="4DCF353E"/>
    <w:rsid w:val="4DE82D6D"/>
    <w:rsid w:val="4DFF3D7E"/>
    <w:rsid w:val="4E0C1ED3"/>
    <w:rsid w:val="4E496674"/>
    <w:rsid w:val="4E503748"/>
    <w:rsid w:val="4E6E7D7A"/>
    <w:rsid w:val="4E721252"/>
    <w:rsid w:val="4E956D02"/>
    <w:rsid w:val="4E994783"/>
    <w:rsid w:val="4E9F3697"/>
    <w:rsid w:val="4EE403F0"/>
    <w:rsid w:val="4F0A56D0"/>
    <w:rsid w:val="4F34484B"/>
    <w:rsid w:val="4F5E3ED3"/>
    <w:rsid w:val="4F6B76AC"/>
    <w:rsid w:val="4FD31E74"/>
    <w:rsid w:val="4FDE5BD2"/>
    <w:rsid w:val="4FE11498"/>
    <w:rsid w:val="4FFD006F"/>
    <w:rsid w:val="500F52CA"/>
    <w:rsid w:val="50212E26"/>
    <w:rsid w:val="505369C3"/>
    <w:rsid w:val="50631556"/>
    <w:rsid w:val="50655B8C"/>
    <w:rsid w:val="506E6E99"/>
    <w:rsid w:val="507608D5"/>
    <w:rsid w:val="5098413B"/>
    <w:rsid w:val="50C83DBE"/>
    <w:rsid w:val="50E91FFA"/>
    <w:rsid w:val="510409B3"/>
    <w:rsid w:val="51174E51"/>
    <w:rsid w:val="517E0914"/>
    <w:rsid w:val="519C7170"/>
    <w:rsid w:val="51C24F8A"/>
    <w:rsid w:val="51DE3971"/>
    <w:rsid w:val="51E339A6"/>
    <w:rsid w:val="51F215AD"/>
    <w:rsid w:val="52153920"/>
    <w:rsid w:val="52542FA3"/>
    <w:rsid w:val="525A5257"/>
    <w:rsid w:val="52662E6D"/>
    <w:rsid w:val="526C234E"/>
    <w:rsid w:val="5334194C"/>
    <w:rsid w:val="53625F85"/>
    <w:rsid w:val="53863225"/>
    <w:rsid w:val="538A6E9C"/>
    <w:rsid w:val="53A11EBE"/>
    <w:rsid w:val="541429A6"/>
    <w:rsid w:val="54343671"/>
    <w:rsid w:val="545F2DD1"/>
    <w:rsid w:val="547E2B01"/>
    <w:rsid w:val="54837D42"/>
    <w:rsid w:val="54CE1802"/>
    <w:rsid w:val="55111F46"/>
    <w:rsid w:val="552C6AE4"/>
    <w:rsid w:val="55347539"/>
    <w:rsid w:val="55ED5C67"/>
    <w:rsid w:val="55FF237B"/>
    <w:rsid w:val="56147F86"/>
    <w:rsid w:val="56152380"/>
    <w:rsid w:val="567C123E"/>
    <w:rsid w:val="569308BB"/>
    <w:rsid w:val="57010C43"/>
    <w:rsid w:val="57882A5B"/>
    <w:rsid w:val="57886CAC"/>
    <w:rsid w:val="57A02685"/>
    <w:rsid w:val="57C6719A"/>
    <w:rsid w:val="57D755F2"/>
    <w:rsid w:val="58181EEB"/>
    <w:rsid w:val="583F4F2B"/>
    <w:rsid w:val="5892785C"/>
    <w:rsid w:val="590075BE"/>
    <w:rsid w:val="596744C4"/>
    <w:rsid w:val="59EA61CC"/>
    <w:rsid w:val="59FC2DB4"/>
    <w:rsid w:val="5A2336B5"/>
    <w:rsid w:val="5A246314"/>
    <w:rsid w:val="5A4A0518"/>
    <w:rsid w:val="5A651D54"/>
    <w:rsid w:val="5AB722FC"/>
    <w:rsid w:val="5AC901E6"/>
    <w:rsid w:val="5AE1450F"/>
    <w:rsid w:val="5AE75099"/>
    <w:rsid w:val="5AEC655C"/>
    <w:rsid w:val="5B20751B"/>
    <w:rsid w:val="5B8D0451"/>
    <w:rsid w:val="5B9B2EEB"/>
    <w:rsid w:val="5BD76F09"/>
    <w:rsid w:val="5C433685"/>
    <w:rsid w:val="5C824B54"/>
    <w:rsid w:val="5CAD2953"/>
    <w:rsid w:val="5CF84418"/>
    <w:rsid w:val="5D6B339C"/>
    <w:rsid w:val="5D875A4A"/>
    <w:rsid w:val="5DC437E1"/>
    <w:rsid w:val="5DCB54A8"/>
    <w:rsid w:val="5DEE24A8"/>
    <w:rsid w:val="5E996AC9"/>
    <w:rsid w:val="5EE86C32"/>
    <w:rsid w:val="5F0642E3"/>
    <w:rsid w:val="5F0B1A3E"/>
    <w:rsid w:val="5F114D6D"/>
    <w:rsid w:val="5F6A40AD"/>
    <w:rsid w:val="5F6D45EF"/>
    <w:rsid w:val="5F79619D"/>
    <w:rsid w:val="5F7B1D40"/>
    <w:rsid w:val="6049735E"/>
    <w:rsid w:val="61527E9B"/>
    <w:rsid w:val="61D75F41"/>
    <w:rsid w:val="61FF1A6A"/>
    <w:rsid w:val="620F15F5"/>
    <w:rsid w:val="62611A1D"/>
    <w:rsid w:val="627F1569"/>
    <w:rsid w:val="62861254"/>
    <w:rsid w:val="62C92712"/>
    <w:rsid w:val="62DD58B2"/>
    <w:rsid w:val="62F441F9"/>
    <w:rsid w:val="62FB136B"/>
    <w:rsid w:val="632361A7"/>
    <w:rsid w:val="635E19DE"/>
    <w:rsid w:val="63B3270E"/>
    <w:rsid w:val="63B32765"/>
    <w:rsid w:val="63DC0FA5"/>
    <w:rsid w:val="63FB4DD5"/>
    <w:rsid w:val="640A3FB1"/>
    <w:rsid w:val="64264E39"/>
    <w:rsid w:val="642F6710"/>
    <w:rsid w:val="64482B0B"/>
    <w:rsid w:val="646C34A7"/>
    <w:rsid w:val="647F68AC"/>
    <w:rsid w:val="649D7EEC"/>
    <w:rsid w:val="651575C6"/>
    <w:rsid w:val="6540098B"/>
    <w:rsid w:val="656E4A7B"/>
    <w:rsid w:val="65A14D95"/>
    <w:rsid w:val="65AB37FF"/>
    <w:rsid w:val="65B25C31"/>
    <w:rsid w:val="65B81F00"/>
    <w:rsid w:val="65D00A85"/>
    <w:rsid w:val="663642DA"/>
    <w:rsid w:val="666E3CB0"/>
    <w:rsid w:val="66972DC3"/>
    <w:rsid w:val="66F83D47"/>
    <w:rsid w:val="66FE211A"/>
    <w:rsid w:val="674402F9"/>
    <w:rsid w:val="677A6E28"/>
    <w:rsid w:val="67D64751"/>
    <w:rsid w:val="689E564B"/>
    <w:rsid w:val="690C657B"/>
    <w:rsid w:val="696E208E"/>
    <w:rsid w:val="6A257C57"/>
    <w:rsid w:val="6ABA75A3"/>
    <w:rsid w:val="6ADD5BD8"/>
    <w:rsid w:val="6B085179"/>
    <w:rsid w:val="6B5F4E73"/>
    <w:rsid w:val="6B6F662E"/>
    <w:rsid w:val="6B8B68B1"/>
    <w:rsid w:val="6C3C6153"/>
    <w:rsid w:val="6C5272DB"/>
    <w:rsid w:val="6CF53A23"/>
    <w:rsid w:val="6D3F76BE"/>
    <w:rsid w:val="6D471DA6"/>
    <w:rsid w:val="6D49526A"/>
    <w:rsid w:val="6D6E098F"/>
    <w:rsid w:val="6D8B4DFA"/>
    <w:rsid w:val="6E020BA1"/>
    <w:rsid w:val="6E375D0E"/>
    <w:rsid w:val="6E794506"/>
    <w:rsid w:val="6E8F0E01"/>
    <w:rsid w:val="6F293F63"/>
    <w:rsid w:val="6F3C35B7"/>
    <w:rsid w:val="6F6133F0"/>
    <w:rsid w:val="6FA453DA"/>
    <w:rsid w:val="70091865"/>
    <w:rsid w:val="702838AE"/>
    <w:rsid w:val="70344EA3"/>
    <w:rsid w:val="70973B45"/>
    <w:rsid w:val="70A27C9B"/>
    <w:rsid w:val="70C5195B"/>
    <w:rsid w:val="70D51A4C"/>
    <w:rsid w:val="71280CF9"/>
    <w:rsid w:val="719B2394"/>
    <w:rsid w:val="71C852BA"/>
    <w:rsid w:val="71F45351"/>
    <w:rsid w:val="72175889"/>
    <w:rsid w:val="72A51F5D"/>
    <w:rsid w:val="72BE2C07"/>
    <w:rsid w:val="73737ECC"/>
    <w:rsid w:val="73880915"/>
    <w:rsid w:val="73A600CA"/>
    <w:rsid w:val="73EA430F"/>
    <w:rsid w:val="73F35237"/>
    <w:rsid w:val="740F5F8B"/>
    <w:rsid w:val="747811E8"/>
    <w:rsid w:val="74830A5B"/>
    <w:rsid w:val="74F67D33"/>
    <w:rsid w:val="75256C79"/>
    <w:rsid w:val="752659C9"/>
    <w:rsid w:val="752C3151"/>
    <w:rsid w:val="754F29B8"/>
    <w:rsid w:val="755B5A17"/>
    <w:rsid w:val="76DE4601"/>
    <w:rsid w:val="77321C5F"/>
    <w:rsid w:val="77450701"/>
    <w:rsid w:val="77BD78F0"/>
    <w:rsid w:val="77F51F1E"/>
    <w:rsid w:val="781073C6"/>
    <w:rsid w:val="781B2F73"/>
    <w:rsid w:val="78256CD1"/>
    <w:rsid w:val="783F625E"/>
    <w:rsid w:val="78684DE2"/>
    <w:rsid w:val="788C7FB5"/>
    <w:rsid w:val="78C14E1F"/>
    <w:rsid w:val="78E4545C"/>
    <w:rsid w:val="794B509F"/>
    <w:rsid w:val="796C73A4"/>
    <w:rsid w:val="797474B8"/>
    <w:rsid w:val="79882B7C"/>
    <w:rsid w:val="798B11E8"/>
    <w:rsid w:val="798B6FA8"/>
    <w:rsid w:val="79BD7F15"/>
    <w:rsid w:val="79D961C6"/>
    <w:rsid w:val="7A302BA1"/>
    <w:rsid w:val="7B38272C"/>
    <w:rsid w:val="7B493E8C"/>
    <w:rsid w:val="7B634C6F"/>
    <w:rsid w:val="7B8764A1"/>
    <w:rsid w:val="7BC34F04"/>
    <w:rsid w:val="7BE73097"/>
    <w:rsid w:val="7C050A35"/>
    <w:rsid w:val="7C5706A0"/>
    <w:rsid w:val="7C6559B7"/>
    <w:rsid w:val="7C982E98"/>
    <w:rsid w:val="7CC24C50"/>
    <w:rsid w:val="7D3A7F22"/>
    <w:rsid w:val="7DA726CA"/>
    <w:rsid w:val="7DB8289C"/>
    <w:rsid w:val="7DD303F2"/>
    <w:rsid w:val="7DDF5E0F"/>
    <w:rsid w:val="7DF01E17"/>
    <w:rsid w:val="7E15641F"/>
    <w:rsid w:val="7E3D1636"/>
    <w:rsid w:val="7ED63219"/>
    <w:rsid w:val="7F2A10C3"/>
    <w:rsid w:val="7F903969"/>
    <w:rsid w:val="7F9F2A89"/>
    <w:rsid w:val="7FEC6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jc w:val="left"/>
      <w:outlineLvl w:val="0"/>
    </w:pPr>
    <w:rPr>
      <w:b/>
      <w:bCs/>
      <w:kern w:val="44"/>
      <w:sz w:val="28"/>
      <w:szCs w:val="44"/>
    </w:rPr>
  </w:style>
  <w:style w:type="paragraph" w:styleId="3">
    <w:name w:val="heading 3"/>
    <w:basedOn w:val="1"/>
    <w:next w:val="1"/>
    <w:qFormat/>
    <w:uiPriority w:val="0"/>
    <w:pPr>
      <w:keepNext/>
      <w:keepLines/>
      <w:ind w:firstLine="0" w:firstLineChars="0"/>
      <w:jc w:val="left"/>
      <w:outlineLvl w:val="2"/>
    </w:pPr>
    <w:rPr>
      <w:b/>
      <w:bCs/>
      <w:szCs w:val="32"/>
    </w:rPr>
  </w:style>
  <w:style w:type="character" w:default="1" w:styleId="21">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2"/>
    <w:unhideWhenUsed/>
    <w:qFormat/>
    <w:uiPriority w:val="99"/>
    <w:rPr>
      <w:b/>
      <w:bCs/>
    </w:rPr>
  </w:style>
  <w:style w:type="paragraph" w:styleId="5">
    <w:name w:val="annotation text"/>
    <w:basedOn w:val="1"/>
    <w:link w:val="30"/>
    <w:unhideWhenUsed/>
    <w:qFormat/>
    <w:uiPriority w:val="99"/>
    <w:pPr>
      <w:jc w:val="left"/>
    </w:pPr>
  </w:style>
  <w:style w:type="paragraph" w:styleId="6">
    <w:name w:val="toc 7"/>
    <w:basedOn w:val="1"/>
    <w:next w:val="1"/>
    <w:qFormat/>
    <w:uiPriority w:val="39"/>
    <w:pPr>
      <w:ind w:left="1800"/>
      <w:jc w:val="left"/>
    </w:pPr>
    <w:rPr>
      <w:sz w:val="18"/>
      <w:szCs w:val="18"/>
    </w:rPr>
  </w:style>
  <w:style w:type="paragraph" w:styleId="7">
    <w:name w:val="Document Map"/>
    <w:basedOn w:val="1"/>
    <w:link w:val="33"/>
    <w:unhideWhenUsed/>
    <w:qFormat/>
    <w:uiPriority w:val="99"/>
    <w:rPr>
      <w:rFonts w:ascii="宋体" w:eastAsia="宋体"/>
      <w:sz w:val="18"/>
      <w:szCs w:val="18"/>
    </w:rPr>
  </w:style>
  <w:style w:type="paragraph" w:styleId="8">
    <w:name w:val="toc 5"/>
    <w:basedOn w:val="1"/>
    <w:next w:val="1"/>
    <w:qFormat/>
    <w:uiPriority w:val="39"/>
    <w:pPr>
      <w:ind w:left="1200"/>
      <w:jc w:val="left"/>
    </w:pPr>
    <w:rPr>
      <w:sz w:val="18"/>
      <w:szCs w:val="18"/>
    </w:rPr>
  </w:style>
  <w:style w:type="paragraph" w:styleId="9">
    <w:name w:val="toc 3"/>
    <w:basedOn w:val="1"/>
    <w:next w:val="1"/>
    <w:qFormat/>
    <w:uiPriority w:val="39"/>
    <w:pPr>
      <w:spacing w:line="300" w:lineRule="exact"/>
      <w:ind w:left="567"/>
      <w:jc w:val="left"/>
    </w:pPr>
    <w:rPr>
      <w:iCs/>
      <w:sz w:val="28"/>
      <w:szCs w:val="20"/>
    </w:rPr>
  </w:style>
  <w:style w:type="paragraph" w:styleId="10">
    <w:name w:val="toc 8"/>
    <w:basedOn w:val="1"/>
    <w:next w:val="1"/>
    <w:qFormat/>
    <w:uiPriority w:val="39"/>
    <w:pPr>
      <w:ind w:left="2100"/>
      <w:jc w:val="left"/>
    </w:pPr>
    <w:rPr>
      <w:sz w:val="18"/>
      <w:szCs w:val="18"/>
    </w:rPr>
  </w:style>
  <w:style w:type="paragraph" w:styleId="11">
    <w:name w:val="Date"/>
    <w:basedOn w:val="1"/>
    <w:next w:val="1"/>
    <w:qFormat/>
    <w:uiPriority w:val="0"/>
    <w:pPr>
      <w:ind w:left="100" w:leftChars="2500"/>
    </w:pPr>
    <w:rPr>
      <w:rFonts w:eastAsia="宋体"/>
      <w:sz w:val="21"/>
    </w:rPr>
  </w:style>
  <w:style w:type="paragraph" w:styleId="12">
    <w:name w:val="Balloon Text"/>
    <w:basedOn w:val="1"/>
    <w:link w:val="27"/>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8"/>
      <w:szCs w:val="20"/>
    </w:rPr>
  </w:style>
  <w:style w:type="paragraph" w:styleId="16">
    <w:name w:val="toc 4"/>
    <w:basedOn w:val="1"/>
    <w:next w:val="1"/>
    <w:qFormat/>
    <w:uiPriority w:val="39"/>
    <w:pPr>
      <w:tabs>
        <w:tab w:val="right" w:leader="dot" w:pos="8693"/>
      </w:tabs>
      <w:spacing w:line="300" w:lineRule="exact"/>
      <w:ind w:left="902"/>
      <w:jc w:val="left"/>
    </w:pPr>
    <w:rPr>
      <w:sz w:val="28"/>
      <w:szCs w:val="18"/>
    </w:rPr>
  </w:style>
  <w:style w:type="paragraph" w:styleId="17">
    <w:name w:val="toc 6"/>
    <w:basedOn w:val="1"/>
    <w:next w:val="1"/>
    <w:qFormat/>
    <w:uiPriority w:val="39"/>
    <w:pPr>
      <w:ind w:left="1500"/>
      <w:jc w:val="left"/>
    </w:pPr>
    <w:rPr>
      <w:sz w:val="18"/>
      <w:szCs w:val="18"/>
    </w:rPr>
  </w:style>
  <w:style w:type="paragraph" w:styleId="18">
    <w:name w:val="toc 2"/>
    <w:basedOn w:val="1"/>
    <w:next w:val="1"/>
    <w:qFormat/>
    <w:uiPriority w:val="39"/>
    <w:pPr>
      <w:spacing w:line="300" w:lineRule="exact"/>
      <w:jc w:val="left"/>
    </w:pPr>
    <w:rPr>
      <w:smallCaps/>
      <w:sz w:val="28"/>
      <w:szCs w:val="20"/>
    </w:rPr>
  </w:style>
  <w:style w:type="paragraph" w:styleId="19">
    <w:name w:val="toc 9"/>
    <w:basedOn w:val="1"/>
    <w:next w:val="1"/>
    <w:qFormat/>
    <w:uiPriority w:val="39"/>
    <w:pPr>
      <w:ind w:left="2400"/>
      <w:jc w:val="left"/>
    </w:pPr>
    <w:rPr>
      <w:sz w:val="18"/>
      <w:szCs w:val="18"/>
    </w:rPr>
  </w:style>
  <w:style w:type="paragraph" w:styleId="20">
    <w:name w:val="Title"/>
    <w:basedOn w:val="1"/>
    <w:next w:val="1"/>
    <w:link w:val="26"/>
    <w:qFormat/>
    <w:uiPriority w:val="10"/>
    <w:pPr>
      <w:jc w:val="left"/>
      <w:outlineLvl w:val="3"/>
    </w:pPr>
    <w:rPr>
      <w:rFonts w:ascii="Cambria" w:hAnsi="Cambria"/>
      <w:bCs/>
      <w:szCs w:val="32"/>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unhideWhenUsed/>
    <w:qFormat/>
    <w:uiPriority w:val="99"/>
    <w:rPr>
      <w:sz w:val="21"/>
      <w:szCs w:val="21"/>
    </w:rPr>
  </w:style>
  <w:style w:type="character" w:customStyle="1" w:styleId="26">
    <w:name w:val="标题 Char"/>
    <w:basedOn w:val="21"/>
    <w:link w:val="20"/>
    <w:qFormat/>
    <w:uiPriority w:val="10"/>
    <w:rPr>
      <w:rFonts w:ascii="Cambria" w:hAnsi="Cambria" w:eastAsia="仿宋_GB2312" w:cs="Times New Roman"/>
      <w:bCs/>
      <w:kern w:val="2"/>
      <w:sz w:val="24"/>
      <w:szCs w:val="32"/>
    </w:rPr>
  </w:style>
  <w:style w:type="character" w:customStyle="1" w:styleId="27">
    <w:name w:val="批注框文本 Char"/>
    <w:link w:val="12"/>
    <w:qFormat/>
    <w:uiPriority w:val="0"/>
    <w:rPr>
      <w:rFonts w:eastAsia="仿宋_GB2312"/>
      <w:kern w:val="2"/>
      <w:sz w:val="18"/>
      <w:szCs w:val="18"/>
    </w:rPr>
  </w:style>
  <w:style w:type="character" w:customStyle="1" w:styleId="28">
    <w:name w:val="页脚 Char"/>
    <w:link w:val="13"/>
    <w:qFormat/>
    <w:uiPriority w:val="99"/>
    <w:rPr>
      <w:rFonts w:eastAsia="仿宋_GB2312"/>
      <w:kern w:val="2"/>
      <w:sz w:val="18"/>
      <w:szCs w:val="18"/>
    </w:rPr>
  </w:style>
  <w:style w:type="character" w:customStyle="1" w:styleId="29">
    <w:name w:val="apple-converted-space"/>
    <w:basedOn w:val="21"/>
    <w:qFormat/>
    <w:uiPriority w:val="0"/>
  </w:style>
  <w:style w:type="character" w:customStyle="1" w:styleId="30">
    <w:name w:val="批注文字 Char"/>
    <w:basedOn w:val="21"/>
    <w:link w:val="5"/>
    <w:semiHidden/>
    <w:qFormat/>
    <w:uiPriority w:val="99"/>
    <w:rPr>
      <w:rFonts w:eastAsia="仿宋_GB2312"/>
      <w:kern w:val="2"/>
      <w:sz w:val="24"/>
      <w:szCs w:val="24"/>
    </w:rPr>
  </w:style>
  <w:style w:type="character" w:customStyle="1" w:styleId="31">
    <w:name w:val="页眉 Char"/>
    <w:link w:val="14"/>
    <w:qFormat/>
    <w:uiPriority w:val="0"/>
    <w:rPr>
      <w:rFonts w:eastAsia="仿宋_GB2312"/>
      <w:kern w:val="2"/>
      <w:sz w:val="18"/>
      <w:szCs w:val="18"/>
    </w:rPr>
  </w:style>
  <w:style w:type="character" w:customStyle="1" w:styleId="32">
    <w:name w:val="批注主题 Char"/>
    <w:basedOn w:val="30"/>
    <w:link w:val="4"/>
    <w:semiHidden/>
    <w:qFormat/>
    <w:uiPriority w:val="99"/>
    <w:rPr>
      <w:rFonts w:eastAsia="仿宋_GB2312"/>
      <w:b/>
      <w:bCs/>
      <w:kern w:val="2"/>
      <w:sz w:val="24"/>
      <w:szCs w:val="24"/>
    </w:rPr>
  </w:style>
  <w:style w:type="character" w:customStyle="1" w:styleId="33">
    <w:name w:val="文档结构图 Char"/>
    <w:basedOn w:val="21"/>
    <w:link w:val="7"/>
    <w:semiHidden/>
    <w:qFormat/>
    <w:uiPriority w:val="99"/>
    <w:rPr>
      <w:rFonts w:ascii="宋体"/>
      <w:kern w:val="2"/>
      <w:sz w:val="18"/>
      <w:szCs w:val="18"/>
    </w:rPr>
  </w:style>
  <w:style w:type="paragraph" w:customStyle="1" w:styleId="34">
    <w:name w:val="_Style 1"/>
    <w:basedOn w:val="1"/>
    <w:qFormat/>
    <w:uiPriority w:val="0"/>
    <w:rPr>
      <w:rFonts w:eastAsia="宋体"/>
      <w:sz w:val="21"/>
    </w:rPr>
  </w:style>
  <w:style w:type="paragraph" w:customStyle="1" w:styleId="35">
    <w:name w:val="无间隔1"/>
    <w:qFormat/>
    <w:uiPriority w:val="1"/>
    <w:pPr>
      <w:widowControl w:val="0"/>
      <w:spacing w:line="360" w:lineRule="auto"/>
      <w:ind w:firstLine="200" w:firstLineChars="200"/>
      <w:outlineLvl w:val="2"/>
    </w:pPr>
    <w:rPr>
      <w:rFonts w:ascii="Times New Roman" w:hAnsi="Times New Roman" w:eastAsia="仿宋_GB2312" w:cs="Times New Roman"/>
      <w:kern w:val="2"/>
      <w:sz w:val="24"/>
      <w:szCs w:val="24"/>
      <w:lang w:val="en-US" w:eastAsia="zh-CN" w:bidi="ar-SA"/>
    </w:rPr>
  </w:style>
  <w:style w:type="paragraph" w:customStyle="1" w:styleId="36">
    <w:name w:val="TOC 标题1"/>
    <w:basedOn w:val="2"/>
    <w:next w:val="1"/>
    <w:qFormat/>
    <w:uiPriority w:val="39"/>
    <w:pPr>
      <w:widowControl/>
      <w:spacing w:before="480" w:line="276" w:lineRule="auto"/>
      <w:outlineLvl w:val="9"/>
    </w:pPr>
    <w:rPr>
      <w:rFonts w:ascii="Cambria" w:hAnsi="Cambria" w:eastAsia="宋体"/>
      <w:color w:val="365F91"/>
      <w:kern w:val="0"/>
      <w:szCs w:val="28"/>
    </w:rPr>
  </w:style>
  <w:style w:type="paragraph" w:customStyle="1" w:styleId="37">
    <w:name w:val="列出段落1"/>
    <w:basedOn w:val="1"/>
    <w:qFormat/>
    <w:uiPriority w:val="34"/>
    <w:pPr>
      <w:ind w:firstLine="420"/>
    </w:pPr>
  </w:style>
  <w:style w:type="paragraph" w:customStyle="1" w:styleId="38">
    <w:name w:val="列出段落2"/>
    <w:basedOn w:val="1"/>
    <w:qFormat/>
    <w:uiPriority w:val="34"/>
    <w:pPr>
      <w:ind w:firstLine="420"/>
    </w:pPr>
  </w:style>
  <w:style w:type="paragraph" w:customStyle="1" w:styleId="39">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40">
    <w:name w:val="列出段落3"/>
    <w:basedOn w:val="1"/>
    <w:unhideWhenUsed/>
    <w:qFormat/>
    <w:uiPriority w:val="99"/>
    <w:pPr>
      <w:ind w:firstLine="420"/>
    </w:pPr>
  </w:style>
  <w:style w:type="paragraph" w:styleId="41">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hart" Target="charts/chart5.xml"/><Relationship Id="rId25" Type="http://schemas.openxmlformats.org/officeDocument/2006/relationships/chart" Target="charts/chart4.xml"/><Relationship Id="rId24" Type="http://schemas.openxmlformats.org/officeDocument/2006/relationships/chart" Target="charts/chart3.xml"/><Relationship Id="rId23" Type="http://schemas.openxmlformats.org/officeDocument/2006/relationships/chart" Target="charts/chart2.xml"/><Relationship Id="rId22" Type="http://schemas.openxmlformats.org/officeDocument/2006/relationships/chart" Target="charts/chart1.xml"/><Relationship Id="rId21" Type="http://schemas.openxmlformats.org/officeDocument/2006/relationships/diagramColors" Target="diagrams/colors2.xml"/><Relationship Id="rId20" Type="http://schemas.openxmlformats.org/officeDocument/2006/relationships/diagramQuickStyle" Target="diagrams/quickStyle2.xml"/><Relationship Id="rId2" Type="http://schemas.openxmlformats.org/officeDocument/2006/relationships/settings" Target="settings.xml"/><Relationship Id="rId19" Type="http://schemas.openxmlformats.org/officeDocument/2006/relationships/diagramLayout" Target="diagrams/layout2.xml"/><Relationship Id="rId18" Type="http://schemas.openxmlformats.org/officeDocument/2006/relationships/diagramData" Target="diagrams/data2.xml"/><Relationship Id="rId17" Type="http://schemas.openxmlformats.org/officeDocument/2006/relationships/image" Target="media/image3.png"/><Relationship Id="rId16" Type="http://schemas.openxmlformats.org/officeDocument/2006/relationships/diagramColors" Target="diagrams/colors1.xml"/><Relationship Id="rId15" Type="http://schemas.openxmlformats.org/officeDocument/2006/relationships/diagramQuickStyle" Target="diagrams/quickStyle1.xml"/><Relationship Id="rId14" Type="http://schemas.openxmlformats.org/officeDocument/2006/relationships/diagramLayout" Target="diagrams/layout1.xml"/><Relationship Id="rId13" Type="http://schemas.openxmlformats.org/officeDocument/2006/relationships/diagramData" Target="diagrams/data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8468;&#20214;3&#65306;&#32489;&#25928;&#35780;&#20215;&#25351;&#26631;&#20307;&#31995;&#26694;&#26550;-&#22478;&#31649;&#21327;&#35843;&#21150;5.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5209;&#27880;\&#38468;&#20214;1&#65306;&#32489;&#25928;&#35780;&#20215;&#25351;&#26631;&#20307;&#31995;&#26694;&#26550;-&#22478;&#31649;&#21327;&#35843;&#21150;5.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8468;&#20214;1&#65306;&#39033;&#30446;&#32489;&#25928;&#35780;&#20215;&#35780;&#20998;&#34920;&#21450;&#35828;&#26126;-&#22478;&#31649;&#21327;&#35843;&#21150;5.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8468;&#20214;1&#65306;&#39033;&#30446;&#32489;&#25928;&#35780;&#20215;&#35780;&#20998;&#34920;&#21450;&#35828;&#26126;-&#22478;&#31649;&#21327;&#35843;&#21150;5.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5209;&#27880;\&#38468;&#20214;1&#65306;&#32489;&#25928;&#35780;&#20215;&#25351;&#26631;&#20307;&#31995;&#26694;&#26550;-&#22478;&#31649;&#21327;&#35843;&#21150;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项目投入</a:t>
            </a:r>
            <a:endParaRPr lang="zh-CN" altLang="en-US"/>
          </a:p>
        </c:rich>
      </c:tx>
      <c:layout/>
      <c:overlay val="0"/>
      <c:spPr>
        <a:noFill/>
        <a:ln>
          <a:noFill/>
        </a:ln>
        <a:effectLst/>
      </c:spPr>
    </c:title>
    <c:autoTitleDeleted val="0"/>
    <c:plotArea>
      <c:layout>
        <c:manualLayout>
          <c:layoutTarget val="inner"/>
          <c:xMode val="edge"/>
          <c:yMode val="edge"/>
          <c:x val="0.0684166666666668"/>
          <c:y val="0.172916666666667"/>
          <c:w val="0.901027777777778"/>
          <c:h val="0.607268518518519"/>
        </c:manualLayout>
      </c:layout>
      <c:barChart>
        <c:barDir val="col"/>
        <c:grouping val="clustered"/>
        <c:varyColors val="0"/>
        <c:ser>
          <c:idx val="0"/>
          <c:order val="0"/>
          <c:tx>
            <c:strRef>
              <c:f>'[附件3：绩效评价指标体系框架-城管协调办5.5.xls]Sheet1'!$D$5</c:f>
              <c:strCache>
                <c:ptCount val="1"/>
                <c:pt idx="0">
                  <c:v>指标权重</c:v>
                </c:pt>
              </c:strCache>
            </c:strRef>
          </c:tx>
          <c:spPr>
            <a:solidFill>
              <a:schemeClr val="accent6">
                <a:lumMod val="40000"/>
                <a:lumOff val="60000"/>
              </a:schemeClr>
            </a:solidFill>
            <a:ln>
              <a:noFill/>
            </a:ln>
            <a:effectLst/>
          </c:spPr>
          <c:invertIfNegative val="0"/>
          <c:dLbls>
            <c:delete val="1"/>
          </c:dLbls>
          <c:cat>
            <c:strRef>
              <c:f>'[附件3：绩效评价指标体系框架-城管协调办5.5.xls]Sheet1'!$C$6:$C$9</c:f>
              <c:strCache>
                <c:ptCount val="4"/>
                <c:pt idx="0">
                  <c:v>项目立项规范性</c:v>
                </c:pt>
                <c:pt idx="1">
                  <c:v>绩效目标合理性</c:v>
                </c:pt>
                <c:pt idx="2">
                  <c:v>资金到位率</c:v>
                </c:pt>
                <c:pt idx="3">
                  <c:v>到位及时率</c:v>
                </c:pt>
              </c:strCache>
            </c:strRef>
          </c:cat>
          <c:val>
            <c:numRef>
              <c:f>'[附件3：绩效评价指标体系框架-城管协调办5.5.xls]Sheet1'!$D$6:$D$9</c:f>
              <c:numCache>
                <c:formatCode>General</c:formatCode>
                <c:ptCount val="4"/>
                <c:pt idx="0">
                  <c:v>4</c:v>
                </c:pt>
                <c:pt idx="1">
                  <c:v>4</c:v>
                </c:pt>
                <c:pt idx="2">
                  <c:v>4</c:v>
                </c:pt>
                <c:pt idx="3">
                  <c:v>4</c:v>
                </c:pt>
              </c:numCache>
            </c:numRef>
          </c:val>
        </c:ser>
        <c:ser>
          <c:idx val="1"/>
          <c:order val="1"/>
          <c:tx>
            <c:strRef>
              <c:f>'[附件3：绩效评价指标体系框架-城管协调办5.5.xls]Sheet1'!$E$5</c:f>
              <c:strCache>
                <c:ptCount val="1"/>
                <c:pt idx="0">
                  <c:v>指标评分</c:v>
                </c:pt>
              </c:strCache>
            </c:strRef>
          </c:tx>
          <c:spPr>
            <a:solidFill>
              <a:schemeClr val="accent4">
                <a:lumMod val="75000"/>
              </a:schemeClr>
            </a:solidFill>
            <a:ln>
              <a:noFill/>
            </a:ln>
            <a:effectLst/>
          </c:spPr>
          <c:invertIfNegative val="0"/>
          <c:dLbls>
            <c:delete val="1"/>
          </c:dLbls>
          <c:cat>
            <c:strRef>
              <c:f>'[附件3：绩效评价指标体系框架-城管协调办5.5.xls]Sheet1'!$C$6:$C$9</c:f>
              <c:strCache>
                <c:ptCount val="4"/>
                <c:pt idx="0">
                  <c:v>项目立项规范性</c:v>
                </c:pt>
                <c:pt idx="1">
                  <c:v>绩效目标合理性</c:v>
                </c:pt>
                <c:pt idx="2">
                  <c:v>资金到位率</c:v>
                </c:pt>
                <c:pt idx="3">
                  <c:v>到位及时率</c:v>
                </c:pt>
              </c:strCache>
            </c:strRef>
          </c:cat>
          <c:val>
            <c:numRef>
              <c:f>'[附件3：绩效评价指标体系框架-城管协调办5.5.xls]Sheet1'!$E$6:$E$9</c:f>
              <c:numCache>
                <c:formatCode>General</c:formatCode>
                <c:ptCount val="4"/>
                <c:pt idx="0">
                  <c:v>3</c:v>
                </c:pt>
                <c:pt idx="1">
                  <c:v>2</c:v>
                </c:pt>
                <c:pt idx="2">
                  <c:v>4</c:v>
                </c:pt>
                <c:pt idx="3">
                  <c:v>4</c:v>
                </c:pt>
              </c:numCache>
            </c:numRef>
          </c:val>
        </c:ser>
        <c:dLbls>
          <c:showLegendKey val="0"/>
          <c:showVal val="0"/>
          <c:showCatName val="0"/>
          <c:showSerName val="0"/>
          <c:showPercent val="0"/>
          <c:showBubbleSize val="0"/>
        </c:dLbls>
        <c:gapWidth val="219"/>
        <c:overlap val="-27"/>
        <c:axId val="331793536"/>
        <c:axId val="331795072"/>
      </c:barChart>
      <c:catAx>
        <c:axId val="3317935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795072"/>
        <c:crosses val="autoZero"/>
        <c:auto val="1"/>
        <c:lblAlgn val="ctr"/>
        <c:lblOffset val="100"/>
        <c:noMultiLvlLbl val="0"/>
      </c:catAx>
      <c:valAx>
        <c:axId val="331795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7935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项目过程</a:t>
            </a:r>
            <a:endParaRPr lang="zh-CN" altLang="en-US"/>
          </a:p>
        </c:rich>
      </c:tx>
      <c:layout>
        <c:manualLayout>
          <c:xMode val="edge"/>
          <c:yMode val="edge"/>
          <c:x val="0.414444444444444"/>
          <c:y val="0.0416666666666667"/>
        </c:manualLayout>
      </c:layout>
      <c:overlay val="0"/>
      <c:spPr>
        <a:noFill/>
        <a:ln>
          <a:noFill/>
        </a:ln>
        <a:effectLst/>
      </c:spPr>
    </c:title>
    <c:autoTitleDeleted val="0"/>
    <c:plotArea>
      <c:layout/>
      <c:barChart>
        <c:barDir val="col"/>
        <c:grouping val="clustered"/>
        <c:varyColors val="0"/>
        <c:ser>
          <c:idx val="0"/>
          <c:order val="0"/>
          <c:tx>
            <c:strRef>
              <c:f>'[附件1：绩效评价指标体系框架-城管协调办5.5.xls]Sheet1'!$C$14</c:f>
              <c:strCache>
                <c:ptCount val="1"/>
                <c:pt idx="0">
                  <c:v>指标权重</c:v>
                </c:pt>
              </c:strCache>
            </c:strRef>
          </c:tx>
          <c:spPr>
            <a:solidFill>
              <a:schemeClr val="accent6">
                <a:lumMod val="60000"/>
                <a:lumOff val="40000"/>
              </a:schemeClr>
            </a:solidFill>
            <a:ln>
              <a:noFill/>
            </a:ln>
            <a:effectLst/>
          </c:spPr>
          <c:invertIfNegative val="0"/>
          <c:dLbls>
            <c:delete val="1"/>
          </c:dLbls>
          <c:cat>
            <c:strRef>
              <c:f>'[附件1：绩效评价指标体系框架-城管协调办5.5.xls]Sheet1'!$B$15:$B$20</c:f>
              <c:strCache>
                <c:ptCount val="6"/>
                <c:pt idx="0">
                  <c:v>管理制度健全性</c:v>
                </c:pt>
                <c:pt idx="1">
                  <c:v>制度执行有效性</c:v>
                </c:pt>
                <c:pt idx="2">
                  <c:v>项目质量可控性</c:v>
                </c:pt>
                <c:pt idx="3">
                  <c:v>管理制度健全性</c:v>
                </c:pt>
                <c:pt idx="4">
                  <c:v>资金使用合规性</c:v>
                </c:pt>
                <c:pt idx="5">
                  <c:v>财务监控有效性</c:v>
                </c:pt>
              </c:strCache>
            </c:strRef>
          </c:cat>
          <c:val>
            <c:numRef>
              <c:f>'[附件1：绩效评价指标体系框架-城管协调办5.5.xls]Sheet1'!$C$15:$C$20</c:f>
              <c:numCache>
                <c:formatCode>General</c:formatCode>
                <c:ptCount val="6"/>
                <c:pt idx="0">
                  <c:v>4</c:v>
                </c:pt>
                <c:pt idx="1">
                  <c:v>4</c:v>
                </c:pt>
                <c:pt idx="2">
                  <c:v>4</c:v>
                </c:pt>
                <c:pt idx="3">
                  <c:v>4</c:v>
                </c:pt>
                <c:pt idx="4">
                  <c:v>4</c:v>
                </c:pt>
                <c:pt idx="5">
                  <c:v>4</c:v>
                </c:pt>
              </c:numCache>
            </c:numRef>
          </c:val>
        </c:ser>
        <c:ser>
          <c:idx val="1"/>
          <c:order val="1"/>
          <c:tx>
            <c:strRef>
              <c:f>'[附件1：绩效评价指标体系框架-城管协调办5.5.xls]Sheet1'!$D$14</c:f>
              <c:strCache>
                <c:ptCount val="1"/>
                <c:pt idx="0">
                  <c:v>指标评分</c:v>
                </c:pt>
              </c:strCache>
            </c:strRef>
          </c:tx>
          <c:spPr>
            <a:solidFill>
              <a:schemeClr val="accent2"/>
            </a:solidFill>
            <a:ln>
              <a:noFill/>
            </a:ln>
            <a:effectLst/>
          </c:spPr>
          <c:invertIfNegative val="0"/>
          <c:dLbls>
            <c:delete val="1"/>
          </c:dLbls>
          <c:cat>
            <c:strRef>
              <c:f>'[附件1：绩效评价指标体系框架-城管协调办5.5.xls]Sheet1'!$B$15:$B$20</c:f>
              <c:strCache>
                <c:ptCount val="6"/>
                <c:pt idx="0">
                  <c:v>管理制度健全性</c:v>
                </c:pt>
                <c:pt idx="1">
                  <c:v>制度执行有效性</c:v>
                </c:pt>
                <c:pt idx="2">
                  <c:v>项目质量可控性</c:v>
                </c:pt>
                <c:pt idx="3">
                  <c:v>管理制度健全性</c:v>
                </c:pt>
                <c:pt idx="4">
                  <c:v>资金使用合规性</c:v>
                </c:pt>
                <c:pt idx="5">
                  <c:v>财务监控有效性</c:v>
                </c:pt>
              </c:strCache>
            </c:strRef>
          </c:cat>
          <c:val>
            <c:numRef>
              <c:f>'[附件1：绩效评价指标体系框架-城管协调办5.5.xls]Sheet1'!$D$15:$D$20</c:f>
              <c:numCache>
                <c:formatCode>General</c:formatCode>
                <c:ptCount val="6"/>
                <c:pt idx="0">
                  <c:v>2</c:v>
                </c:pt>
                <c:pt idx="1">
                  <c:v>4</c:v>
                </c:pt>
                <c:pt idx="2">
                  <c:v>2</c:v>
                </c:pt>
                <c:pt idx="3">
                  <c:v>4</c:v>
                </c:pt>
                <c:pt idx="4">
                  <c:v>4</c:v>
                </c:pt>
                <c:pt idx="5">
                  <c:v>3</c:v>
                </c:pt>
              </c:numCache>
            </c:numRef>
          </c:val>
        </c:ser>
        <c:dLbls>
          <c:showLegendKey val="0"/>
          <c:showVal val="0"/>
          <c:showCatName val="0"/>
          <c:showSerName val="0"/>
          <c:showPercent val="0"/>
          <c:showBubbleSize val="0"/>
        </c:dLbls>
        <c:gapWidth val="219"/>
        <c:overlap val="-27"/>
        <c:axId val="331807744"/>
        <c:axId val="320484096"/>
      </c:barChart>
      <c:catAx>
        <c:axId val="3318077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484096"/>
        <c:crosses val="autoZero"/>
        <c:auto val="1"/>
        <c:lblAlgn val="ctr"/>
        <c:lblOffset val="100"/>
        <c:noMultiLvlLbl val="0"/>
      </c:catAx>
      <c:valAx>
        <c:axId val="320484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807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项目产出</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'[附件1：项目绩效评价评分表及说明-城管协调办5.5.xls]Sheet1'!$K$3</c:f>
              <c:strCache>
                <c:ptCount val="1"/>
                <c:pt idx="0">
                  <c:v>指标权重</c:v>
                </c:pt>
              </c:strCache>
            </c:strRef>
          </c:tx>
          <c:spPr>
            <a:solidFill>
              <a:schemeClr val="bg1">
                <a:lumMod val="75000"/>
              </a:schemeClr>
            </a:solidFill>
            <a:ln>
              <a:noFill/>
            </a:ln>
            <a:effectLst/>
          </c:spPr>
          <c:invertIfNegative val="0"/>
          <c:dLbls>
            <c:delete val="1"/>
          </c:dLbls>
          <c:cat>
            <c:strRef>
              <c:f>'[附件1：项目绩效评价评分表及说明-城管协调办5.5.xls]Sheet1'!$J$4:$J$9</c:f>
              <c:strCache>
                <c:ptCount val="6"/>
                <c:pt idx="0">
                  <c:v>自来水问题协调完成率</c:v>
                </c:pt>
                <c:pt idx="1">
                  <c:v>供电问题协调完成率</c:v>
                </c:pt>
                <c:pt idx="2">
                  <c:v>天然气问题协调完成率</c:v>
                </c:pt>
                <c:pt idx="3">
                  <c:v>其他问题协调完成率</c:v>
                </c:pt>
                <c:pt idx="4">
                  <c:v>疏导及时率</c:v>
                </c:pt>
                <c:pt idx="5">
                  <c:v>资金使用率</c:v>
                </c:pt>
              </c:strCache>
            </c:strRef>
          </c:cat>
          <c:val>
            <c:numRef>
              <c:f>'[附件1：项目绩效评价评分表及说明-城管协调办5.5.xls]Sheet1'!$K$4:$K$9</c:f>
              <c:numCache>
                <c:formatCode>General</c:formatCode>
                <c:ptCount val="6"/>
                <c:pt idx="0">
                  <c:v>5</c:v>
                </c:pt>
                <c:pt idx="1">
                  <c:v>5</c:v>
                </c:pt>
                <c:pt idx="2">
                  <c:v>5</c:v>
                </c:pt>
                <c:pt idx="3">
                  <c:v>5</c:v>
                </c:pt>
                <c:pt idx="4">
                  <c:v>5</c:v>
                </c:pt>
                <c:pt idx="5">
                  <c:v>5</c:v>
                </c:pt>
              </c:numCache>
            </c:numRef>
          </c:val>
        </c:ser>
        <c:ser>
          <c:idx val="1"/>
          <c:order val="1"/>
          <c:tx>
            <c:strRef>
              <c:f>'[附件1：项目绩效评价评分表及说明-城管协调办5.5.xls]Sheet1'!$L$3</c:f>
              <c:strCache>
                <c:ptCount val="1"/>
                <c:pt idx="0">
                  <c:v>指标评分</c:v>
                </c:pt>
              </c:strCache>
            </c:strRef>
          </c:tx>
          <c:spPr>
            <a:solidFill>
              <a:schemeClr val="accent1">
                <a:lumMod val="75000"/>
              </a:schemeClr>
            </a:solidFill>
            <a:ln>
              <a:noFill/>
            </a:ln>
            <a:effectLst/>
          </c:spPr>
          <c:invertIfNegative val="0"/>
          <c:dLbls>
            <c:delete val="1"/>
          </c:dLbls>
          <c:cat>
            <c:strRef>
              <c:f>'[附件1：项目绩效评价评分表及说明-城管协调办5.5.xls]Sheet1'!$J$4:$J$9</c:f>
              <c:strCache>
                <c:ptCount val="6"/>
                <c:pt idx="0">
                  <c:v>自来水问题协调完成率</c:v>
                </c:pt>
                <c:pt idx="1">
                  <c:v>供电问题协调完成率</c:v>
                </c:pt>
                <c:pt idx="2">
                  <c:v>天然气问题协调完成率</c:v>
                </c:pt>
                <c:pt idx="3">
                  <c:v>其他问题协调完成率</c:v>
                </c:pt>
                <c:pt idx="4">
                  <c:v>疏导及时率</c:v>
                </c:pt>
                <c:pt idx="5">
                  <c:v>资金使用率</c:v>
                </c:pt>
              </c:strCache>
            </c:strRef>
          </c:cat>
          <c:val>
            <c:numRef>
              <c:f>'[附件1：项目绩效评价评分表及说明-城管协调办5.5.xls]Sheet1'!$L$4:$L$9</c:f>
              <c:numCache>
                <c:formatCode>General</c:formatCode>
                <c:ptCount val="6"/>
                <c:pt idx="0">
                  <c:v>5</c:v>
                </c:pt>
                <c:pt idx="1">
                  <c:v>5</c:v>
                </c:pt>
                <c:pt idx="2">
                  <c:v>5</c:v>
                </c:pt>
                <c:pt idx="3">
                  <c:v>5</c:v>
                </c:pt>
                <c:pt idx="4">
                  <c:v>5</c:v>
                </c:pt>
                <c:pt idx="5">
                  <c:v>4</c:v>
                </c:pt>
              </c:numCache>
            </c:numRef>
          </c:val>
        </c:ser>
        <c:dLbls>
          <c:showLegendKey val="0"/>
          <c:showVal val="0"/>
          <c:showCatName val="0"/>
          <c:showSerName val="0"/>
          <c:showPercent val="0"/>
          <c:showBubbleSize val="0"/>
        </c:dLbls>
        <c:gapWidth val="219"/>
        <c:overlap val="-27"/>
        <c:axId val="281814528"/>
        <c:axId val="281816064"/>
      </c:barChart>
      <c:catAx>
        <c:axId val="2818145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1816064"/>
        <c:crosses val="autoZero"/>
        <c:auto val="1"/>
        <c:lblAlgn val="ctr"/>
        <c:lblOffset val="100"/>
        <c:noMultiLvlLbl val="0"/>
      </c:catAx>
      <c:valAx>
        <c:axId val="281816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18145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项目效果</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'[附件1：项目绩效评价评分表及说明-城管协调办5.5.xls]Sheet1'!$D$25</c:f>
              <c:strCache>
                <c:ptCount val="1"/>
                <c:pt idx="0">
                  <c:v>指标权重</c:v>
                </c:pt>
              </c:strCache>
            </c:strRef>
          </c:tx>
          <c:spPr>
            <a:solidFill>
              <a:srgbClr val="FFC000"/>
            </a:solidFill>
            <a:ln>
              <a:noFill/>
            </a:ln>
            <a:effectLst/>
          </c:spPr>
          <c:invertIfNegative val="0"/>
          <c:dLbls>
            <c:delete val="1"/>
          </c:dLbls>
          <c:cat>
            <c:strRef>
              <c:f>'[附件1：项目绩效评价评分表及说明-城管协调办5.5.xls]Sheet1'!$C$26:$C$31</c:f>
              <c:strCache>
                <c:ptCount val="6"/>
                <c:pt idx="0">
                  <c:v>协调工作覆盖面</c:v>
                </c:pt>
                <c:pt idx="1">
                  <c:v>协调办工作宣传力度</c:v>
                </c:pt>
                <c:pt idx="2">
                  <c:v>协调渠道多样性</c:v>
                </c:pt>
                <c:pt idx="3">
                  <c:v>可持续性</c:v>
                </c:pt>
                <c:pt idx="4">
                  <c:v>政府内部单位满意度</c:v>
                </c:pt>
                <c:pt idx="5">
                  <c:v>社区居民满意度</c:v>
                </c:pt>
              </c:strCache>
            </c:strRef>
          </c:cat>
          <c:val>
            <c:numRef>
              <c:f>'[附件1：项目绩效评价评分表及说明-城管协调办5.5.xls]Sheet1'!$D$26:$D$31</c:f>
              <c:numCache>
                <c:formatCode>General</c:formatCode>
                <c:ptCount val="6"/>
                <c:pt idx="0">
                  <c:v>5</c:v>
                </c:pt>
                <c:pt idx="1">
                  <c:v>5</c:v>
                </c:pt>
                <c:pt idx="2">
                  <c:v>5</c:v>
                </c:pt>
                <c:pt idx="3">
                  <c:v>5</c:v>
                </c:pt>
                <c:pt idx="4">
                  <c:v>5</c:v>
                </c:pt>
                <c:pt idx="5">
                  <c:v>5</c:v>
                </c:pt>
              </c:numCache>
            </c:numRef>
          </c:val>
        </c:ser>
        <c:ser>
          <c:idx val="1"/>
          <c:order val="1"/>
          <c:tx>
            <c:strRef>
              <c:f>'[附件1：项目绩效评价评分表及说明-城管协调办5.5.xls]Sheet1'!$E$25</c:f>
              <c:strCache>
                <c:ptCount val="1"/>
                <c:pt idx="0">
                  <c:v>指标评分</c:v>
                </c:pt>
              </c:strCache>
            </c:strRef>
          </c:tx>
          <c:spPr>
            <a:solidFill>
              <a:schemeClr val="tx1">
                <a:lumMod val="65000"/>
                <a:lumOff val="35000"/>
              </a:schemeClr>
            </a:solidFill>
            <a:ln>
              <a:noFill/>
            </a:ln>
            <a:effectLst/>
          </c:spPr>
          <c:invertIfNegative val="0"/>
          <c:dLbls>
            <c:delete val="1"/>
          </c:dLbls>
          <c:cat>
            <c:strRef>
              <c:f>'[附件1：项目绩效评价评分表及说明-城管协调办5.5.xls]Sheet1'!$C$26:$C$31</c:f>
              <c:strCache>
                <c:ptCount val="6"/>
                <c:pt idx="0">
                  <c:v>协调工作覆盖面</c:v>
                </c:pt>
                <c:pt idx="1">
                  <c:v>协调办工作宣传力度</c:v>
                </c:pt>
                <c:pt idx="2">
                  <c:v>协调渠道多样性</c:v>
                </c:pt>
                <c:pt idx="3">
                  <c:v>可持续性</c:v>
                </c:pt>
                <c:pt idx="4">
                  <c:v>政府内部单位满意度</c:v>
                </c:pt>
                <c:pt idx="5">
                  <c:v>社区居民满意度</c:v>
                </c:pt>
              </c:strCache>
            </c:strRef>
          </c:cat>
          <c:val>
            <c:numRef>
              <c:f>'[附件1：项目绩效评价评分表及说明-城管协调办5.5.xls]Sheet1'!$E$26:$E$31</c:f>
              <c:numCache>
                <c:formatCode>General</c:formatCode>
                <c:ptCount val="6"/>
                <c:pt idx="0">
                  <c:v>5</c:v>
                </c:pt>
                <c:pt idx="1">
                  <c:v>1</c:v>
                </c:pt>
                <c:pt idx="2">
                  <c:v>5</c:v>
                </c:pt>
                <c:pt idx="3">
                  <c:v>3.5</c:v>
                </c:pt>
                <c:pt idx="4">
                  <c:v>5</c:v>
                </c:pt>
                <c:pt idx="5">
                  <c:v>5</c:v>
                </c:pt>
              </c:numCache>
            </c:numRef>
          </c:val>
        </c:ser>
        <c:dLbls>
          <c:showLegendKey val="0"/>
          <c:showVal val="0"/>
          <c:showCatName val="0"/>
          <c:showSerName val="0"/>
          <c:showPercent val="0"/>
          <c:showBubbleSize val="0"/>
        </c:dLbls>
        <c:gapWidth val="219"/>
        <c:overlap val="-27"/>
        <c:axId val="320675840"/>
        <c:axId val="320677376"/>
      </c:barChart>
      <c:catAx>
        <c:axId val="3206758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677376"/>
        <c:crosses val="autoZero"/>
        <c:auto val="1"/>
        <c:lblAlgn val="ctr"/>
        <c:lblOffset val="100"/>
        <c:noMultiLvlLbl val="0"/>
      </c:catAx>
      <c:valAx>
        <c:axId val="320677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675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区老年大学等</a:t>
            </a:r>
            <a:r>
              <a:rPr lang="zh-CN" altLang="en-US"/>
              <a:t>工作经费项目</a:t>
            </a:r>
            <a:endParaRPr lang="zh-CN" altLang="en-US"/>
          </a:p>
        </c:rich>
      </c:tx>
      <c:layout/>
      <c:overlay val="0"/>
      <c:spPr>
        <a:noFill/>
        <a:ln>
          <a:noFill/>
        </a:ln>
        <a:effectLst/>
      </c:spPr>
    </c:title>
    <c:autoTitleDeleted val="0"/>
    <c:plotArea>
      <c:layout>
        <c:manualLayout>
          <c:layoutTarget val="inner"/>
          <c:xMode val="edge"/>
          <c:yMode val="edge"/>
          <c:x val="0.0764698162729659"/>
          <c:y val="0.260750853242321"/>
          <c:w val="0.890196850393701"/>
          <c:h val="0.419874768213701"/>
        </c:manualLayout>
      </c:layout>
      <c:barChart>
        <c:barDir val="col"/>
        <c:grouping val="clustered"/>
        <c:varyColors val="0"/>
        <c:ser>
          <c:idx val="0"/>
          <c:order val="0"/>
          <c:tx>
            <c:strRef>
              <c:f>'[附件1：绩效评价指标体系框架-城管协调办5.5.xls]Sheet2'!$L$78</c:f>
              <c:strCache>
                <c:ptCount val="1"/>
                <c:pt idx="0">
                  <c:v>准则分值</c:v>
                </c:pt>
              </c:strCache>
            </c:strRef>
          </c:tx>
          <c:spPr>
            <a:solidFill>
              <a:srgbClr val="FFC000"/>
            </a:solidFill>
            <a:ln>
              <a:noFill/>
            </a:ln>
            <a:effectLst/>
          </c:spPr>
          <c:invertIfNegative val="0"/>
          <c:dLbls>
            <c:delete val="1"/>
          </c:dLbls>
          <c:cat>
            <c:strRef>
              <c:f>'[附件1：绩效评价指标体系框架-城管协调办5.5.xls]Sheet2'!$A$79:$K$83</c:f>
              <c:strCache>
                <c:ptCount val="5"/>
                <c:pt idx="0">
                  <c:v>项目投入</c:v>
                </c:pt>
                <c:pt idx="1">
                  <c:v>项目过程</c:v>
                </c:pt>
                <c:pt idx="2">
                  <c:v>项目产出</c:v>
                </c:pt>
                <c:pt idx="3">
                  <c:v>项目效果</c:v>
                </c:pt>
                <c:pt idx="4">
                  <c:v>综合绩效</c:v>
                </c:pt>
              </c:strCache>
            </c:strRef>
          </c:cat>
          <c:val>
            <c:numRef>
              <c:f>'[附件1：绩效评价指标体系框架-城管协调办5.5.xls]Sheet2'!$L$79:$L$83</c:f>
              <c:numCache>
                <c:formatCode>General</c:formatCode>
                <c:ptCount val="5"/>
                <c:pt idx="0">
                  <c:v>16</c:v>
                </c:pt>
                <c:pt idx="1">
                  <c:v>24</c:v>
                </c:pt>
                <c:pt idx="2">
                  <c:v>30</c:v>
                </c:pt>
                <c:pt idx="3">
                  <c:v>30</c:v>
                </c:pt>
                <c:pt idx="4">
                  <c:v>100</c:v>
                </c:pt>
              </c:numCache>
            </c:numRef>
          </c:val>
        </c:ser>
        <c:ser>
          <c:idx val="1"/>
          <c:order val="1"/>
          <c:tx>
            <c:strRef>
              <c:f>'[附件1：绩效评价指标体系框架-城管协调办5.5.xls]Sheet2'!$M$78</c:f>
              <c:strCache>
                <c:ptCount val="1"/>
                <c:pt idx="0">
                  <c:v>评价得分</c:v>
                </c:pt>
              </c:strCache>
            </c:strRef>
          </c:tx>
          <c:spPr>
            <a:solidFill>
              <a:schemeClr val="accent4">
                <a:lumMod val="75000"/>
              </a:schemeClr>
            </a:solidFill>
            <a:ln>
              <a:noFill/>
            </a:ln>
            <a:effectLst/>
          </c:spPr>
          <c:invertIfNegative val="0"/>
          <c:dLbls>
            <c:delete val="1"/>
          </c:dLbls>
          <c:cat>
            <c:strRef>
              <c:f>'[附件1：绩效评价指标体系框架-城管协调办5.5.xls]Sheet2'!$A$79:$K$83</c:f>
              <c:strCache>
                <c:ptCount val="5"/>
                <c:pt idx="0">
                  <c:v>项目投入</c:v>
                </c:pt>
                <c:pt idx="1">
                  <c:v>项目过程</c:v>
                </c:pt>
                <c:pt idx="2">
                  <c:v>项目产出</c:v>
                </c:pt>
                <c:pt idx="3">
                  <c:v>项目效果</c:v>
                </c:pt>
                <c:pt idx="4">
                  <c:v>综合绩效</c:v>
                </c:pt>
              </c:strCache>
            </c:strRef>
          </c:cat>
          <c:val>
            <c:numRef>
              <c:f>'[附件1：绩效评价指标体系框架-城管协调办5.5.xls]Sheet2'!$M$79:$M$83</c:f>
              <c:numCache>
                <c:formatCode>General</c:formatCode>
                <c:ptCount val="5"/>
                <c:pt idx="0">
                  <c:v>14</c:v>
                </c:pt>
                <c:pt idx="1">
                  <c:v>20</c:v>
                </c:pt>
                <c:pt idx="2">
                  <c:v>29</c:v>
                </c:pt>
                <c:pt idx="3">
                  <c:v>24.5</c:v>
                </c:pt>
                <c:pt idx="4">
                  <c:v>87.5</c:v>
                </c:pt>
              </c:numCache>
            </c:numRef>
          </c:val>
        </c:ser>
        <c:dLbls>
          <c:showLegendKey val="0"/>
          <c:showVal val="0"/>
          <c:showCatName val="0"/>
          <c:showSerName val="0"/>
          <c:showPercent val="0"/>
          <c:showBubbleSize val="0"/>
        </c:dLbls>
        <c:gapWidth val="219"/>
        <c:overlap val="-27"/>
        <c:axId val="320690432"/>
        <c:axId val="320716800"/>
      </c:barChart>
      <c:catAx>
        <c:axId val="3206904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716800"/>
        <c:crosses val="autoZero"/>
        <c:auto val="1"/>
        <c:lblAlgn val="ctr"/>
        <c:lblOffset val="100"/>
        <c:noMultiLvlLbl val="0"/>
      </c:catAx>
      <c:valAx>
        <c:axId val="3207168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6904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p>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cxnId="{9039BC57-CC96-4B32-B42B-BB651741E847}" type="parTrans">
      <dgm:prSet/>
      <dgm:spPr/>
      <dgm:t>
        <a:bodyPr/>
        <a:p>
          <a:endParaRPr lang="zh-CN" altLang="en-US">
            <a:latin typeface="华文细黑" panose="02010600040101010101" pitchFamily="2" charset="-122"/>
            <a:ea typeface="华文细黑" panose="02010600040101010101" pitchFamily="2" charset="-122"/>
          </a:endParaRPr>
        </a:p>
      </dgm:t>
    </dgm:pt>
    <dgm:pt modelId="{A07EC271-6073-4E00-B05E-681FAB7ADB1E}" cxnId="{9039BC57-CC96-4B32-B42B-BB651741E847}" type="sibTrans">
      <dgm:prSet/>
      <dgm:spPr/>
      <dgm:t>
        <a:bodyPr/>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相关性原则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cxnId="{646836D6-B5FF-45ED-96B0-A9055A7B4AD8}" type="parTrans">
      <dgm:prSet/>
      <dgm:spPr/>
      <dgm:t>
        <a:bodyPr/>
        <a:p>
          <a:endParaRPr lang="zh-CN" altLang="en-US">
            <a:latin typeface="华文细黑" panose="02010600040101010101" pitchFamily="2" charset="-122"/>
            <a:ea typeface="华文细黑" panose="02010600040101010101" pitchFamily="2" charset="-122"/>
          </a:endParaRPr>
        </a:p>
      </dgm:t>
    </dgm:pt>
    <dgm:pt modelId="{80A89C0F-3ACD-4F85-903F-9949EB715D51}" cxnId="{646836D6-B5FF-45ED-96B0-A9055A7B4AD8}" type="sibTrans">
      <dgm:prSet/>
      <dgm:spPr/>
      <dgm:t>
        <a:bodyPr/>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系统性原则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cxnId="{7FEF86F8-D727-4C94-B442-E1DDF3E8D6F1}" type="parTrans">
      <dgm:prSet/>
      <dgm:spPr/>
      <dgm:t>
        <a:bodyPr/>
        <a:p>
          <a:endParaRPr lang="zh-CN" altLang="en-US">
            <a:latin typeface="华文细黑" panose="02010600040101010101" pitchFamily="2" charset="-122"/>
            <a:ea typeface="华文细黑" panose="02010600040101010101" pitchFamily="2" charset="-122"/>
          </a:endParaRPr>
        </a:p>
      </dgm:t>
    </dgm:pt>
    <dgm:pt modelId="{7DAB7E00-1A3D-4C54-A458-C96DDB96490E}" cxnId="{7FEF86F8-D727-4C94-B442-E1DDF3E8D6F1}" type="sibTrans">
      <dgm:prSet/>
      <dgm:spPr/>
      <dgm:t>
        <a:bodyPr/>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可比性原则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cxnId="{C14EB5EA-53F3-46A1-B228-6D57BB79EA00}" type="sibTrans">
      <dgm:prSet/>
      <dgm:spPr/>
      <dgm:t>
        <a:bodyPr/>
        <a:p>
          <a:endParaRPr lang="zh-CN" altLang="en-US">
            <a:latin typeface="华文细黑" panose="02010600040101010101" pitchFamily="2" charset="-122"/>
            <a:ea typeface="华文细黑" panose="02010600040101010101" pitchFamily="2" charset="-122"/>
          </a:endParaRPr>
        </a:p>
      </dgm:t>
    </dgm:pt>
    <dgm:pt modelId="{C9A3DF1B-B75E-48F3-ADBD-D866FE005DD2}" cxnId="{C14EB5EA-53F3-46A1-B228-6D57BB79EA00}" type="parTrans">
      <dgm:prSet/>
      <dgm:spPr/>
      <dgm:t>
        <a:bodyPr/>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重要性原则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cxnId="{C24ADC57-E4D4-4CFD-8AA4-8AF9378520A6}" type="sibTrans">
      <dgm:prSet/>
      <dgm:spPr/>
      <dgm:t>
        <a:bodyPr/>
        <a:p>
          <a:endParaRPr lang="zh-CN" altLang="en-US">
            <a:latin typeface="华文细黑" panose="02010600040101010101" pitchFamily="2" charset="-122"/>
            <a:ea typeface="华文细黑" panose="02010600040101010101" pitchFamily="2" charset="-122"/>
          </a:endParaRPr>
        </a:p>
      </dgm:t>
    </dgm:pt>
    <dgm:pt modelId="{ADEAD72F-D2CF-4287-9279-C31D0DCB7910}" cxnId="{C24ADC57-E4D4-4CFD-8AA4-8AF9378520A6}" type="parTrans">
      <dgm:prSet/>
      <dgm:spPr/>
      <dgm:t>
        <a:bodyPr/>
        <a:p>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p>
          <a:r>
            <a:rPr lang="zh-CN" altLang="en-US" sz="1000" b="0">
              <a:latin typeface="+mj-lt"/>
            </a:rPr>
            <a:t>经济性原则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cxnId="{6666FC02-9C8D-4DA8-94F5-983077957394}" type="parTrans">
      <dgm:prSet/>
      <dgm:spPr/>
      <dgm:t>
        <a:bodyPr/>
        <a:p>
          <a:endParaRPr lang="zh-CN" altLang="en-US"/>
        </a:p>
      </dgm:t>
    </dgm:pt>
    <dgm:pt modelId="{7D2CB469-A4CC-40FA-99F6-C4C66367721B}" cxnId="{6666FC02-9C8D-4DA8-94F5-983077957394}" type="sibTrans">
      <dgm:prSet/>
      <dgm:spPr/>
      <dgm:t>
        <a:bodyPr/>
        <a:p>
          <a:endParaRPr lang="zh-CN" altLang="en-US"/>
        </a:p>
      </dgm:t>
    </dgm:pt>
    <dgm:pt modelId="{1B7179B6-C9DE-4BDA-8663-4B679997E5DA}" type="pres">
      <dgm:prSet presAssocID="{4B7C27DC-5868-4F38-A9F2-056BB1C2E427}" presName="Name0" presStyleCnt="0">
        <dgm:presLayoutVars>
          <dgm:chPref val="3"/>
          <dgm:dir/>
          <dgm:animLvl val="lvl"/>
          <dgm:resizeHandles/>
        </dgm:presLayoutVars>
      </dgm:prSet>
      <dgm:spPr/>
      <dgm:t>
        <a:bodyPr/>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p>
          <a:endParaRPr lang="zh-CN" altLang="en-US"/>
        </a:p>
      </dgm:t>
    </dgm:pt>
  </dgm:ptLst>
  <dgm:cxnLst>
    <dgm:cxn modelId="{7FEF86F8-D727-4C94-B442-E1DDF3E8D6F1}" srcId="{AE44D3A4-6643-4157-86EA-2E0899415F11}" destId="{42B1CAFA-34EB-45A3-9248-7D2EFA1D06C6}" srcOrd="3" destOrd="0" parTransId="{FEA0136C-8D14-4E35-8EC9-C5DD07D12C57}" sibTransId="{7DAB7E00-1A3D-4C54-A458-C96DDB96490E}"/>
    <dgm:cxn modelId="{EC3F484B-FA19-4C3C-826C-8756082F492D}" type="presOf" srcId="{4B7C27DC-5868-4F38-A9F2-056BB1C2E427}" destId="{1B7179B6-C9DE-4BDA-8663-4B679997E5DA}"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5CC61CE9-4C52-446C-B682-D7EBD3992708}" type="presOf" srcId="{0CB1D884-927A-4CD8-ADA4-973A535D4546}" destId="{C330E3A1-3D1D-4453-A315-50DA58578E8B}" srcOrd="0" destOrd="0" presId="urn:microsoft.com/office/officeart/2005/8/layout/lProcess3#1"/>
    <dgm:cxn modelId="{02EAF411-6AE9-48CF-BFFD-853C7C582E86}" type="presOf" srcId="{ED222693-D855-4D4D-BFDE-6812A6E41E9C}" destId="{B8691B77-4694-4BFA-9DAF-40A313A447BB}"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1A12266C-2641-4E0B-A361-FAF1CC3539F5}" type="presOf" srcId="{802CEB23-70DC-44EA-A221-D2B4F2AC6070}" destId="{3133D0F3-2920-497C-9B75-49DB36BD1C0F}" srcOrd="0" destOrd="0" presId="urn:microsoft.com/office/officeart/2005/8/layout/lProcess3#1"/>
    <dgm:cxn modelId="{94234D42-A1B9-4D52-99F9-D346061D0037}" type="presOf" srcId="{42B1CAFA-34EB-45A3-9248-7D2EFA1D06C6}" destId="{15B667A0-41D3-4D24-9402-E2D0A9F3193D}" srcOrd="0" destOrd="0" presId="urn:microsoft.com/office/officeart/2005/8/layout/lProcess3#1"/>
    <dgm:cxn modelId="{21CB2471-F193-452C-BF7A-04DA227944AF}" type="presOf" srcId="{15882016-B55C-44E9-8F1F-2EA976ABCA60}" destId="{6E8D7C1F-A22A-42B0-A090-A57413634287}" srcOrd="0" destOrd="0" presId="urn:microsoft.com/office/officeart/2005/8/layout/lProcess3#1"/>
    <dgm:cxn modelId="{1BC5F829-3953-4313-A312-6EE505BBA48F}" type="presOf" srcId="{AE44D3A4-6643-4157-86EA-2E0899415F11}" destId="{77482DA5-41E1-41D0-A9D6-79B1CCF7F452}"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6666FC02-9C8D-4DA8-94F5-983077957394}" srcId="{AE44D3A4-6643-4157-86EA-2E0899415F11}" destId="{802CEB23-70DC-44EA-A221-D2B4F2AC6070}" srcOrd="4" destOrd="0" parTransId="{225303CF-67E3-4C26-8D66-2B3238776171}" sibTransId="{7D2CB469-A4CC-40FA-99F6-C4C66367721B}"/>
    <dgm:cxn modelId="{68B32FDE-144E-433C-9064-46FEF54F5EAB}" type="presParOf" srcId="{1B7179B6-C9DE-4BDA-8663-4B679997E5DA}" destId="{3F78EC4B-0C67-44FB-979D-2F5321EED4DA}" srcOrd="0" destOrd="0" presId="urn:microsoft.com/office/officeart/2005/8/layout/lProcess3#1"/>
    <dgm:cxn modelId="{5CFB0821-FDB6-4716-85C4-E8509434490C}" type="presParOf" srcId="{3F78EC4B-0C67-44FB-979D-2F5321EED4DA}" destId="{77482DA5-41E1-41D0-A9D6-79B1CCF7F452}" srcOrd="0" destOrd="0" presId="urn:microsoft.com/office/officeart/2005/8/layout/lProcess3#1"/>
    <dgm:cxn modelId="{230F338E-D66B-4A2F-8193-20EBD584D985}" type="presParOf" srcId="{3F78EC4B-0C67-44FB-979D-2F5321EED4DA}" destId="{A94D0795-03CA-49E3-BD5E-7CA45A077131}" srcOrd="1" destOrd="0" presId="urn:microsoft.com/office/officeart/2005/8/layout/lProcess3#1"/>
    <dgm:cxn modelId="{029F6CBF-9761-4C05-99B8-71C8AD6E7005}" type="presParOf" srcId="{3F78EC4B-0C67-44FB-979D-2F5321EED4DA}" destId="{6E8D7C1F-A22A-42B0-A090-A57413634287}" srcOrd="2" destOrd="0" presId="urn:microsoft.com/office/officeart/2005/8/layout/lProcess3#1"/>
    <dgm:cxn modelId="{7795B3A8-A0B3-40CE-9B60-6D0F8CD4216E}" type="presParOf" srcId="{3F78EC4B-0C67-44FB-979D-2F5321EED4DA}" destId="{CFC898DE-59DC-4028-BA1D-378513CCEA10}" srcOrd="3" destOrd="0" presId="urn:microsoft.com/office/officeart/2005/8/layout/lProcess3#1"/>
    <dgm:cxn modelId="{0F971DA5-0146-44B0-B8B5-1665CB574AE3}" type="presParOf" srcId="{3F78EC4B-0C67-44FB-979D-2F5321EED4DA}" destId="{B8691B77-4694-4BFA-9DAF-40A313A447BB}" srcOrd="4" destOrd="0" presId="urn:microsoft.com/office/officeart/2005/8/layout/lProcess3#1"/>
    <dgm:cxn modelId="{34A45314-8545-45C9-9C8B-0A5B7C0F4EDD}" type="presParOf" srcId="{3F78EC4B-0C67-44FB-979D-2F5321EED4DA}" destId="{1751DC88-55FC-4BBC-AEEB-04B17C466DA1}" srcOrd="5" destOrd="0" presId="urn:microsoft.com/office/officeart/2005/8/layout/lProcess3#1"/>
    <dgm:cxn modelId="{C9CEDD3C-E246-4832-8631-9D7658CB7884}" type="presParOf" srcId="{3F78EC4B-0C67-44FB-979D-2F5321EED4DA}" destId="{C330E3A1-3D1D-4453-A315-50DA58578E8B}" srcOrd="6" destOrd="0" presId="urn:microsoft.com/office/officeart/2005/8/layout/lProcess3#1"/>
    <dgm:cxn modelId="{5CC8ADFA-F8B7-49B2-A271-ABFB413BD811}" type="presParOf" srcId="{3F78EC4B-0C67-44FB-979D-2F5321EED4DA}" destId="{498544C9-6F56-4FBB-A67B-E4A4562CC411}" srcOrd="7" destOrd="0" presId="urn:microsoft.com/office/officeart/2005/8/layout/lProcess3#1"/>
    <dgm:cxn modelId="{AA1A2D99-9CBD-41D5-AA80-9C433904757F}" type="presParOf" srcId="{3F78EC4B-0C67-44FB-979D-2F5321EED4DA}" destId="{15B667A0-41D3-4D24-9402-E2D0A9F3193D}" srcOrd="8" destOrd="0" presId="urn:microsoft.com/office/officeart/2005/8/layout/lProcess3#1"/>
    <dgm:cxn modelId="{A8E1003D-FBDD-4822-97E7-DE9C80189CA6}" type="presParOf" srcId="{3F78EC4B-0C67-44FB-979D-2F5321EED4DA}" destId="{8A99CEBA-B231-4BAF-A04C-18FDE9C4FB8D}" srcOrd="9" destOrd="0" presId="urn:microsoft.com/office/officeart/2005/8/layout/lProcess3#1"/>
    <dgm:cxn modelId="{FC7514F3-88AC-4D0D-824A-719514A0A53F}" type="presParOf" srcId="{3F78EC4B-0C67-44FB-979D-2F5321EED4DA}" destId="{3133D0F3-2920-497C-9B75-49DB36BD1C0F}" srcOrd="10" destOrd="0" presId="urn:microsoft.com/office/officeart/2005/8/layout/lProcess3#1"/>
  </dgm:cxnLst>
  <dgm:bg/>
  <dgm:whole/>
</dgm:dataModel>
</file>

<file path=word/diagrams/data2.xml><?xml version="1.0" encoding="utf-8"?>
<dgm:dataModel xmlns:dgm="http://schemas.openxmlformats.org/drawingml/2006/diagram" xmlns:a="http://schemas.openxmlformats.org/drawingml/2006/main">
  <dgm:ptLst>
    <dgm:pt modelId="{99CEBCF9-DF0B-46BF-959A-44A005F3A9DC}" type="doc">
      <dgm:prSet loTypeId="urn:microsoft.com/office/officeart/2005/8/layout/orgChart1#1" loCatId="hierarchy" qsTypeId="urn:microsoft.com/office/officeart/2005/8/quickstyle/simple3#1" qsCatId="simple" csTypeId="urn:microsoft.com/office/officeart/2005/8/colors/accent1_2#1" csCatId="accent1"/>
      <dgm:spPr/>
    </dgm:pt>
    <dgm:pt modelId="{6562BABD-6772-463B-AC7F-E9B84AC92228}">
      <dgm:prSet/>
      <dgm:spPr/>
      <dgm:t>
        <a:bodyPr/>
        <a:p>
          <a:pPr marR="0" algn="ctr" rtl="0"/>
          <a:r>
            <a:rPr lang="zh-CN" altLang="en-US" kern="100" baseline="0" smtClean="0">
              <a:latin typeface="Calibri" panose="020F0502020204030204"/>
              <a:ea typeface="宋体" panose="02010600030101010101" charset="-122"/>
            </a:rPr>
            <a:t>评价</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方法</a:t>
          </a:r>
          <a:endParaRPr lang="zh-CN" altLang="en-US" smtClean="0"/>
        </a:p>
      </dgm:t>
    </dgm:pt>
    <dgm:pt modelId="{8DF7902D-14A9-496B-9FE5-8E687FC27A5F}" cxnId="{609C7578-5059-439F-9245-9D843C04C6AA}" type="parTrans">
      <dgm:prSet/>
      <dgm:spPr/>
      <dgm:t>
        <a:bodyPr/>
        <a:p>
          <a:endParaRPr lang="zh-CN" altLang="en-US"/>
        </a:p>
      </dgm:t>
    </dgm:pt>
    <dgm:pt modelId="{BB83BB73-AD00-4CA2-8009-E2C921668D7B}" cxnId="{609C7578-5059-439F-9245-9D843C04C6AA}" type="sibTrans">
      <dgm:prSet/>
      <dgm:spPr/>
      <dgm:t>
        <a:bodyPr/>
        <a:p>
          <a:endParaRPr lang="zh-CN" altLang="en-US"/>
        </a:p>
      </dgm:t>
    </dgm:pt>
    <dgm:pt modelId="{BF684C7A-B385-40A2-A1CB-A0E8159391C5}">
      <dgm:prSet/>
      <dgm:spPr/>
      <dgm:t>
        <a:bodyPr/>
        <a:p>
          <a:pPr marR="0" algn="ctr" rtl="0"/>
          <a:r>
            <a:rPr lang="zh-CN" altLang="en-US" kern="100" baseline="0" smtClean="0">
              <a:latin typeface="Calibri" panose="020F0502020204030204"/>
              <a:ea typeface="宋体" panose="02010600030101010101" charset="-122"/>
            </a:rPr>
            <a:t>综合</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评分方法</a:t>
          </a:r>
          <a:endParaRPr lang="zh-CN" altLang="en-US" smtClean="0"/>
        </a:p>
      </dgm:t>
    </dgm:pt>
    <dgm:pt modelId="{8CA51DCA-576C-4ED2-AE27-BE4B1F40F6CD}" cxnId="{6FCC2660-8A42-4B57-943C-14FC9FC8F77C}" type="parTrans">
      <dgm:prSet/>
      <dgm:spPr/>
      <dgm:t>
        <a:bodyPr/>
        <a:p>
          <a:endParaRPr lang="zh-CN" altLang="en-US"/>
        </a:p>
      </dgm:t>
    </dgm:pt>
    <dgm:pt modelId="{195B3BA4-0C43-4671-8FEF-5D542E9C03A6}" cxnId="{6FCC2660-8A42-4B57-943C-14FC9FC8F77C}" type="sibTrans">
      <dgm:prSet/>
      <dgm:spPr/>
      <dgm:t>
        <a:bodyPr/>
        <a:p>
          <a:endParaRPr lang="zh-CN" altLang="en-US"/>
        </a:p>
      </dgm:t>
    </dgm:pt>
    <dgm:pt modelId="{97BB7DB3-C17F-4E3F-B894-56C27768A153}">
      <dgm:prSet/>
      <dgm:spPr/>
      <dgm:t>
        <a:bodyPr/>
        <a:p>
          <a:pPr marR="0" algn="ctr" rtl="0"/>
          <a:r>
            <a:rPr lang="zh-CN" altLang="en-US" kern="100" baseline="0" smtClean="0">
              <a:latin typeface="Calibri" panose="020F0502020204030204"/>
              <a:ea typeface="宋体" panose="02010600030101010101" charset="-122"/>
            </a:rPr>
            <a:t>指标</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计算方法</a:t>
          </a:r>
          <a:endParaRPr lang="zh-CN" altLang="en-US" smtClean="0"/>
        </a:p>
      </dgm:t>
    </dgm:pt>
    <dgm:pt modelId="{901B28A0-6DE6-4532-96A8-6F3F75B5F1DD}" cxnId="{B8567424-3006-40F8-BA91-AE5E83DB3784}" type="parTrans">
      <dgm:prSet/>
      <dgm:spPr/>
      <dgm:t>
        <a:bodyPr/>
        <a:p>
          <a:endParaRPr lang="zh-CN" altLang="en-US"/>
        </a:p>
      </dgm:t>
    </dgm:pt>
    <dgm:pt modelId="{A19C1913-EF08-4250-A3AE-E10FC42D86A4}" cxnId="{B8567424-3006-40F8-BA91-AE5E83DB3784}" type="sibTrans">
      <dgm:prSet/>
      <dgm:spPr/>
      <dgm:t>
        <a:bodyPr/>
        <a:p>
          <a:endParaRPr lang="zh-CN" altLang="en-US"/>
        </a:p>
      </dgm:t>
    </dgm:pt>
    <dgm:pt modelId="{B3A8B7E7-248B-4C99-A93B-EE966B27AD04}">
      <dgm:prSet phldr="0" custT="0"/>
      <dgm:spPr/>
      <dgm:t>
        <a:bodyPr wrap="square" lIns="6350" tIns="6350" rIns="6350" bIns="6350" anchor="ctr"/>
        <a:p>
          <a:pPr marR="0" lvl="0" indent="0" algn="ctr" rtl="0">
            <a:lnSpc>
              <a:spcPct val="100000"/>
            </a:lnSpc>
            <a:spcBef>
              <a:spcPct val="0"/>
            </a:spcBef>
            <a:spcAft>
              <a:spcPct val="35000"/>
            </a:spcAft>
            <a:buNone/>
          </a:pPr>
          <a:r>
            <a:rPr lang="zh-CN" altLang="en-US" kern="100" baseline="0" smtClean="0">
              <a:latin typeface="Calibri" panose="020F0502020204030204"/>
              <a:ea typeface="宋体" panose="02010600030101010101" charset="-122"/>
            </a:rPr>
            <a:t>权重</a:t>
          </a:r>
          <a:endParaRPr lang="zh-CN" altLang="en-US" kern="100" baseline="0" smtClean="0">
            <a:latin typeface="Times New Roman" panose="02020603050405020304"/>
            <a:ea typeface="宋体" panose="02010600030101010101" charset="-122"/>
          </a:endParaRPr>
        </a:p>
        <a:p>
          <a:pPr marR="0" lvl="0" indent="0" algn="ctr" rtl="0">
            <a:lnSpc>
              <a:spcPct val="100000"/>
            </a:lnSpc>
            <a:spcBef>
              <a:spcPct val="0"/>
            </a:spcBef>
            <a:spcAft>
              <a:spcPct val="35000"/>
            </a:spcAft>
            <a:buNone/>
          </a:pPr>
          <a:r>
            <a:rPr lang="zh-CN" altLang="en-US" kern="100" baseline="0" smtClean="0">
              <a:latin typeface="Calibri" panose="020F0502020204030204"/>
              <a:ea typeface="宋体" panose="02010600030101010101" charset="-122"/>
            </a:rPr>
            <a:t>确定方法</a:t>
          </a:r>
          <a:endParaRPr lang="zh-CN" altLang="en-US" smtClean="0"/>
        </a:p>
      </dgm:t>
    </dgm:pt>
    <dgm:pt modelId="{887848E8-ED38-4A04-956E-4E82FD683D18}" cxnId="{4D040669-E435-4BB8-8355-D4C5AA5F672C}" type="parTrans">
      <dgm:prSet/>
      <dgm:spPr/>
      <dgm:t>
        <a:bodyPr/>
        <a:p>
          <a:endParaRPr lang="zh-CN" altLang="en-US"/>
        </a:p>
      </dgm:t>
    </dgm:pt>
    <dgm:pt modelId="{9FB0A154-0090-4CBB-A1CC-3A97B58E5A8E}" cxnId="{4D040669-E435-4BB8-8355-D4C5AA5F672C}" type="sibTrans">
      <dgm:prSet/>
      <dgm:spPr/>
      <dgm:t>
        <a:bodyPr/>
        <a:p>
          <a:endParaRPr lang="zh-CN" altLang="en-US"/>
        </a:p>
      </dgm:t>
    </dgm:pt>
    <dgm:pt modelId="{C6EFF203-1726-4DAF-8A1C-FA7B66DBF999}">
      <dgm:prSet/>
      <dgm:spPr/>
      <dgm:t>
        <a:bodyPr/>
        <a:p>
          <a:pPr marR="0" algn="ctr" rtl="0"/>
          <a:r>
            <a:rPr lang="zh-CN" altLang="en-US" kern="100" baseline="0" smtClean="0">
              <a:latin typeface="Calibri" panose="020F0502020204030204"/>
              <a:ea typeface="宋体" panose="02010600030101010101" charset="-122"/>
            </a:rPr>
            <a:t>标准值</a:t>
          </a:r>
          <a:endParaRPr lang="zh-CN" altLang="en-US" kern="100" baseline="0" smtClean="0">
            <a:latin typeface="Times New Roman" panose="02020603050405020304"/>
            <a:ea typeface="宋体" panose="02010600030101010101" charset="-122"/>
          </a:endParaRPr>
        </a:p>
        <a:p>
          <a:pPr marR="0" algn="ctr" rtl="0"/>
          <a:r>
            <a:rPr lang="zh-CN" altLang="en-US" kern="100" baseline="0" smtClean="0">
              <a:latin typeface="Calibri" panose="020F0502020204030204"/>
              <a:ea typeface="宋体" panose="02010600030101010101" charset="-122"/>
            </a:rPr>
            <a:t>确定方法</a:t>
          </a:r>
          <a:endParaRPr lang="zh-CN" altLang="en-US" smtClean="0"/>
        </a:p>
      </dgm:t>
    </dgm:pt>
    <dgm:pt modelId="{34AF9973-1B19-4824-BB40-8122203DE965}" cxnId="{149D6150-0BF4-40D4-AB22-0F5B74A9B36C}" type="parTrans">
      <dgm:prSet/>
      <dgm:spPr/>
      <dgm:t>
        <a:bodyPr/>
        <a:p>
          <a:endParaRPr lang="zh-CN" altLang="en-US"/>
        </a:p>
      </dgm:t>
    </dgm:pt>
    <dgm:pt modelId="{28F68363-82DD-45BF-AA8B-D183D439BC67}" cxnId="{149D6150-0BF4-40D4-AB22-0F5B74A9B36C}" type="sibTrans">
      <dgm:prSet/>
      <dgm:spPr/>
      <dgm:t>
        <a:bodyPr/>
        <a:p>
          <a:endParaRPr lang="zh-CN" altLang="en-US"/>
        </a:p>
      </dgm:t>
    </dgm:pt>
    <dgm:pt modelId="{7FDE4BB9-47B3-4C04-BF58-8BD38E59E36D}" type="pres">
      <dgm:prSet presAssocID="{99CEBCF9-DF0B-46BF-959A-44A005F3A9DC}" presName="hierChild1" presStyleCnt="0">
        <dgm:presLayoutVars>
          <dgm:orgChart val="1"/>
          <dgm:chPref val="1"/>
          <dgm:dir/>
          <dgm:animOne val="branch"/>
          <dgm:animLvl val="lvl"/>
          <dgm:resizeHandles/>
        </dgm:presLayoutVars>
      </dgm:prSet>
      <dgm:spPr/>
    </dgm:pt>
    <dgm:pt modelId="{8AD2A4A8-AEDE-4319-BAB3-0061D348F76D}" type="pres">
      <dgm:prSet presAssocID="{6562BABD-6772-463B-AC7F-E9B84AC92228}" presName="hierRoot1" presStyleCnt="0">
        <dgm:presLayoutVars>
          <dgm:hierBranch/>
        </dgm:presLayoutVars>
      </dgm:prSet>
      <dgm:spPr/>
    </dgm:pt>
    <dgm:pt modelId="{13FF9C17-DB91-466E-ADE2-7748D3F380E8}" type="pres">
      <dgm:prSet presAssocID="{6562BABD-6772-463B-AC7F-E9B84AC92228}" presName="rootComposite1" presStyleCnt="0"/>
      <dgm:spPr/>
    </dgm:pt>
    <dgm:pt modelId="{ACD2B7EA-F53F-4499-B92A-38F804811D02}" type="pres">
      <dgm:prSet presAssocID="{6562BABD-6772-463B-AC7F-E9B84AC92228}" presName="rootText1" presStyleLbl="node0" presStyleIdx="0" presStyleCnt="1">
        <dgm:presLayoutVars>
          <dgm:chPref val="3"/>
        </dgm:presLayoutVars>
      </dgm:prSet>
      <dgm:spPr/>
      <dgm:t>
        <a:bodyPr/>
        <a:p>
          <a:endParaRPr lang="zh-CN" altLang="en-US"/>
        </a:p>
      </dgm:t>
    </dgm:pt>
    <dgm:pt modelId="{F38CBF82-09A5-4B12-AB7B-5BB6389C7016}" type="pres">
      <dgm:prSet presAssocID="{6562BABD-6772-463B-AC7F-E9B84AC92228}" presName="rootConnector1" presStyleLbl="node1" presStyleIdx="0" presStyleCnt="0"/>
      <dgm:spPr/>
      <dgm:t>
        <a:bodyPr/>
        <a:p>
          <a:endParaRPr lang="zh-CN" altLang="en-US"/>
        </a:p>
      </dgm:t>
    </dgm:pt>
    <dgm:pt modelId="{696CE58D-9594-488A-B378-009478D98002}" type="pres">
      <dgm:prSet presAssocID="{6562BABD-6772-463B-AC7F-E9B84AC92228}" presName="hierChild2" presStyleCnt="0"/>
      <dgm:spPr/>
    </dgm:pt>
    <dgm:pt modelId="{2147B19C-9FDE-4753-82E4-C06D51084027}" type="pres">
      <dgm:prSet presAssocID="{8CA51DCA-576C-4ED2-AE27-BE4B1F40F6CD}" presName="Name35" presStyleLbl="parChTrans1D2" presStyleIdx="0" presStyleCnt="4"/>
      <dgm:spPr/>
      <dgm:t>
        <a:bodyPr/>
        <a:p>
          <a:endParaRPr lang="zh-CN" altLang="en-US"/>
        </a:p>
      </dgm:t>
    </dgm:pt>
    <dgm:pt modelId="{588353C1-B75B-4119-8D4E-15BF050149A5}" type="pres">
      <dgm:prSet presAssocID="{BF684C7A-B385-40A2-A1CB-A0E8159391C5}" presName="hierRoot2" presStyleCnt="0">
        <dgm:presLayoutVars>
          <dgm:hierBranch/>
        </dgm:presLayoutVars>
      </dgm:prSet>
      <dgm:spPr/>
    </dgm:pt>
    <dgm:pt modelId="{34DD0D20-C608-4736-BBD8-C3B015C17EF4}" type="pres">
      <dgm:prSet presAssocID="{BF684C7A-B385-40A2-A1CB-A0E8159391C5}" presName="rootComposite" presStyleCnt="0"/>
      <dgm:spPr/>
    </dgm:pt>
    <dgm:pt modelId="{6A71FD7E-916D-4FD1-B522-13960E4DE118}" type="pres">
      <dgm:prSet presAssocID="{BF684C7A-B385-40A2-A1CB-A0E8159391C5}" presName="rootText" presStyleLbl="node2" presStyleIdx="0" presStyleCnt="4">
        <dgm:presLayoutVars>
          <dgm:chPref val="3"/>
        </dgm:presLayoutVars>
      </dgm:prSet>
      <dgm:spPr/>
      <dgm:t>
        <a:bodyPr/>
        <a:p>
          <a:endParaRPr lang="zh-CN" altLang="en-US"/>
        </a:p>
      </dgm:t>
    </dgm:pt>
    <dgm:pt modelId="{0A8004A7-06DB-4A7F-92EA-48DB6E650930}" type="pres">
      <dgm:prSet presAssocID="{BF684C7A-B385-40A2-A1CB-A0E8159391C5}" presName="rootConnector" presStyleLbl="node2" presStyleIdx="0" presStyleCnt="4"/>
      <dgm:spPr/>
      <dgm:t>
        <a:bodyPr/>
        <a:p>
          <a:endParaRPr lang="zh-CN" altLang="en-US"/>
        </a:p>
      </dgm:t>
    </dgm:pt>
    <dgm:pt modelId="{85EF7922-05A5-4BF5-8B56-282577D9154C}" type="pres">
      <dgm:prSet presAssocID="{BF684C7A-B385-40A2-A1CB-A0E8159391C5}" presName="hierChild4" presStyleCnt="0"/>
      <dgm:spPr/>
    </dgm:pt>
    <dgm:pt modelId="{5231F5C0-E1EE-40F9-BD41-AE935D052AA5}" type="pres">
      <dgm:prSet presAssocID="{BF684C7A-B385-40A2-A1CB-A0E8159391C5}" presName="hierChild5" presStyleCnt="0"/>
      <dgm:spPr/>
    </dgm:pt>
    <dgm:pt modelId="{1BBD8A69-91E0-4F35-9E49-75281EB6EC01}" type="pres">
      <dgm:prSet presAssocID="{901B28A0-6DE6-4532-96A8-6F3F75B5F1DD}" presName="Name35" presStyleLbl="parChTrans1D2" presStyleIdx="1" presStyleCnt="4"/>
      <dgm:spPr/>
      <dgm:t>
        <a:bodyPr/>
        <a:p>
          <a:endParaRPr lang="zh-CN" altLang="en-US"/>
        </a:p>
      </dgm:t>
    </dgm:pt>
    <dgm:pt modelId="{5C2BFDE7-B434-4F65-96A4-9A6D4FF7E59C}" type="pres">
      <dgm:prSet presAssocID="{97BB7DB3-C17F-4E3F-B894-56C27768A153}" presName="hierRoot2" presStyleCnt="0">
        <dgm:presLayoutVars>
          <dgm:hierBranch/>
        </dgm:presLayoutVars>
      </dgm:prSet>
      <dgm:spPr/>
    </dgm:pt>
    <dgm:pt modelId="{F35DE7EE-2E15-4EC9-BA97-FB539DFC41A9}" type="pres">
      <dgm:prSet presAssocID="{97BB7DB3-C17F-4E3F-B894-56C27768A153}" presName="rootComposite" presStyleCnt="0"/>
      <dgm:spPr/>
    </dgm:pt>
    <dgm:pt modelId="{7ED3251D-013E-4460-B2AA-E207DB553100}" type="pres">
      <dgm:prSet presAssocID="{97BB7DB3-C17F-4E3F-B894-56C27768A153}" presName="rootText" presStyleLbl="node2" presStyleIdx="1" presStyleCnt="4">
        <dgm:presLayoutVars>
          <dgm:chPref val="3"/>
        </dgm:presLayoutVars>
      </dgm:prSet>
      <dgm:spPr/>
      <dgm:t>
        <a:bodyPr/>
        <a:p>
          <a:endParaRPr lang="zh-CN" altLang="en-US"/>
        </a:p>
      </dgm:t>
    </dgm:pt>
    <dgm:pt modelId="{896917B3-BF18-40C9-BD26-81E42172AD47}" type="pres">
      <dgm:prSet presAssocID="{97BB7DB3-C17F-4E3F-B894-56C27768A153}" presName="rootConnector" presStyleLbl="node2" presStyleIdx="1" presStyleCnt="4"/>
      <dgm:spPr/>
      <dgm:t>
        <a:bodyPr/>
        <a:p>
          <a:endParaRPr lang="zh-CN" altLang="en-US"/>
        </a:p>
      </dgm:t>
    </dgm:pt>
    <dgm:pt modelId="{E313A5B4-B5F8-407E-8DDC-69C120F76AED}" type="pres">
      <dgm:prSet presAssocID="{97BB7DB3-C17F-4E3F-B894-56C27768A153}" presName="hierChild4" presStyleCnt="0"/>
      <dgm:spPr/>
    </dgm:pt>
    <dgm:pt modelId="{7740B9B1-DAFC-41CF-B7D1-9A2B030240E7}" type="pres">
      <dgm:prSet presAssocID="{97BB7DB3-C17F-4E3F-B894-56C27768A153}" presName="hierChild5" presStyleCnt="0"/>
      <dgm:spPr/>
    </dgm:pt>
    <dgm:pt modelId="{6B9778B7-EAC7-43EB-A157-3BDF28CFB46E}" type="pres">
      <dgm:prSet presAssocID="{887848E8-ED38-4A04-956E-4E82FD683D18}" presName="Name35" presStyleLbl="parChTrans1D2" presStyleIdx="2" presStyleCnt="4"/>
      <dgm:spPr/>
      <dgm:t>
        <a:bodyPr/>
        <a:p>
          <a:endParaRPr lang="zh-CN" altLang="en-US"/>
        </a:p>
      </dgm:t>
    </dgm:pt>
    <dgm:pt modelId="{3C9D1BA4-373E-4C43-B5A7-B27B5CBC2019}" type="pres">
      <dgm:prSet presAssocID="{B3A8B7E7-248B-4C99-A93B-EE966B27AD04}" presName="hierRoot2" presStyleCnt="0">
        <dgm:presLayoutVars>
          <dgm:hierBranch/>
        </dgm:presLayoutVars>
      </dgm:prSet>
      <dgm:spPr/>
    </dgm:pt>
    <dgm:pt modelId="{D7D46EFD-3E0B-4D38-8291-459286C5819C}" type="pres">
      <dgm:prSet presAssocID="{B3A8B7E7-248B-4C99-A93B-EE966B27AD04}" presName="rootComposite" presStyleCnt="0"/>
      <dgm:spPr/>
    </dgm:pt>
    <dgm:pt modelId="{5DAE465C-513F-4CF8-B0F6-75CA40C88156}" type="pres">
      <dgm:prSet presAssocID="{B3A8B7E7-248B-4C99-A93B-EE966B27AD04}" presName="rootText" presStyleLbl="node2" presStyleIdx="2" presStyleCnt="4">
        <dgm:presLayoutVars>
          <dgm:chPref val="3"/>
        </dgm:presLayoutVars>
      </dgm:prSet>
      <dgm:spPr/>
      <dgm:t>
        <a:bodyPr/>
        <a:p>
          <a:endParaRPr lang="zh-CN" altLang="en-US"/>
        </a:p>
      </dgm:t>
    </dgm:pt>
    <dgm:pt modelId="{ED12698B-D8C2-478B-A34C-AE83A418E1C8}" type="pres">
      <dgm:prSet presAssocID="{B3A8B7E7-248B-4C99-A93B-EE966B27AD04}" presName="rootConnector" presStyleLbl="node2" presStyleIdx="2" presStyleCnt="4"/>
      <dgm:spPr/>
      <dgm:t>
        <a:bodyPr/>
        <a:p>
          <a:endParaRPr lang="zh-CN" altLang="en-US"/>
        </a:p>
      </dgm:t>
    </dgm:pt>
    <dgm:pt modelId="{47310C61-D042-4F58-B289-0131075B00C3}" type="pres">
      <dgm:prSet presAssocID="{B3A8B7E7-248B-4C99-A93B-EE966B27AD04}" presName="hierChild4" presStyleCnt="0"/>
      <dgm:spPr/>
    </dgm:pt>
    <dgm:pt modelId="{547E84B3-1D24-47B1-888B-E5165F17FDC2}" type="pres">
      <dgm:prSet presAssocID="{B3A8B7E7-248B-4C99-A93B-EE966B27AD04}" presName="hierChild5" presStyleCnt="0"/>
      <dgm:spPr/>
    </dgm:pt>
    <dgm:pt modelId="{E2FD8186-AA63-4760-9D49-FAA4E84DD537}" type="pres">
      <dgm:prSet presAssocID="{34AF9973-1B19-4824-BB40-8122203DE965}" presName="Name35" presStyleLbl="parChTrans1D2" presStyleIdx="3" presStyleCnt="4"/>
      <dgm:spPr/>
      <dgm:t>
        <a:bodyPr/>
        <a:p>
          <a:endParaRPr lang="zh-CN" altLang="en-US"/>
        </a:p>
      </dgm:t>
    </dgm:pt>
    <dgm:pt modelId="{84C99702-AD6A-4FA5-A9E2-D6FE8B63BD4C}" type="pres">
      <dgm:prSet presAssocID="{C6EFF203-1726-4DAF-8A1C-FA7B66DBF999}" presName="hierRoot2" presStyleCnt="0">
        <dgm:presLayoutVars>
          <dgm:hierBranch/>
        </dgm:presLayoutVars>
      </dgm:prSet>
      <dgm:spPr/>
    </dgm:pt>
    <dgm:pt modelId="{82BCA06C-DB8D-43E7-896E-C5DBF947C797}" type="pres">
      <dgm:prSet presAssocID="{C6EFF203-1726-4DAF-8A1C-FA7B66DBF999}" presName="rootComposite" presStyleCnt="0"/>
      <dgm:spPr/>
    </dgm:pt>
    <dgm:pt modelId="{2CFD503D-48F6-41EE-BA3C-1C6F2E081BF7}" type="pres">
      <dgm:prSet presAssocID="{C6EFF203-1726-4DAF-8A1C-FA7B66DBF999}" presName="rootText" presStyleLbl="node2" presStyleIdx="3" presStyleCnt="4">
        <dgm:presLayoutVars>
          <dgm:chPref val="3"/>
        </dgm:presLayoutVars>
      </dgm:prSet>
      <dgm:spPr/>
      <dgm:t>
        <a:bodyPr/>
        <a:p>
          <a:endParaRPr lang="zh-CN" altLang="en-US"/>
        </a:p>
      </dgm:t>
    </dgm:pt>
    <dgm:pt modelId="{EC04494F-7F60-4DB0-8570-AC7EBB51D752}" type="pres">
      <dgm:prSet presAssocID="{C6EFF203-1726-4DAF-8A1C-FA7B66DBF999}" presName="rootConnector" presStyleLbl="node2" presStyleIdx="3" presStyleCnt="4"/>
      <dgm:spPr/>
      <dgm:t>
        <a:bodyPr/>
        <a:p>
          <a:endParaRPr lang="zh-CN" altLang="en-US"/>
        </a:p>
      </dgm:t>
    </dgm:pt>
    <dgm:pt modelId="{7732760E-65A0-4CFF-9710-2C172E51A297}" type="pres">
      <dgm:prSet presAssocID="{C6EFF203-1726-4DAF-8A1C-FA7B66DBF999}" presName="hierChild4" presStyleCnt="0"/>
      <dgm:spPr/>
    </dgm:pt>
    <dgm:pt modelId="{8E111D6D-A99D-4F61-A40E-8013D95BCB46}" type="pres">
      <dgm:prSet presAssocID="{C6EFF203-1726-4DAF-8A1C-FA7B66DBF999}" presName="hierChild5" presStyleCnt="0"/>
      <dgm:spPr/>
    </dgm:pt>
    <dgm:pt modelId="{3A997C33-82E6-4F2F-BD1D-D639E631D7E6}" type="pres">
      <dgm:prSet presAssocID="{6562BABD-6772-463B-AC7F-E9B84AC92228}" presName="hierChild3" presStyleCnt="0"/>
      <dgm:spPr/>
    </dgm:pt>
  </dgm:ptLst>
  <dgm:cxnLst>
    <dgm:cxn modelId="{5BBA6727-0D0B-4855-BA90-AD411B22E290}" type="presOf" srcId="{8CA51DCA-576C-4ED2-AE27-BE4B1F40F6CD}" destId="{2147B19C-9FDE-4753-82E4-C06D51084027}" srcOrd="0" destOrd="0" presId="urn:microsoft.com/office/officeart/2005/8/layout/orgChart1#1"/>
    <dgm:cxn modelId="{B7BF9136-0B4A-41FE-AF90-5308CFB9EF64}" type="presOf" srcId="{97BB7DB3-C17F-4E3F-B894-56C27768A153}" destId="{7ED3251D-013E-4460-B2AA-E207DB553100}" srcOrd="0" destOrd="0" presId="urn:microsoft.com/office/officeart/2005/8/layout/orgChart1#1"/>
    <dgm:cxn modelId="{A935CBD0-B8C3-4FAA-AE76-BA59255B64B8}" type="presOf" srcId="{34AF9973-1B19-4824-BB40-8122203DE965}" destId="{E2FD8186-AA63-4760-9D49-FAA4E84DD537}" srcOrd="0" destOrd="0" presId="urn:microsoft.com/office/officeart/2005/8/layout/orgChart1#1"/>
    <dgm:cxn modelId="{4D040669-E435-4BB8-8355-D4C5AA5F672C}" srcId="{6562BABD-6772-463B-AC7F-E9B84AC92228}" destId="{B3A8B7E7-248B-4C99-A93B-EE966B27AD04}" srcOrd="2" destOrd="0" parTransId="{887848E8-ED38-4A04-956E-4E82FD683D18}" sibTransId="{9FB0A154-0090-4CBB-A1CC-3A97B58E5A8E}"/>
    <dgm:cxn modelId="{A04D3053-B2CC-49DB-A8ED-13B4611ED783}" type="presOf" srcId="{6562BABD-6772-463B-AC7F-E9B84AC92228}" destId="{ACD2B7EA-F53F-4499-B92A-38F804811D02}" srcOrd="0" destOrd="0" presId="urn:microsoft.com/office/officeart/2005/8/layout/orgChart1#1"/>
    <dgm:cxn modelId="{73491331-5201-41AF-B22E-64B680A1585C}" type="presOf" srcId="{B3A8B7E7-248B-4C99-A93B-EE966B27AD04}" destId="{5DAE465C-513F-4CF8-B0F6-75CA40C88156}" srcOrd="0" destOrd="0" presId="urn:microsoft.com/office/officeart/2005/8/layout/orgChart1#1"/>
    <dgm:cxn modelId="{5799CC53-C7C0-4B4A-AE70-643928F2BBAF}" type="presOf" srcId="{C6EFF203-1726-4DAF-8A1C-FA7B66DBF999}" destId="{EC04494F-7F60-4DB0-8570-AC7EBB51D752}" srcOrd="1" destOrd="0" presId="urn:microsoft.com/office/officeart/2005/8/layout/orgChart1#1"/>
    <dgm:cxn modelId="{678F238B-0946-4DDB-B0D7-91B5B26D89BC}" type="presOf" srcId="{99CEBCF9-DF0B-46BF-959A-44A005F3A9DC}" destId="{7FDE4BB9-47B3-4C04-BF58-8BD38E59E36D}" srcOrd="0" destOrd="0" presId="urn:microsoft.com/office/officeart/2005/8/layout/orgChart1#1"/>
    <dgm:cxn modelId="{140EE1E0-1495-48FE-9A0F-99B30CAC3CBF}" type="presOf" srcId="{C6EFF203-1726-4DAF-8A1C-FA7B66DBF999}" destId="{2CFD503D-48F6-41EE-BA3C-1C6F2E081BF7}" srcOrd="0" destOrd="0" presId="urn:microsoft.com/office/officeart/2005/8/layout/orgChart1#1"/>
    <dgm:cxn modelId="{1C105947-94CA-41AB-BCFA-875B55D3AEB2}" type="presOf" srcId="{901B28A0-6DE6-4532-96A8-6F3F75B5F1DD}" destId="{1BBD8A69-91E0-4F35-9E49-75281EB6EC01}" srcOrd="0" destOrd="0" presId="urn:microsoft.com/office/officeart/2005/8/layout/orgChart1#1"/>
    <dgm:cxn modelId="{46ADEF9F-FF2C-4CAF-BAA0-65BCEAA97DDB}" type="presOf" srcId="{6562BABD-6772-463B-AC7F-E9B84AC92228}" destId="{F38CBF82-09A5-4B12-AB7B-5BB6389C7016}" srcOrd="1" destOrd="0" presId="urn:microsoft.com/office/officeart/2005/8/layout/orgChart1#1"/>
    <dgm:cxn modelId="{609C7578-5059-439F-9245-9D843C04C6AA}" srcId="{99CEBCF9-DF0B-46BF-959A-44A005F3A9DC}" destId="{6562BABD-6772-463B-AC7F-E9B84AC92228}" srcOrd="0" destOrd="0" parTransId="{8DF7902D-14A9-496B-9FE5-8E687FC27A5F}" sibTransId="{BB83BB73-AD00-4CA2-8009-E2C921668D7B}"/>
    <dgm:cxn modelId="{7B1B4C8B-777F-4991-B6F1-16226B0E3F9F}" type="presOf" srcId="{97BB7DB3-C17F-4E3F-B894-56C27768A153}" destId="{896917B3-BF18-40C9-BD26-81E42172AD47}" srcOrd="1" destOrd="0" presId="urn:microsoft.com/office/officeart/2005/8/layout/orgChart1#1"/>
    <dgm:cxn modelId="{6FCC2660-8A42-4B57-943C-14FC9FC8F77C}" srcId="{6562BABD-6772-463B-AC7F-E9B84AC92228}" destId="{BF684C7A-B385-40A2-A1CB-A0E8159391C5}" srcOrd="0" destOrd="0" parTransId="{8CA51DCA-576C-4ED2-AE27-BE4B1F40F6CD}" sibTransId="{195B3BA4-0C43-4671-8FEF-5D542E9C03A6}"/>
    <dgm:cxn modelId="{B8567424-3006-40F8-BA91-AE5E83DB3784}" srcId="{6562BABD-6772-463B-AC7F-E9B84AC92228}" destId="{97BB7DB3-C17F-4E3F-B894-56C27768A153}" srcOrd="1" destOrd="0" parTransId="{901B28A0-6DE6-4532-96A8-6F3F75B5F1DD}" sibTransId="{A19C1913-EF08-4250-A3AE-E10FC42D86A4}"/>
    <dgm:cxn modelId="{11176F30-60F5-49A6-9186-9809DA0457A5}" type="presOf" srcId="{BF684C7A-B385-40A2-A1CB-A0E8159391C5}" destId="{0A8004A7-06DB-4A7F-92EA-48DB6E650930}" srcOrd="1" destOrd="0" presId="urn:microsoft.com/office/officeart/2005/8/layout/orgChart1#1"/>
    <dgm:cxn modelId="{149D6150-0BF4-40D4-AB22-0F5B74A9B36C}" srcId="{6562BABD-6772-463B-AC7F-E9B84AC92228}" destId="{C6EFF203-1726-4DAF-8A1C-FA7B66DBF999}" srcOrd="3" destOrd="0" parTransId="{34AF9973-1B19-4824-BB40-8122203DE965}" sibTransId="{28F68363-82DD-45BF-AA8B-D183D439BC67}"/>
    <dgm:cxn modelId="{C77ECC68-FFEB-43F6-AE36-663F6FBAC92F}" type="presOf" srcId="{B3A8B7E7-248B-4C99-A93B-EE966B27AD04}" destId="{ED12698B-D8C2-478B-A34C-AE83A418E1C8}" srcOrd="1" destOrd="0" presId="urn:microsoft.com/office/officeart/2005/8/layout/orgChart1#1"/>
    <dgm:cxn modelId="{591720CB-A7CB-4444-8FC0-A8E70AA7ECFA}" type="presOf" srcId="{BF684C7A-B385-40A2-A1CB-A0E8159391C5}" destId="{6A71FD7E-916D-4FD1-B522-13960E4DE118}" srcOrd="0" destOrd="0" presId="urn:microsoft.com/office/officeart/2005/8/layout/orgChart1#1"/>
    <dgm:cxn modelId="{3B1B1394-C23E-4AAB-BA18-995ABC28267B}" type="presOf" srcId="{887848E8-ED38-4A04-956E-4E82FD683D18}" destId="{6B9778B7-EAC7-43EB-A157-3BDF28CFB46E}" srcOrd="0" destOrd="0" presId="urn:microsoft.com/office/officeart/2005/8/layout/orgChart1#1"/>
    <dgm:cxn modelId="{85728684-5855-400E-A6BE-9F67F1AEEC1D}" type="presParOf" srcId="{7FDE4BB9-47B3-4C04-BF58-8BD38E59E36D}" destId="{8AD2A4A8-AEDE-4319-BAB3-0061D348F76D}" srcOrd="0" destOrd="0" presId="urn:microsoft.com/office/officeart/2005/8/layout/orgChart1#1"/>
    <dgm:cxn modelId="{B411D347-3485-4C61-82FC-47804FB77E75}" type="presParOf" srcId="{8AD2A4A8-AEDE-4319-BAB3-0061D348F76D}" destId="{13FF9C17-DB91-466E-ADE2-7748D3F380E8}" srcOrd="0" destOrd="0" presId="urn:microsoft.com/office/officeart/2005/8/layout/orgChart1#1"/>
    <dgm:cxn modelId="{B8FC1CBC-8AA7-457B-814D-B5CE292594C9}" type="presParOf" srcId="{13FF9C17-DB91-466E-ADE2-7748D3F380E8}" destId="{ACD2B7EA-F53F-4499-B92A-38F804811D02}" srcOrd="0" destOrd="0" presId="urn:microsoft.com/office/officeart/2005/8/layout/orgChart1#1"/>
    <dgm:cxn modelId="{92F45317-845F-4C2B-AA59-B5684EDA9EBC}" type="presParOf" srcId="{13FF9C17-DB91-466E-ADE2-7748D3F380E8}" destId="{F38CBF82-09A5-4B12-AB7B-5BB6389C7016}" srcOrd="1" destOrd="0" presId="urn:microsoft.com/office/officeart/2005/8/layout/orgChart1#1"/>
    <dgm:cxn modelId="{A6C3D776-41BC-4D7F-8E9A-4A9FC6F5F885}" type="presParOf" srcId="{8AD2A4A8-AEDE-4319-BAB3-0061D348F76D}" destId="{696CE58D-9594-488A-B378-009478D98002}" srcOrd="1" destOrd="0" presId="urn:microsoft.com/office/officeart/2005/8/layout/orgChart1#1"/>
    <dgm:cxn modelId="{B356D17C-CEE7-41A2-93FA-CBE1BB74E1E4}" type="presParOf" srcId="{696CE58D-9594-488A-B378-009478D98002}" destId="{2147B19C-9FDE-4753-82E4-C06D51084027}" srcOrd="0" destOrd="0" presId="urn:microsoft.com/office/officeart/2005/8/layout/orgChart1#1"/>
    <dgm:cxn modelId="{97F6E016-D42D-4481-BE95-D3101EAFFB52}" type="presParOf" srcId="{696CE58D-9594-488A-B378-009478D98002}" destId="{588353C1-B75B-4119-8D4E-15BF050149A5}" srcOrd="1" destOrd="0" presId="urn:microsoft.com/office/officeart/2005/8/layout/orgChart1#1"/>
    <dgm:cxn modelId="{8D994A2E-BE8A-41A2-B9ED-8F3DE5823C95}" type="presParOf" srcId="{588353C1-B75B-4119-8D4E-15BF050149A5}" destId="{34DD0D20-C608-4736-BBD8-C3B015C17EF4}" srcOrd="0" destOrd="0" presId="urn:microsoft.com/office/officeart/2005/8/layout/orgChart1#1"/>
    <dgm:cxn modelId="{B1CF637A-084F-4B80-AA4A-123AE1C8D121}" type="presParOf" srcId="{34DD0D20-C608-4736-BBD8-C3B015C17EF4}" destId="{6A71FD7E-916D-4FD1-B522-13960E4DE118}" srcOrd="0" destOrd="0" presId="urn:microsoft.com/office/officeart/2005/8/layout/orgChart1#1"/>
    <dgm:cxn modelId="{6CEBDA0F-E500-4CE9-80C2-8F49F52EE372}" type="presParOf" srcId="{34DD0D20-C608-4736-BBD8-C3B015C17EF4}" destId="{0A8004A7-06DB-4A7F-92EA-48DB6E650930}" srcOrd="1" destOrd="0" presId="urn:microsoft.com/office/officeart/2005/8/layout/orgChart1#1"/>
    <dgm:cxn modelId="{9880DCAC-9D59-409E-BFA4-F5336ECD2676}" type="presParOf" srcId="{588353C1-B75B-4119-8D4E-15BF050149A5}" destId="{85EF7922-05A5-4BF5-8B56-282577D9154C}" srcOrd="1" destOrd="0" presId="urn:microsoft.com/office/officeart/2005/8/layout/orgChart1#1"/>
    <dgm:cxn modelId="{6C324BB9-7612-4B5E-AA2F-5FB7D2D79A5F}" type="presParOf" srcId="{588353C1-B75B-4119-8D4E-15BF050149A5}" destId="{5231F5C0-E1EE-40F9-BD41-AE935D052AA5}" srcOrd="2" destOrd="0" presId="urn:microsoft.com/office/officeart/2005/8/layout/orgChart1#1"/>
    <dgm:cxn modelId="{C0D7F372-818C-40A4-A199-86BBC88F8DA5}" type="presParOf" srcId="{696CE58D-9594-488A-B378-009478D98002}" destId="{1BBD8A69-91E0-4F35-9E49-75281EB6EC01}" srcOrd="2" destOrd="0" presId="urn:microsoft.com/office/officeart/2005/8/layout/orgChart1#1"/>
    <dgm:cxn modelId="{D84A5376-0FFC-4B78-9B7C-5E90DF9E5707}" type="presParOf" srcId="{696CE58D-9594-488A-B378-009478D98002}" destId="{5C2BFDE7-B434-4F65-96A4-9A6D4FF7E59C}" srcOrd="3" destOrd="0" presId="urn:microsoft.com/office/officeart/2005/8/layout/orgChart1#1"/>
    <dgm:cxn modelId="{53D5F720-7433-424D-A151-913EE9344B90}" type="presParOf" srcId="{5C2BFDE7-B434-4F65-96A4-9A6D4FF7E59C}" destId="{F35DE7EE-2E15-4EC9-BA97-FB539DFC41A9}" srcOrd="0" destOrd="0" presId="urn:microsoft.com/office/officeart/2005/8/layout/orgChart1#1"/>
    <dgm:cxn modelId="{36054933-40E4-4C07-9284-861444A2F5A4}" type="presParOf" srcId="{F35DE7EE-2E15-4EC9-BA97-FB539DFC41A9}" destId="{7ED3251D-013E-4460-B2AA-E207DB553100}" srcOrd="0" destOrd="0" presId="urn:microsoft.com/office/officeart/2005/8/layout/orgChart1#1"/>
    <dgm:cxn modelId="{80DBFE73-9744-4792-A4A5-2EEA19F0423D}" type="presParOf" srcId="{F35DE7EE-2E15-4EC9-BA97-FB539DFC41A9}" destId="{896917B3-BF18-40C9-BD26-81E42172AD47}" srcOrd="1" destOrd="0" presId="urn:microsoft.com/office/officeart/2005/8/layout/orgChart1#1"/>
    <dgm:cxn modelId="{69D2E4A5-1DB0-4054-9EC3-4739267BFA4E}" type="presParOf" srcId="{5C2BFDE7-B434-4F65-96A4-9A6D4FF7E59C}" destId="{E313A5B4-B5F8-407E-8DDC-69C120F76AED}" srcOrd="1" destOrd="0" presId="urn:microsoft.com/office/officeart/2005/8/layout/orgChart1#1"/>
    <dgm:cxn modelId="{43169C89-94CE-47D5-AB67-F47351095920}" type="presParOf" srcId="{5C2BFDE7-B434-4F65-96A4-9A6D4FF7E59C}" destId="{7740B9B1-DAFC-41CF-B7D1-9A2B030240E7}" srcOrd="2" destOrd="0" presId="urn:microsoft.com/office/officeart/2005/8/layout/orgChart1#1"/>
    <dgm:cxn modelId="{5B8A9FC4-2242-489D-AA2E-82BAE083BCA2}" type="presParOf" srcId="{696CE58D-9594-488A-B378-009478D98002}" destId="{6B9778B7-EAC7-43EB-A157-3BDF28CFB46E}" srcOrd="4" destOrd="0" presId="urn:microsoft.com/office/officeart/2005/8/layout/orgChart1#1"/>
    <dgm:cxn modelId="{E5A2173A-4808-4034-B0F1-839E5E9C9D7A}" type="presParOf" srcId="{696CE58D-9594-488A-B378-009478D98002}" destId="{3C9D1BA4-373E-4C43-B5A7-B27B5CBC2019}" srcOrd="5" destOrd="0" presId="urn:microsoft.com/office/officeart/2005/8/layout/orgChart1#1"/>
    <dgm:cxn modelId="{45F25E70-C290-4937-97A6-16F055322379}" type="presParOf" srcId="{3C9D1BA4-373E-4C43-B5A7-B27B5CBC2019}" destId="{D7D46EFD-3E0B-4D38-8291-459286C5819C}" srcOrd="0" destOrd="0" presId="urn:microsoft.com/office/officeart/2005/8/layout/orgChart1#1"/>
    <dgm:cxn modelId="{068ED3BC-D55F-4A70-83E2-9DAA9A0919E3}" type="presParOf" srcId="{D7D46EFD-3E0B-4D38-8291-459286C5819C}" destId="{5DAE465C-513F-4CF8-B0F6-75CA40C88156}" srcOrd="0" destOrd="0" presId="urn:microsoft.com/office/officeart/2005/8/layout/orgChart1#1"/>
    <dgm:cxn modelId="{1A69FEAB-1FA7-4E2B-9F8F-0533D9FC118C}" type="presParOf" srcId="{D7D46EFD-3E0B-4D38-8291-459286C5819C}" destId="{ED12698B-D8C2-478B-A34C-AE83A418E1C8}" srcOrd="1" destOrd="0" presId="urn:microsoft.com/office/officeart/2005/8/layout/orgChart1#1"/>
    <dgm:cxn modelId="{A80601FC-B9DF-4F10-8D72-53759D5EC6CA}" type="presParOf" srcId="{3C9D1BA4-373E-4C43-B5A7-B27B5CBC2019}" destId="{47310C61-D042-4F58-B289-0131075B00C3}" srcOrd="1" destOrd="0" presId="urn:microsoft.com/office/officeart/2005/8/layout/orgChart1#1"/>
    <dgm:cxn modelId="{32C8B2C1-E816-45A2-A1B1-EB835174474A}" type="presParOf" srcId="{3C9D1BA4-373E-4C43-B5A7-B27B5CBC2019}" destId="{547E84B3-1D24-47B1-888B-E5165F17FDC2}" srcOrd="2" destOrd="0" presId="urn:microsoft.com/office/officeart/2005/8/layout/orgChart1#1"/>
    <dgm:cxn modelId="{AAF5B1CE-EA95-41DC-B2C0-9A0FC745C70E}" type="presParOf" srcId="{696CE58D-9594-488A-B378-009478D98002}" destId="{E2FD8186-AA63-4760-9D49-FAA4E84DD537}" srcOrd="6" destOrd="0" presId="urn:microsoft.com/office/officeart/2005/8/layout/orgChart1#1"/>
    <dgm:cxn modelId="{26D9DDCA-CAB5-4B11-B2D4-B5C9C96214D9}" type="presParOf" srcId="{696CE58D-9594-488A-B378-009478D98002}" destId="{84C99702-AD6A-4FA5-A9E2-D6FE8B63BD4C}" srcOrd="7" destOrd="0" presId="urn:microsoft.com/office/officeart/2005/8/layout/orgChart1#1"/>
    <dgm:cxn modelId="{D602F417-33AD-4054-9CE3-C1F8795E9700}" type="presParOf" srcId="{84C99702-AD6A-4FA5-A9E2-D6FE8B63BD4C}" destId="{82BCA06C-DB8D-43E7-896E-C5DBF947C797}" srcOrd="0" destOrd="0" presId="urn:microsoft.com/office/officeart/2005/8/layout/orgChart1#1"/>
    <dgm:cxn modelId="{62333679-9216-430D-A8A9-366E0F9F7DC1}" type="presParOf" srcId="{82BCA06C-DB8D-43E7-896E-C5DBF947C797}" destId="{2CFD503D-48F6-41EE-BA3C-1C6F2E081BF7}" srcOrd="0" destOrd="0" presId="urn:microsoft.com/office/officeart/2005/8/layout/orgChart1#1"/>
    <dgm:cxn modelId="{A4F427A5-9699-4BFC-89A2-0675C3EFB2D0}" type="presParOf" srcId="{82BCA06C-DB8D-43E7-896E-C5DBF947C797}" destId="{EC04494F-7F60-4DB0-8570-AC7EBB51D752}" srcOrd="1" destOrd="0" presId="urn:microsoft.com/office/officeart/2005/8/layout/orgChart1#1"/>
    <dgm:cxn modelId="{58649079-C917-452F-886B-28798FB62037}" type="presParOf" srcId="{84C99702-AD6A-4FA5-A9E2-D6FE8B63BD4C}" destId="{7732760E-65A0-4CFF-9710-2C172E51A297}" srcOrd="1" destOrd="0" presId="urn:microsoft.com/office/officeart/2005/8/layout/orgChart1#1"/>
    <dgm:cxn modelId="{29815E85-3B61-486F-81E1-CDCD80345608}" type="presParOf" srcId="{84C99702-AD6A-4FA5-A9E2-D6FE8B63BD4C}" destId="{8E111D6D-A99D-4F61-A40E-8013D95BCB46}" srcOrd="2" destOrd="0" presId="urn:microsoft.com/office/officeart/2005/8/layout/orgChart1#1"/>
    <dgm:cxn modelId="{C8720BA1-A6B0-4B1F-8E5C-FBAB5EDD476F}" type="presParOf" srcId="{8AD2A4A8-AEDE-4319-BAB3-0061D348F76D}" destId="{3A997C33-82E6-4F2F-BD1D-D639E631D7E6}" srcOrd="2" destOrd="0" presId="urn:microsoft.com/office/officeart/2005/8/layout/orgChart1#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23" y="362939"/>
          <a:ext cx="1074553" cy="42982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15434" y="362939"/>
        <a:ext cx="644732" cy="429821"/>
      </dsp:txXfrm>
    </dsp:sp>
    <dsp:sp modelId="{6E8D7C1F-A22A-42B0-A090-A57413634287}">
      <dsp:nvSpPr>
        <dsp:cNvPr id="0" name=""/>
        <dsp:cNvSpPr/>
      </dsp:nvSpPr>
      <dsp:spPr>
        <a:xfrm>
          <a:off x="935384" y="399474"/>
          <a:ext cx="891879" cy="35675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113760" y="399474"/>
        <a:ext cx="535128" cy="356751"/>
      </dsp:txXfrm>
    </dsp:sp>
    <dsp:sp modelId="{B8691B77-4694-4BFA-9DAF-40A313A447BB}">
      <dsp:nvSpPr>
        <dsp:cNvPr id="0" name=""/>
        <dsp:cNvSpPr/>
      </dsp:nvSpPr>
      <dsp:spPr>
        <a:xfrm>
          <a:off x="1702400" y="399474"/>
          <a:ext cx="891879" cy="35675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880776" y="399474"/>
        <a:ext cx="535128" cy="356751"/>
      </dsp:txXfrm>
    </dsp:sp>
    <dsp:sp modelId="{C330E3A1-3D1D-4453-A315-50DA58578E8B}">
      <dsp:nvSpPr>
        <dsp:cNvPr id="0" name=""/>
        <dsp:cNvSpPr/>
      </dsp:nvSpPr>
      <dsp:spPr>
        <a:xfrm>
          <a:off x="2469416" y="399474"/>
          <a:ext cx="891879" cy="35675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647792" y="399474"/>
        <a:ext cx="535128" cy="356751"/>
      </dsp:txXfrm>
    </dsp:sp>
    <dsp:sp modelId="{15B667A0-41D3-4D24-9402-E2D0A9F3193D}">
      <dsp:nvSpPr>
        <dsp:cNvPr id="0" name=""/>
        <dsp:cNvSpPr/>
      </dsp:nvSpPr>
      <dsp:spPr>
        <a:xfrm>
          <a:off x="3236432" y="399474"/>
          <a:ext cx="891879" cy="35675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414808" y="399474"/>
        <a:ext cx="535128" cy="356751"/>
      </dsp:txXfrm>
    </dsp:sp>
    <dsp:sp modelId="{3133D0F3-2920-497C-9B75-49DB36BD1C0F}">
      <dsp:nvSpPr>
        <dsp:cNvPr id="0" name=""/>
        <dsp:cNvSpPr/>
      </dsp:nvSpPr>
      <dsp:spPr>
        <a:xfrm>
          <a:off x="4003447" y="399474"/>
          <a:ext cx="891879" cy="35675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181823" y="399474"/>
        <a:ext cx="535128" cy="3567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FD8186-AA63-4760-9D49-FAA4E84DD537}">
      <dsp:nvSpPr>
        <dsp:cNvPr id="0" name=""/>
        <dsp:cNvSpPr/>
      </dsp:nvSpPr>
      <dsp:spPr>
        <a:xfrm>
          <a:off x="1824354" y="732996"/>
          <a:ext cx="1428846" cy="165321"/>
        </a:xfrm>
        <a:custGeom>
          <a:avLst/>
          <a:gdLst/>
          <a:ahLst/>
          <a:cxnLst/>
          <a:rect l="0" t="0" r="0" b="0"/>
          <a:pathLst>
            <a:path>
              <a:moveTo>
                <a:pt x="0" y="0"/>
              </a:moveTo>
              <a:lnTo>
                <a:pt x="0" y="82660"/>
              </a:lnTo>
              <a:lnTo>
                <a:pt x="1428846" y="82660"/>
              </a:lnTo>
              <a:lnTo>
                <a:pt x="1428846" y="165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9778B7-EAC7-43EB-A157-3BDF28CFB46E}">
      <dsp:nvSpPr>
        <dsp:cNvPr id="0" name=""/>
        <dsp:cNvSpPr/>
      </dsp:nvSpPr>
      <dsp:spPr>
        <a:xfrm>
          <a:off x="1824354" y="732996"/>
          <a:ext cx="476282" cy="165321"/>
        </a:xfrm>
        <a:custGeom>
          <a:avLst/>
          <a:gdLst/>
          <a:ahLst/>
          <a:cxnLst/>
          <a:rect l="0" t="0" r="0" b="0"/>
          <a:pathLst>
            <a:path>
              <a:moveTo>
                <a:pt x="0" y="0"/>
              </a:moveTo>
              <a:lnTo>
                <a:pt x="0" y="82660"/>
              </a:lnTo>
              <a:lnTo>
                <a:pt x="476282" y="82660"/>
              </a:lnTo>
              <a:lnTo>
                <a:pt x="476282" y="165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BD8A69-91E0-4F35-9E49-75281EB6EC01}">
      <dsp:nvSpPr>
        <dsp:cNvPr id="0" name=""/>
        <dsp:cNvSpPr/>
      </dsp:nvSpPr>
      <dsp:spPr>
        <a:xfrm>
          <a:off x="1348072" y="732996"/>
          <a:ext cx="476282" cy="165321"/>
        </a:xfrm>
        <a:custGeom>
          <a:avLst/>
          <a:gdLst/>
          <a:ahLst/>
          <a:cxnLst/>
          <a:rect l="0" t="0" r="0" b="0"/>
          <a:pathLst>
            <a:path>
              <a:moveTo>
                <a:pt x="476282" y="0"/>
              </a:moveTo>
              <a:lnTo>
                <a:pt x="476282" y="82660"/>
              </a:lnTo>
              <a:lnTo>
                <a:pt x="0" y="82660"/>
              </a:lnTo>
              <a:lnTo>
                <a:pt x="0" y="165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7B19C-9FDE-4753-82E4-C06D51084027}">
      <dsp:nvSpPr>
        <dsp:cNvPr id="0" name=""/>
        <dsp:cNvSpPr/>
      </dsp:nvSpPr>
      <dsp:spPr>
        <a:xfrm>
          <a:off x="395508" y="732996"/>
          <a:ext cx="1428846" cy="165321"/>
        </a:xfrm>
        <a:custGeom>
          <a:avLst/>
          <a:gdLst/>
          <a:ahLst/>
          <a:cxnLst/>
          <a:rect l="0" t="0" r="0" b="0"/>
          <a:pathLst>
            <a:path>
              <a:moveTo>
                <a:pt x="1428846" y="0"/>
              </a:moveTo>
              <a:lnTo>
                <a:pt x="1428846" y="82660"/>
              </a:lnTo>
              <a:lnTo>
                <a:pt x="0" y="82660"/>
              </a:lnTo>
              <a:lnTo>
                <a:pt x="0" y="165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2B7EA-F53F-4499-B92A-38F804811D02}">
      <dsp:nvSpPr>
        <dsp:cNvPr id="0" name=""/>
        <dsp:cNvSpPr/>
      </dsp:nvSpPr>
      <dsp:spPr>
        <a:xfrm>
          <a:off x="1430733" y="339375"/>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评价</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方法</a:t>
          </a:r>
          <a:endParaRPr lang="zh-CN" altLang="en-US" sz="900" smtClean="0"/>
        </a:p>
      </dsp:txBody>
      <dsp:txXfrm>
        <a:off x="1430733" y="339375"/>
        <a:ext cx="787243" cy="393621"/>
      </dsp:txXfrm>
    </dsp:sp>
    <dsp:sp modelId="{6A71FD7E-916D-4FD1-B522-13960E4DE118}">
      <dsp:nvSpPr>
        <dsp:cNvPr id="0" name=""/>
        <dsp:cNvSpPr/>
      </dsp:nvSpPr>
      <dsp:spPr>
        <a:xfrm>
          <a:off x="1887" y="898318"/>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综合</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评分方法</a:t>
          </a:r>
          <a:endParaRPr lang="zh-CN" altLang="en-US" sz="900" smtClean="0"/>
        </a:p>
      </dsp:txBody>
      <dsp:txXfrm>
        <a:off x="1887" y="898318"/>
        <a:ext cx="787243" cy="393621"/>
      </dsp:txXfrm>
    </dsp:sp>
    <dsp:sp modelId="{7ED3251D-013E-4460-B2AA-E207DB553100}">
      <dsp:nvSpPr>
        <dsp:cNvPr id="0" name=""/>
        <dsp:cNvSpPr/>
      </dsp:nvSpPr>
      <dsp:spPr>
        <a:xfrm>
          <a:off x="954451" y="898318"/>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指标</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计算方法</a:t>
          </a:r>
          <a:endParaRPr lang="zh-CN" altLang="en-US" sz="900" smtClean="0"/>
        </a:p>
      </dsp:txBody>
      <dsp:txXfrm>
        <a:off x="954451" y="898318"/>
        <a:ext cx="787243" cy="393621"/>
      </dsp:txXfrm>
    </dsp:sp>
    <dsp:sp modelId="{5DAE465C-513F-4CF8-B0F6-75CA40C88156}">
      <dsp:nvSpPr>
        <dsp:cNvPr id="0" name=""/>
        <dsp:cNvSpPr/>
      </dsp:nvSpPr>
      <dsp:spPr>
        <a:xfrm>
          <a:off x="1907015" y="898318"/>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indent="0" algn="ctr" defTabSz="400050" rtl="0">
            <a:lnSpc>
              <a:spcPct val="100000"/>
            </a:lnSpc>
            <a:spcBef>
              <a:spcPct val="0"/>
            </a:spcBef>
            <a:spcAft>
              <a:spcPct val="35000"/>
            </a:spcAft>
            <a:buNone/>
          </a:pPr>
          <a:r>
            <a:rPr lang="zh-CN" altLang="en-US" sz="900" kern="100" baseline="0" smtClean="0">
              <a:latin typeface="Calibri" panose="020F0502020204030204"/>
              <a:ea typeface="宋体" panose="02010600030101010101" charset="-122"/>
            </a:rPr>
            <a:t>权重</a:t>
          </a:r>
          <a:endParaRPr lang="zh-CN" altLang="en-US" sz="900" kern="100" baseline="0" smtClean="0">
            <a:latin typeface="Times New Roman" panose="02020603050405020304"/>
            <a:ea typeface="宋体" panose="02010600030101010101" charset="-122"/>
          </a:endParaRPr>
        </a:p>
        <a:p>
          <a:pPr marR="0" lvl="0" indent="0" algn="ctr" defTabSz="400050" rtl="0">
            <a:lnSpc>
              <a:spcPct val="100000"/>
            </a:lnSpc>
            <a:spcBef>
              <a:spcPct val="0"/>
            </a:spcBef>
            <a:spcAft>
              <a:spcPct val="35000"/>
            </a:spcAft>
            <a:buNone/>
          </a:pPr>
          <a:r>
            <a:rPr lang="zh-CN" altLang="en-US" sz="900" kern="100" baseline="0" smtClean="0">
              <a:latin typeface="Calibri" panose="020F0502020204030204"/>
              <a:ea typeface="宋体" panose="02010600030101010101" charset="-122"/>
            </a:rPr>
            <a:t>确定方法</a:t>
          </a:r>
          <a:endParaRPr lang="zh-CN" altLang="en-US" sz="900" smtClean="0"/>
        </a:p>
      </dsp:txBody>
      <dsp:txXfrm>
        <a:off x="1907015" y="898318"/>
        <a:ext cx="787243" cy="393621"/>
      </dsp:txXfrm>
    </dsp:sp>
    <dsp:sp modelId="{2CFD503D-48F6-41EE-BA3C-1C6F2E081BF7}">
      <dsp:nvSpPr>
        <dsp:cNvPr id="0" name=""/>
        <dsp:cNvSpPr/>
      </dsp:nvSpPr>
      <dsp:spPr>
        <a:xfrm>
          <a:off x="2859579" y="898318"/>
          <a:ext cx="787243" cy="3936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标准值</a:t>
          </a:r>
          <a:endParaRPr lang="zh-CN" altLang="en-US" sz="900" kern="100" baseline="0" smtClean="0">
            <a:latin typeface="Times New Roman" panose="02020603050405020304"/>
            <a:ea typeface="宋体" panose="02010600030101010101" charset="-122"/>
          </a:endParaRPr>
        </a:p>
        <a:p>
          <a:pPr marR="0" lvl="0" algn="ctr" defTabSz="400050" rtl="0">
            <a:lnSpc>
              <a:spcPct val="90000"/>
            </a:lnSpc>
            <a:spcBef>
              <a:spcPct val="0"/>
            </a:spcBef>
            <a:spcAft>
              <a:spcPct val="35000"/>
            </a:spcAft>
          </a:pPr>
          <a:r>
            <a:rPr lang="zh-CN" altLang="en-US" sz="900" kern="100" baseline="0" smtClean="0">
              <a:latin typeface="Calibri" panose="020F0502020204030204"/>
              <a:ea typeface="宋体" panose="02010600030101010101" charset="-122"/>
            </a:rPr>
            <a:t>确定方法</a:t>
          </a:r>
          <a:endParaRPr lang="zh-CN" altLang="en-US" sz="900" smtClean="0"/>
        </a:p>
      </dsp:txBody>
      <dsp:txXfrm>
        <a:off x="2859579" y="898318"/>
        <a:ext cx="787243" cy="39362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type="chevron" r:blip="" rot="180">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type="chevron" r:blip="" rot="180">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2DE11-D9C3-4345-B492-A089B8A1C5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3275</Words>
  <Characters>18670</Characters>
  <Lines>155</Lines>
  <Paragraphs>43</Paragraphs>
  <TotalTime>14</TotalTime>
  <ScaleCrop>false</ScaleCrop>
  <LinksUpToDate>false</LinksUpToDate>
  <CharactersWithSpaces>21902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2018-05-21T10:11:00Z</dcterms:created>
  <dc:creator>lhn</dc:creator>
  <cp:lastModifiedBy>admin</cp:lastModifiedBy>
  <cp:lastPrinted>2017-04-06T14:11:00Z</cp:lastPrinted>
  <dcterms:modified xsi:type="dcterms:W3CDTF">2018-10-25T01:58:49Z</dcterms:modified>
  <dc:title>财政支出绩效评价报告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