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ascii="Arial Narrow" w:hAnsi="Arial Narrow" w:cs="宋体"/>
          <w:b/>
          <w:sz w:val="44"/>
          <w:szCs w:val="44"/>
        </w:rPr>
      </w:pPr>
      <w:bookmarkStart w:id="116" w:name="_GoBack"/>
      <w:bookmarkEnd w:id="116"/>
    </w:p>
    <w:p>
      <w:pPr>
        <w:ind w:firstLine="0" w:firstLineChars="0"/>
        <w:jc w:val="center"/>
        <w:rPr>
          <w:rFonts w:ascii="Arial Narrow" w:hAnsi="Arial Narrow" w:cs="宋体"/>
          <w:b/>
          <w:sz w:val="44"/>
          <w:szCs w:val="44"/>
        </w:rPr>
      </w:pPr>
    </w:p>
    <w:p>
      <w:pPr>
        <w:ind w:firstLine="0" w:firstLineChars="0"/>
        <w:jc w:val="center"/>
        <w:rPr>
          <w:rFonts w:ascii="Arial Narrow" w:hAnsi="Arial Narrow" w:cs="宋体"/>
          <w:b/>
          <w:sz w:val="44"/>
          <w:szCs w:val="44"/>
        </w:rPr>
      </w:pPr>
      <w:r>
        <w:rPr>
          <w:rFonts w:ascii="Arial Narrow" w:hAnsi="Arial Narrow" w:cs="宋体"/>
          <w:b/>
          <w:sz w:val="44"/>
          <w:szCs w:val="44"/>
        </w:rPr>
        <w:t>武昌区2017年度机关食堂运行经费</w:t>
      </w:r>
    </w:p>
    <w:p>
      <w:pPr>
        <w:ind w:firstLine="0" w:firstLineChars="0"/>
        <w:jc w:val="center"/>
        <w:rPr>
          <w:rFonts w:ascii="Arial Narrow" w:hAnsi="Arial Narrow" w:cs="宋体"/>
          <w:b/>
          <w:sz w:val="44"/>
          <w:szCs w:val="44"/>
        </w:rPr>
      </w:pPr>
      <w:r>
        <w:rPr>
          <w:rFonts w:ascii="Arial Narrow" w:hAnsi="Arial Narrow" w:cs="宋体"/>
          <w:b/>
          <w:sz w:val="44"/>
          <w:szCs w:val="44"/>
        </w:rPr>
        <w:t>绩效评价报告</w:t>
      </w:r>
    </w:p>
    <w:p>
      <w:pPr>
        <w:ind w:firstLine="480"/>
        <w:rPr>
          <w:rFonts w:ascii="Arial Narrow" w:hAnsi="Arial Narrow" w:cs="宋体"/>
        </w:rPr>
      </w:pPr>
    </w:p>
    <w:p>
      <w:pPr>
        <w:widowControl/>
        <w:spacing w:line="800" w:lineRule="exact"/>
        <w:ind w:firstLine="0" w:firstLineChars="0"/>
        <w:jc w:val="left"/>
        <w:rPr>
          <w:rFonts w:ascii="Arial Narrow" w:hAnsi="Arial Narrow" w:cs="宋体"/>
          <w:b/>
          <w:bCs/>
          <w:kern w:val="32"/>
          <w:sz w:val="32"/>
          <w:lang w:bidi="he-IL"/>
        </w:rPr>
      </w:pPr>
    </w:p>
    <w:p>
      <w:pPr>
        <w:widowControl/>
        <w:spacing w:line="800" w:lineRule="exact"/>
        <w:ind w:firstLine="790" w:firstLineChars="246"/>
        <w:jc w:val="left"/>
        <w:rPr>
          <w:rFonts w:ascii="Arial Narrow" w:hAnsi="Arial Narrow" w:cs="宋体"/>
          <w:b/>
          <w:bCs/>
          <w:kern w:val="32"/>
          <w:sz w:val="32"/>
          <w:lang w:bidi="he-IL"/>
        </w:rPr>
      </w:pPr>
    </w:p>
    <w:p>
      <w:pPr>
        <w:widowControl/>
        <w:spacing w:line="480" w:lineRule="auto"/>
        <w:ind w:right="-192" w:rightChars="-80" w:firstLine="643"/>
        <w:jc w:val="left"/>
        <w:rPr>
          <w:rFonts w:ascii="Arial Narrow" w:hAnsi="Arial Narrow" w:cs="仿宋_GB2312"/>
          <w:b/>
          <w:bCs/>
          <w:kern w:val="32"/>
          <w:sz w:val="32"/>
          <w:szCs w:val="32"/>
          <w:lang w:bidi="he-IL"/>
        </w:rPr>
      </w:pPr>
      <w:r>
        <w:rPr>
          <w:rFonts w:ascii="Arial Narrow" w:hAnsi="Arial Narrow" w:cs="仿宋_GB2312"/>
          <w:b/>
          <w:bCs/>
          <w:kern w:val="32"/>
          <w:sz w:val="32"/>
          <w:lang w:bidi="he-IL"/>
        </w:rPr>
        <w:t>项目名称：</w:t>
      </w:r>
      <w:r>
        <w:rPr>
          <w:rFonts w:ascii="Arial Narrow" w:hAnsi="Arial Narrow" w:cs="仿宋_GB2312"/>
          <w:b/>
          <w:bCs/>
          <w:sz w:val="32"/>
          <w:szCs w:val="32"/>
        </w:rPr>
        <w:t>食堂运行经费项目</w:t>
      </w:r>
    </w:p>
    <w:p>
      <w:pPr>
        <w:widowControl/>
        <w:spacing w:line="480" w:lineRule="auto"/>
        <w:ind w:firstLine="643"/>
        <w:jc w:val="left"/>
        <w:rPr>
          <w:rFonts w:ascii="Arial Narrow" w:hAnsi="Arial Narrow" w:cs="仿宋_GB2312"/>
          <w:b/>
          <w:bCs/>
          <w:sz w:val="32"/>
          <w:szCs w:val="32"/>
        </w:rPr>
      </w:pPr>
      <w:r>
        <w:rPr>
          <w:rFonts w:ascii="Arial Narrow" w:hAnsi="Arial Narrow" w:cs="仿宋_GB2312"/>
          <w:b/>
          <w:bCs/>
          <w:kern w:val="32"/>
          <w:sz w:val="32"/>
          <w:lang w:bidi="he-IL"/>
        </w:rPr>
        <w:t>项目单位：武汉市</w:t>
      </w:r>
      <w:r>
        <w:rPr>
          <w:rFonts w:ascii="Arial Narrow" w:hAnsi="Arial Narrow" w:cs="仿宋_GB2312"/>
          <w:b/>
          <w:bCs/>
          <w:sz w:val="32"/>
          <w:szCs w:val="32"/>
        </w:rPr>
        <w:t>武昌区机关运行保障中心</w:t>
      </w:r>
    </w:p>
    <w:p>
      <w:pPr>
        <w:widowControl/>
        <w:spacing w:line="480" w:lineRule="auto"/>
        <w:ind w:firstLine="643"/>
        <w:jc w:val="left"/>
        <w:rPr>
          <w:rFonts w:ascii="Arial Narrow" w:hAnsi="Arial Narrow" w:cs="仿宋_GB2312"/>
          <w:b/>
          <w:bCs/>
          <w:sz w:val="32"/>
          <w:szCs w:val="32"/>
        </w:rPr>
      </w:pPr>
      <w:r>
        <w:rPr>
          <w:rFonts w:ascii="Arial Narrow" w:hAnsi="Arial Narrow" w:cs="仿宋_GB2312"/>
          <w:b/>
          <w:bCs/>
          <w:kern w:val="32"/>
          <w:sz w:val="32"/>
          <w:lang w:bidi="he-IL"/>
        </w:rPr>
        <w:t>主管部门：武汉市武昌区机关运行保障中心</w:t>
      </w:r>
    </w:p>
    <w:p>
      <w:pPr>
        <w:widowControl/>
        <w:spacing w:line="480" w:lineRule="auto"/>
        <w:ind w:firstLine="643"/>
        <w:jc w:val="left"/>
        <w:rPr>
          <w:rFonts w:ascii="Arial Narrow" w:hAnsi="Arial Narrow" w:cs="仿宋_GB2312"/>
          <w:b/>
          <w:bCs/>
          <w:kern w:val="32"/>
          <w:sz w:val="32"/>
          <w:lang w:bidi="he-IL"/>
        </w:rPr>
      </w:pPr>
      <w:r>
        <w:rPr>
          <w:rFonts w:ascii="Arial Narrow" w:hAnsi="Arial Narrow" w:cs="仿宋_GB2312"/>
          <w:b/>
          <w:bCs/>
          <w:kern w:val="32"/>
          <w:sz w:val="32"/>
          <w:lang w:bidi="he-IL"/>
        </w:rPr>
        <w:t>评价机构：致同会计师事务所（特殊普通合伙）</w:t>
      </w:r>
    </w:p>
    <w:p>
      <w:pPr>
        <w:widowControl/>
        <w:spacing w:line="480" w:lineRule="auto"/>
        <w:ind w:firstLine="2249" w:firstLineChars="700"/>
        <w:jc w:val="left"/>
        <w:rPr>
          <w:rFonts w:ascii="Arial Narrow" w:hAnsi="Arial Narrow" w:cs="仿宋_GB2312"/>
          <w:b/>
          <w:bCs/>
          <w:sz w:val="32"/>
          <w:szCs w:val="32"/>
        </w:rPr>
      </w:pPr>
      <w:r>
        <w:rPr>
          <w:rFonts w:ascii="Arial Narrow" w:hAnsi="Arial Narrow" w:cs="仿宋_GB2312"/>
          <w:b/>
          <w:bCs/>
          <w:kern w:val="32"/>
          <w:sz w:val="32"/>
          <w:lang w:bidi="he-IL"/>
        </w:rPr>
        <w:t>武汉分所</w:t>
      </w:r>
    </w:p>
    <w:p>
      <w:pPr>
        <w:spacing w:line="800" w:lineRule="exact"/>
        <w:ind w:firstLine="0" w:firstLineChars="0"/>
        <w:rPr>
          <w:rFonts w:ascii="Arial Narrow" w:hAnsi="Arial Narrow" w:cs="宋体"/>
          <w:b/>
          <w:bCs/>
          <w:sz w:val="32"/>
          <w:szCs w:val="32"/>
        </w:rPr>
      </w:pPr>
    </w:p>
    <w:p>
      <w:pPr>
        <w:spacing w:line="800" w:lineRule="exact"/>
        <w:ind w:firstLine="0" w:firstLineChars="0"/>
        <w:rPr>
          <w:rFonts w:ascii="Arial Narrow" w:hAnsi="Arial Narrow" w:cs="宋体"/>
          <w:b/>
          <w:bCs/>
          <w:sz w:val="32"/>
          <w:szCs w:val="32"/>
        </w:rPr>
      </w:pPr>
    </w:p>
    <w:p>
      <w:pPr>
        <w:spacing w:line="800" w:lineRule="exact"/>
        <w:ind w:firstLine="0" w:firstLineChars="0"/>
        <w:jc w:val="center"/>
        <w:rPr>
          <w:rFonts w:ascii="Arial Narrow" w:hAnsi="Arial Narrow" w:cs="宋体"/>
          <w:b/>
        </w:rPr>
        <w:sectPr>
          <w:headerReference r:id="rId5" w:type="first"/>
          <w:footerReference r:id="rId8" w:type="first"/>
          <w:headerReference r:id="rId3" w:type="default"/>
          <w:footerReference r:id="rId6" w:type="default"/>
          <w:headerReference r:id="rId4" w:type="even"/>
          <w:footerReference r:id="rId7" w:type="even"/>
          <w:pgSz w:w="11906" w:h="16838"/>
          <w:pgMar w:top="2835" w:right="1417" w:bottom="1417" w:left="1984" w:header="1361" w:footer="992" w:gutter="0"/>
          <w:pgNumType w:start="0"/>
          <w:cols w:space="720" w:num="1"/>
          <w:docGrid w:type="lines" w:linePitch="408" w:charSpace="0"/>
        </w:sectPr>
      </w:pPr>
      <w:r>
        <w:rPr>
          <w:rFonts w:ascii="Arial Narrow" w:hAnsi="Arial Narrow" w:cs="仿宋_GB2312"/>
          <w:b/>
          <w:bCs/>
          <w:sz w:val="32"/>
          <w:szCs w:val="32"/>
        </w:rPr>
        <w:t>二</w:t>
      </w:r>
      <w:r>
        <w:rPr>
          <w:rFonts w:ascii="Arial Narrow" w:hAnsi="Arial Narrow" w:eastAsia="宋体" w:cs="宋体"/>
          <w:b/>
          <w:bCs/>
          <w:sz w:val="32"/>
          <w:szCs w:val="32"/>
        </w:rPr>
        <w:t>〇</w:t>
      </w:r>
      <w:r>
        <w:rPr>
          <w:rFonts w:ascii="Arial Narrow" w:hAnsi="Arial Narrow" w:cs="仿宋_GB2312"/>
          <w:b/>
          <w:bCs/>
          <w:sz w:val="32"/>
          <w:szCs w:val="32"/>
        </w:rPr>
        <w:t>一八年五月</w:t>
      </w:r>
    </w:p>
    <w:p>
      <w:pPr>
        <w:ind w:firstLine="0" w:firstLineChars="0"/>
        <w:jc w:val="center"/>
        <w:rPr>
          <w:rFonts w:ascii="Arial Narrow" w:hAnsi="Arial Narrow" w:cs="Arial Narrow"/>
          <w:b/>
          <w:sz w:val="44"/>
          <w:szCs w:val="44"/>
        </w:rPr>
      </w:pPr>
      <w:r>
        <w:rPr>
          <w:rFonts w:ascii="Arial Narrow" w:hAnsi="Arial Narrow" w:cs="Arial Narrow"/>
          <w:b/>
          <w:sz w:val="44"/>
          <w:szCs w:val="44"/>
        </w:rPr>
        <w:t>摘   要</w:t>
      </w:r>
    </w:p>
    <w:p>
      <w:pPr>
        <w:ind w:firstLine="0" w:firstLineChars="0"/>
        <w:jc w:val="center"/>
        <w:rPr>
          <w:rFonts w:ascii="Arial Narrow" w:hAnsi="Arial Narrow" w:cs="Arial Narrow"/>
          <w:b/>
          <w:sz w:val="44"/>
          <w:szCs w:val="44"/>
        </w:rPr>
      </w:pPr>
    </w:p>
    <w:p>
      <w:pPr>
        <w:pStyle w:val="19"/>
        <w:numPr>
          <w:ilvl w:val="0"/>
          <w:numId w:val="1"/>
        </w:numPr>
        <w:ind w:firstLineChars="0"/>
        <w:rPr>
          <w:rFonts w:ascii="Arial Narrow" w:hAnsi="Arial Narrow" w:eastAsia="仿宋_GB2312" w:cs="Arial Narrow"/>
          <w:b/>
          <w:sz w:val="24"/>
          <w:szCs w:val="24"/>
        </w:rPr>
      </w:pPr>
      <w:r>
        <w:rPr>
          <w:rFonts w:ascii="Arial Narrow" w:hAnsi="Arial Narrow" w:eastAsia="仿宋_GB2312" w:cs="Arial Narrow"/>
          <w:b/>
          <w:sz w:val="24"/>
          <w:szCs w:val="24"/>
        </w:rPr>
        <w:t>项目名称：机关食堂运行经费绩效评价</w:t>
      </w:r>
    </w:p>
    <w:p>
      <w:pPr>
        <w:pStyle w:val="19"/>
        <w:numPr>
          <w:ilvl w:val="0"/>
          <w:numId w:val="1"/>
        </w:numPr>
        <w:ind w:firstLineChars="0"/>
        <w:rPr>
          <w:rFonts w:ascii="Arial Narrow" w:hAnsi="Arial Narrow" w:eastAsia="仿宋_GB2312" w:cs="Arial Narrow"/>
          <w:b/>
          <w:sz w:val="24"/>
          <w:szCs w:val="24"/>
        </w:rPr>
      </w:pPr>
      <w:r>
        <w:rPr>
          <w:rFonts w:ascii="Arial Narrow" w:hAnsi="Arial Narrow" w:eastAsia="仿宋_GB2312" w:cs="Arial Narrow"/>
          <w:b/>
          <w:sz w:val="24"/>
          <w:szCs w:val="24"/>
        </w:rPr>
        <w:t>项目金额：272万元</w:t>
      </w:r>
    </w:p>
    <w:p>
      <w:pPr>
        <w:pStyle w:val="19"/>
        <w:numPr>
          <w:ilvl w:val="0"/>
          <w:numId w:val="1"/>
        </w:numPr>
        <w:ind w:firstLineChars="0"/>
        <w:rPr>
          <w:rFonts w:ascii="Arial Narrow" w:hAnsi="Arial Narrow" w:eastAsia="仿宋_GB2312" w:cs="Arial Narrow"/>
          <w:b/>
          <w:sz w:val="24"/>
          <w:szCs w:val="24"/>
        </w:rPr>
      </w:pPr>
      <w:r>
        <w:rPr>
          <w:rFonts w:ascii="Arial Narrow" w:hAnsi="Arial Narrow" w:eastAsia="仿宋_GB2312" w:cs="Arial Narrow"/>
          <w:b/>
          <w:sz w:val="24"/>
          <w:szCs w:val="24"/>
        </w:rPr>
        <w:t>绩效评价结果：</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2129"/>
        <w:gridCol w:w="226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1" w:type="dxa"/>
            <w:tcBorders>
              <w:bottom w:val="single" w:color="008000" w:sz="6" w:space="0"/>
            </w:tcBorders>
            <w:vAlign w:val="center"/>
          </w:tcPr>
          <w:p>
            <w:pPr>
              <w:ind w:firstLine="482"/>
              <w:rPr>
                <w:rFonts w:ascii="Arial Narrow" w:hAnsi="Arial Narrow" w:cs="Arial Narrow"/>
                <w:b/>
              </w:rPr>
            </w:pPr>
            <w:r>
              <w:rPr>
                <w:rFonts w:ascii="Arial Narrow" w:hAnsi="Arial Narrow" w:cs="Arial Narrow"/>
                <w:b/>
              </w:rPr>
              <w:t>评价准则</w:t>
            </w:r>
          </w:p>
        </w:tc>
        <w:tc>
          <w:tcPr>
            <w:tcW w:w="2129" w:type="dxa"/>
            <w:tcBorders>
              <w:bottom w:val="single" w:color="008000" w:sz="6" w:space="0"/>
            </w:tcBorders>
            <w:vAlign w:val="center"/>
          </w:tcPr>
          <w:p>
            <w:pPr>
              <w:ind w:firstLine="482"/>
              <w:rPr>
                <w:rFonts w:ascii="Arial Narrow" w:hAnsi="Arial Narrow" w:cs="Arial Narrow"/>
                <w:b/>
              </w:rPr>
            </w:pPr>
            <w:r>
              <w:rPr>
                <w:rFonts w:ascii="Arial Narrow" w:hAnsi="Arial Narrow" w:cs="Arial Narrow"/>
                <w:b/>
              </w:rPr>
              <w:t>准则分值</w:t>
            </w:r>
          </w:p>
        </w:tc>
        <w:tc>
          <w:tcPr>
            <w:tcW w:w="2266" w:type="dxa"/>
            <w:tcBorders>
              <w:bottom w:val="single" w:color="008000" w:sz="6" w:space="0"/>
            </w:tcBorders>
            <w:vAlign w:val="center"/>
          </w:tcPr>
          <w:p>
            <w:pPr>
              <w:ind w:left="183" w:firstLine="482"/>
              <w:rPr>
                <w:rFonts w:ascii="Arial Narrow" w:hAnsi="Arial Narrow" w:cs="Arial Narrow"/>
                <w:b/>
              </w:rPr>
            </w:pPr>
            <w:r>
              <w:rPr>
                <w:rFonts w:ascii="Arial Narrow" w:hAnsi="Arial Narrow" w:cs="Arial Narrow"/>
                <w:b/>
              </w:rPr>
              <w:t>评价得分</w:t>
            </w:r>
          </w:p>
        </w:tc>
        <w:tc>
          <w:tcPr>
            <w:tcW w:w="2129" w:type="dxa"/>
            <w:tcBorders>
              <w:bottom w:val="single" w:color="008000" w:sz="6" w:space="0"/>
            </w:tcBorders>
            <w:vAlign w:val="center"/>
          </w:tcPr>
          <w:p>
            <w:pPr>
              <w:ind w:firstLine="482"/>
              <w:rPr>
                <w:rFonts w:ascii="Arial Narrow" w:hAnsi="Arial Narrow" w:cs="Arial Narrow"/>
                <w:b/>
              </w:rPr>
            </w:pPr>
            <w:r>
              <w:rPr>
                <w:rFonts w:ascii="Arial Narrow" w:hAnsi="Arial Narrow" w:cs="Arial Narrow"/>
                <w:b/>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1" w:type="dxa"/>
            <w:vAlign w:val="center"/>
          </w:tcPr>
          <w:p>
            <w:pPr>
              <w:ind w:firstLine="480"/>
              <w:rPr>
                <w:rFonts w:ascii="Arial Narrow" w:hAnsi="Arial Narrow" w:cs="Arial Narrow"/>
                <w:bCs/>
              </w:rPr>
            </w:pPr>
            <w:r>
              <w:rPr>
                <w:rFonts w:ascii="Arial Narrow" w:hAnsi="Arial Narrow" w:cs="Arial Narrow"/>
                <w:bCs/>
              </w:rPr>
              <w:t>项目投入</w:t>
            </w:r>
          </w:p>
        </w:tc>
        <w:tc>
          <w:tcPr>
            <w:tcW w:w="2129" w:type="dxa"/>
            <w:vAlign w:val="center"/>
          </w:tcPr>
          <w:p>
            <w:pPr>
              <w:ind w:firstLine="720" w:firstLineChars="300"/>
              <w:jc w:val="left"/>
              <w:rPr>
                <w:rFonts w:ascii="Arial Narrow" w:hAnsi="Arial Narrow" w:cs="Arial Narrow"/>
                <w:bCs/>
              </w:rPr>
            </w:pPr>
            <w:r>
              <w:rPr>
                <w:rFonts w:ascii="Arial Narrow" w:hAnsi="Arial Narrow" w:cs="Arial Narrow"/>
                <w:bCs/>
              </w:rPr>
              <w:t>16分</w:t>
            </w:r>
          </w:p>
        </w:tc>
        <w:tc>
          <w:tcPr>
            <w:tcW w:w="2266" w:type="dxa"/>
            <w:vAlign w:val="center"/>
          </w:tcPr>
          <w:p>
            <w:pPr>
              <w:ind w:left="182" w:leftChars="76" w:firstLine="720" w:firstLineChars="300"/>
              <w:rPr>
                <w:rFonts w:ascii="Arial Narrow" w:hAnsi="Arial Narrow" w:cs="Arial Narrow"/>
                <w:bCs/>
              </w:rPr>
            </w:pPr>
            <w:r>
              <w:rPr>
                <w:rFonts w:ascii="Arial Narrow" w:hAnsi="Arial Narrow" w:cs="Arial Narrow"/>
                <w:bCs/>
              </w:rPr>
              <w:t>14.5分</w:t>
            </w:r>
          </w:p>
        </w:tc>
        <w:tc>
          <w:tcPr>
            <w:tcW w:w="2129" w:type="dxa"/>
            <w:vAlign w:val="center"/>
          </w:tcPr>
          <w:p>
            <w:pPr>
              <w:ind w:firstLine="796" w:firstLineChars="332"/>
              <w:rPr>
                <w:rFonts w:ascii="Arial Narrow" w:hAnsi="Arial Narrow" w:cs="Arial Narrow"/>
                <w:bCs/>
              </w:rPr>
            </w:pPr>
            <w:r>
              <w:rPr>
                <w:rFonts w:ascii="Arial Narrow" w:hAnsi="Arial Narrow" w:cs="Arial Narrow"/>
                <w:bCs/>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1" w:type="dxa"/>
            <w:vAlign w:val="center"/>
          </w:tcPr>
          <w:p>
            <w:pPr>
              <w:ind w:firstLine="480"/>
              <w:rPr>
                <w:rFonts w:ascii="Arial Narrow" w:hAnsi="Arial Narrow" w:cs="Arial Narrow"/>
                <w:bCs/>
              </w:rPr>
            </w:pPr>
            <w:r>
              <w:rPr>
                <w:rFonts w:ascii="Arial Narrow" w:hAnsi="Arial Narrow" w:cs="Arial Narrow"/>
                <w:bCs/>
              </w:rPr>
              <w:t>项目过程</w:t>
            </w:r>
          </w:p>
        </w:tc>
        <w:tc>
          <w:tcPr>
            <w:tcW w:w="2129" w:type="dxa"/>
            <w:vAlign w:val="center"/>
          </w:tcPr>
          <w:p>
            <w:pPr>
              <w:ind w:firstLine="720" w:firstLineChars="300"/>
              <w:jc w:val="left"/>
              <w:rPr>
                <w:rFonts w:ascii="Arial Narrow" w:hAnsi="Arial Narrow" w:cs="Arial Narrow"/>
                <w:bCs/>
              </w:rPr>
            </w:pPr>
            <w:r>
              <w:rPr>
                <w:rFonts w:ascii="Arial Narrow" w:hAnsi="Arial Narrow" w:cs="Arial Narrow"/>
                <w:bCs/>
              </w:rPr>
              <w:t>24分</w:t>
            </w:r>
          </w:p>
        </w:tc>
        <w:tc>
          <w:tcPr>
            <w:tcW w:w="2266" w:type="dxa"/>
            <w:vAlign w:val="center"/>
          </w:tcPr>
          <w:p>
            <w:pPr>
              <w:ind w:left="182" w:leftChars="76" w:firstLine="720" w:firstLineChars="300"/>
              <w:rPr>
                <w:rFonts w:ascii="Arial Narrow" w:hAnsi="Arial Narrow" w:cs="Arial Narrow"/>
                <w:bCs/>
              </w:rPr>
            </w:pPr>
            <w:r>
              <w:rPr>
                <w:rFonts w:ascii="Arial Narrow" w:hAnsi="Arial Narrow" w:cs="Arial Narrow"/>
                <w:bCs/>
              </w:rPr>
              <w:t>24分</w:t>
            </w:r>
          </w:p>
        </w:tc>
        <w:tc>
          <w:tcPr>
            <w:tcW w:w="2129" w:type="dxa"/>
            <w:vAlign w:val="center"/>
          </w:tcPr>
          <w:p>
            <w:pPr>
              <w:ind w:firstLine="796" w:firstLineChars="332"/>
              <w:rPr>
                <w:rFonts w:ascii="Arial Narrow" w:hAnsi="Arial Narrow" w:cs="Arial Narrow"/>
                <w:bCs/>
              </w:rPr>
            </w:pPr>
            <w:r>
              <w:rPr>
                <w:rFonts w:ascii="Arial Narrow" w:hAnsi="Arial Narrow" w:cs="Arial Narrow"/>
                <w:bCs/>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1" w:type="dxa"/>
            <w:vAlign w:val="center"/>
          </w:tcPr>
          <w:p>
            <w:pPr>
              <w:ind w:firstLine="480"/>
              <w:rPr>
                <w:rFonts w:ascii="Arial Narrow" w:hAnsi="Arial Narrow" w:cs="Arial Narrow"/>
                <w:bCs/>
              </w:rPr>
            </w:pPr>
            <w:r>
              <w:rPr>
                <w:rFonts w:ascii="Arial Narrow" w:hAnsi="Arial Narrow" w:cs="Arial Narrow"/>
                <w:bCs/>
              </w:rPr>
              <w:t>项目产出</w:t>
            </w:r>
          </w:p>
        </w:tc>
        <w:tc>
          <w:tcPr>
            <w:tcW w:w="2129" w:type="dxa"/>
            <w:vAlign w:val="center"/>
          </w:tcPr>
          <w:p>
            <w:pPr>
              <w:ind w:firstLine="720" w:firstLineChars="300"/>
              <w:jc w:val="left"/>
              <w:textAlignment w:val="top"/>
              <w:rPr>
                <w:rFonts w:ascii="Arial Narrow" w:hAnsi="Arial Narrow" w:cs="Arial Narrow"/>
                <w:bCs/>
              </w:rPr>
            </w:pPr>
            <w:r>
              <w:rPr>
                <w:rFonts w:ascii="Arial Narrow" w:hAnsi="Arial Narrow" w:cs="Arial Narrow"/>
                <w:bCs/>
              </w:rPr>
              <w:t>28分</w:t>
            </w:r>
          </w:p>
        </w:tc>
        <w:tc>
          <w:tcPr>
            <w:tcW w:w="2266" w:type="dxa"/>
            <w:vAlign w:val="center"/>
          </w:tcPr>
          <w:p>
            <w:pPr>
              <w:ind w:left="182" w:leftChars="76" w:firstLine="720" w:firstLineChars="300"/>
              <w:textAlignment w:val="top"/>
              <w:rPr>
                <w:rFonts w:ascii="Arial Narrow" w:hAnsi="Arial Narrow" w:cs="Arial Narrow"/>
                <w:bCs/>
              </w:rPr>
            </w:pPr>
            <w:r>
              <w:rPr>
                <w:rFonts w:ascii="Arial Narrow" w:hAnsi="Arial Narrow" w:cs="Arial Narrow"/>
                <w:bCs/>
              </w:rPr>
              <w:t>24.5分</w:t>
            </w:r>
          </w:p>
        </w:tc>
        <w:tc>
          <w:tcPr>
            <w:tcW w:w="2129" w:type="dxa"/>
            <w:vAlign w:val="center"/>
          </w:tcPr>
          <w:p>
            <w:pPr>
              <w:ind w:firstLine="796" w:firstLineChars="332"/>
              <w:textAlignment w:val="top"/>
              <w:rPr>
                <w:rFonts w:ascii="Arial Narrow" w:hAnsi="Arial Narrow" w:cs="Arial Narrow"/>
                <w:bCs/>
              </w:rPr>
            </w:pPr>
            <w:r>
              <w:rPr>
                <w:rFonts w:ascii="Arial Narrow" w:hAnsi="Arial Narrow" w:cs="Arial Narrow"/>
                <w:bCs/>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1" w:type="dxa"/>
            <w:tcBorders>
              <w:top w:val="single" w:color="008000" w:sz="6" w:space="0"/>
            </w:tcBorders>
            <w:vAlign w:val="center"/>
          </w:tcPr>
          <w:p>
            <w:pPr>
              <w:ind w:firstLine="480"/>
              <w:rPr>
                <w:rFonts w:ascii="Arial Narrow" w:hAnsi="Arial Narrow" w:cs="Arial Narrow"/>
                <w:bCs/>
              </w:rPr>
            </w:pPr>
            <w:r>
              <w:rPr>
                <w:rFonts w:ascii="Arial Narrow" w:hAnsi="Arial Narrow" w:cs="Arial Narrow"/>
                <w:bCs/>
              </w:rPr>
              <w:t>项目效益</w:t>
            </w:r>
          </w:p>
        </w:tc>
        <w:tc>
          <w:tcPr>
            <w:tcW w:w="2129" w:type="dxa"/>
            <w:tcBorders>
              <w:top w:val="single" w:color="008000" w:sz="6" w:space="0"/>
            </w:tcBorders>
            <w:vAlign w:val="center"/>
          </w:tcPr>
          <w:p>
            <w:pPr>
              <w:ind w:firstLine="720" w:firstLineChars="300"/>
              <w:jc w:val="left"/>
              <w:rPr>
                <w:rFonts w:ascii="Arial Narrow" w:hAnsi="Arial Narrow" w:cs="Arial Narrow"/>
                <w:bCs/>
              </w:rPr>
            </w:pPr>
            <w:r>
              <w:rPr>
                <w:rFonts w:ascii="Arial Narrow" w:hAnsi="Arial Narrow" w:cs="Arial Narrow"/>
                <w:bCs/>
              </w:rPr>
              <w:t>32分</w:t>
            </w:r>
          </w:p>
        </w:tc>
        <w:tc>
          <w:tcPr>
            <w:tcW w:w="2266" w:type="dxa"/>
            <w:tcBorders>
              <w:top w:val="single" w:color="008000" w:sz="6" w:space="0"/>
            </w:tcBorders>
            <w:vAlign w:val="center"/>
          </w:tcPr>
          <w:p>
            <w:pPr>
              <w:ind w:left="182" w:leftChars="76" w:firstLine="720" w:firstLineChars="300"/>
              <w:rPr>
                <w:rFonts w:ascii="Arial Narrow" w:hAnsi="Arial Narrow" w:cs="Arial Narrow"/>
                <w:bCs/>
              </w:rPr>
            </w:pPr>
            <w:r>
              <w:rPr>
                <w:rFonts w:ascii="Arial Narrow" w:hAnsi="Arial Narrow" w:cs="Arial Narrow"/>
                <w:bCs/>
              </w:rPr>
              <w:t>26分</w:t>
            </w:r>
          </w:p>
        </w:tc>
        <w:tc>
          <w:tcPr>
            <w:tcW w:w="2129" w:type="dxa"/>
            <w:tcBorders>
              <w:top w:val="single" w:color="008000" w:sz="6" w:space="0"/>
            </w:tcBorders>
            <w:vAlign w:val="center"/>
          </w:tcPr>
          <w:p>
            <w:pPr>
              <w:ind w:firstLine="796" w:firstLineChars="332"/>
              <w:rPr>
                <w:rFonts w:ascii="Arial Narrow" w:hAnsi="Arial Narrow" w:cs="Arial Narrow"/>
                <w:bCs/>
              </w:rPr>
            </w:pPr>
            <w:r>
              <w:rPr>
                <w:rFonts w:ascii="Arial Narrow" w:hAnsi="Arial Narrow" w:cs="Arial Narrow"/>
                <w:bCs/>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231" w:type="dxa"/>
            <w:vAlign w:val="center"/>
          </w:tcPr>
          <w:p>
            <w:pPr>
              <w:ind w:firstLine="480"/>
              <w:rPr>
                <w:rFonts w:ascii="Arial Narrow" w:hAnsi="Arial Narrow" w:cs="Arial Narrow"/>
                <w:bCs/>
              </w:rPr>
            </w:pPr>
            <w:r>
              <w:rPr>
                <w:rFonts w:ascii="Arial Narrow" w:hAnsi="Arial Narrow" w:cs="Arial Narrow"/>
                <w:bCs/>
              </w:rPr>
              <w:t>综合绩效</w:t>
            </w:r>
          </w:p>
        </w:tc>
        <w:tc>
          <w:tcPr>
            <w:tcW w:w="2129" w:type="dxa"/>
            <w:shd w:val="clear" w:color="auto" w:fill="auto"/>
            <w:vAlign w:val="center"/>
          </w:tcPr>
          <w:p>
            <w:pPr>
              <w:ind w:firstLine="720" w:firstLineChars="300"/>
              <w:jc w:val="left"/>
              <w:rPr>
                <w:rFonts w:ascii="Arial Narrow" w:hAnsi="Arial Narrow" w:cs="Arial Narrow"/>
                <w:bCs/>
              </w:rPr>
            </w:pPr>
            <w:r>
              <w:rPr>
                <w:rFonts w:ascii="Arial Narrow" w:hAnsi="Arial Narrow" w:cs="Arial Narrow"/>
                <w:bCs/>
              </w:rPr>
              <w:t>100分</w:t>
            </w:r>
          </w:p>
        </w:tc>
        <w:tc>
          <w:tcPr>
            <w:tcW w:w="2266" w:type="dxa"/>
            <w:shd w:val="clear" w:color="auto" w:fill="auto"/>
            <w:vAlign w:val="center"/>
          </w:tcPr>
          <w:p>
            <w:pPr>
              <w:ind w:left="182" w:leftChars="76" w:firstLine="720" w:firstLineChars="300"/>
              <w:rPr>
                <w:rFonts w:ascii="Arial Narrow" w:hAnsi="Arial Narrow" w:cs="Arial Narrow"/>
                <w:bCs/>
              </w:rPr>
            </w:pPr>
            <w:r>
              <w:rPr>
                <w:rFonts w:ascii="Arial Narrow" w:hAnsi="Arial Narrow" w:cs="Arial Narrow"/>
                <w:bCs/>
              </w:rPr>
              <w:t>89分</w:t>
            </w:r>
          </w:p>
        </w:tc>
        <w:tc>
          <w:tcPr>
            <w:tcW w:w="2129" w:type="dxa"/>
            <w:shd w:val="clear" w:color="auto" w:fill="auto"/>
            <w:vAlign w:val="center"/>
          </w:tcPr>
          <w:p>
            <w:pPr>
              <w:ind w:firstLine="796" w:firstLineChars="332"/>
              <w:rPr>
                <w:rFonts w:ascii="Arial Narrow" w:hAnsi="Arial Narrow" w:cs="Arial Narrow"/>
                <w:bCs/>
              </w:rPr>
            </w:pPr>
            <w:r>
              <w:rPr>
                <w:rFonts w:ascii="Arial Narrow" w:hAnsi="Arial Narrow" w:cs="Arial Narrow"/>
                <w:bCs/>
              </w:rPr>
              <w:t>良</w:t>
            </w:r>
          </w:p>
        </w:tc>
      </w:tr>
    </w:tbl>
    <w:p>
      <w:pPr>
        <w:ind w:firstLine="0" w:firstLineChars="0"/>
        <w:rPr>
          <w:rFonts w:ascii="Arial Narrow" w:hAnsi="Arial Narrow" w:cs="Arial Narrow"/>
          <w:b/>
        </w:rPr>
      </w:pPr>
      <w:r>
        <w:rPr>
          <w:rFonts w:ascii="Arial Narrow" w:hAnsi="Arial Narrow" w:cs="Arial Narrow"/>
          <w:b/>
        </w:rPr>
        <w:t>四、评价工作组组成名单</w:t>
      </w:r>
    </w:p>
    <w:p>
      <w:pPr>
        <w:snapToGrid w:val="0"/>
        <w:ind w:firstLine="0" w:firstLineChars="0"/>
        <w:jc w:val="left"/>
        <w:rPr>
          <w:rFonts w:ascii="Arial Narrow" w:hAnsi="Arial Narrow" w:cs="Arial Narrow"/>
        </w:rPr>
      </w:pPr>
      <w:r>
        <w:rPr>
          <w:rFonts w:ascii="Arial Narrow" w:hAnsi="Arial Narrow" w:cs="Arial Narrow"/>
        </w:rPr>
        <w:t>项目负责组长：</w:t>
      </w:r>
      <w:r>
        <w:rPr>
          <w:rFonts w:ascii="Arial Narrow" w:hAnsi="Arial Narrow"/>
        </w:rPr>
        <w:t>何思琪</w:t>
      </w:r>
    </w:p>
    <w:p>
      <w:pPr>
        <w:snapToGrid w:val="0"/>
        <w:ind w:firstLine="0" w:firstLineChars="0"/>
        <w:jc w:val="left"/>
        <w:rPr>
          <w:rFonts w:ascii="Arial Narrow" w:hAnsi="Arial Narrow" w:cs="Arial Narrow"/>
        </w:rPr>
      </w:pPr>
      <w:r>
        <w:rPr>
          <w:rFonts w:ascii="Arial Narrow" w:hAnsi="Arial Narrow" w:cs="Arial Narrow"/>
        </w:rPr>
        <w:t>现场负责人：刘蓓</w:t>
      </w:r>
    </w:p>
    <w:p>
      <w:pPr>
        <w:snapToGrid w:val="0"/>
        <w:ind w:firstLine="0" w:firstLineChars="0"/>
        <w:rPr>
          <w:rFonts w:ascii="Arial Narrow" w:hAnsi="Arial Narrow" w:cs="Arial Narrow"/>
          <w:b/>
        </w:rPr>
      </w:pPr>
      <w:r>
        <w:rPr>
          <w:rFonts w:ascii="Arial Narrow" w:hAnsi="Arial Narrow" w:cs="Arial Narrow"/>
        </w:rPr>
        <w:t>评价小组成员：王安怡 吴宇菲</w:t>
      </w:r>
    </w:p>
    <w:p>
      <w:pPr>
        <w:ind w:firstLine="0" w:firstLineChars="0"/>
        <w:rPr>
          <w:rFonts w:ascii="Arial Narrow" w:hAnsi="Arial Narrow" w:cs="Arial Narrow"/>
          <w:b/>
        </w:rPr>
      </w:pPr>
      <w:r>
        <w:rPr>
          <w:rFonts w:ascii="Arial Narrow" w:hAnsi="Arial Narrow" w:cs="Arial Narrow"/>
          <w:b/>
        </w:rPr>
        <w:t>五、主要评价方法概述</w:t>
      </w:r>
    </w:p>
    <w:p>
      <w:pPr>
        <w:snapToGrid w:val="0"/>
        <w:ind w:firstLine="480"/>
        <w:rPr>
          <w:rFonts w:ascii="Arial Narrow" w:hAnsi="Arial Narrow" w:cs="Arial Narrow"/>
        </w:rPr>
      </w:pPr>
      <w:r>
        <w:rPr>
          <w:rFonts w:ascii="Arial Narrow" w:hAnsi="Arial Narrow" w:cs="Arial Narrow"/>
        </w:rPr>
        <w:t>“食堂运行经费项目”绩效评价根据项目特点和评价工作的要求，选择比较法、公众评判法、统计计算法、实地考察等方法进行绩效评价分析，与此同时，我们收集了项目实施单位的各种统计资料进行分析研究。</w:t>
      </w:r>
    </w:p>
    <w:p>
      <w:pPr>
        <w:snapToGrid w:val="0"/>
        <w:ind w:firstLine="480"/>
        <w:rPr>
          <w:rFonts w:ascii="Arial Narrow" w:hAnsi="Arial Narrow" w:cs="Arial Narrow"/>
        </w:rPr>
      </w:pPr>
      <w:r>
        <w:rPr>
          <w:rFonts w:ascii="Arial Narrow" w:hAnsi="Arial Narrow" w:cs="Arial Narrow"/>
        </w:rPr>
        <w:t>（一）比较法。是指通过对“食堂运行经费项目”绩效目标与实际实施效果的对比，综合分析其绩效目标实现程度。项目小组根据收集的“食堂运行经费项目”资料和前往实地观察，了解项目实际实施情况，与项目申报时确定的绩效目标进行对比，评价绩效目标的实现程度。</w:t>
      </w:r>
    </w:p>
    <w:p>
      <w:pPr>
        <w:snapToGrid w:val="0"/>
        <w:ind w:firstLine="480"/>
        <w:rPr>
          <w:rFonts w:ascii="Arial Narrow" w:hAnsi="Arial Narrow" w:cs="Arial Narrow"/>
        </w:rPr>
      </w:pPr>
      <w:r>
        <w:rPr>
          <w:rFonts w:ascii="Arial Narrow" w:hAnsi="Arial Narrow" w:cs="Arial Narrow"/>
        </w:rPr>
        <w:t>（二）公众评判法。是指通过专家评估、公众问卷及抽样调查等对财政支出效果进行评判，评价绩效目标实现程度。项目小组对武昌区运行保障中心项目负责人及相关实施社区进行访谈，同时对机关食堂职工进行问卷调查，收集“食堂运行经费项目”具体实施情况和效果的相关证据，为绩效分析结论提供有力支撑。</w:t>
      </w:r>
    </w:p>
    <w:p>
      <w:pPr>
        <w:snapToGrid w:val="0"/>
        <w:ind w:firstLine="480"/>
        <w:rPr>
          <w:rFonts w:ascii="Arial Narrow" w:hAnsi="Arial Narrow" w:cs="Arial Narrow"/>
        </w:rPr>
      </w:pPr>
      <w:r>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食堂运行经费项目”特点的评价指标体系，然后采集数据依据计算公式进行计算分析，并根据计算结果分析项目的绩效目标实现程度。</w:t>
      </w:r>
    </w:p>
    <w:p>
      <w:pPr>
        <w:snapToGrid w:val="0"/>
        <w:ind w:firstLine="480"/>
        <w:rPr>
          <w:rFonts w:ascii="Arial Narrow" w:hAnsi="Arial Narrow" w:cs="Arial Narrow"/>
        </w:rPr>
      </w:pPr>
      <w:r>
        <w:rPr>
          <w:rFonts w:ascii="Arial Narrow" w:hAnsi="Arial Narrow" w:cs="Arial Narrow"/>
        </w:rPr>
        <w:t>（四）实地考察。是指前往项目实施地点进行考察，了解项目的实施情况，评价项目绩效目标实现程度。项目小组将前往项目实施单位进行资料的收集，并在武昌区各食堂核实项目实际情况，与收集的资料进行验证核对，并拍照留痕。</w:t>
      </w:r>
    </w:p>
    <w:p>
      <w:pPr>
        <w:pStyle w:val="21"/>
        <w:tabs>
          <w:tab w:val="left" w:pos="279"/>
        </w:tabs>
        <w:ind w:firstLine="0" w:firstLineChars="0"/>
        <w:rPr>
          <w:rFonts w:ascii="Arial Narrow" w:hAnsi="Arial Narrow" w:cs="Arial Narrow"/>
          <w:b/>
        </w:rPr>
      </w:pPr>
      <w:r>
        <w:rPr>
          <w:rFonts w:hint="eastAsia" w:ascii="Arial Narrow" w:hAnsi="Arial Narrow" w:cs="Arial Narrow"/>
          <w:b/>
        </w:rPr>
        <w:t>六</w:t>
      </w:r>
      <w:r>
        <w:rPr>
          <w:rFonts w:ascii="Arial Narrow" w:hAnsi="Arial Narrow" w:cs="Arial Narrow"/>
          <w:b/>
        </w:rPr>
        <w:t>、存在的主要问题概述</w:t>
      </w:r>
    </w:p>
    <w:p>
      <w:pPr>
        <w:snapToGrid w:val="0"/>
        <w:ind w:firstLine="480"/>
        <w:rPr>
          <w:rFonts w:ascii="Arial Narrow" w:hAnsi="Arial Narrow" w:cs="Arial Narrow"/>
        </w:rPr>
      </w:pPr>
      <w:r>
        <w:rPr>
          <w:rFonts w:hint="eastAsia" w:ascii="Arial Narrow" w:hAnsi="Arial Narrow" w:cs="Arial Narrow"/>
        </w:rPr>
        <w:t>（一）</w:t>
      </w:r>
      <w:r>
        <w:rPr>
          <w:rFonts w:ascii="Arial Narrow" w:hAnsi="Arial Narrow" w:cs="Arial Narrow"/>
        </w:rPr>
        <w:t>工程项目未进行验收程序。评价小组查看了记账凭证及明细账，本年进行了4次食堂维修，包括中山路机关食堂零星维修，荆南街办公区食堂维修工程等，但通过现场访谈，工程完工后未及时组织验收，不利于工程质量的控制。</w:t>
      </w:r>
    </w:p>
    <w:p>
      <w:pPr>
        <w:snapToGrid w:val="0"/>
        <w:ind w:firstLine="480"/>
        <w:rPr>
          <w:rFonts w:ascii="Arial Narrow" w:hAnsi="Arial Narrow" w:cs="Arial Narrow"/>
        </w:rPr>
      </w:pPr>
      <w:r>
        <w:rPr>
          <w:rFonts w:hint="eastAsia" w:ascii="Arial Narrow" w:hAnsi="Arial Narrow" w:cs="Arial Narrow"/>
        </w:rPr>
        <w:t>（二）</w:t>
      </w:r>
      <w:r>
        <w:rPr>
          <w:rFonts w:ascii="Arial Narrow" w:hAnsi="Arial Narrow" w:cs="Arial Narrow"/>
        </w:rPr>
        <w:t>项目申报程序不完善，也未针对“食堂运行经费项目”设立具体的绩效指标。项目申报时未提交绩效目标或项目规划，申报资料不齐全；项目实施单位也未针对食堂经费项目设置具体清晰绩效指标，不利于项目的总结评价。</w:t>
      </w:r>
    </w:p>
    <w:p>
      <w:pPr>
        <w:snapToGrid w:val="0"/>
        <w:ind w:firstLine="480"/>
        <w:rPr>
          <w:rFonts w:ascii="Arial Narrow" w:hAnsi="Arial Narrow" w:cs="Arial Narrow"/>
        </w:rPr>
      </w:pPr>
      <w:r>
        <w:rPr>
          <w:rFonts w:hint="eastAsia" w:ascii="Arial Narrow" w:hAnsi="Arial Narrow" w:cs="Arial Narrow"/>
        </w:rPr>
        <w:t>（三）</w:t>
      </w:r>
      <w:r>
        <w:rPr>
          <w:rFonts w:ascii="Arial Narrow" w:hAnsi="Arial Narrow" w:cs="Arial Narrow"/>
        </w:rPr>
        <w:t>食堂工作定期考核书面记录不完善，相关部门检查中存在少许不合格情况。根据现场访谈，项目单位定期对食堂工作情况进行检查，外包的服务公司也会每日进行自查，但缺少相关的考核记录和结果；另一方面，食药检相关部门多次对项目单位组织卫生检查，其中存在两次检查不合格提出意见的情况。</w:t>
      </w:r>
    </w:p>
    <w:p>
      <w:pPr>
        <w:snapToGrid w:val="0"/>
        <w:ind w:firstLine="480"/>
        <w:rPr>
          <w:rFonts w:ascii="Arial Narrow" w:hAnsi="Arial Narrow" w:cs="Arial Narrow"/>
        </w:rPr>
      </w:pPr>
      <w:r>
        <w:rPr>
          <w:rFonts w:hint="eastAsia" w:ascii="Arial Narrow" w:hAnsi="Arial Narrow" w:cs="Arial Narrow"/>
        </w:rPr>
        <w:t>（四）</w:t>
      </w:r>
      <w:r>
        <w:rPr>
          <w:rFonts w:ascii="Arial Narrow" w:hAnsi="Arial Narrow" w:cs="Arial Narrow"/>
        </w:rPr>
        <w:t>菜品丰富度不够，职工伙食和食堂就餐综合满意度不高。</w:t>
      </w:r>
      <w:r>
        <w:rPr>
          <w:rFonts w:hint="eastAsia" w:ascii="Arial Narrow" w:hAnsi="Arial Narrow" w:cs="Arial Narrow"/>
        </w:rPr>
        <w:t>评价</w:t>
      </w:r>
      <w:r>
        <w:rPr>
          <w:rFonts w:ascii="Arial Narrow" w:hAnsi="Arial Narrow" w:cs="Arial Narrow"/>
        </w:rPr>
        <w:t>人员对武昌区市政大楼和荆南街武昌区办公大楼职工共发放了20份调查问卷，有6人对食物种类、品质、新鲜度表示不太满意甚至不满意，并称食堂早午餐菜品种类和荤菜种类较少，伙食质量整体满意度和食堂工作整体满意度分别为61.67%和66.78%。</w:t>
      </w:r>
    </w:p>
    <w:p>
      <w:pPr>
        <w:snapToGrid w:val="0"/>
        <w:ind w:firstLine="0" w:firstLineChars="0"/>
        <w:rPr>
          <w:rFonts w:ascii="Arial Narrow" w:hAnsi="Arial Narrow" w:cs="Arial Narrow"/>
          <w:b/>
        </w:rPr>
      </w:pPr>
      <w:r>
        <w:rPr>
          <w:rFonts w:ascii="Arial Narrow" w:hAnsi="Arial Narrow" w:cs="Arial Narrow"/>
          <w:b/>
        </w:rPr>
        <w:t>七、管理建议概述</w:t>
      </w:r>
    </w:p>
    <w:p>
      <w:pPr>
        <w:snapToGrid w:val="0"/>
        <w:ind w:firstLine="480"/>
        <w:rPr>
          <w:rFonts w:ascii="Arial Narrow" w:hAnsi="Arial Narrow" w:cs="Arial Narrow"/>
        </w:rPr>
      </w:pPr>
      <w:r>
        <w:rPr>
          <w:rFonts w:hint="eastAsia" w:ascii="Arial Narrow" w:hAnsi="Arial Narrow" w:cs="Arial Narrow"/>
        </w:rPr>
        <w:t>（一）</w:t>
      </w:r>
      <w:r>
        <w:rPr>
          <w:rFonts w:ascii="Arial Narrow" w:hAnsi="Arial Narrow" w:cs="Arial Narrow"/>
        </w:rPr>
        <w:t xml:space="preserve">完善工程项目验收流程。在工程完成后，项目单位应及时组织各方人员进项验收，出具验收意见，并留档保存，对质量不合格的项目督促改进，不断提高项目实施质量。 </w:t>
      </w:r>
    </w:p>
    <w:p>
      <w:pPr>
        <w:snapToGrid w:val="0"/>
        <w:ind w:firstLine="480"/>
        <w:rPr>
          <w:rFonts w:ascii="Arial Narrow" w:hAnsi="Arial Narrow" w:cs="Arial Narrow"/>
        </w:rPr>
      </w:pPr>
      <w:r>
        <w:rPr>
          <w:rFonts w:hint="eastAsia" w:ascii="Arial Narrow" w:hAnsi="Arial Narrow" w:cs="Arial Narrow"/>
        </w:rPr>
        <w:t>（二）</w:t>
      </w:r>
      <w:r>
        <w:rPr>
          <w:rFonts w:ascii="Arial Narrow" w:hAnsi="Arial Narrow" w:cs="Arial Narrow"/>
        </w:rPr>
        <w:t>健全项目绩效目标体系，规范项目申报程序。在预算申报环节落实绩效目标编制工作，根据项目预算资金、本年度工作重点和人力安排制定绩效目标，并把绩效目标分解成具体的绩效指标，同时，根据历史指标实现值和行业经验设置切实可行的指标值，为项目的完成情况提供评价依据。</w:t>
      </w:r>
    </w:p>
    <w:p>
      <w:pPr>
        <w:snapToGrid w:val="0"/>
        <w:ind w:firstLine="480"/>
        <w:rPr>
          <w:rFonts w:ascii="Arial Narrow" w:hAnsi="Arial Narrow" w:cs="Arial Narrow"/>
        </w:rPr>
      </w:pPr>
      <w:r>
        <w:rPr>
          <w:rFonts w:hint="eastAsia" w:ascii="Arial Narrow" w:hAnsi="Arial Narrow" w:cs="Arial Narrow"/>
        </w:rPr>
        <w:t>（三）</w:t>
      </w:r>
      <w:r>
        <w:rPr>
          <w:rFonts w:ascii="Arial Narrow" w:hAnsi="Arial Narrow" w:cs="Arial Narrow"/>
        </w:rPr>
        <w:t>落实每月考核工作</w:t>
      </w:r>
      <w:r>
        <w:rPr>
          <w:rFonts w:hint="eastAsia" w:ascii="Arial Narrow" w:hAnsi="Arial Narrow" w:cs="Arial Narrow"/>
        </w:rPr>
        <w:t>，</w:t>
      </w:r>
      <w:r>
        <w:rPr>
          <w:rFonts w:ascii="Arial Narrow" w:hAnsi="Arial Narrow" w:cs="Arial Narrow"/>
        </w:rPr>
        <w:t>完善考核的书面记录材料。根据考核标准，每月安全检查之后，落实具体问题进行整改，保证卫生安全情况，保障食堂安全工作质量，为日常工作的良好进行提供良好环境。</w:t>
      </w:r>
    </w:p>
    <w:p>
      <w:pPr>
        <w:snapToGrid w:val="0"/>
        <w:ind w:firstLine="480"/>
        <w:rPr>
          <w:rFonts w:ascii="Arial Narrow" w:hAnsi="Arial Narrow" w:cs="Arial Narrow"/>
          <w:b/>
          <w:sz w:val="32"/>
          <w:szCs w:val="32"/>
        </w:rPr>
      </w:pPr>
      <w:r>
        <w:rPr>
          <w:rFonts w:hint="eastAsia" w:ascii="Arial Narrow" w:hAnsi="Arial Narrow" w:cs="Arial Narrow"/>
        </w:rPr>
        <w:t>（四）</w:t>
      </w:r>
      <w:r>
        <w:rPr>
          <w:rFonts w:ascii="Arial Narrow" w:hAnsi="Arial Narrow" w:cs="Arial Narrow"/>
        </w:rPr>
        <w:t>多角度、多方面提升或是质量，改善职工用餐体验。第一、在食堂预算规划中，提出丰富菜品种类、保证食材新鲜、提高就餐时间的菜品保温保鲜水平等的目标，为职工增加菜品种类，提供更多选择，并在日常工作中落实。第二、建立伙食质量反馈制度，对用餐人员进行伙食和服务质量调查，登记汇总就餐人员的伙食质量意见和建议，根据反馈结果及时调整，进一步提高服务水平和质量。</w:t>
      </w:r>
      <w:r>
        <w:rPr>
          <w:rFonts w:ascii="Arial Narrow" w:hAnsi="Arial Narrow" w:cs="Arial Narrow"/>
          <w:b/>
          <w:sz w:val="32"/>
          <w:szCs w:val="32"/>
        </w:rPr>
        <w:br w:type="page"/>
      </w:r>
    </w:p>
    <w:p>
      <w:pPr>
        <w:spacing w:line="240" w:lineRule="auto"/>
        <w:ind w:firstLine="0" w:firstLineChars="0"/>
        <w:jc w:val="center"/>
        <w:rPr>
          <w:rFonts w:ascii="Arial Narrow" w:hAnsi="Arial Narrow" w:cs="Arial Narrow"/>
          <w:b/>
          <w:sz w:val="32"/>
          <w:szCs w:val="32"/>
        </w:rPr>
      </w:pPr>
      <w:r>
        <w:rPr>
          <w:rFonts w:ascii="Arial Narrow" w:hAnsi="Arial Narrow" w:cs="Arial Narrow"/>
          <w:b/>
          <w:sz w:val="32"/>
          <w:szCs w:val="32"/>
        </w:rPr>
        <w:t>目  录</w:t>
      </w:r>
    </w:p>
    <w:p>
      <w:pPr>
        <w:snapToGrid w:val="0"/>
        <w:spacing w:line="240" w:lineRule="auto"/>
        <w:ind w:firstLine="0" w:firstLineChars="0"/>
        <w:rPr>
          <w:rFonts w:ascii="Arial Narrow" w:hAnsi="Arial Narrow" w:cs="Arial Narrow"/>
          <w:bCs/>
          <w:caps/>
        </w:rPr>
      </w:pPr>
      <w:r>
        <w:rPr>
          <w:rFonts w:ascii="Arial Narrow" w:hAnsi="Arial Narrow" w:cs="Arial Narrow"/>
          <w:bCs/>
          <w:caps/>
        </w:rPr>
        <w:t xml:space="preserve">    摘要</w:t>
      </w:r>
    </w:p>
    <w:p>
      <w:pPr>
        <w:pStyle w:val="9"/>
        <w:tabs>
          <w:tab w:val="right" w:leader="dot" w:pos="8505"/>
        </w:tabs>
        <w:spacing w:line="240" w:lineRule="auto"/>
        <w:ind w:firstLine="480"/>
        <w:rPr>
          <w:b w:val="0"/>
          <w:bCs w:val="0"/>
          <w:sz w:val="24"/>
          <w:szCs w:val="24"/>
        </w:rPr>
      </w:pPr>
      <w:r>
        <w:rPr>
          <w:rFonts w:ascii="Arial Narrow" w:hAnsi="Arial Narrow" w:cs="Arial Narrow"/>
          <w:b w:val="0"/>
          <w:sz w:val="24"/>
          <w:szCs w:val="24"/>
        </w:rPr>
        <w:fldChar w:fldCharType="begin"/>
      </w:r>
      <w:r>
        <w:rPr>
          <w:rFonts w:ascii="Arial Narrow" w:hAnsi="Arial Narrow" w:cs="Arial Narrow"/>
          <w:b w:val="0"/>
          <w:sz w:val="24"/>
          <w:szCs w:val="24"/>
        </w:rPr>
        <w:instrText xml:space="preserve"> TOC \o "1-4" \h \z \u </w:instrText>
      </w:r>
      <w:r>
        <w:rPr>
          <w:rFonts w:ascii="Arial Narrow" w:hAnsi="Arial Narrow" w:cs="Arial Narrow"/>
          <w:b w:val="0"/>
          <w:sz w:val="24"/>
          <w:szCs w:val="24"/>
        </w:rPr>
        <w:fldChar w:fldCharType="separate"/>
      </w:r>
      <w:r>
        <w:fldChar w:fldCharType="begin"/>
      </w:r>
      <w:r>
        <w:instrText xml:space="preserve"> HYPERLINK \l "_Toc12377" </w:instrText>
      </w:r>
      <w:r>
        <w:fldChar w:fldCharType="separate"/>
      </w:r>
      <w:r>
        <w:rPr>
          <w:rFonts w:ascii="Arial Narrow" w:hAnsi="Arial Narrow" w:cs="Arial Narrow"/>
          <w:b w:val="0"/>
          <w:bCs w:val="0"/>
          <w:sz w:val="24"/>
          <w:szCs w:val="24"/>
        </w:rPr>
        <w:t>前言</w:t>
      </w:r>
      <w:r>
        <w:rPr>
          <w:b w:val="0"/>
          <w:bCs w:val="0"/>
          <w:sz w:val="24"/>
          <w:szCs w:val="24"/>
        </w:rPr>
        <w:tab/>
      </w:r>
      <w:r>
        <w:rPr>
          <w:b w:val="0"/>
          <w:bCs w:val="0"/>
          <w:sz w:val="24"/>
          <w:szCs w:val="24"/>
        </w:rPr>
        <w:fldChar w:fldCharType="begin"/>
      </w:r>
      <w:r>
        <w:rPr>
          <w:b w:val="0"/>
          <w:bCs w:val="0"/>
          <w:sz w:val="24"/>
          <w:szCs w:val="24"/>
        </w:rPr>
        <w:instrText xml:space="preserve"> PAGEREF _Toc12377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pPr>
        <w:pStyle w:val="9"/>
        <w:tabs>
          <w:tab w:val="right" w:leader="dot" w:pos="8505"/>
        </w:tabs>
        <w:spacing w:line="240" w:lineRule="auto"/>
        <w:ind w:firstLine="562"/>
        <w:rPr>
          <w:b w:val="0"/>
          <w:bCs w:val="0"/>
          <w:sz w:val="24"/>
          <w:szCs w:val="24"/>
        </w:rPr>
      </w:pPr>
      <w:r>
        <w:fldChar w:fldCharType="begin"/>
      </w:r>
      <w:r>
        <w:instrText xml:space="preserve"> HYPERLINK \l "_Toc4686" </w:instrText>
      </w:r>
      <w:r>
        <w:fldChar w:fldCharType="separate"/>
      </w:r>
      <w:r>
        <w:rPr>
          <w:rFonts w:ascii="Arial Narrow" w:hAnsi="Arial Narrow" w:cs="Arial Narrow"/>
          <w:b w:val="0"/>
          <w:bCs w:val="0"/>
          <w:sz w:val="24"/>
          <w:szCs w:val="24"/>
        </w:rPr>
        <w:t>一、项目基本情况</w:t>
      </w:r>
      <w:r>
        <w:rPr>
          <w:b w:val="0"/>
          <w:bCs w:val="0"/>
          <w:sz w:val="24"/>
          <w:szCs w:val="24"/>
        </w:rPr>
        <w:tab/>
      </w:r>
      <w:r>
        <w:rPr>
          <w:b w:val="0"/>
          <w:bCs w:val="0"/>
          <w:sz w:val="24"/>
          <w:szCs w:val="24"/>
        </w:rPr>
        <w:fldChar w:fldCharType="begin"/>
      </w:r>
      <w:r>
        <w:rPr>
          <w:b w:val="0"/>
          <w:bCs w:val="0"/>
          <w:sz w:val="24"/>
          <w:szCs w:val="24"/>
        </w:rPr>
        <w:instrText xml:space="preserve"> PAGEREF _Toc4686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"_Toc7282" </w:instrText>
      </w:r>
      <w:r>
        <w:fldChar w:fldCharType="separate"/>
      </w:r>
      <w:r>
        <w:rPr>
          <w:rFonts w:ascii="Arial Narrow" w:hAnsi="Arial Narrow" w:cs="Arial Narrow"/>
          <w:sz w:val="24"/>
          <w:szCs w:val="24"/>
        </w:rPr>
        <w:t>（一）项目概况</w:t>
      </w:r>
      <w:r>
        <w:rPr>
          <w:sz w:val="24"/>
          <w:szCs w:val="24"/>
        </w:rPr>
        <w:tab/>
      </w:r>
      <w:r>
        <w:rPr>
          <w:sz w:val="24"/>
          <w:szCs w:val="24"/>
        </w:rPr>
        <w:fldChar w:fldCharType="begin"/>
      </w:r>
      <w:r>
        <w:rPr>
          <w:sz w:val="24"/>
          <w:szCs w:val="24"/>
        </w:rPr>
        <w:instrText xml:space="preserve"> PAGEREF _Toc7282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"_Toc24233" </w:instrText>
      </w:r>
      <w:r>
        <w:fldChar w:fldCharType="separate"/>
      </w:r>
      <w:r>
        <w:rPr>
          <w:rFonts w:ascii="Arial Narrow" w:hAnsi="Arial Narrow" w:cs="Arial Narrow"/>
          <w:sz w:val="24"/>
          <w:szCs w:val="24"/>
        </w:rPr>
        <w:t>（二）项目绩效目标</w:t>
      </w:r>
      <w:r>
        <w:rPr>
          <w:sz w:val="24"/>
          <w:szCs w:val="24"/>
        </w:rPr>
        <w:tab/>
      </w:r>
      <w:r>
        <w:rPr>
          <w:sz w:val="24"/>
          <w:szCs w:val="24"/>
        </w:rPr>
        <w:fldChar w:fldCharType="begin"/>
      </w:r>
      <w:r>
        <w:rPr>
          <w:sz w:val="24"/>
          <w:szCs w:val="24"/>
        </w:rPr>
        <w:instrText xml:space="preserve"> PAGEREF _Toc24233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
        <w:tabs>
          <w:tab w:val="right" w:leader="dot" w:pos="8505"/>
        </w:tabs>
        <w:spacing w:line="240" w:lineRule="auto"/>
        <w:ind w:firstLine="562"/>
        <w:rPr>
          <w:b w:val="0"/>
          <w:bCs w:val="0"/>
          <w:sz w:val="24"/>
          <w:szCs w:val="24"/>
        </w:rPr>
      </w:pPr>
      <w:r>
        <w:fldChar w:fldCharType="begin"/>
      </w:r>
      <w:r>
        <w:instrText xml:space="preserve"> HYPERLINK \l "_Toc25612" </w:instrText>
      </w:r>
      <w:r>
        <w:fldChar w:fldCharType="separate"/>
      </w:r>
      <w:r>
        <w:rPr>
          <w:rFonts w:ascii="Arial Narrow" w:hAnsi="Arial Narrow" w:cs="Arial Narrow"/>
          <w:b w:val="0"/>
          <w:bCs w:val="0"/>
          <w:sz w:val="24"/>
          <w:szCs w:val="24"/>
        </w:rPr>
        <w:t>二、绩效评价工作情况</w:t>
      </w:r>
      <w:r>
        <w:rPr>
          <w:b w:val="0"/>
          <w:bCs w:val="0"/>
          <w:sz w:val="24"/>
          <w:szCs w:val="24"/>
        </w:rPr>
        <w:tab/>
      </w:r>
      <w:r>
        <w:rPr>
          <w:b w:val="0"/>
          <w:bCs w:val="0"/>
          <w:sz w:val="24"/>
          <w:szCs w:val="24"/>
        </w:rPr>
        <w:fldChar w:fldCharType="begin"/>
      </w:r>
      <w:r>
        <w:rPr>
          <w:b w:val="0"/>
          <w:bCs w:val="0"/>
          <w:sz w:val="24"/>
          <w:szCs w:val="24"/>
        </w:rPr>
        <w:instrText xml:space="preserve"> PAGEREF _Toc25612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"_Toc26108" </w:instrText>
      </w:r>
      <w:r>
        <w:fldChar w:fldCharType="separate"/>
      </w:r>
      <w:r>
        <w:rPr>
          <w:rFonts w:ascii="Arial Narrow" w:hAnsi="Arial Narrow" w:cs="Arial Narrow"/>
          <w:sz w:val="24"/>
          <w:szCs w:val="24"/>
        </w:rPr>
        <w:t>（一）绩效评价目的</w:t>
      </w:r>
      <w:r>
        <w:rPr>
          <w:sz w:val="24"/>
          <w:szCs w:val="24"/>
        </w:rPr>
        <w:tab/>
      </w:r>
      <w:r>
        <w:rPr>
          <w:sz w:val="24"/>
          <w:szCs w:val="24"/>
        </w:rPr>
        <w:fldChar w:fldCharType="begin"/>
      </w:r>
      <w:r>
        <w:rPr>
          <w:sz w:val="24"/>
          <w:szCs w:val="24"/>
        </w:rPr>
        <w:instrText xml:space="preserve"> PAGEREF _Toc26108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"_Toc1876" </w:instrText>
      </w:r>
      <w:r>
        <w:fldChar w:fldCharType="separate"/>
      </w:r>
      <w:r>
        <w:rPr>
          <w:rFonts w:ascii="Arial Narrow" w:hAnsi="Arial Narrow" w:cs="Arial Narrow"/>
          <w:sz w:val="24"/>
          <w:szCs w:val="24"/>
        </w:rPr>
        <w:t>（二）绩效评价工作过程</w:t>
      </w:r>
      <w:r>
        <w:rPr>
          <w:sz w:val="24"/>
          <w:szCs w:val="24"/>
        </w:rPr>
        <w:tab/>
      </w:r>
      <w:r>
        <w:rPr>
          <w:sz w:val="24"/>
          <w:szCs w:val="24"/>
        </w:rPr>
        <w:fldChar w:fldCharType="begin"/>
      </w:r>
      <w:r>
        <w:rPr>
          <w:sz w:val="24"/>
          <w:szCs w:val="24"/>
        </w:rPr>
        <w:instrText xml:space="preserve"> PAGEREF _Toc1876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"_Toc21897" </w:instrText>
      </w:r>
      <w:r>
        <w:fldChar w:fldCharType="separate"/>
      </w:r>
      <w:r>
        <w:rPr>
          <w:rFonts w:ascii="Arial Narrow" w:hAnsi="Arial Narrow" w:cs="Arial Narrow"/>
          <w:sz w:val="24"/>
          <w:szCs w:val="24"/>
        </w:rPr>
        <w:t>（三）绩效评价框架</w:t>
      </w:r>
      <w:r>
        <w:rPr>
          <w:sz w:val="24"/>
          <w:szCs w:val="24"/>
        </w:rPr>
        <w:tab/>
      </w:r>
      <w:r>
        <w:rPr>
          <w:sz w:val="24"/>
          <w:szCs w:val="24"/>
        </w:rPr>
        <w:fldChar w:fldCharType="begin"/>
      </w:r>
      <w:r>
        <w:rPr>
          <w:sz w:val="24"/>
          <w:szCs w:val="24"/>
        </w:rPr>
        <w:instrText xml:space="preserve"> PAGEREF _Toc21897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"_Toc7457" </w:instrText>
      </w:r>
      <w:r>
        <w:fldChar w:fldCharType="separate"/>
      </w:r>
      <w:r>
        <w:rPr>
          <w:rFonts w:ascii="Arial Narrow" w:hAnsi="Arial Narrow" w:cs="Arial Narrow"/>
          <w:sz w:val="24"/>
          <w:szCs w:val="24"/>
        </w:rPr>
        <w:t>（四）证据收集方式</w:t>
      </w:r>
      <w:r>
        <w:rPr>
          <w:sz w:val="24"/>
          <w:szCs w:val="24"/>
        </w:rPr>
        <w:tab/>
      </w:r>
      <w:r>
        <w:rPr>
          <w:sz w:val="24"/>
          <w:szCs w:val="24"/>
        </w:rPr>
        <w:fldChar w:fldCharType="begin"/>
      </w:r>
      <w:r>
        <w:rPr>
          <w:sz w:val="24"/>
          <w:szCs w:val="24"/>
        </w:rPr>
        <w:instrText xml:space="preserve"> PAGEREF _Toc7457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
        <w:tabs>
          <w:tab w:val="right" w:leader="dot" w:pos="8505"/>
        </w:tabs>
        <w:spacing w:line="240" w:lineRule="auto"/>
        <w:ind w:firstLine="562"/>
        <w:rPr>
          <w:b w:val="0"/>
          <w:bCs w:val="0"/>
          <w:sz w:val="24"/>
          <w:szCs w:val="24"/>
        </w:rPr>
      </w:pPr>
      <w:r>
        <w:fldChar w:fldCharType="begin"/>
      </w:r>
      <w:r>
        <w:instrText xml:space="preserve"> HYPERLINK \l "_Toc5346" </w:instrText>
      </w:r>
      <w:r>
        <w:fldChar w:fldCharType="separate"/>
      </w:r>
      <w:r>
        <w:rPr>
          <w:rFonts w:ascii="Arial Narrow" w:hAnsi="Arial Narrow" w:cs="Arial Narrow"/>
          <w:b w:val="0"/>
          <w:bCs w:val="0"/>
          <w:sz w:val="24"/>
          <w:szCs w:val="24"/>
        </w:rPr>
        <w:t>三、绩效分析</w:t>
      </w:r>
      <w:r>
        <w:rPr>
          <w:b w:val="0"/>
          <w:bCs w:val="0"/>
          <w:sz w:val="24"/>
          <w:szCs w:val="24"/>
        </w:rPr>
        <w:tab/>
      </w:r>
      <w:r>
        <w:rPr>
          <w:b w:val="0"/>
          <w:bCs w:val="0"/>
          <w:sz w:val="24"/>
          <w:szCs w:val="24"/>
        </w:rPr>
        <w:fldChar w:fldCharType="begin"/>
      </w:r>
      <w:r>
        <w:rPr>
          <w:b w:val="0"/>
          <w:bCs w:val="0"/>
          <w:sz w:val="24"/>
          <w:szCs w:val="24"/>
        </w:rPr>
        <w:instrText xml:space="preserve"> PAGEREF _Toc5346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5"/>
        <w:tabs>
          <w:tab w:val="right" w:leader="dot" w:pos="8505"/>
        </w:tabs>
        <w:spacing w:line="240" w:lineRule="auto"/>
        <w:ind w:left="0" w:firstLine="560"/>
        <w:rPr>
          <w:sz w:val="24"/>
          <w:szCs w:val="24"/>
        </w:rPr>
      </w:pPr>
      <w:r>
        <w:fldChar w:fldCharType="begin"/>
      </w:r>
      <w:r>
        <w:instrText xml:space="preserve"> HYPERLINK \l "_Toc21106" </w:instrText>
      </w:r>
      <w:r>
        <w:fldChar w:fldCharType="separate"/>
      </w:r>
      <w:r>
        <w:rPr>
          <w:rFonts w:ascii="Arial Narrow" w:hAnsi="Arial Narrow" w:cs="Arial Narrow"/>
          <w:sz w:val="24"/>
          <w:szCs w:val="24"/>
        </w:rPr>
        <w:t>（一）项目投入（16分）</w:t>
      </w:r>
      <w:r>
        <w:rPr>
          <w:sz w:val="24"/>
          <w:szCs w:val="24"/>
        </w:rPr>
        <w:tab/>
      </w:r>
      <w:r>
        <w:rPr>
          <w:sz w:val="24"/>
          <w:szCs w:val="24"/>
        </w:rPr>
        <w:fldChar w:fldCharType="begin"/>
      </w:r>
      <w:r>
        <w:rPr>
          <w:sz w:val="24"/>
          <w:szCs w:val="24"/>
        </w:rPr>
        <w:instrText xml:space="preserve"> PAGEREF _Toc21106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5"/>
        <w:tabs>
          <w:tab w:val="right" w:leader="dot" w:pos="8505"/>
        </w:tabs>
        <w:spacing w:line="240" w:lineRule="auto"/>
        <w:ind w:left="0" w:firstLine="560"/>
        <w:rPr>
          <w:rFonts w:ascii="Arial Narrow" w:hAnsi="Arial Narrow" w:cs="Arial Narrow"/>
          <w:sz w:val="24"/>
          <w:szCs w:val="24"/>
        </w:rPr>
      </w:pPr>
      <w:r>
        <w:fldChar w:fldCharType="begin"/>
      </w:r>
      <w:r>
        <w:instrText xml:space="preserve"> HYPERLINK \l "_Toc14839" </w:instrText>
      </w:r>
      <w:r>
        <w:fldChar w:fldCharType="separate"/>
      </w:r>
      <w:r>
        <w:rPr>
          <w:rFonts w:ascii="Arial Narrow" w:hAnsi="Arial Narrow" w:cs="Arial Narrow"/>
          <w:sz w:val="24"/>
          <w:szCs w:val="24"/>
        </w:rPr>
        <w:t>（二）项目过程（24分）</w:t>
      </w:r>
      <w:r>
        <w:rPr>
          <w:sz w:val="24"/>
          <w:szCs w:val="24"/>
        </w:rPr>
        <w:tab/>
      </w:r>
      <w:r>
        <w:rPr>
          <w:sz w:val="24"/>
          <w:szCs w:val="24"/>
        </w:rPr>
        <w:fldChar w:fldCharType="begin"/>
      </w:r>
      <w:r>
        <w:rPr>
          <w:sz w:val="24"/>
          <w:szCs w:val="24"/>
        </w:rPr>
        <w:instrText xml:space="preserve"> PAGEREF _Toc14839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tabs>
          <w:tab w:val="right" w:leader="dot" w:pos="8505"/>
        </w:tabs>
        <w:spacing w:line="240" w:lineRule="auto"/>
        <w:ind w:left="0" w:firstLine="560"/>
        <w:rPr>
          <w:rFonts w:ascii="Arial Narrow" w:hAnsi="Arial Narrow" w:cs="Arial Narrow"/>
          <w:sz w:val="24"/>
          <w:szCs w:val="24"/>
        </w:rPr>
      </w:pPr>
      <w:r>
        <w:fldChar w:fldCharType="begin"/>
      </w:r>
      <w:r>
        <w:instrText xml:space="preserve"> HYPERLINK \l "_Toc14011" </w:instrText>
      </w:r>
      <w:r>
        <w:fldChar w:fldCharType="separate"/>
      </w:r>
      <w:r>
        <w:rPr>
          <w:rFonts w:ascii="Arial Narrow" w:hAnsi="Arial Narrow" w:cs="Arial Narrow"/>
          <w:sz w:val="24"/>
          <w:szCs w:val="24"/>
        </w:rPr>
        <w:t>（三）项目产出（28分）</w:t>
      </w:r>
      <w:r>
        <w:rPr>
          <w:sz w:val="24"/>
          <w:szCs w:val="24"/>
        </w:rPr>
        <w:tab/>
      </w:r>
      <w:r>
        <w:rPr>
          <w:sz w:val="24"/>
          <w:szCs w:val="24"/>
        </w:rPr>
        <w:fldChar w:fldCharType="begin"/>
      </w:r>
      <w:r>
        <w:rPr>
          <w:sz w:val="24"/>
          <w:szCs w:val="24"/>
        </w:rPr>
        <w:instrText xml:space="preserve"> PAGEREF _Toc14011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5"/>
        <w:tabs>
          <w:tab w:val="right" w:leader="dot" w:pos="8505"/>
        </w:tabs>
        <w:spacing w:line="240" w:lineRule="auto"/>
        <w:ind w:left="0" w:firstLine="560"/>
        <w:rPr>
          <w:sz w:val="24"/>
          <w:szCs w:val="24"/>
        </w:rPr>
      </w:pPr>
      <w:r>
        <w:fldChar w:fldCharType="begin"/>
      </w:r>
      <w:r>
        <w:instrText xml:space="preserve"> HYPERLINK \l "_Toc10918" </w:instrText>
      </w:r>
      <w:r>
        <w:fldChar w:fldCharType="separate"/>
      </w:r>
      <w:r>
        <w:rPr>
          <w:rFonts w:ascii="Arial Narrow" w:hAnsi="Arial Narrow" w:cs="Arial Narrow"/>
          <w:sz w:val="24"/>
          <w:szCs w:val="24"/>
        </w:rPr>
        <w:t>（四）项目效益（32分）</w:t>
      </w:r>
      <w:r>
        <w:rPr>
          <w:sz w:val="24"/>
          <w:szCs w:val="24"/>
        </w:rPr>
        <w:tab/>
      </w:r>
      <w:r>
        <w:rPr>
          <w:sz w:val="24"/>
          <w:szCs w:val="24"/>
        </w:rPr>
        <w:fldChar w:fldCharType="begin"/>
      </w:r>
      <w:r>
        <w:rPr>
          <w:sz w:val="24"/>
          <w:szCs w:val="24"/>
        </w:rPr>
        <w:instrText xml:space="preserve"> PAGEREF _Toc10918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9"/>
        <w:tabs>
          <w:tab w:val="right" w:leader="dot" w:pos="8505"/>
        </w:tabs>
        <w:spacing w:line="240" w:lineRule="auto"/>
        <w:ind w:firstLine="562"/>
        <w:rPr>
          <w:b w:val="0"/>
          <w:bCs w:val="0"/>
          <w:sz w:val="24"/>
          <w:szCs w:val="24"/>
        </w:rPr>
      </w:pPr>
      <w:r>
        <w:fldChar w:fldCharType="begin"/>
      </w:r>
      <w:r>
        <w:instrText xml:space="preserve"> HYPERLINK \l "_Toc17329" </w:instrText>
      </w:r>
      <w:r>
        <w:fldChar w:fldCharType="separate"/>
      </w:r>
      <w:r>
        <w:rPr>
          <w:rFonts w:ascii="Arial Narrow" w:hAnsi="Arial Narrow" w:cs="Arial Narrow"/>
          <w:b w:val="0"/>
          <w:bCs w:val="0"/>
          <w:sz w:val="24"/>
          <w:szCs w:val="24"/>
        </w:rPr>
        <w:t>四、评价结论</w:t>
      </w:r>
      <w:r>
        <w:rPr>
          <w:b w:val="0"/>
          <w:bCs w:val="0"/>
          <w:sz w:val="24"/>
          <w:szCs w:val="24"/>
        </w:rPr>
        <w:tab/>
      </w:r>
      <w:r>
        <w:rPr>
          <w:b w:val="0"/>
          <w:bCs w:val="0"/>
          <w:sz w:val="24"/>
          <w:szCs w:val="24"/>
        </w:rPr>
        <w:fldChar w:fldCharType="begin"/>
      </w:r>
      <w:r>
        <w:rPr>
          <w:b w:val="0"/>
          <w:bCs w:val="0"/>
          <w:sz w:val="24"/>
          <w:szCs w:val="24"/>
        </w:rPr>
        <w:instrText xml:space="preserve"> PAGEREF _Toc17329 </w:instrText>
      </w:r>
      <w:r>
        <w:rPr>
          <w:b w:val="0"/>
          <w:bCs w:val="0"/>
          <w:sz w:val="24"/>
          <w:szCs w:val="24"/>
        </w:rPr>
        <w:fldChar w:fldCharType="separate"/>
      </w:r>
      <w:r>
        <w:rPr>
          <w:b w:val="0"/>
          <w:bCs w:val="0"/>
          <w:sz w:val="24"/>
          <w:szCs w:val="24"/>
        </w:rPr>
        <w:t>23</w:t>
      </w:r>
      <w:r>
        <w:rPr>
          <w:b w:val="0"/>
          <w:bCs w:val="0"/>
          <w:sz w:val="24"/>
          <w:szCs w:val="24"/>
        </w:rPr>
        <w:fldChar w:fldCharType="end"/>
      </w:r>
      <w:r>
        <w:rPr>
          <w:b w:val="0"/>
          <w:bCs w:val="0"/>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"_Toc16344" </w:instrText>
      </w:r>
      <w:r>
        <w:fldChar w:fldCharType="separate"/>
      </w:r>
      <w:r>
        <w:rPr>
          <w:rFonts w:ascii="Arial Narrow" w:hAnsi="Arial Narrow" w:cs="Arial Narrow"/>
          <w:sz w:val="24"/>
          <w:szCs w:val="24"/>
        </w:rPr>
        <w:t>（一）主要经验及做法</w:t>
      </w:r>
      <w:r>
        <w:rPr>
          <w:sz w:val="24"/>
          <w:szCs w:val="24"/>
        </w:rPr>
        <w:tab/>
      </w:r>
      <w:r>
        <w:rPr>
          <w:sz w:val="24"/>
          <w:szCs w:val="24"/>
        </w:rPr>
        <w:fldChar w:fldCharType="begin"/>
      </w:r>
      <w:r>
        <w:rPr>
          <w:sz w:val="24"/>
          <w:szCs w:val="24"/>
        </w:rPr>
        <w:instrText xml:space="preserve"> PAGEREF _Toc16344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"_Toc17535" </w:instrText>
      </w:r>
      <w:r>
        <w:fldChar w:fldCharType="separate"/>
      </w:r>
      <w:r>
        <w:rPr>
          <w:rFonts w:ascii="Arial Narrow" w:hAnsi="Arial Narrow" w:cs="Arial Narrow"/>
          <w:sz w:val="24"/>
          <w:szCs w:val="24"/>
        </w:rPr>
        <w:t>（二）存在的问题</w:t>
      </w:r>
      <w:r>
        <w:rPr>
          <w:sz w:val="24"/>
          <w:szCs w:val="24"/>
        </w:rPr>
        <w:tab/>
      </w:r>
      <w:r>
        <w:rPr>
          <w:sz w:val="24"/>
          <w:szCs w:val="24"/>
        </w:rPr>
        <w:fldChar w:fldCharType="begin"/>
      </w:r>
      <w:r>
        <w:rPr>
          <w:sz w:val="24"/>
          <w:szCs w:val="24"/>
        </w:rPr>
        <w:instrText xml:space="preserve"> PAGEREF _Toc17535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tabs>
          <w:tab w:val="right" w:leader="dot" w:pos="8505"/>
        </w:tabs>
        <w:spacing w:line="240" w:lineRule="auto"/>
        <w:ind w:firstLine="562"/>
        <w:rPr>
          <w:b w:val="0"/>
          <w:bCs w:val="0"/>
          <w:sz w:val="24"/>
          <w:szCs w:val="24"/>
        </w:rPr>
      </w:pPr>
      <w:r>
        <w:fldChar w:fldCharType="begin"/>
      </w:r>
      <w:r>
        <w:instrText xml:space="preserve"> HYPERLINK \l "_Toc7784" </w:instrText>
      </w:r>
      <w:r>
        <w:fldChar w:fldCharType="separate"/>
      </w:r>
      <w:r>
        <w:rPr>
          <w:rFonts w:ascii="Arial Narrow" w:hAnsi="Arial Narrow" w:cs="Arial Narrow"/>
          <w:b w:val="0"/>
          <w:bCs w:val="0"/>
          <w:sz w:val="24"/>
          <w:szCs w:val="24"/>
        </w:rPr>
        <w:t>六、其他需说明的问题</w:t>
      </w:r>
      <w:r>
        <w:rPr>
          <w:b w:val="0"/>
          <w:bCs w:val="0"/>
          <w:sz w:val="24"/>
          <w:szCs w:val="24"/>
        </w:rPr>
        <w:tab/>
      </w:r>
      <w:r>
        <w:rPr>
          <w:b w:val="0"/>
          <w:bCs w:val="0"/>
          <w:sz w:val="24"/>
          <w:szCs w:val="24"/>
        </w:rPr>
        <w:fldChar w:fldCharType="begin"/>
      </w:r>
      <w:r>
        <w:rPr>
          <w:b w:val="0"/>
          <w:bCs w:val="0"/>
          <w:sz w:val="24"/>
          <w:szCs w:val="24"/>
        </w:rPr>
        <w:instrText xml:space="preserve"> PAGEREF _Toc7784 </w:instrText>
      </w:r>
      <w:r>
        <w:rPr>
          <w:b w:val="0"/>
          <w:bCs w:val="0"/>
          <w:sz w:val="24"/>
          <w:szCs w:val="24"/>
        </w:rPr>
        <w:fldChar w:fldCharType="separate"/>
      </w:r>
      <w:r>
        <w:rPr>
          <w:b w:val="0"/>
          <w:bCs w:val="0"/>
          <w:sz w:val="24"/>
          <w:szCs w:val="24"/>
        </w:rPr>
        <w:t>26</w:t>
      </w:r>
      <w:r>
        <w:rPr>
          <w:b w:val="0"/>
          <w:bCs w:val="0"/>
          <w:sz w:val="24"/>
          <w:szCs w:val="24"/>
        </w:rPr>
        <w:fldChar w:fldCharType="end"/>
      </w:r>
      <w:r>
        <w:rPr>
          <w:b w:val="0"/>
          <w:bCs w:val="0"/>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"_Toc8065" </w:instrText>
      </w:r>
      <w:r>
        <w:fldChar w:fldCharType="separate"/>
      </w:r>
      <w:r>
        <w:rPr>
          <w:rFonts w:ascii="Arial Narrow" w:hAnsi="Arial Narrow" w:cs="Arial Narrow"/>
          <w:sz w:val="24"/>
          <w:szCs w:val="24"/>
        </w:rPr>
        <w:t>（一）关于评价责任的说明</w:t>
      </w:r>
      <w:r>
        <w:rPr>
          <w:sz w:val="24"/>
          <w:szCs w:val="24"/>
        </w:rPr>
        <w:tab/>
      </w:r>
      <w:r>
        <w:rPr>
          <w:sz w:val="24"/>
          <w:szCs w:val="24"/>
        </w:rPr>
        <w:fldChar w:fldCharType="begin"/>
      </w:r>
      <w:r>
        <w:rPr>
          <w:sz w:val="24"/>
          <w:szCs w:val="24"/>
        </w:rPr>
        <w:instrText xml:space="preserve"> PAGEREF _Toc8065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"_Toc23660" </w:instrText>
      </w:r>
      <w:r>
        <w:fldChar w:fldCharType="separate"/>
      </w:r>
      <w:r>
        <w:rPr>
          <w:rFonts w:ascii="Arial Narrow" w:hAnsi="Arial Narrow" w:cs="Arial Narrow"/>
          <w:sz w:val="24"/>
          <w:szCs w:val="24"/>
        </w:rPr>
        <w:t>（二）关于本项目评价中局限性的说明</w:t>
      </w:r>
      <w:r>
        <w:rPr>
          <w:sz w:val="24"/>
          <w:szCs w:val="24"/>
        </w:rPr>
        <w:tab/>
      </w:r>
      <w:r>
        <w:rPr>
          <w:sz w:val="24"/>
          <w:szCs w:val="24"/>
        </w:rPr>
        <w:fldChar w:fldCharType="begin"/>
      </w:r>
      <w:r>
        <w:rPr>
          <w:sz w:val="24"/>
          <w:szCs w:val="24"/>
        </w:rPr>
        <w:instrText xml:space="preserve"> PAGEREF _Toc23660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0"/>
        <w:tabs>
          <w:tab w:val="right" w:leader="dot" w:pos="8505"/>
        </w:tabs>
        <w:spacing w:line="240" w:lineRule="auto"/>
        <w:ind w:firstLine="560"/>
        <w:rPr>
          <w:sz w:val="24"/>
          <w:szCs w:val="24"/>
        </w:rPr>
      </w:pPr>
      <w:r>
        <w:fldChar w:fldCharType="begin"/>
      </w:r>
      <w:r>
        <w:instrText xml:space="preserve"> HYPERLINK \l "_Toc24312" </w:instrText>
      </w:r>
      <w:r>
        <w:fldChar w:fldCharType="separate"/>
      </w:r>
      <w:r>
        <w:rPr>
          <w:rFonts w:ascii="Arial Narrow" w:hAnsi="Arial Narrow" w:cs="Arial Narrow"/>
          <w:sz w:val="24"/>
          <w:szCs w:val="24"/>
        </w:rPr>
        <w:t>附件：</w:t>
      </w:r>
      <w:r>
        <w:rPr>
          <w:sz w:val="24"/>
          <w:szCs w:val="24"/>
        </w:rPr>
        <w:tab/>
      </w:r>
      <w:r>
        <w:rPr>
          <w:sz w:val="24"/>
          <w:szCs w:val="24"/>
        </w:rPr>
        <w:fldChar w:fldCharType="begin"/>
      </w:r>
      <w:r>
        <w:rPr>
          <w:sz w:val="24"/>
          <w:szCs w:val="24"/>
        </w:rPr>
        <w:instrText xml:space="preserve"> PAGEREF _Toc24312 </w:instrText>
      </w:r>
      <w:r>
        <w:rPr>
          <w:sz w:val="24"/>
          <w:szCs w:val="24"/>
        </w:rPr>
        <w:fldChar w:fldCharType="separate"/>
      </w:r>
      <w:r>
        <w:rPr>
          <w:sz w:val="24"/>
          <w:szCs w:val="24"/>
        </w:rPr>
        <w:t>28</w:t>
      </w:r>
      <w:r>
        <w:rPr>
          <w:sz w:val="24"/>
          <w:szCs w:val="24"/>
        </w:rPr>
        <w:fldChar w:fldCharType="end"/>
      </w:r>
      <w:r>
        <w:rPr>
          <w:sz w:val="24"/>
          <w:szCs w:val="24"/>
        </w:rPr>
        <w:fldChar w:fldCharType="end"/>
      </w:r>
    </w:p>
    <w:p>
      <w:pPr>
        <w:adjustRightInd w:val="0"/>
        <w:snapToGrid w:val="0"/>
        <w:spacing w:line="240" w:lineRule="auto"/>
        <w:ind w:firstLine="480"/>
        <w:jc w:val="left"/>
        <w:rPr>
          <w:rFonts w:ascii="Arial Narrow" w:hAnsi="Arial Narrow" w:cs="Arial Narrow"/>
          <w:b/>
        </w:rPr>
        <w:sectPr>
          <w:pgSz w:w="11906" w:h="16838"/>
          <w:pgMar w:top="2835" w:right="1417" w:bottom="1417" w:left="1984" w:header="1361" w:footer="992" w:gutter="0"/>
          <w:pgNumType w:start="0"/>
          <w:cols w:space="720" w:num="1"/>
          <w:docGrid w:type="lines" w:linePitch="408" w:charSpace="0"/>
        </w:sectPr>
      </w:pPr>
      <w:r>
        <w:rPr>
          <w:rFonts w:ascii="Arial Narrow" w:hAnsi="Arial Narrow" w:cs="Arial Narrow"/>
          <w:bCs/>
        </w:rPr>
        <w:fldChar w:fldCharType="end"/>
      </w:r>
    </w:p>
    <w:p>
      <w:pPr>
        <w:snapToGrid w:val="0"/>
        <w:ind w:firstLine="0" w:firstLineChars="0"/>
        <w:outlineLvl w:val="0"/>
        <w:rPr>
          <w:rFonts w:ascii="Arial Narrow" w:hAnsi="Arial Narrow" w:cs="Arial Narrow"/>
          <w:b/>
        </w:rPr>
      </w:pPr>
      <w:bookmarkStart w:id="0" w:name="_Toc406668024"/>
      <w:bookmarkStart w:id="1" w:name="_Toc406666351"/>
      <w:bookmarkStart w:id="2" w:name="_Toc12377"/>
      <w:r>
        <w:rPr>
          <w:rFonts w:ascii="Arial Narrow" w:hAnsi="Arial Narrow" w:cs="Arial Narrow"/>
          <w:b/>
        </w:rPr>
        <w:t>前言</w:t>
      </w:r>
      <w:bookmarkEnd w:id="0"/>
      <w:bookmarkEnd w:id="1"/>
      <w:bookmarkEnd w:id="2"/>
    </w:p>
    <w:p>
      <w:pPr>
        <w:snapToGrid w:val="0"/>
        <w:ind w:firstLine="482"/>
        <w:rPr>
          <w:rFonts w:ascii="Arial Narrow" w:hAnsi="Arial Narrow" w:cs="Arial Narrow"/>
          <w:b/>
          <w:bCs/>
        </w:rPr>
      </w:pPr>
      <w:bookmarkStart w:id="3" w:name="_Toc387957799"/>
      <w:bookmarkStart w:id="4" w:name="_Toc361304672"/>
      <w:bookmarkStart w:id="5" w:name="_Toc361304673"/>
      <w:bookmarkStart w:id="6" w:name="_Toc387957800"/>
      <w:r>
        <w:rPr>
          <w:rFonts w:ascii="Arial Narrow" w:hAnsi="Arial Narrow" w:cs="Arial Narrow"/>
          <w:b/>
          <w:bCs/>
        </w:rPr>
        <w:t>开展绩效评价的背景</w:t>
      </w:r>
      <w:bookmarkEnd w:id="3"/>
      <w:bookmarkEnd w:id="4"/>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snapToGrid w:val="0"/>
        <w:ind w:firstLine="480"/>
        <w:rPr>
          <w:rFonts w:ascii="Arial Narrow" w:hAnsi="Arial Narrow" w:cs="Arial Narrow"/>
        </w:rPr>
      </w:pPr>
      <w:r>
        <w:rPr>
          <w:rFonts w:ascii="Arial Narrow" w:hAnsi="Arial Narrow" w:cs="Arial Narrow"/>
        </w:rPr>
        <w:t>为贯彻落实我国财政部绩效管理工作的一系列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随着各项制度的逐步完善，我省绩效评价体系和制度已步入常态。武昌区颁布的《武昌区财政支出绩效评价暂行办法》为此次“机关食堂运行经费”绩效评价的具体实施提供了指导，确保了绩效评价工作的顺利开展。 </w:t>
      </w:r>
    </w:p>
    <w:p>
      <w:pPr>
        <w:snapToGrid w:val="0"/>
        <w:ind w:firstLine="482"/>
        <w:rPr>
          <w:rFonts w:ascii="Arial Narrow" w:hAnsi="Arial Narrow" w:cs="Arial Narrow"/>
          <w:b/>
          <w:bCs/>
        </w:rPr>
      </w:pPr>
      <w:r>
        <w:rPr>
          <w:rFonts w:ascii="Arial Narrow" w:hAnsi="Arial Narrow" w:cs="Arial Narrow"/>
          <w:b/>
          <w:bCs/>
        </w:rPr>
        <w:t>评价委托关系</w:t>
      </w:r>
      <w:bookmarkEnd w:id="5"/>
      <w:bookmarkEnd w:id="6"/>
    </w:p>
    <w:p>
      <w:pPr>
        <w:snapToGrid w:val="0"/>
        <w:ind w:firstLine="480"/>
        <w:rPr>
          <w:rFonts w:ascii="Arial Narrow" w:hAnsi="Arial Narrow" w:cs="Arial Narrow"/>
        </w:rPr>
      </w:pPr>
      <w:bookmarkStart w:id="7" w:name="_Toc361304674"/>
      <w:r>
        <w:rPr>
          <w:rFonts w:ascii="Arial Narrow" w:hAnsi="Arial Narrow" w:cs="Arial Narrow"/>
        </w:rPr>
        <w:t>我们接受武昌区机关运行保障中心（以下简称“运保中心”）委托，从2018年5月2日—5月14日，历时12天，投入4人，对该项目进行绩效评价。</w:t>
      </w:r>
    </w:p>
    <w:p>
      <w:pPr>
        <w:snapToGrid w:val="0"/>
        <w:ind w:firstLine="482"/>
        <w:outlineLvl w:val="0"/>
        <w:rPr>
          <w:rFonts w:ascii="Arial Narrow" w:hAnsi="Arial Narrow" w:cs="Arial Narrow"/>
          <w:b/>
          <w:bCs/>
        </w:rPr>
      </w:pPr>
      <w:bookmarkStart w:id="8" w:name="_Toc4686"/>
      <w:r>
        <w:rPr>
          <w:rFonts w:ascii="Arial Narrow" w:hAnsi="Arial Narrow" w:cs="Arial Narrow"/>
          <w:b/>
          <w:bCs/>
        </w:rPr>
        <w:t>一、项目基本情况</w:t>
      </w:r>
      <w:bookmarkEnd w:id="8"/>
    </w:p>
    <w:bookmarkEnd w:id="7"/>
    <w:p>
      <w:pPr>
        <w:snapToGrid w:val="0"/>
        <w:ind w:firstLine="0" w:firstLineChars="0"/>
        <w:outlineLvl w:val="1"/>
        <w:rPr>
          <w:rFonts w:ascii="Arial Narrow" w:hAnsi="Arial Narrow" w:cs="Arial Narrow"/>
          <w:b/>
          <w:bCs/>
        </w:rPr>
      </w:pPr>
      <w:bookmarkStart w:id="9" w:name="_Toc387957802"/>
      <w:bookmarkStart w:id="10" w:name="_Toc406666353"/>
      <w:bookmarkStart w:id="11" w:name="_Toc361302020"/>
      <w:bookmarkStart w:id="12" w:name="_Toc406668026"/>
      <w:bookmarkStart w:id="13" w:name="_Toc361304675"/>
      <w:bookmarkStart w:id="14" w:name="_Toc7282"/>
      <w:r>
        <w:rPr>
          <w:rFonts w:ascii="Arial Narrow" w:hAnsi="Arial Narrow" w:cs="Arial Narrow"/>
          <w:b/>
          <w:bCs/>
        </w:rPr>
        <w:t>（一）项目概况</w:t>
      </w:r>
      <w:bookmarkEnd w:id="9"/>
      <w:bookmarkEnd w:id="10"/>
      <w:bookmarkEnd w:id="11"/>
      <w:bookmarkEnd w:id="12"/>
      <w:bookmarkEnd w:id="13"/>
      <w:bookmarkEnd w:id="14"/>
    </w:p>
    <w:p>
      <w:pPr>
        <w:snapToGrid w:val="0"/>
        <w:ind w:firstLine="482"/>
        <w:rPr>
          <w:rFonts w:ascii="Arial Narrow" w:hAnsi="Arial Narrow" w:cs="Arial Narrow"/>
          <w:b/>
          <w:bCs/>
        </w:rPr>
      </w:pPr>
      <w:bookmarkStart w:id="15" w:name="_Toc361304676"/>
      <w:bookmarkEnd w:id="15"/>
      <w:bookmarkStart w:id="16" w:name="_Toc361302021"/>
      <w:bookmarkEnd w:id="16"/>
      <w:bookmarkStart w:id="17" w:name="_Toc406668027"/>
      <w:bookmarkStart w:id="18" w:name="_Toc406666354"/>
      <w:bookmarkStart w:id="19" w:name="_Toc361304677"/>
      <w:bookmarkStart w:id="20" w:name="_Toc361302022"/>
      <w:bookmarkStart w:id="21" w:name="_Toc387957804"/>
      <w:r>
        <w:rPr>
          <w:rFonts w:ascii="Arial Narrow" w:hAnsi="Arial Narrow" w:cs="Arial Narrow"/>
          <w:b/>
          <w:bCs/>
        </w:rPr>
        <w:t>1、项目立项背景</w:t>
      </w:r>
      <w:bookmarkEnd w:id="17"/>
      <w:bookmarkEnd w:id="18"/>
    </w:p>
    <w:p>
      <w:pPr>
        <w:snapToGrid w:val="0"/>
        <w:ind w:firstLine="480"/>
        <w:rPr>
          <w:rFonts w:ascii="Arial Narrow" w:hAnsi="Arial Narrow" w:cs="Arial Narrow"/>
        </w:rPr>
      </w:pPr>
      <w:bookmarkStart w:id="22" w:name="_Toc406668028"/>
      <w:r>
        <w:rPr>
          <w:rFonts w:ascii="Arial Narrow" w:hAnsi="Arial Narrow" w:cs="Arial Narrow"/>
        </w:rPr>
        <w:t>1.1 项目立项依据</w:t>
      </w:r>
    </w:p>
    <w:p>
      <w:pPr>
        <w:snapToGrid w:val="0"/>
        <w:ind w:firstLine="480"/>
        <w:rPr>
          <w:rFonts w:ascii="Arial Narrow" w:hAnsi="Arial Narrow"/>
        </w:rPr>
      </w:pPr>
      <w:r>
        <w:rPr>
          <w:rFonts w:ascii="Arial Narrow" w:hAnsi="Arial Narrow"/>
        </w:rPr>
        <w:t>为了推动武昌区机关食堂工作的改革，逐步实现规范化管理，进一步提高管理水平和服务水平，更好地为机关工作和职工生活服务，《武昌区财政局关于武昌区机关运行保障中心2017年部门预算的批复》（武昌财预【2016】295号）批复食堂经费272万元用于食堂日常运行。</w:t>
      </w:r>
    </w:p>
    <w:p>
      <w:pPr>
        <w:snapToGrid w:val="0"/>
        <w:ind w:firstLine="480"/>
        <w:rPr>
          <w:rFonts w:ascii="Arial Narrow" w:hAnsi="Arial Narrow" w:cs="Arial Narrow"/>
        </w:rPr>
      </w:pPr>
      <w:r>
        <w:rPr>
          <w:rFonts w:ascii="Arial Narrow" w:hAnsi="Arial Narrow" w:cs="Arial Narrow"/>
        </w:rPr>
        <w:t>1.2 项目所属领域</w:t>
      </w:r>
    </w:p>
    <w:p>
      <w:pPr>
        <w:snapToGrid w:val="0"/>
        <w:ind w:firstLine="480"/>
        <w:rPr>
          <w:rFonts w:ascii="Arial Narrow" w:hAnsi="Arial Narrow" w:cs="Arial Narrow"/>
        </w:rPr>
      </w:pPr>
      <w:r>
        <w:rPr>
          <w:rFonts w:ascii="Arial Narrow" w:hAnsi="Arial Narrow" w:cs="Arial Narrow"/>
        </w:rPr>
        <w:t>食堂运行经费项目属于公共服务领域，其坚持“服务第一”的方针，为机关职工提供卫生、营养、方便、经济的就餐服务；在有条件的情况下，努力挖掘自身潜力，积极扩大服务范围，增加服务项目，方便职工生活，增强内部活力。</w:t>
      </w:r>
    </w:p>
    <w:p>
      <w:pPr>
        <w:snapToGrid w:val="0"/>
        <w:ind w:firstLine="480"/>
        <w:rPr>
          <w:rFonts w:ascii="Arial Narrow" w:hAnsi="Arial Narrow" w:cs="Arial Narrow"/>
        </w:rPr>
      </w:pPr>
      <w:r>
        <w:rPr>
          <w:rFonts w:ascii="Arial Narrow" w:hAnsi="Arial Narrow" w:cs="Arial Narrow"/>
        </w:rPr>
        <w:t>1.3 项目性质与特点</w:t>
      </w:r>
    </w:p>
    <w:p>
      <w:pPr>
        <w:snapToGrid w:val="0"/>
        <w:ind w:firstLine="480"/>
        <w:rPr>
          <w:rFonts w:ascii="Arial Narrow" w:hAnsi="Arial Narrow"/>
        </w:rPr>
      </w:pPr>
      <w:r>
        <w:rPr>
          <w:rFonts w:ascii="Arial Narrow" w:hAnsi="Arial Narrow"/>
        </w:rPr>
        <w:t>食堂是行政中心的重要构成，机关食堂更是机关后勤工作的重点之一也是机关难点之一，它是成本与售价，经营与服务，共性与个性的矛盾体。因此机关食堂办得好与差，也是检验机关后勤管理水平的重要依据。机关食堂建设和管理水平的高低同时也关系到接待经费的使用效率、党风廉政建设工作成效等。机关食堂实行多种形式的承包责任制，做到责、权、利相结合，努力提高劳动效率和经济效益，减少行政经费支出； 推行全面质量管理，不断提高服务质量；贯彻"按劳分配，奖优罚劣"的原则，充分调动食堂职工的积极性，加强食堂内部的民主管理。</w:t>
      </w:r>
    </w:p>
    <w:p>
      <w:pPr>
        <w:snapToGrid w:val="0"/>
        <w:ind w:firstLine="480"/>
        <w:rPr>
          <w:rFonts w:ascii="Arial Narrow" w:hAnsi="Arial Narrow" w:cs="Arial Narrow"/>
        </w:rPr>
      </w:pPr>
      <w:r>
        <w:rPr>
          <w:rFonts w:ascii="Arial Narrow" w:hAnsi="Arial Narrow" w:cs="Arial Narrow"/>
        </w:rPr>
        <w:t>1.4 项目立项时所属领域状况</w:t>
      </w:r>
    </w:p>
    <w:p>
      <w:pPr>
        <w:snapToGrid w:val="0"/>
        <w:ind w:firstLine="480"/>
        <w:rPr>
          <w:rFonts w:ascii="Arial Narrow" w:hAnsi="Arial Narrow" w:cs="Arial Narrow"/>
        </w:rPr>
      </w:pPr>
      <w:r>
        <w:rPr>
          <w:rFonts w:ascii="Arial Narrow" w:hAnsi="Arial Narrow" w:cs="Arial Narrow"/>
        </w:rPr>
        <w:t>区机关食堂自成立以来，一</w:t>
      </w:r>
      <w:r>
        <w:rPr>
          <w:rFonts w:hint="eastAsia" w:ascii="Arial Narrow" w:hAnsi="Arial Narrow" w:cs="Arial Narrow"/>
        </w:rPr>
        <w:t>直</w:t>
      </w:r>
      <w:r>
        <w:rPr>
          <w:rFonts w:ascii="Arial Narrow" w:hAnsi="Arial Narrow" w:cs="Arial Narrow"/>
        </w:rPr>
        <w:t>由区运保中心负责管理和经营，随着社会经济的发展，由机关单位承担管理和经营的模式，已不适应机关食堂发展需求和管干分离的原则。为有效改善机关食堂管理和服务，提高机关后勤保障标准，减少流通环节带来的资产流失，更好地满足机关干部职工生活服务需求，经多方调查研究，借鉴先进管理经验，积极探索机关食堂整体委托给社会专业公司进行统一管理和服务。</w:t>
      </w:r>
    </w:p>
    <w:p>
      <w:pPr>
        <w:snapToGrid w:val="0"/>
        <w:ind w:firstLine="482"/>
        <w:rPr>
          <w:rFonts w:ascii="Arial Narrow" w:hAnsi="Arial Narrow" w:cs="Arial Narrow"/>
          <w:b/>
          <w:bCs/>
        </w:rPr>
      </w:pPr>
      <w:r>
        <w:rPr>
          <w:rFonts w:ascii="Arial Narrow" w:hAnsi="Arial Narrow" w:cs="Arial Narrow"/>
          <w:b/>
          <w:bCs/>
        </w:rPr>
        <w:t>2. 基准日及评价历时</w:t>
      </w:r>
    </w:p>
    <w:p>
      <w:pPr>
        <w:snapToGrid w:val="0"/>
        <w:ind w:firstLine="480"/>
        <w:rPr>
          <w:rFonts w:ascii="Arial Narrow" w:hAnsi="Arial Narrow" w:cs="Arial Narrow"/>
        </w:rPr>
      </w:pPr>
      <w:r>
        <w:rPr>
          <w:rFonts w:ascii="Arial Narrow" w:hAnsi="Arial Narrow" w:cs="Arial Narrow"/>
        </w:rPr>
        <w:t>2.1 评价基准日：2017年12月31日</w:t>
      </w:r>
    </w:p>
    <w:p>
      <w:pPr>
        <w:snapToGrid w:val="0"/>
        <w:ind w:firstLine="480"/>
        <w:rPr>
          <w:rFonts w:ascii="Arial Narrow" w:hAnsi="Arial Narrow" w:cs="Arial Narrow"/>
        </w:rPr>
      </w:pPr>
      <w:r>
        <w:rPr>
          <w:rFonts w:ascii="Arial Narrow" w:hAnsi="Arial Narrow" w:cs="Arial Narrow"/>
        </w:rPr>
        <w:t xml:space="preserve">2.2 本次评价从2018年5月2日—5月14日，历时12天 </w:t>
      </w:r>
    </w:p>
    <w:p>
      <w:pPr>
        <w:snapToGrid w:val="0"/>
        <w:ind w:firstLine="482"/>
        <w:rPr>
          <w:rFonts w:ascii="Arial Narrow" w:hAnsi="Arial Narrow" w:cs="Arial Narrow"/>
          <w:b/>
        </w:rPr>
      </w:pPr>
      <w:r>
        <w:rPr>
          <w:rFonts w:ascii="Arial Narrow" w:hAnsi="Arial Narrow" w:cs="Arial Narrow"/>
          <w:b/>
        </w:rPr>
        <w:t>3．项目实施情况</w:t>
      </w:r>
    </w:p>
    <w:p>
      <w:pPr>
        <w:snapToGrid w:val="0"/>
        <w:ind w:firstLine="480"/>
        <w:rPr>
          <w:rFonts w:ascii="Arial Narrow" w:hAnsi="Arial Narrow" w:cs="Arial Narrow"/>
        </w:rPr>
      </w:pPr>
      <w:r>
        <w:rPr>
          <w:rFonts w:ascii="Arial Narrow" w:hAnsi="Arial Narrow" w:cs="Arial Narrow"/>
        </w:rPr>
        <w:t>（1）项目实施单位：武昌区运行保障中心</w:t>
      </w:r>
    </w:p>
    <w:p>
      <w:pPr>
        <w:snapToGrid w:val="0"/>
        <w:ind w:firstLine="480"/>
        <w:rPr>
          <w:rFonts w:ascii="Arial Narrow" w:hAnsi="Arial Narrow" w:cs="Arial Narrow"/>
        </w:rPr>
      </w:pPr>
      <w:r>
        <w:rPr>
          <w:rFonts w:ascii="Arial Narrow" w:hAnsi="Arial Narrow" w:cs="Arial Narrow"/>
        </w:rPr>
        <w:t>（2）项目实施周期与地点：2017年；中山路和荆南街机关食堂</w:t>
      </w:r>
    </w:p>
    <w:p>
      <w:pPr>
        <w:snapToGrid w:val="0"/>
        <w:ind w:firstLine="480"/>
        <w:rPr>
          <w:rFonts w:ascii="Arial Narrow" w:hAnsi="Arial Narrow" w:cs="Arial Narrow"/>
        </w:rPr>
      </w:pPr>
      <w:r>
        <w:rPr>
          <w:rFonts w:ascii="Arial Narrow" w:hAnsi="Arial Narrow" w:cs="Arial Narrow"/>
        </w:rPr>
        <w:t>（3）项目主要内容：开展如用餐服务、卫生检查等日常工作，完成本年食堂改建等项目，提升就餐环境和职工就餐满意度，落实项目资金合理有效运行。</w:t>
      </w:r>
    </w:p>
    <w:p>
      <w:pPr>
        <w:snapToGrid w:val="0"/>
        <w:ind w:firstLine="480"/>
        <w:rPr>
          <w:rFonts w:ascii="Arial Narrow" w:hAnsi="Arial Narrow" w:cs="Arial Narrow"/>
        </w:rPr>
      </w:pPr>
      <w:r>
        <w:rPr>
          <w:rFonts w:ascii="Arial Narrow" w:hAnsi="Arial Narrow" w:cs="Arial Narrow"/>
        </w:rPr>
        <w:t>（4）项目完成概况：武昌区运保中心正常开展日常工作，委托“武汉企源餐饮管理有限公司”开展食堂的各项日常工作；完成区食堂改建整修等工程项目，对食堂操作间、就餐地点等进行管理维护工作，就餐环境得到了一定改善。</w:t>
      </w:r>
    </w:p>
    <w:p>
      <w:pPr>
        <w:snapToGrid w:val="0"/>
        <w:ind w:firstLine="482"/>
        <w:rPr>
          <w:rFonts w:ascii="Arial Narrow" w:hAnsi="Arial Narrow" w:cs="Arial Narrow"/>
          <w:b/>
        </w:rPr>
      </w:pPr>
      <w:r>
        <w:rPr>
          <w:rFonts w:ascii="Arial Narrow" w:hAnsi="Arial Narrow" w:cs="Arial Narrow"/>
          <w:b/>
        </w:rPr>
        <w:t>4．项目经费来源和使用情况</w:t>
      </w:r>
    </w:p>
    <w:p>
      <w:pPr>
        <w:snapToGrid w:val="0"/>
        <w:ind w:firstLine="480"/>
        <w:rPr>
          <w:rFonts w:ascii="Arial Narrow" w:hAnsi="Arial Narrow" w:cs="Arial Narrow"/>
        </w:rPr>
      </w:pPr>
      <w:r>
        <w:rPr>
          <w:rFonts w:ascii="Arial Narrow" w:hAnsi="Arial Narrow" w:cs="Arial Narrow"/>
        </w:rPr>
        <w:t>（1）项目资金来源概况：根据《武昌区财政局关于武昌区机关运行保障中心2017年部门预算的批复》，食堂运行经费为272万元，项目资金均为区级财政资金。</w:t>
      </w:r>
    </w:p>
    <w:p>
      <w:pPr>
        <w:snapToGrid w:val="0"/>
        <w:ind w:firstLine="480"/>
        <w:rPr>
          <w:rFonts w:ascii="Arial Narrow" w:hAnsi="Arial Narrow" w:cs="Arial Narrow"/>
        </w:rPr>
      </w:pPr>
      <w:r>
        <w:rPr>
          <w:rFonts w:ascii="Arial Narrow" w:hAnsi="Arial Narrow" w:cs="Arial Narrow"/>
        </w:rPr>
        <w:t>（2）项目资金使用概况：</w:t>
      </w:r>
    </w:p>
    <w:p>
      <w:pPr>
        <w:snapToGrid w:val="0"/>
        <w:ind w:firstLine="480"/>
        <w:rPr>
          <w:rFonts w:ascii="Arial Narrow" w:hAnsi="Arial Narrow" w:cs="Arial Narrow"/>
          <w:bCs/>
        </w:rPr>
      </w:pPr>
      <w:r>
        <w:rPr>
          <w:rFonts w:ascii="Arial Narrow" w:hAnsi="Arial Narrow" w:cs="Arial Narrow"/>
        </w:rPr>
        <w:t>截止到绩效评价日，该</w:t>
      </w:r>
      <w:r>
        <w:rPr>
          <w:rFonts w:ascii="Arial Narrow" w:hAnsi="Arial Narrow" w:cs="Arial Narrow"/>
          <w:bCs/>
        </w:rPr>
        <w:t>项目已支出260.48万元，其中日常运营费用141.51万元，人员管理费用64.58万元，资产购置支出29.84万元，维修工程项目支出23.45万元，办公费及其他支出1.09万元。</w:t>
      </w:r>
    </w:p>
    <w:p>
      <w:pPr>
        <w:snapToGrid w:val="0"/>
        <w:ind w:firstLine="480"/>
        <w:rPr>
          <w:rFonts w:ascii="Arial Narrow" w:hAnsi="Arial Narrow" w:cs="Arial Narrow"/>
          <w:bCs/>
        </w:rPr>
      </w:pPr>
      <w:r>
        <w:rPr>
          <w:rFonts w:ascii="Arial Narrow" w:hAnsi="Arial Narrow" w:cs="Arial Narrow"/>
          <w:bCs/>
        </w:rPr>
        <w:drawing>
          <wp:inline distT="0" distB="0" distL="0" distR="0">
            <wp:extent cx="4762500" cy="2847975"/>
            <wp:effectExtent l="0" t="0" r="19050" b="95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napToGrid w:val="0"/>
        <w:ind w:firstLine="480"/>
        <w:rPr>
          <w:rFonts w:ascii="Arial Narrow" w:hAnsi="Arial Narrow" w:cs="Arial Narrow"/>
          <w:bCs/>
        </w:rPr>
      </w:pPr>
    </w:p>
    <w:p>
      <w:pPr>
        <w:snapToGrid w:val="0"/>
        <w:ind w:firstLine="482"/>
        <w:outlineLvl w:val="1"/>
        <w:rPr>
          <w:rFonts w:ascii="Arial Narrow" w:hAnsi="Arial Narrow" w:cs="Arial Narrow"/>
          <w:b/>
          <w:bCs/>
        </w:rPr>
      </w:pPr>
      <w:bookmarkStart w:id="23" w:name="_Toc24233"/>
      <w:bookmarkStart w:id="24" w:name="_Toc16351"/>
      <w:r>
        <w:rPr>
          <w:rFonts w:ascii="Arial Narrow" w:hAnsi="Arial Narrow" w:cs="Arial Narrow"/>
          <w:b/>
          <w:bCs/>
        </w:rPr>
        <w:t>（二）项目绩效目标</w:t>
      </w:r>
      <w:bookmarkEnd w:id="23"/>
    </w:p>
    <w:p>
      <w:pPr>
        <w:snapToGrid w:val="0"/>
        <w:ind w:firstLine="482"/>
        <w:rPr>
          <w:rFonts w:ascii="Arial Narrow" w:hAnsi="Arial Narrow" w:cs="Arial Narrow"/>
          <w:b/>
          <w:bCs/>
        </w:rPr>
      </w:pPr>
      <w:r>
        <w:rPr>
          <w:rFonts w:ascii="Arial Narrow" w:hAnsi="Arial Narrow" w:cs="Arial Narrow"/>
          <w:b/>
          <w:bCs/>
        </w:rPr>
        <w:t>1.项目绩效目标</w:t>
      </w:r>
      <w:bookmarkEnd w:id="24"/>
    </w:p>
    <w:p>
      <w:pPr>
        <w:snapToGrid w:val="0"/>
        <w:ind w:firstLine="480"/>
        <w:rPr>
          <w:rFonts w:ascii="Arial Narrow" w:hAnsi="Arial Narrow" w:cs="Arial Narrow"/>
          <w:bCs/>
        </w:rPr>
      </w:pPr>
      <w:r>
        <w:rPr>
          <w:rFonts w:ascii="Arial Narrow" w:hAnsi="Arial Narrow" w:cs="Arial Narrow"/>
          <w:bCs/>
        </w:rPr>
        <w:t>（1）项目立项设定绩效目标</w:t>
      </w:r>
    </w:p>
    <w:bookmarkEnd w:id="19"/>
    <w:bookmarkEnd w:id="20"/>
    <w:bookmarkEnd w:id="21"/>
    <w:bookmarkEnd w:id="22"/>
    <w:p>
      <w:pPr>
        <w:snapToGrid w:val="0"/>
        <w:ind w:firstLine="480"/>
        <w:rPr>
          <w:rFonts w:ascii="Arial Narrow" w:hAnsi="Arial Narrow" w:cs="Arial Narrow"/>
        </w:rPr>
      </w:pPr>
      <w:bookmarkStart w:id="25" w:name="_Toc406666357"/>
      <w:bookmarkStart w:id="26" w:name="_Toc387957806"/>
      <w:bookmarkStart w:id="27" w:name="_Toc406668031"/>
      <w:bookmarkStart w:id="28" w:name="_Toc361304681"/>
      <w:r>
        <w:rPr>
          <w:rFonts w:ascii="Arial Narrow" w:hAnsi="Arial Narrow" w:cs="Arial Narrow"/>
        </w:rPr>
        <w:t>项目绩效目标为：开展如用餐服务、卫生检查等日常工作，完成本年食堂改建等项目，提升就餐环境和职工就餐满意度，落实项目资金合理有效运行。</w:t>
      </w:r>
    </w:p>
    <w:p>
      <w:pPr>
        <w:snapToGrid w:val="0"/>
        <w:ind w:firstLine="480"/>
        <w:rPr>
          <w:rFonts w:ascii="Arial Narrow" w:hAnsi="Arial Narrow" w:cs="Arial Narrow"/>
        </w:rPr>
      </w:pPr>
      <w:r>
        <w:rPr>
          <w:rFonts w:ascii="Arial Narrow" w:hAnsi="Arial Narrow" w:cs="Arial Narrow"/>
        </w:rPr>
        <w:t>（2）绩效目标完成情况</w:t>
      </w:r>
    </w:p>
    <w:p>
      <w:pPr>
        <w:ind w:firstLine="480"/>
      </w:pPr>
      <w:bookmarkStart w:id="29" w:name="_Toc513561944"/>
      <w:r>
        <w:t>武昌区运保中心正常开展日常工作，委托“武汉企源餐饮管理有限公司”开展食堂的各项日常工作；完成区食堂改建整修等工程项目，对食堂操作间、就餐地点等进行管理维护工作，就餐环境得到了一定改善。</w:t>
      </w:r>
      <w:bookmarkEnd w:id="29"/>
    </w:p>
    <w:p>
      <w:pPr>
        <w:snapToGrid w:val="0"/>
        <w:ind w:firstLine="482"/>
        <w:outlineLvl w:val="0"/>
        <w:rPr>
          <w:rFonts w:ascii="Arial Narrow" w:hAnsi="Arial Narrow" w:cs="Arial Narrow"/>
          <w:b/>
        </w:rPr>
      </w:pPr>
      <w:bookmarkStart w:id="30" w:name="_Toc25612"/>
      <w:r>
        <w:rPr>
          <w:rFonts w:ascii="Arial Narrow" w:hAnsi="Arial Narrow" w:cs="Arial Narrow"/>
          <w:b/>
        </w:rPr>
        <w:t>二、绩效评价工作情况</w:t>
      </w:r>
      <w:bookmarkEnd w:id="25"/>
      <w:bookmarkEnd w:id="26"/>
      <w:bookmarkEnd w:id="27"/>
      <w:bookmarkEnd w:id="28"/>
      <w:bookmarkEnd w:id="30"/>
      <w:bookmarkStart w:id="31" w:name="_Toc361304682"/>
    </w:p>
    <w:p>
      <w:pPr>
        <w:snapToGrid w:val="0"/>
        <w:ind w:firstLine="482"/>
        <w:outlineLvl w:val="1"/>
        <w:rPr>
          <w:rFonts w:ascii="Arial Narrow" w:hAnsi="Arial Narrow" w:cs="Arial Narrow"/>
          <w:b/>
          <w:bCs/>
        </w:rPr>
      </w:pPr>
      <w:bookmarkStart w:id="32" w:name="_Toc387957807"/>
      <w:bookmarkStart w:id="33" w:name="_Toc406668032"/>
      <w:bookmarkStart w:id="34" w:name="_Toc406666358"/>
      <w:bookmarkStart w:id="35" w:name="_Toc26108"/>
      <w:r>
        <w:rPr>
          <w:rFonts w:ascii="Arial Narrow" w:hAnsi="Arial Narrow" w:cs="Arial Narrow"/>
          <w:b/>
          <w:bCs/>
        </w:rPr>
        <w:t>（一）绩效评价目</w:t>
      </w:r>
      <w:bookmarkEnd w:id="31"/>
      <w:bookmarkEnd w:id="32"/>
      <w:r>
        <w:rPr>
          <w:rFonts w:ascii="Arial Narrow" w:hAnsi="Arial Narrow" w:cs="Arial Narrow"/>
          <w:b/>
          <w:bCs/>
        </w:rPr>
        <w:t>的</w:t>
      </w:r>
      <w:bookmarkEnd w:id="33"/>
      <w:bookmarkEnd w:id="34"/>
      <w:bookmarkEnd w:id="35"/>
    </w:p>
    <w:p>
      <w:pPr>
        <w:snapToGrid w:val="0"/>
        <w:ind w:firstLine="480"/>
        <w:rPr>
          <w:rFonts w:ascii="Arial Narrow" w:hAnsi="Arial Narrow" w:cs="Arial Narrow"/>
        </w:rPr>
      </w:pPr>
      <w:bookmarkStart w:id="36" w:name="_Toc361302025"/>
      <w:bookmarkStart w:id="37" w:name="_Toc406668033"/>
      <w:bookmarkStart w:id="38" w:name="_Toc361304684"/>
      <w:bookmarkStart w:id="39" w:name="_Toc387957809"/>
      <w:bookmarkStart w:id="40" w:name="_Toc406666359"/>
      <w:r>
        <w:rPr>
          <w:rFonts w:ascii="Arial Narrow" w:hAnsi="Arial Narrow" w:cs="Arial Narrow"/>
        </w:rPr>
        <w:t>为深化预算管理改革，进一步加强</w:t>
      </w:r>
      <w:r>
        <w:rPr>
          <w:rFonts w:ascii="Arial Narrow" w:hAnsi="Arial Narrow" w:cs="Arial Narrow"/>
          <w:bCs/>
        </w:rPr>
        <w:t>食堂运行经费项目</w:t>
      </w:r>
      <w:r>
        <w:rPr>
          <w:rFonts w:ascii="Arial Narrow" w:hAnsi="Arial Narrow" w:cs="Arial Narrow"/>
        </w:rPr>
        <w:t>的监督管理，提高财政资金使用效益，根据《中华人民共和国预算法》、《财政支出绩效评价管理暂行办法》和国家有关财务规章制度，结合</w:t>
      </w:r>
      <w:r>
        <w:rPr>
          <w:rFonts w:ascii="Arial Narrow" w:hAnsi="Arial Narrow" w:cs="Arial Narrow"/>
          <w:bCs/>
        </w:rPr>
        <w:t>食堂运行经费项目</w:t>
      </w:r>
      <w:r>
        <w:rPr>
          <w:rFonts w:ascii="Arial Narrow" w:hAnsi="Arial Narrow" w:cs="Arial Narrow"/>
        </w:rPr>
        <w:t>的具体情况，进行此次绩效评价。同时，本次绩效评价还力争实现以下目的：</w:t>
      </w:r>
    </w:p>
    <w:p>
      <w:pPr>
        <w:snapToGrid w:val="0"/>
        <w:ind w:firstLine="480"/>
        <w:rPr>
          <w:rFonts w:ascii="Arial Narrow" w:hAnsi="Arial Narrow" w:cs="Arial Narrow"/>
        </w:rPr>
      </w:pPr>
      <w:r>
        <w:rPr>
          <w:rFonts w:ascii="Arial Narrow" w:hAnsi="Arial Narrow" w:cs="Arial Narrow"/>
        </w:rPr>
        <w:t>1、按照武昌区财政局项目资金管理要求，设计合理的指标体系和评价标准，采取科学规范的评价方法，对“</w:t>
      </w:r>
      <w:r>
        <w:rPr>
          <w:rFonts w:ascii="Arial Narrow" w:hAnsi="Arial Narrow" w:cs="Arial Narrow"/>
          <w:bCs/>
        </w:rPr>
        <w:t>食堂运行经费项目</w:t>
      </w:r>
      <w:r>
        <w:rPr>
          <w:rFonts w:ascii="Arial Narrow" w:hAnsi="Arial Narrow" w:cs="Arial Narrow"/>
        </w:rPr>
        <w:t xml:space="preserve">”从项目投入到项目绩效的全过程进行科学、客观、公正的评价，为合理分配资金、优化支出提供依据。 </w:t>
      </w:r>
    </w:p>
    <w:p>
      <w:pPr>
        <w:snapToGrid w:val="0"/>
        <w:ind w:firstLine="480"/>
        <w:rPr>
          <w:rFonts w:ascii="Arial Narrow" w:hAnsi="Arial Narrow" w:cs="Arial Narrow"/>
        </w:rPr>
      </w:pPr>
      <w:r>
        <w:rPr>
          <w:rFonts w:ascii="Arial Narrow" w:hAnsi="Arial Narrow" w:cs="Arial Narrow"/>
        </w:rPr>
        <w:t>2、</w:t>
      </w:r>
      <w:r>
        <w:rPr>
          <w:rFonts w:hint="eastAsia" w:ascii="Arial Narrow" w:hAnsi="Arial Narrow" w:cs="Arial Narrow"/>
        </w:rPr>
        <w:t>通过绩效评价为合理分配资金、优化支出提供依据，也为逐步建立“预算编制有目标，预算执行有监控，预算完成有评价，评价结果有反馈，反馈结果有应用”的绩效评价机制提供决策依据</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3、通过绩效评价总结前一年度项目实施的经验教训，为进一步加强公益服务项目管理，提高项目建设水平，发挥财政资金效益提供重要的参考依据，也为</w:t>
      </w:r>
      <w:r>
        <w:rPr>
          <w:rFonts w:hint="eastAsia" w:ascii="Arial Narrow" w:hAnsi="Arial Narrow" w:cs="Arial Narrow"/>
        </w:rPr>
        <w:t>将</w:t>
      </w:r>
      <w:r>
        <w:rPr>
          <w:rFonts w:ascii="Arial Narrow" w:hAnsi="Arial Narrow" w:cs="Arial Narrow"/>
        </w:rPr>
        <w:t>来公益服务项目提供借鉴。</w:t>
      </w:r>
    </w:p>
    <w:p>
      <w:pPr>
        <w:snapToGrid w:val="0"/>
        <w:ind w:firstLine="482"/>
        <w:jc w:val="left"/>
        <w:outlineLvl w:val="1"/>
        <w:rPr>
          <w:rFonts w:ascii="Arial Narrow" w:hAnsi="Arial Narrow" w:cs="Arial Narrow"/>
          <w:b/>
          <w:bCs/>
        </w:rPr>
      </w:pPr>
      <w:bookmarkStart w:id="41" w:name="_Toc1876"/>
      <w:r>
        <w:rPr>
          <w:rFonts w:ascii="Arial Narrow" w:hAnsi="Arial Narrow" w:cs="Arial Narrow"/>
          <w:b/>
          <w:bCs/>
        </w:rPr>
        <w:t>（二）绩效评价工作过程</w:t>
      </w:r>
      <w:bookmarkEnd w:id="41"/>
    </w:p>
    <w:p>
      <w:pPr>
        <w:snapToGrid w:val="0"/>
        <w:ind w:firstLine="480"/>
        <w:rPr>
          <w:rFonts w:ascii="Arial Narrow" w:hAnsi="Arial Narrow" w:cs="Arial Narrow"/>
        </w:rPr>
      </w:pPr>
      <w:bookmarkStart w:id="42" w:name="_Toc782"/>
      <w:bookmarkStart w:id="43" w:name="_Toc22648"/>
      <w:r>
        <w:rPr>
          <w:rFonts w:ascii="Arial Narrow" w:hAnsi="Arial Narrow" w:cs="Arial Narrow"/>
        </w:rPr>
        <w:drawing>
          <wp:inline distT="0" distB="0" distL="0" distR="0">
            <wp:extent cx="3924300" cy="19335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24300" cy="1933575"/>
                    </a:xfrm>
                    <a:prstGeom prst="rect">
                      <a:avLst/>
                    </a:prstGeom>
                    <a:noFill/>
                    <a:ln>
                      <a:noFill/>
                    </a:ln>
                    <a:effectLst/>
                  </pic:spPr>
                </pic:pic>
              </a:graphicData>
            </a:graphic>
          </wp:inline>
        </w:drawing>
      </w:r>
    </w:p>
    <w:p>
      <w:pPr>
        <w:snapToGrid w:val="0"/>
        <w:ind w:firstLine="480"/>
        <w:rPr>
          <w:rFonts w:ascii="Arial Narrow" w:hAnsi="Arial Narrow" w:cs="Arial Narrow"/>
        </w:rPr>
      </w:pPr>
      <w:r>
        <w:rPr>
          <w:rFonts w:ascii="Arial Narrow" w:hAnsi="Arial Narrow" w:cs="Arial Narrow"/>
        </w:rPr>
        <w:t>1、前期准备工作内容；</w:t>
      </w:r>
      <w:bookmarkEnd w:id="42"/>
      <w:bookmarkEnd w:id="43"/>
    </w:p>
    <w:p>
      <w:pPr>
        <w:snapToGrid w:val="0"/>
        <w:ind w:firstLine="480"/>
        <w:rPr>
          <w:rFonts w:ascii="Arial Narrow" w:hAnsi="Arial Narrow" w:cs="Arial Narrow"/>
        </w:rPr>
      </w:pPr>
      <w:r>
        <w:rPr>
          <w:rFonts w:ascii="Arial Narrow" w:hAnsi="Arial Narrow" w:cs="Arial Narrow"/>
        </w:rPr>
        <w:t>首先，查阅项目的相关文件。通过查阅了食堂运行经费项目单位的项目资料，结合《武昌区财政支出绩效评价管理暂行办法》的要求，绩效评价工作小组充分熟悉项目背景、项目内容、项目活动等信息，这为绩效评价工作小组后续制定绩效评价方案奠定了基础。</w:t>
      </w:r>
    </w:p>
    <w:p>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 “</w:t>
      </w:r>
      <w:r>
        <w:rPr>
          <w:rFonts w:ascii="Arial Narrow" w:hAnsi="Arial Narrow" w:cs="Arial Narrow"/>
          <w:bCs/>
        </w:rPr>
        <w:t>食堂运行经费项目</w:t>
      </w:r>
      <w:r>
        <w:rPr>
          <w:rFonts w:ascii="Arial Narrow" w:hAnsi="Arial Narrow" w:cs="Arial Narrow"/>
        </w:rPr>
        <w:t>”绩效评价指标体系由3个一级指标、6个二级指标、23个三级指标构成。绩效评价指标体系包含12个定性指标，11个定量指标，定性定量指标相结合，量化程度较高。绩效评价工作小组针对绩效评价对象的特点设计了8个个性化指标，包括食堂维修改造完成率、厨房设备利用率、食堂考核频次、卫生检疫力度、菜品多样性、就餐环境提升度、卫生检查达标率等。</w:t>
      </w:r>
    </w:p>
    <w:p>
      <w:pPr>
        <w:snapToGrid w:val="0"/>
        <w:ind w:firstLine="480"/>
        <w:rPr>
          <w:rFonts w:ascii="Arial Narrow" w:hAnsi="Arial Narrow" w:cs="Arial Narrow"/>
        </w:rPr>
      </w:pPr>
      <w:r>
        <w:rPr>
          <w:rFonts w:ascii="Arial Narrow" w:hAnsi="Arial Narrow" w:cs="Arial Narrow"/>
        </w:rPr>
        <w:t>第三，设计绩效评价指标体系和评分标准。项目小组与区运行保障中心办公室就“</w:t>
      </w:r>
      <w:r>
        <w:rPr>
          <w:rFonts w:ascii="Arial Narrow" w:hAnsi="Arial Narrow" w:cs="Arial Narrow"/>
          <w:bCs/>
        </w:rPr>
        <w:t>食堂运行经费项目</w:t>
      </w:r>
      <w:r>
        <w:rPr>
          <w:rFonts w:ascii="Arial Narrow" w:hAnsi="Arial Narrow" w:cs="Arial Narrow"/>
        </w:rPr>
        <w:t>”绩效评价相关事项进行了充分的讨论与研究，制定了绩效评价指标体系和评分标准。</w:t>
      </w:r>
    </w:p>
    <w:p>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基础数据表、访谈大纲和资料清单，帮助绩效评价工作小组在报告后期对调查问卷、基础数据表和访谈记录等进行分析汇总。</w:t>
      </w:r>
    </w:p>
    <w:p>
      <w:pPr>
        <w:snapToGrid w:val="0"/>
        <w:ind w:firstLine="480"/>
        <w:rPr>
          <w:rFonts w:ascii="Arial Narrow" w:hAnsi="Arial Narrow" w:cs="Arial Narrow"/>
        </w:rPr>
      </w:pPr>
      <w:r>
        <w:rPr>
          <w:rFonts w:ascii="Arial Narrow" w:hAnsi="Arial Narrow" w:cs="Arial Narrow"/>
        </w:rPr>
        <w:t>2、组织实施过程内容</w:t>
      </w:r>
    </w:p>
    <w:p>
      <w:pPr>
        <w:snapToGrid w:val="0"/>
        <w:ind w:firstLine="480"/>
        <w:rPr>
          <w:rFonts w:ascii="Arial Narrow" w:hAnsi="Arial Narrow" w:cs="Arial Narrow"/>
        </w:rPr>
      </w:pPr>
      <w:r>
        <w:rPr>
          <w:rFonts w:ascii="Arial Narrow" w:hAnsi="Arial Narrow" w:cs="Arial Narrow"/>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snapToGrid w:val="0"/>
        <w:ind w:firstLine="480"/>
        <w:rPr>
          <w:rFonts w:ascii="Arial Narrow" w:hAnsi="Arial Narrow" w:cs="Arial Narrow"/>
        </w:rPr>
      </w:pPr>
      <w:r>
        <w:rPr>
          <w:rFonts w:ascii="Arial Narrow" w:hAnsi="Arial Narrow" w:cs="Arial Narrow"/>
        </w:rPr>
        <w:t>3、分析评价工作内容</w:t>
      </w:r>
    </w:p>
    <w:p>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numPr>
          <w:ilvl w:val="0"/>
          <w:numId w:val="2"/>
        </w:numPr>
        <w:snapToGrid w:val="0"/>
        <w:ind w:firstLine="482"/>
        <w:jc w:val="left"/>
        <w:outlineLvl w:val="1"/>
        <w:rPr>
          <w:rFonts w:ascii="Arial Narrow" w:hAnsi="Arial Narrow" w:cs="Arial Narrow"/>
          <w:b/>
          <w:bCs/>
        </w:rPr>
      </w:pPr>
      <w:bookmarkStart w:id="44" w:name="_Toc21897"/>
      <w:r>
        <w:rPr>
          <w:rFonts w:ascii="Arial Narrow" w:hAnsi="Arial Narrow" w:cs="Arial Narrow"/>
          <w:b/>
          <w:bCs/>
        </w:rPr>
        <w:t>绩效评价</w:t>
      </w:r>
      <w:bookmarkEnd w:id="36"/>
      <w:bookmarkEnd w:id="37"/>
      <w:bookmarkEnd w:id="38"/>
      <w:bookmarkEnd w:id="39"/>
      <w:bookmarkEnd w:id="40"/>
      <w:bookmarkStart w:id="45" w:name="_Toc361304685"/>
      <w:bookmarkStart w:id="46" w:name="_Toc361302026"/>
      <w:r>
        <w:rPr>
          <w:rFonts w:ascii="Arial Narrow" w:hAnsi="Arial Narrow" w:cs="Arial Narrow"/>
          <w:b/>
          <w:bCs/>
        </w:rPr>
        <w:t>框架</w:t>
      </w:r>
      <w:bookmarkEnd w:id="44"/>
    </w:p>
    <w:p>
      <w:pPr>
        <w:snapToGrid w:val="0"/>
        <w:ind w:firstLine="480" w:firstLineChars="0"/>
        <w:jc w:val="left"/>
        <w:rPr>
          <w:rFonts w:ascii="Arial Narrow" w:hAnsi="Arial Narrow" w:cs="Arial Narrow"/>
          <w:b/>
          <w:bCs/>
        </w:rPr>
      </w:pPr>
      <w:r>
        <w:rPr>
          <w:rFonts w:ascii="Arial Narrow" w:hAnsi="Arial Narrow" w:cs="Arial Narrow"/>
          <w:b/>
          <w:bCs/>
        </w:rPr>
        <w:t>1、评价原则</w:t>
      </w:r>
    </w:p>
    <w:p>
      <w:pPr>
        <w:snapToGrid w:val="0"/>
        <w:ind w:firstLine="480" w:firstLineChars="0"/>
        <w:jc w:val="left"/>
        <w:rPr>
          <w:rFonts w:ascii="Arial Narrow" w:hAnsi="Arial Narrow" w:cs="Arial Narrow"/>
          <w:b/>
          <w:bCs/>
        </w:rPr>
      </w:pPr>
      <w:r>
        <w:rPr>
          <w:rFonts w:ascii="Arial Narrow" w:hAnsi="Arial Narrow" w:cs="Arial Narrow"/>
          <w:b/>
        </w:rPr>
        <w:drawing>
          <wp:inline distT="0" distB="0" distL="0" distR="0">
            <wp:extent cx="4893310" cy="1400175"/>
            <wp:effectExtent l="57150" t="0" r="78740" b="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pPr>
        <w:snapToGrid w:val="0"/>
        <w:ind w:firstLine="480"/>
        <w:jc w:val="left"/>
        <w:rPr>
          <w:rFonts w:ascii="Arial Narrow" w:hAnsi="Arial Narrow" w:cs="Arial Narrow"/>
        </w:rPr>
      </w:pPr>
      <w:r>
        <w:rPr>
          <w:rFonts w:ascii="Arial Narrow" w:hAnsi="Arial Narrow" w:cs="Arial Narrow"/>
        </w:rPr>
        <w:t>（1）相关性原则。绩效评价指标应当与绩效目标有直接的联系，能够恰当反映目标的实现程度。如菜品多样性、伙食质量保证度。</w:t>
      </w:r>
    </w:p>
    <w:p>
      <w:pPr>
        <w:snapToGrid w:val="0"/>
        <w:ind w:firstLine="480"/>
        <w:jc w:val="left"/>
        <w:rPr>
          <w:rFonts w:ascii="Arial Narrow" w:hAnsi="Arial Narrow" w:cs="Arial Narrow"/>
        </w:rPr>
      </w:pPr>
      <w:r>
        <w:rPr>
          <w:rFonts w:ascii="Arial Narrow" w:hAnsi="Arial Narrow" w:cs="Arial Narrow"/>
        </w:rPr>
        <w:t>（2）重要性原则。应当优先使用最具评价对象代表性、最能反映评价要求的核心指标。如就餐环境提升度、服务对象满意度等指标。</w:t>
      </w:r>
    </w:p>
    <w:p>
      <w:pPr>
        <w:snapToGrid w:val="0"/>
        <w:ind w:firstLine="480"/>
        <w:jc w:val="left"/>
        <w:rPr>
          <w:rFonts w:ascii="Arial Narrow" w:hAnsi="Arial Narrow" w:cs="Arial Narrow"/>
        </w:rPr>
      </w:pPr>
      <w:r>
        <w:rPr>
          <w:rFonts w:ascii="Arial Narrow" w:hAnsi="Arial Narrow" w:cs="Arial Narrow"/>
        </w:rPr>
        <w:t>（3）可比性原则。对同类评价对象要设定共性的绩效评价指标，以便于评价结果可以相互比较。如完成及时率、资金使用率等指标按照可比性原则制定。</w:t>
      </w:r>
    </w:p>
    <w:p>
      <w:pPr>
        <w:snapToGrid w:val="0"/>
        <w:ind w:firstLine="480"/>
        <w:jc w:val="left"/>
        <w:rPr>
          <w:rFonts w:ascii="Arial Narrow" w:hAnsi="Arial Narrow" w:cs="Arial Narrow"/>
        </w:rPr>
      </w:pPr>
      <w:r>
        <w:rPr>
          <w:rFonts w:ascii="Arial Narrow" w:hAnsi="Arial Narrow" w:cs="Arial Narrow"/>
        </w:rPr>
        <w:t>（4）系统性原则。绩效评价指标的设置应当将定量指标与定性指标相结合，能系统反映财政支出所产生的社会效益和可持续影响等。卫生检疫力度、伙食质量保证度等指标为定性指标，月度毛利润率、卫生检查达标率等指标为定量指标。</w:t>
      </w:r>
    </w:p>
    <w:p>
      <w:pPr>
        <w:snapToGrid w:val="0"/>
        <w:ind w:firstLine="480"/>
        <w:jc w:val="left"/>
        <w:rPr>
          <w:rFonts w:ascii="Arial Narrow" w:hAnsi="Arial Narrow" w:cs="Arial Narrow"/>
        </w:rPr>
      </w:pPr>
      <w:r>
        <w:rPr>
          <w:rFonts w:ascii="Arial Narrow" w:hAnsi="Arial Narrow" w:cs="Arial Narrow"/>
        </w:rPr>
        <w:t>（5）经济性原则。绩效评价指标设计应当通俗易懂、简便易行，数据的获得应当考虑现实条件和可操作性，符合成本效益原则。完成及时率、人员配置实现率等指标符合经济性原则。</w:t>
      </w:r>
    </w:p>
    <w:p>
      <w:pPr>
        <w:snapToGrid w:val="0"/>
        <w:ind w:firstLine="480" w:firstLineChars="0"/>
        <w:jc w:val="left"/>
        <w:rPr>
          <w:rFonts w:ascii="Arial Narrow" w:hAnsi="Arial Narrow" w:cs="Arial Narrow"/>
          <w:b/>
          <w:bCs/>
        </w:rPr>
      </w:pPr>
      <w:r>
        <w:rPr>
          <w:rFonts w:ascii="Arial Narrow" w:hAnsi="Arial Narrow" w:cs="Arial Narrow"/>
          <w:b/>
          <w:bCs/>
        </w:rPr>
        <w:t>2、评价依据</w:t>
      </w:r>
    </w:p>
    <w:p>
      <w:pPr>
        <w:snapToGrid w:val="0"/>
        <w:ind w:firstLine="480"/>
        <w:jc w:val="left"/>
        <w:rPr>
          <w:rFonts w:ascii="Arial Narrow" w:hAnsi="Arial Narrow" w:cs="Arial Narrow"/>
        </w:rPr>
      </w:pPr>
      <w:r>
        <w:rPr>
          <w:rFonts w:ascii="Arial Narrow" w:hAnsi="Arial Narrow" w:cs="Arial Narrow"/>
        </w:rPr>
        <w:t>（1）项目行为依据</w:t>
      </w:r>
    </w:p>
    <w:p>
      <w:pPr>
        <w:snapToGrid w:val="0"/>
        <w:ind w:firstLine="480"/>
        <w:jc w:val="left"/>
        <w:rPr>
          <w:rFonts w:ascii="Arial Narrow" w:hAnsi="Arial Narrow" w:cs="Arial Narrow"/>
        </w:rPr>
      </w:pPr>
      <w:r>
        <w:rPr>
          <w:rFonts w:ascii="Arial Narrow" w:hAnsi="Arial Narrow" w:cs="Arial Narrow"/>
        </w:rPr>
        <w:t>《武昌区财政局关于武昌区机关运行保障中心2017年部门预算的批复》（武昌财预【2016】295号）；</w:t>
      </w:r>
    </w:p>
    <w:p>
      <w:pPr>
        <w:snapToGrid w:val="0"/>
        <w:ind w:firstLine="480"/>
        <w:jc w:val="left"/>
        <w:rPr>
          <w:rFonts w:ascii="Arial Narrow" w:hAnsi="Arial Narrow" w:cs="Arial Narrow"/>
        </w:rPr>
      </w:pPr>
      <w:r>
        <w:rPr>
          <w:rFonts w:ascii="Arial Narrow" w:hAnsi="Arial Narrow" w:cs="Arial Narrow"/>
        </w:rPr>
        <w:t>（2）法律、法规依据</w:t>
      </w:r>
    </w:p>
    <w:p>
      <w:pPr>
        <w:snapToGrid w:val="0"/>
        <w:ind w:firstLine="436" w:firstLineChars="182"/>
        <w:jc w:val="left"/>
        <w:rPr>
          <w:rFonts w:ascii="Arial Narrow" w:hAnsi="Arial Narrow" w:cs="Arial Narrow"/>
        </w:rPr>
      </w:pPr>
      <w:r>
        <w:rPr>
          <w:rFonts w:hint="eastAsia" w:ascii="宋体" w:hAnsi="宋体" w:eastAsia="宋体" w:cs="宋体"/>
        </w:rPr>
        <w:t>①</w:t>
      </w:r>
      <w:r>
        <w:rPr>
          <w:rFonts w:ascii="Arial Narrow" w:hAnsi="Arial Narrow" w:cs="Arial Narrow"/>
        </w:rPr>
        <w:t>《中华人民共和国预算法》；</w:t>
      </w:r>
    </w:p>
    <w:p>
      <w:pPr>
        <w:snapToGrid w:val="0"/>
        <w:ind w:firstLine="436" w:firstLineChars="182"/>
        <w:jc w:val="left"/>
        <w:rPr>
          <w:rFonts w:ascii="Arial Narrow" w:hAnsi="Arial Narrow" w:cs="Arial Narrow"/>
        </w:rPr>
      </w:pPr>
      <w:r>
        <w:rPr>
          <w:rFonts w:hint="eastAsia" w:ascii="宋体" w:hAnsi="宋体" w:eastAsia="宋体" w:cs="宋体"/>
        </w:rPr>
        <w:t>②</w:t>
      </w:r>
      <w:r>
        <w:rPr>
          <w:rFonts w:ascii="Arial Narrow" w:hAnsi="Arial Narrow" w:cs="Arial Narrow"/>
        </w:rPr>
        <w:t>财政部《财政支出绩效评价管理暂行办法》（财预[2011]285号）；</w:t>
      </w:r>
    </w:p>
    <w:p>
      <w:pPr>
        <w:snapToGrid w:val="0"/>
        <w:ind w:firstLine="436" w:firstLineChars="182"/>
        <w:jc w:val="left"/>
        <w:rPr>
          <w:rFonts w:ascii="Arial Narrow" w:hAnsi="Arial Narrow" w:cs="Arial Narrow"/>
        </w:rPr>
      </w:pPr>
      <w:r>
        <w:rPr>
          <w:rFonts w:hint="eastAsia" w:ascii="宋体" w:hAnsi="宋体" w:eastAsia="宋体" w:cs="宋体"/>
        </w:rPr>
        <w:t>③</w:t>
      </w:r>
      <w:r>
        <w:rPr>
          <w:rFonts w:ascii="Arial Narrow" w:hAnsi="Arial Narrow" w:cs="Arial Narrow"/>
        </w:rPr>
        <w:t>《武昌区财政支出绩效评价管理暂行办法》</w:t>
      </w:r>
    </w:p>
    <w:p>
      <w:pPr>
        <w:snapToGrid w:val="0"/>
        <w:ind w:firstLine="480"/>
        <w:jc w:val="left"/>
        <w:rPr>
          <w:rFonts w:ascii="Arial Narrow" w:hAnsi="Arial Narrow" w:cs="Arial Narrow"/>
        </w:rPr>
      </w:pPr>
      <w:r>
        <w:rPr>
          <w:rFonts w:ascii="Arial Narrow" w:hAnsi="Arial Narrow" w:cs="Arial Narrow"/>
        </w:rPr>
        <w:t>（3）项目财务资料依据</w:t>
      </w:r>
    </w:p>
    <w:p>
      <w:pPr>
        <w:snapToGrid w:val="0"/>
        <w:ind w:firstLine="436" w:firstLineChars="182"/>
        <w:jc w:val="left"/>
        <w:rPr>
          <w:rFonts w:ascii="Arial Narrow" w:hAnsi="Arial Narrow" w:cs="Arial Narrow"/>
        </w:rPr>
      </w:pPr>
      <w:r>
        <w:rPr>
          <w:rFonts w:hint="eastAsia" w:ascii="宋体" w:hAnsi="宋体" w:eastAsia="宋体" w:cs="宋体"/>
        </w:rPr>
        <w:t>①</w:t>
      </w:r>
      <w:r>
        <w:rPr>
          <w:rFonts w:ascii="Arial Narrow" w:hAnsi="Arial Narrow" w:cs="Arial Narrow"/>
        </w:rPr>
        <w:t>《区机关运行保障中心财务管理制度》</w:t>
      </w:r>
    </w:p>
    <w:p>
      <w:pPr>
        <w:snapToGrid w:val="0"/>
        <w:ind w:firstLine="436" w:firstLineChars="182"/>
        <w:jc w:val="left"/>
        <w:rPr>
          <w:rFonts w:ascii="Arial Narrow" w:hAnsi="Arial Narrow" w:cs="Arial Narrow"/>
        </w:rPr>
      </w:pPr>
      <w:r>
        <w:rPr>
          <w:rFonts w:hint="eastAsia" w:ascii="宋体" w:hAnsi="宋体" w:eastAsia="宋体" w:cs="宋体"/>
        </w:rPr>
        <w:t>②</w:t>
      </w:r>
      <w:r>
        <w:rPr>
          <w:rFonts w:ascii="Arial Narrow" w:hAnsi="Arial Narrow" w:cs="Arial Narrow"/>
        </w:rPr>
        <w:t>各项目单位往来结算票据及记账凭证；</w:t>
      </w:r>
    </w:p>
    <w:p>
      <w:pPr>
        <w:snapToGrid w:val="0"/>
        <w:ind w:firstLine="436" w:firstLineChars="182"/>
        <w:jc w:val="left"/>
        <w:rPr>
          <w:rFonts w:ascii="Arial Narrow" w:hAnsi="Arial Narrow" w:cs="Arial Narrow"/>
        </w:rPr>
      </w:pPr>
      <w:r>
        <w:rPr>
          <w:rFonts w:hint="eastAsia" w:ascii="宋体" w:hAnsi="宋体" w:eastAsia="宋体" w:cs="宋体"/>
        </w:rPr>
        <w:t>③</w:t>
      </w:r>
      <w:r>
        <w:rPr>
          <w:rFonts w:ascii="Arial Narrow" w:hAnsi="Arial Narrow" w:cs="Arial Narrow"/>
        </w:rPr>
        <w:t>会计核算管理制度、会计报表管理制度、会计档案管理制度、内部审计管理制度；</w:t>
      </w:r>
    </w:p>
    <w:p>
      <w:pPr>
        <w:snapToGrid w:val="0"/>
        <w:ind w:left="480" w:firstLine="0" w:firstLineChars="0"/>
        <w:jc w:val="left"/>
        <w:rPr>
          <w:rFonts w:ascii="Arial Narrow" w:hAnsi="Arial Narrow" w:cs="Arial Narrow"/>
        </w:rPr>
      </w:pPr>
      <w:r>
        <w:rPr>
          <w:rFonts w:ascii="Arial Narrow" w:hAnsi="Arial Narrow" w:cs="Arial Narrow"/>
        </w:rPr>
        <w:t>（4）基础数据、资料依据</w:t>
      </w:r>
    </w:p>
    <w:p>
      <w:pPr>
        <w:snapToGrid w:val="0"/>
        <w:ind w:firstLine="436" w:firstLineChars="182"/>
        <w:jc w:val="left"/>
        <w:rPr>
          <w:rFonts w:ascii="Arial Narrow" w:hAnsi="Arial Narrow" w:cs="Arial Narrow"/>
        </w:rPr>
      </w:pPr>
      <w:r>
        <w:rPr>
          <w:rFonts w:hint="eastAsia" w:ascii="宋体" w:hAnsi="宋体" w:eastAsia="宋体" w:cs="宋体"/>
        </w:rPr>
        <w:t>①</w:t>
      </w:r>
      <w:r>
        <w:rPr>
          <w:rFonts w:ascii="Arial Narrow" w:hAnsi="Arial Narrow" w:cs="Arial Narrow"/>
        </w:rPr>
        <w:t>区机关食堂记账凭证、明细账及财务报表</w:t>
      </w:r>
    </w:p>
    <w:p>
      <w:pPr>
        <w:snapToGrid w:val="0"/>
        <w:ind w:firstLine="436" w:firstLineChars="182"/>
        <w:jc w:val="left"/>
        <w:rPr>
          <w:rFonts w:ascii="Arial Narrow" w:hAnsi="Arial Narrow" w:cs="Arial Narrow"/>
        </w:rPr>
      </w:pPr>
      <w:r>
        <w:rPr>
          <w:rFonts w:hint="eastAsia" w:ascii="宋体" w:hAnsi="宋体" w:eastAsia="宋体" w:cs="宋体"/>
        </w:rPr>
        <w:t>②</w:t>
      </w:r>
      <w:r>
        <w:rPr>
          <w:rFonts w:ascii="Arial Narrow" w:hAnsi="Arial Narrow" w:cs="Arial Narrow"/>
        </w:rPr>
        <w:t>《中山路区政府机关食堂出勤记录表》</w:t>
      </w:r>
    </w:p>
    <w:p>
      <w:pPr>
        <w:snapToGrid w:val="0"/>
        <w:ind w:firstLine="436" w:firstLineChars="182"/>
        <w:jc w:val="left"/>
        <w:rPr>
          <w:rFonts w:ascii="Arial Narrow" w:hAnsi="Arial Narrow" w:cs="Arial Narrow"/>
        </w:rPr>
      </w:pPr>
      <w:r>
        <w:rPr>
          <w:rFonts w:hint="eastAsia" w:ascii="宋体" w:hAnsi="宋体" w:eastAsia="宋体" w:cs="宋体"/>
        </w:rPr>
        <w:t>③</w:t>
      </w:r>
      <w:r>
        <w:rPr>
          <w:rFonts w:ascii="Arial Narrow" w:hAnsi="Arial Narrow" w:cs="Arial Narrow"/>
        </w:rPr>
        <w:t>《武昌区审计局关于荆南街办公区食堂维修工程竣工结算审计结果的通知》（武昌审投通【2017】51号）</w:t>
      </w:r>
    </w:p>
    <w:p>
      <w:pPr>
        <w:snapToGrid w:val="0"/>
        <w:ind w:firstLine="436" w:firstLineChars="182"/>
        <w:jc w:val="left"/>
        <w:rPr>
          <w:rFonts w:ascii="Arial Narrow" w:hAnsi="Arial Narrow" w:cs="Arial Narrow"/>
        </w:rPr>
      </w:pPr>
      <w:r>
        <w:rPr>
          <w:rFonts w:hint="eastAsia" w:ascii="宋体" w:hAnsi="宋体" w:eastAsia="宋体" w:cs="宋体"/>
        </w:rPr>
        <w:t>④</w:t>
      </w:r>
      <w:r>
        <w:rPr>
          <w:rFonts w:ascii="Arial Narrow" w:hAnsi="Arial Narrow" w:cs="Arial Narrow"/>
        </w:rPr>
        <w:t>《厨房烟道防火清洗工程合同》</w:t>
      </w:r>
    </w:p>
    <w:p>
      <w:pPr>
        <w:snapToGrid w:val="0"/>
        <w:ind w:firstLine="436" w:firstLineChars="182"/>
        <w:jc w:val="left"/>
        <w:rPr>
          <w:rFonts w:ascii="Arial Narrow" w:hAnsi="Arial Narrow" w:cs="Arial Narrow"/>
        </w:rPr>
      </w:pPr>
      <w:r>
        <w:rPr>
          <w:rFonts w:hint="eastAsia" w:ascii="宋体" w:hAnsi="宋体" w:eastAsia="宋体" w:cs="宋体"/>
        </w:rPr>
        <w:t>⑤</w:t>
      </w:r>
      <w:r>
        <w:rPr>
          <w:rFonts w:ascii="Arial Narrow" w:hAnsi="Arial Narrow" w:cs="Arial Narrow"/>
        </w:rPr>
        <w:t>《病媒生物防治承保服务合同书》</w:t>
      </w:r>
    </w:p>
    <w:p>
      <w:pPr>
        <w:snapToGrid w:val="0"/>
        <w:ind w:firstLine="482"/>
        <w:jc w:val="left"/>
        <w:rPr>
          <w:rFonts w:ascii="Arial Narrow" w:hAnsi="Arial Narrow" w:cs="Arial Narrow"/>
          <w:b/>
          <w:bCs/>
        </w:rPr>
      </w:pPr>
      <w:r>
        <w:rPr>
          <w:rFonts w:ascii="Arial Narrow" w:hAnsi="Arial Narrow" w:cs="Arial Narrow"/>
          <w:b/>
        </w:rPr>
        <w:t>3、评价指标体系</w:t>
      </w:r>
    </w:p>
    <w:p>
      <w:pPr>
        <w:snapToGrid w:val="0"/>
        <w:ind w:firstLine="480"/>
        <w:rPr>
          <w:rFonts w:ascii="Arial Narrow" w:hAnsi="Arial Narrow" w:cs="Arial Narrow"/>
        </w:rPr>
      </w:pPr>
      <w:r>
        <w:rPr>
          <w:rFonts w:ascii="Arial Narrow" w:hAnsi="Arial Narrow" w:cs="Arial Narrow"/>
        </w:rPr>
        <w:t>绩效评价指标体系是开展绩效评价工作的核心。绩效评价工作小组在参考财政支出绩效评价指标框架的基础上，依据《武昌区财政支出绩效评价管理暂行办法》，结合</w:t>
      </w:r>
      <w:r>
        <w:rPr>
          <w:rFonts w:ascii="Arial Narrow" w:hAnsi="Arial Narrow" w:cs="Arial Narrow"/>
          <w:bCs/>
        </w:rPr>
        <w:t>食堂运行经费项目</w:t>
      </w:r>
      <w:r>
        <w:rPr>
          <w:rFonts w:ascii="Arial Narrow" w:hAnsi="Arial Narrow" w:cs="Arial Narrow"/>
        </w:rPr>
        <w:t>的特点，运用定量定性原则，确定了绩效评价一级指标、二级指标和三级指标。</w:t>
      </w: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r>
        <w:rPr>
          <w:rFonts w:ascii="Arial Narrow" w:hAnsi="Arial Narrow"/>
        </w:rPr>
        <w:drawing>
          <wp:inline distT="0" distB="0" distL="0" distR="0">
            <wp:extent cx="4619625" cy="31934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619048" cy="3193313"/>
                    </a:xfrm>
                    <a:prstGeom prst="rect">
                      <a:avLst/>
                    </a:prstGeom>
                  </pic:spPr>
                </pic:pic>
              </a:graphicData>
            </a:graphic>
          </wp:inline>
        </w:drawing>
      </w:r>
    </w:p>
    <w:p>
      <w:pPr>
        <w:snapToGrid w:val="0"/>
        <w:ind w:firstLine="0" w:firstLineChars="0"/>
        <w:rPr>
          <w:rFonts w:ascii="Arial Narrow" w:hAnsi="Arial Narrow" w:cs="Arial Narrow"/>
        </w:rPr>
      </w:pPr>
    </w:p>
    <w:p>
      <w:pPr>
        <w:snapToGrid w:val="0"/>
        <w:ind w:firstLine="480"/>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480"/>
        <w:rPr>
          <w:rFonts w:ascii="Arial Narrow" w:hAnsi="Arial Narrow" w:cs="Arial Narrow"/>
        </w:rPr>
      </w:pPr>
      <w:r>
        <w:rPr>
          <w:rFonts w:hint="eastAsia" w:ascii="Arial Narrow" w:hAnsi="Arial Narrow" w:cs="Arial Narrow"/>
        </w:rPr>
        <w:t xml:space="preserve"> “投入”权重16分，下设二级指标“项目立项”、“资金落实”，主要评价项目立项规范性、绩效目标合理性、资金到位率，到位及时率，下设4个三级指标具体评价；</w:t>
      </w:r>
    </w:p>
    <w:p>
      <w:pPr>
        <w:snapToGrid w:val="0"/>
        <w:ind w:firstLine="480"/>
        <w:rPr>
          <w:rFonts w:ascii="Arial Narrow" w:hAnsi="Arial Narrow" w:cs="Arial Narrow"/>
        </w:rPr>
      </w:pPr>
      <w:r>
        <w:rPr>
          <w:rFonts w:hint="eastAsia" w:ascii="Arial Narrow" w:hAnsi="Arial Narrow" w:cs="Arial Narrow"/>
        </w:rPr>
        <w:t>“过程”权重24分，下设二级指标“项目管理” 、“财务管理”，主要评价项管理制度健全性、制度执行有效性、项目质量可控性、财务制度健全性、资金使用合规性、财务监控有效性，下设6个三级指标具体评价；</w:t>
      </w:r>
    </w:p>
    <w:p>
      <w:pPr>
        <w:snapToGrid w:val="0"/>
        <w:ind w:firstLine="480"/>
        <w:rPr>
          <w:rFonts w:ascii="Arial Narrow" w:hAnsi="Arial Narrow" w:cs="Arial Narrow"/>
        </w:rPr>
      </w:pPr>
      <w:r>
        <w:rPr>
          <w:rFonts w:hint="eastAsia" w:ascii="Arial Narrow" w:hAnsi="Arial Narrow" w:cs="Arial Narrow"/>
        </w:rPr>
        <w:t>“产出”权重28分，下设二级指标“项目产出”，主要评价项目各项数量产出和质量产出的实现程度以及预算执行率，下设7个三级指标具体评价；</w:t>
      </w:r>
    </w:p>
    <w:p>
      <w:pPr>
        <w:snapToGrid w:val="0"/>
        <w:ind w:firstLine="480"/>
        <w:rPr>
          <w:rFonts w:ascii="Arial Narrow" w:hAnsi="Arial Narrow" w:cs="Arial Narrow"/>
        </w:rPr>
      </w:pPr>
      <w:r>
        <w:rPr>
          <w:rFonts w:hint="eastAsia" w:ascii="Arial Narrow" w:hAnsi="Arial Narrow" w:cs="Arial Narrow"/>
        </w:rPr>
        <w:t>“效果”权重32分，下设二级指标“项目效益”，主要评价项目实施后的社会效益、可持续影响、服务对象满意度，下设6个三级指标具体评价。</w:t>
      </w:r>
    </w:p>
    <w:p>
      <w:pPr>
        <w:snapToGrid w:val="0"/>
        <w:ind w:firstLine="480"/>
        <w:rPr>
          <w:rFonts w:ascii="Arial Narrow" w:hAnsi="Arial Narrow" w:cs="Arial Narrow"/>
        </w:rPr>
      </w:pPr>
      <w:r>
        <w:rPr>
          <w:rFonts w:hint="eastAsia" w:ascii="Arial Narrow" w:hAnsi="Arial Narrow" w:cs="Arial Narrow"/>
        </w:rPr>
        <w:t>具体指标的分布情况、权重、指标解释、指标说明如下表所示：</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rPr>
          <w:rFonts w:ascii="Arial Narrow" w:hAnsi="Arial Narrow" w:cs="Arial Narrow"/>
        </w:rPr>
      </w:pPr>
    </w:p>
    <w:tbl>
      <w:tblPr>
        <w:tblStyle w:val="15"/>
        <w:tblW w:w="8076"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826"/>
        <w:gridCol w:w="2268"/>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7" w:hRule="atLeast"/>
          <w:tblHeader/>
        </w:trPr>
        <w:tc>
          <w:tcPr>
            <w:tcW w:w="1630" w:type="dxa"/>
            <w:gridSpan w:val="2"/>
            <w:vAlign w:val="center"/>
          </w:tcPr>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指标名称（权重）</w:t>
            </w:r>
          </w:p>
        </w:tc>
        <w:tc>
          <w:tcPr>
            <w:tcW w:w="2268" w:type="dxa"/>
            <w:vAlign w:val="center"/>
          </w:tcPr>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指标解释</w:t>
            </w:r>
          </w:p>
        </w:tc>
        <w:tc>
          <w:tcPr>
            <w:tcW w:w="4178" w:type="dxa"/>
            <w:vAlign w:val="center"/>
          </w:tcPr>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1" w:hRule="atLeast"/>
        </w:trPr>
        <w:tc>
          <w:tcPr>
            <w:tcW w:w="804" w:type="dxa"/>
            <w:vMerge w:val="restart"/>
            <w:vAlign w:val="center"/>
          </w:tcPr>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项目</w:t>
            </w:r>
            <w:r>
              <w:rPr>
                <w:rFonts w:hint="eastAsia" w:ascii="Arial Narrow" w:hAnsi="Arial Narrow" w:cs="仿宋_GB2312"/>
                <w:kern w:val="0"/>
                <w:sz w:val="20"/>
                <w:szCs w:val="20"/>
              </w:rPr>
              <w:br w:type="textWrapping"/>
            </w:r>
            <w:r>
              <w:rPr>
                <w:rFonts w:hint="eastAsia" w:ascii="Arial Narrow" w:hAnsi="Arial Narrow" w:cs="仿宋_GB2312"/>
                <w:kern w:val="0"/>
                <w:sz w:val="20"/>
                <w:szCs w:val="20"/>
              </w:rPr>
              <w:t>立项</w:t>
            </w:r>
          </w:p>
        </w:tc>
        <w:tc>
          <w:tcPr>
            <w:tcW w:w="826"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项目立项规范性（4分）</w:t>
            </w:r>
          </w:p>
        </w:tc>
        <w:tc>
          <w:tcPr>
            <w:tcW w:w="2268"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项目的申请、设立过程是否符合相关要求，用以反映和考核项目立项的规范情况。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r>
              <w:rPr>
                <w:rFonts w:hint="eastAsia" w:ascii="Arial Narrow" w:hAnsi="Arial Narrow" w:cs="仿宋_GB2312"/>
                <w:kern w:val="0"/>
                <w:sz w:val="20"/>
                <w:szCs w:val="20"/>
              </w:rPr>
              <w:br w:type="textWrapping"/>
            </w:r>
            <w:r>
              <w:rPr>
                <w:rFonts w:hint="eastAsia" w:ascii="Arial Narrow" w:hAnsi="Arial Narrow" w:cs="仿宋_GB2312"/>
                <w:kern w:val="0"/>
                <w:sz w:val="20"/>
                <w:szCs w:val="20"/>
              </w:rPr>
              <w:t>①是否有规划；</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②项目是否按照规定的程序申请设立；</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③所提交的文件、材料是否符合相关要求；</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④项目立项事前是否已经过必要的集体决策等；</w:t>
            </w:r>
          </w:p>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⑤项目执行时是否发生重大调整。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5"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绩效目标合理性（4分）</w:t>
            </w:r>
          </w:p>
        </w:tc>
        <w:tc>
          <w:tcPr>
            <w:tcW w:w="2268"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项目所设定的绩效目标是否依据充分，是否符合客观实际，用以反映和考核项目绩效目标与项目实施的相符情况。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①是否设定长期目标、年度目标和绩效指标；</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②目标和指标的设计是否符合目标管理规范；</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③根据绩效目标和完成情况的对比考核目标设立的合理性；</w:t>
            </w:r>
          </w:p>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④绩效指标是否具有可测性。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1" w:hRule="atLeast"/>
        </w:trPr>
        <w:tc>
          <w:tcPr>
            <w:tcW w:w="804" w:type="dxa"/>
            <w:vMerge w:val="restart"/>
            <w:vAlign w:val="center"/>
          </w:tcPr>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资金</w:t>
            </w:r>
            <w:r>
              <w:rPr>
                <w:rFonts w:hint="eastAsia" w:ascii="Arial Narrow" w:hAnsi="Arial Narrow" w:cs="仿宋_GB2312"/>
                <w:kern w:val="0"/>
                <w:sz w:val="20"/>
                <w:szCs w:val="20"/>
              </w:rPr>
              <w:br w:type="textWrapping"/>
            </w:r>
            <w:r>
              <w:rPr>
                <w:rFonts w:hint="eastAsia" w:ascii="Arial Narrow" w:hAnsi="Arial Narrow" w:cs="仿宋_GB2312"/>
                <w:kern w:val="0"/>
                <w:sz w:val="20"/>
                <w:szCs w:val="20"/>
              </w:rPr>
              <w:t>落实</w:t>
            </w:r>
          </w:p>
        </w:tc>
        <w:tc>
          <w:tcPr>
            <w:tcW w:w="826"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资金到位率   （4分）</w:t>
            </w:r>
          </w:p>
        </w:tc>
        <w:tc>
          <w:tcPr>
            <w:tcW w:w="2268"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ascii="Arial Narrow" w:hAnsi="Arial Narrow" w:cs="仿宋_GB2312"/>
                <w:kern w:val="0"/>
                <w:sz w:val="20"/>
                <w:szCs w:val="20"/>
              </w:rPr>
              <w:t>实际到位资金与计划投入资金的比率，用以反映和考核资金落实情况对项目实施的总体保障程度。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资金到位率=（实际到位资金/计划投入资金）×100%。</w:t>
            </w:r>
            <w:r>
              <w:rPr>
                <w:rFonts w:ascii="Arial Narrow" w:hAnsi="Arial Narrow" w:cs="仿宋_GB2312"/>
                <w:kern w:val="0"/>
                <w:sz w:val="20"/>
                <w:szCs w:val="20"/>
              </w:rPr>
              <w:br w:type="textWrapping"/>
            </w:r>
            <w:r>
              <w:rPr>
                <w:rFonts w:ascii="Arial Narrow" w:hAnsi="Arial Narrow" w:cs="仿宋_GB2312"/>
                <w:kern w:val="0"/>
                <w:sz w:val="20"/>
                <w:szCs w:val="20"/>
              </w:rPr>
              <w:t>实际到位资金：一定时期（本年度或项目期）内实际落实到具体项目的资金。</w:t>
            </w:r>
            <w:r>
              <w:rPr>
                <w:rFonts w:ascii="Arial Narrow" w:hAnsi="Arial Narrow" w:cs="仿宋_GB2312"/>
                <w:kern w:val="0"/>
                <w:sz w:val="20"/>
                <w:szCs w:val="20"/>
              </w:rPr>
              <w:br w:type="textWrapping"/>
            </w:r>
            <w:r>
              <w:rPr>
                <w:rFonts w:ascii="Arial Narrow" w:hAnsi="Arial Narrow" w:cs="仿宋_GB2312"/>
                <w:kern w:val="0"/>
                <w:sz w:val="20"/>
                <w:szCs w:val="20"/>
              </w:rPr>
              <w:t>计划投入资金：一定时期（本年度或项目期）内计划投入到具体项目的资金。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3"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sz w:val="20"/>
                <w:szCs w:val="20"/>
              </w:rPr>
            </w:pPr>
            <w:r>
              <w:rPr>
                <w:rFonts w:hint="eastAsia" w:ascii="Arial Narrow" w:hAnsi="Arial Narrow" w:cs="仿宋_GB2312"/>
                <w:kern w:val="0"/>
                <w:sz w:val="20"/>
                <w:szCs w:val="20"/>
              </w:rPr>
              <w:t>到位及时率   （4分）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及时到位资金与应到位资金的比率，用以反映和考核项目资金落实的及时性程度。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到位及时率=（及时到位资金/应到位资金）×100%。</w:t>
            </w:r>
            <w:r>
              <w:rPr>
                <w:rFonts w:ascii="Arial Narrow" w:hAnsi="Arial Narrow" w:cs="仿宋_GB2312"/>
                <w:kern w:val="0"/>
                <w:sz w:val="20"/>
                <w:szCs w:val="20"/>
              </w:rPr>
              <w:br w:type="textWrapping"/>
            </w:r>
            <w:r>
              <w:rPr>
                <w:rFonts w:ascii="Arial Narrow" w:hAnsi="Arial Narrow" w:cs="仿宋_GB2312"/>
                <w:kern w:val="0"/>
                <w:sz w:val="20"/>
                <w:szCs w:val="20"/>
              </w:rPr>
              <w:t>及时到位资金：截至规定时点实际落实到具体项目的资金。</w:t>
            </w:r>
            <w:r>
              <w:rPr>
                <w:rFonts w:ascii="Arial Narrow" w:hAnsi="Arial Narrow" w:cs="仿宋_GB2312"/>
                <w:kern w:val="0"/>
                <w:sz w:val="20"/>
                <w:szCs w:val="20"/>
              </w:rPr>
              <w:br w:type="textWrapping"/>
            </w:r>
            <w:r>
              <w:rPr>
                <w:rFonts w:ascii="Arial Narrow" w:hAnsi="Arial Narrow" w:cs="仿宋_GB2312"/>
                <w:kern w:val="0"/>
                <w:sz w:val="20"/>
                <w:szCs w:val="20"/>
              </w:rPr>
              <w:t>应到位资金：按照合同或项目进度要求截至规定时点应落实到具体项目的资金。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9" w:hRule="atLeast"/>
        </w:trPr>
        <w:tc>
          <w:tcPr>
            <w:tcW w:w="804" w:type="dxa"/>
            <w:vMerge w:val="restart"/>
            <w:vAlign w:val="center"/>
          </w:tcPr>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项目</w:t>
            </w:r>
            <w:r>
              <w:rPr>
                <w:rFonts w:hint="eastAsia" w:ascii="Arial Narrow" w:hAnsi="Arial Narrow" w:cs="仿宋_GB2312"/>
                <w:kern w:val="0"/>
                <w:sz w:val="20"/>
                <w:szCs w:val="20"/>
              </w:rPr>
              <w:br w:type="textWrapping"/>
            </w:r>
            <w:r>
              <w:rPr>
                <w:rFonts w:hint="eastAsia" w:ascii="Arial Narrow" w:hAnsi="Arial Narrow" w:cs="仿宋_GB2312"/>
                <w:kern w:val="0"/>
                <w:sz w:val="20"/>
                <w:szCs w:val="20"/>
              </w:rPr>
              <w:t>管理</w:t>
            </w: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管理制度健全性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项目实施单位的业务管理制度是否健全，用以反映和考核业务管理制度对项目顺利实施的保障情况。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①是否制定或具有相应的业务管理制度，如物资采购管理制度、食堂考核管理制度、维修项目管理、合同管理等。</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制度执行有效性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项目实施是否符合相关业务管理规定，用以反映和考核业务管理制度的有效执行情况。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①是否遵守相关法律法规和项目管理规定；</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②是否严格执行项目管理程序及制定相应的项目管理制度，如物资采购管理制度、食堂考核管理制度、维修项目管理、合同管理等。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2"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项目质量可控性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项目实施单位是否为达到项目质量要求而采取了必需的措施,用以反映和考核项目实施单位对项目质量的控制情况。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①是否采取了相应的项目质量检查、岗位责任制、验收等必需的控制措施或手段；</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②项目档案资料是否齐全。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7" w:hRule="atLeast"/>
        </w:trPr>
        <w:tc>
          <w:tcPr>
            <w:tcW w:w="804" w:type="dxa"/>
            <w:vMerge w:val="restart"/>
            <w:vAlign w:val="center"/>
          </w:tcPr>
          <w:p>
            <w:pPr>
              <w:widowControl/>
              <w:spacing w:line="280" w:lineRule="exact"/>
              <w:ind w:firstLine="0" w:firstLineChars="0"/>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sz w:val="20"/>
                <w:szCs w:val="20"/>
              </w:rPr>
            </w:pPr>
            <w:r>
              <w:rPr>
                <w:rFonts w:hint="eastAsia" w:ascii="Arial Narrow" w:hAnsi="Arial Narrow" w:cs="仿宋_GB2312"/>
                <w:kern w:val="0"/>
                <w:sz w:val="20"/>
                <w:szCs w:val="20"/>
              </w:rPr>
              <w:t>财务</w:t>
            </w:r>
            <w:r>
              <w:rPr>
                <w:rFonts w:hint="eastAsia" w:ascii="Arial Narrow" w:hAnsi="Arial Narrow" w:cs="仿宋_GB2312"/>
                <w:kern w:val="0"/>
                <w:sz w:val="20"/>
                <w:szCs w:val="20"/>
              </w:rPr>
              <w:br w:type="textWrapping"/>
            </w:r>
            <w:r>
              <w:rPr>
                <w:rFonts w:hint="eastAsia" w:ascii="Arial Narrow" w:hAnsi="Arial Narrow" w:cs="仿宋_GB2312"/>
                <w:kern w:val="0"/>
                <w:sz w:val="20"/>
                <w:szCs w:val="20"/>
              </w:rPr>
              <w:t>管理</w:t>
            </w: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财务制度健全性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项目实施单位的财务制度是否健全，用以反映和考核财务管理制度对资金规范、安全运行的保障情况。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ascii="Arial Narrow" w:hAnsi="Arial Narrow" w:cs="仿宋_GB2312"/>
                <w:kern w:val="0"/>
                <w:sz w:val="20"/>
                <w:szCs w:val="20"/>
              </w:rPr>
              <w:t>①是否已制定或具有相应的项目资金管理办法；</w:t>
            </w:r>
            <w:r>
              <w:rPr>
                <w:rFonts w:ascii="Arial Narrow" w:hAnsi="Arial Narrow" w:cs="仿宋_GB2312"/>
                <w:kern w:val="0"/>
                <w:sz w:val="20"/>
                <w:szCs w:val="20"/>
              </w:rPr>
              <w:br w:type="textWrapping"/>
            </w:r>
            <w:r>
              <w:rPr>
                <w:rFonts w:ascii="Arial Narrow" w:hAnsi="Arial Narrow" w:cs="仿宋_GB2312"/>
                <w:kern w:val="0"/>
                <w:sz w:val="20"/>
                <w:szCs w:val="20"/>
              </w:rPr>
              <w:t>②项目资金管理办法是否符合相关财务会计制度的规定。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99"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资金使用合规性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项目资金使用是否符合相关的财务管理制度规定，用以反映和考核项目资金的规范运行情况。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①是否符合国家财经法规和财务管理制度以及有关专项资金管理办法的规定；</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②资金的拨付是否有完整的审批程序和手续；</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③项目的重大开支是否经过评估认证；</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④是否符合项目预算批复或合同规定的用途；</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8"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财务监控有效性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项目实施单位是否为保障资金的安全、规范运行而采取了必要的监控措施，用以反映和考核项目实施单位对资金运行的控制情况。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ascii="Arial Narrow" w:hAnsi="Arial Narrow" w:cs="仿宋_GB2312"/>
                <w:kern w:val="0"/>
                <w:sz w:val="20"/>
                <w:szCs w:val="20"/>
              </w:rPr>
              <w:t>①是否已制定或具有相应的监控机制；</w:t>
            </w:r>
            <w:r>
              <w:rPr>
                <w:rFonts w:ascii="Arial Narrow" w:hAnsi="Arial Narrow" w:cs="仿宋_GB2312"/>
                <w:kern w:val="0"/>
                <w:sz w:val="20"/>
                <w:szCs w:val="20"/>
              </w:rPr>
              <w:br w:type="textWrapping"/>
            </w:r>
            <w:r>
              <w:rPr>
                <w:rFonts w:ascii="Arial Narrow" w:hAnsi="Arial Narrow" w:cs="仿宋_GB2312"/>
                <w:kern w:val="0"/>
                <w:sz w:val="20"/>
                <w:szCs w:val="20"/>
              </w:rPr>
              <w:t>②是否采取了相应的财务检查等必要的监控措施或手段。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8" w:hRule="atLeast"/>
        </w:trPr>
        <w:tc>
          <w:tcPr>
            <w:tcW w:w="804"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ind w:firstLine="0" w:firstLineChars="0"/>
              <w:rPr>
                <w:rFonts w:ascii="Arial Narrow" w:hAnsi="Arial Narrow" w:cs="仿宋_GB2312"/>
                <w:sz w:val="20"/>
                <w:szCs w:val="20"/>
              </w:rPr>
            </w:pPr>
          </w:p>
          <w:p>
            <w:pPr>
              <w:ind w:firstLine="0" w:firstLineChars="0"/>
              <w:rPr>
                <w:rFonts w:ascii="Arial Narrow" w:hAnsi="Arial Narrow" w:cs="仿宋_GB2312"/>
                <w:sz w:val="20"/>
                <w:szCs w:val="20"/>
              </w:rPr>
            </w:pPr>
            <w:r>
              <w:rPr>
                <w:rFonts w:hint="eastAsia" w:ascii="Arial Narrow" w:hAnsi="Arial Narrow" w:cs="仿宋_GB2312"/>
                <w:kern w:val="0"/>
                <w:sz w:val="20"/>
                <w:szCs w:val="20"/>
              </w:rPr>
              <w:t>项目产出</w:t>
            </w:r>
          </w:p>
          <w:p>
            <w:pPr>
              <w:ind w:firstLine="400"/>
              <w:rPr>
                <w:rFonts w:ascii="Arial Narrow" w:hAnsi="Arial Narrow" w:cs="仿宋_GB2312"/>
                <w:sz w:val="20"/>
                <w:szCs w:val="20"/>
              </w:rPr>
            </w:pPr>
          </w:p>
          <w:p>
            <w:pPr>
              <w:ind w:firstLine="400"/>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食堂维修改造完成率（4分）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项目实施后，实际完成的食堂改造与零星维修工程量与计划完成的食堂改造与零星维修工程量的比率，用以反映和考核项目产出的数量目标的实现程度。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食堂维修改造完成率=实际完成的食堂改造与零星维修工程量与计划完成的食堂改造与零星维修工程量×100%。</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验收完成率：维修项目全部进行验收。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9"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人员配置实现率（4分）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项目实施单位是否按计划对食堂工作人员进行合理配置，保障食堂正常运行，用以反映和考核项目实施单位对厨师和服务人员的</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人员配置实现率=实际配置厨师计服务人员人数/计划配置人数×100%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1"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厨房设备利用率（4分）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实际投入使用的厨房用设备数量与采购的厨房设备数量的比率，用以反映和考核设备是否得到完全利用，不存在长时间闲置的情况。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厨房设备利用率=实际投入使用的厨房用设备数量与采购的厨房设备数量×100%。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7"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工作人员出勤率（4分）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食堂人员实际出勤人数与应出勤人数的比率，用以反映和考核食堂工作人员出勤情况。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出勤率=实际出勤人数/应出勤人数×100%。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4"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食堂考核频次 （4分）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项目实施单位是否定期对食堂工作进行考核，用以放映食堂考核力度。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pStyle w:val="21"/>
              <w:widowControl/>
              <w:numPr>
                <w:ilvl w:val="0"/>
                <w:numId w:val="3"/>
              </w:numPr>
              <w:spacing w:line="280" w:lineRule="exact"/>
              <w:ind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是否每月进行检查考核。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3"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卫生检疫力度 （4分）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项目单位是否定期进行清洁、防疫工作，用以反映和考核项目单位卫生检疫力度。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①是否划分生熟食材操作区，垃圾定点放置；</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②是否定期对排烟管道进行清理；</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③是否定期进行防疫处理；</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④是否对采购的食材索取卫生许可证、产品检疫证、并进行登记备案。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5"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资金使用率   （4分）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项目实际支出与项目到位资金的比率，用以反映和考核项目资金使用情况。</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资金使用率=项目实际支出/项目到位资金×100%。</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实际支出：项目实施单位为完成既定工作目标一定时期（本年度或项目期）内实际所耗费的支出。</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到位资金：一定时期（本年度或项目期）内实际落实到具体项目的资金。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4" w:hRule="atLeast"/>
        </w:trPr>
        <w:tc>
          <w:tcPr>
            <w:tcW w:w="804"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r>
              <w:rPr>
                <w:rFonts w:hint="eastAsia"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kern w:val="0"/>
                <w:sz w:val="20"/>
                <w:szCs w:val="20"/>
              </w:rPr>
            </w:pPr>
            <w:r>
              <w:rPr>
                <w:rFonts w:hint="eastAsia" w:ascii="Arial Narrow" w:hAnsi="Arial Narrow" w:cs="仿宋_GB2312"/>
                <w:kern w:val="0"/>
                <w:sz w:val="20"/>
                <w:szCs w:val="20"/>
              </w:rPr>
              <w:t>效益</w:t>
            </w: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月度毛利润率（5分）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每月毛利润与食堂收入的比率，用以反映和考核食堂对成本的控制程度。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月度毛利润率=（收入-成本）/收入×100%。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1"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菜品多样性   （5分）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项目实施单位是否定期更新菜谱，调解菜品，用以反映和考核菜品的多样性。</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①每周是否更新食谱，并对下周菜谱进行公示；</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②是否会根据季节调整品种和口味；</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③早餐、自助餐、自选餐是否按规定种类提供。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5"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就餐环境提升度（5分）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项目实施后，中山路机关单位和荆南街办公区两处食堂就餐环境是否有改善，用以反映和考核项目实施后的社会效益。</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通过调查问卷的方式获取，在职人员对就餐环境的满意程度。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7"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卫生检查达标率（5分）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项目实施单位是否存在上级卫生检查不合格的情况，用以反映和考核食堂卫生程度。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①是否存在食药检、卫生等相关食堂主管部门检查不合格情况。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8"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伙食质量保证度（5分）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在职人员对中山路机关单位和荆南街办公区两处食堂的食物品质、新鲜程度的满意程度。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textWrapping"/>
            </w:r>
            <w:r>
              <w:rPr>
                <w:rFonts w:hint="eastAsia" w:ascii="Arial Narrow" w:hAnsi="Arial Narrow" w:cs="仿宋_GB2312"/>
                <w:kern w:val="0"/>
                <w:sz w:val="20"/>
                <w:szCs w:val="20"/>
              </w:rPr>
              <w:t>通过调查问卷的方式获取，在职人员对食堂供应的食物品质、新鲜程度的满意程度。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9" w:hRule="atLeast"/>
        </w:trPr>
        <w:tc>
          <w:tcPr>
            <w:tcW w:w="804"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26"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服务对象满意度（7分）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在职人员对中山路机关单位和荆南街办公区两处食堂环境、菜品、服务的整体满意程度。</w:t>
            </w:r>
          </w:p>
        </w:tc>
        <w:tc>
          <w:tcPr>
            <w:tcW w:w="417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hint="eastAsia" w:ascii="Arial Narrow" w:hAnsi="Arial Narrow" w:cs="仿宋_GB2312"/>
                <w:kern w:val="0"/>
                <w:sz w:val="20"/>
                <w:szCs w:val="20"/>
              </w:rPr>
              <w:t>通过调查问卷的方式获取，在职人员对食堂环境、菜品、服务的整体满意程度。</w:t>
            </w:r>
          </w:p>
        </w:tc>
      </w:tr>
    </w:tbl>
    <w:p>
      <w:pPr>
        <w:snapToGrid w:val="0"/>
        <w:ind w:firstLine="480"/>
        <w:rPr>
          <w:rFonts w:ascii="Arial Narrow" w:hAnsi="Arial Narrow" w:cs="Arial Narrow"/>
        </w:rPr>
      </w:pPr>
    </w:p>
    <w:p>
      <w:pPr>
        <w:snapToGrid w:val="0"/>
        <w:ind w:firstLine="480"/>
        <w:rPr>
          <w:rFonts w:ascii="Arial Narrow" w:hAnsi="Arial Narrow" w:cs="Arial Narrow"/>
        </w:rPr>
      </w:pPr>
      <w:r>
        <w:rPr>
          <w:rFonts w:hint="eastAsia" w:ascii="Arial Narrow" w:hAnsi="Arial Narrow" w:cs="Arial Narrow"/>
        </w:rPr>
        <w:t>具体指标目标值、绩效标准、评分细则如下表所示：</w:t>
      </w:r>
    </w:p>
    <w:tbl>
      <w:tblPr>
        <w:tblStyle w:val="15"/>
        <w:tblW w:w="808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5"/>
        <w:gridCol w:w="851"/>
        <w:gridCol w:w="567"/>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6" w:hRule="atLeast"/>
          <w:tblHeader/>
        </w:trPr>
        <w:tc>
          <w:tcPr>
            <w:tcW w:w="1276" w:type="dxa"/>
            <w:gridSpan w:val="2"/>
            <w:vAlign w:val="center"/>
          </w:tcPr>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指标名称（权重）</w:t>
            </w:r>
          </w:p>
        </w:tc>
        <w:tc>
          <w:tcPr>
            <w:tcW w:w="567" w:type="dxa"/>
            <w:vAlign w:val="center"/>
          </w:tcPr>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参照值</w:t>
            </w:r>
          </w:p>
        </w:tc>
        <w:tc>
          <w:tcPr>
            <w:tcW w:w="5528" w:type="dxa"/>
            <w:vAlign w:val="center"/>
          </w:tcPr>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评分细则</w:t>
            </w:r>
          </w:p>
        </w:tc>
        <w:tc>
          <w:tcPr>
            <w:tcW w:w="709" w:type="dxa"/>
            <w:vAlign w:val="center"/>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6" w:hRule="atLeast"/>
        </w:trPr>
        <w:tc>
          <w:tcPr>
            <w:tcW w:w="425" w:type="dxa"/>
            <w:vMerge w:val="restart"/>
            <w:vAlign w:val="center"/>
          </w:tcPr>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项目</w:t>
            </w:r>
            <w:r>
              <w:rPr>
                <w:rFonts w:hint="eastAsia" w:ascii="Arial Narrow" w:hAnsi="Arial Narrow" w:cs="仿宋_GB2312"/>
                <w:kern w:val="0"/>
                <w:sz w:val="20"/>
                <w:szCs w:val="15"/>
              </w:rPr>
              <w:br w:type="textWrapping"/>
            </w:r>
            <w:r>
              <w:rPr>
                <w:rFonts w:hint="eastAsia" w:ascii="Arial Narrow" w:hAnsi="Arial Narrow" w:cs="仿宋_GB2312"/>
                <w:kern w:val="0"/>
                <w:sz w:val="20"/>
                <w:szCs w:val="15"/>
              </w:rPr>
              <w:t>立项</w:t>
            </w:r>
          </w:p>
        </w:tc>
        <w:tc>
          <w:tcPr>
            <w:tcW w:w="851" w:type="dxa"/>
            <w:vAlign w:val="center"/>
          </w:tcPr>
          <w:p>
            <w:pPr>
              <w:widowControl/>
              <w:spacing w:line="280" w:lineRule="exact"/>
              <w:ind w:firstLine="0" w:firstLineChars="0"/>
              <w:jc w:val="left"/>
              <w:textAlignment w:val="center"/>
              <w:rPr>
                <w:rFonts w:ascii="Arial Narrow" w:hAnsi="Arial Narrow" w:cs="仿宋_GB2312"/>
                <w:sz w:val="20"/>
                <w:szCs w:val="15"/>
              </w:rPr>
            </w:pPr>
            <w:r>
              <w:rPr>
                <w:rFonts w:hint="eastAsia" w:ascii="Arial Narrow" w:hAnsi="Arial Narrow" w:cs="仿宋_GB2312"/>
                <w:kern w:val="0"/>
                <w:sz w:val="20"/>
                <w:szCs w:val="15"/>
              </w:rPr>
              <w:t>项目立项规范性（4分）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项目按照规定的程序申请设立，计1分；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提交的文件、材料符合相关要求，计1分；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事前已经过必要的集体决策的，计1分；</w:t>
            </w:r>
          </w:p>
          <w:p>
            <w:pPr>
              <w:widowControl/>
              <w:spacing w:line="280" w:lineRule="exact"/>
              <w:ind w:firstLine="0" w:firstLineChars="0"/>
              <w:jc w:val="left"/>
              <w:textAlignment w:val="center"/>
              <w:rPr>
                <w:rFonts w:ascii="Arial Narrow" w:hAnsi="Arial Narrow" w:cs="仿宋_GB2312"/>
                <w:sz w:val="20"/>
                <w:szCs w:val="15"/>
              </w:rPr>
            </w:pPr>
            <w:r>
              <w:rPr>
                <w:rFonts w:hint="eastAsia" w:ascii="Arial Narrow" w:hAnsi="Arial Narrow" w:cs="仿宋_GB2312"/>
                <w:kern w:val="0"/>
                <w:sz w:val="20"/>
                <w:szCs w:val="15"/>
              </w:rPr>
              <w:t>项目执行时发生重大调整，有相应调整手续的，计1分。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7"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sz w:val="20"/>
                <w:szCs w:val="15"/>
              </w:rPr>
            </w:pPr>
            <w:r>
              <w:rPr>
                <w:rFonts w:hint="eastAsia" w:ascii="Arial Narrow" w:hAnsi="Arial Narrow" w:cs="仿宋_GB2312"/>
                <w:kern w:val="0"/>
                <w:sz w:val="20"/>
                <w:szCs w:val="15"/>
              </w:rPr>
              <w:t>绩效目标合理性（4分）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项目设定长期目标、年度目标和绩效指标，目标和指标的设计符合目标管理规范，计2分；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根据绩效目标和完成情况的对比考核目标设立的合理性，绩效指标具有可测性，计2分，否则扣1分。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2" w:hRule="atLeast"/>
        </w:trPr>
        <w:tc>
          <w:tcPr>
            <w:tcW w:w="425" w:type="dxa"/>
            <w:vMerge w:val="restart"/>
            <w:vAlign w:val="center"/>
          </w:tcPr>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资金</w:t>
            </w:r>
            <w:r>
              <w:rPr>
                <w:rFonts w:hint="eastAsia" w:ascii="Arial Narrow" w:hAnsi="Arial Narrow" w:cs="仿宋_GB2312"/>
                <w:kern w:val="0"/>
                <w:sz w:val="20"/>
                <w:szCs w:val="15"/>
              </w:rPr>
              <w:br w:type="textWrapping"/>
            </w:r>
            <w:r>
              <w:rPr>
                <w:rFonts w:hint="eastAsia" w:ascii="Arial Narrow" w:hAnsi="Arial Narrow" w:cs="仿宋_GB2312"/>
                <w:kern w:val="0"/>
                <w:sz w:val="20"/>
                <w:szCs w:val="15"/>
              </w:rPr>
              <w:t>落实</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资金到位率（4分）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ascii="Arial Narrow" w:hAnsi="Arial Narrow" w:cs="仿宋_GB2312"/>
                <w:kern w:val="0"/>
                <w:sz w:val="20"/>
                <w:szCs w:val="15"/>
              </w:rPr>
              <w:t>100%</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资金全部到位，计4分，资金到位率每降低5%，扣0.5分</w:t>
            </w:r>
          </w:p>
        </w:tc>
        <w:tc>
          <w:tcPr>
            <w:tcW w:w="709" w:type="dxa"/>
          </w:tcPr>
          <w:p>
            <w:pPr>
              <w:widowControl/>
              <w:spacing w:line="280" w:lineRule="exact"/>
              <w:ind w:firstLine="0" w:firstLineChars="0"/>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6"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sz w:val="20"/>
                <w:szCs w:val="15"/>
              </w:rPr>
            </w:pPr>
            <w:r>
              <w:rPr>
                <w:rFonts w:hint="eastAsia" w:ascii="Arial Narrow" w:hAnsi="Arial Narrow" w:cs="仿宋_GB2312"/>
                <w:kern w:val="0"/>
                <w:sz w:val="20"/>
                <w:szCs w:val="15"/>
              </w:rPr>
              <w:t>到位及时率 （4分）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≥100%</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资金的到位及时率达到100%，计4分，每降低10%，扣0.5分。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425" w:type="dxa"/>
            <w:vMerge w:val="restart"/>
            <w:vAlign w:val="center"/>
          </w:tcPr>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项目</w:t>
            </w:r>
            <w:r>
              <w:rPr>
                <w:rFonts w:hint="eastAsia" w:ascii="Arial Narrow" w:hAnsi="Arial Narrow" w:cs="仿宋_GB2312"/>
                <w:kern w:val="0"/>
                <w:sz w:val="20"/>
                <w:szCs w:val="15"/>
              </w:rPr>
              <w:br w:type="textWrapping"/>
            </w:r>
            <w:r>
              <w:rPr>
                <w:rFonts w:hint="eastAsia" w:ascii="Arial Narrow" w:hAnsi="Arial Narrow" w:cs="仿宋_GB2312"/>
                <w:kern w:val="0"/>
                <w:sz w:val="20"/>
                <w:szCs w:val="15"/>
              </w:rPr>
              <w:t>管理</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管理制度健全性（4分）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项目实施单位已制定或具有相应的业务管理制度，计2分；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项目管理制度合法、合规、完整，计2分。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6"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制度执行有效性（4分）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项目实施过程遵守上级单位制定的相关管理办法，计2分；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执行项目管理程序及制定相应的项目管理制度，如物资采购管理制度、食堂考核管理制度、维修项目管理、合同管理等，计2分，每少一种扣0.5分。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3"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项目质量可控性（4分）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采取了相应的项目质量检查、验收等必需的控制措施或手段，计2分；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项目档案资料齐全完整，计2分。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trPr>
        <w:tc>
          <w:tcPr>
            <w:tcW w:w="425"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sz w:val="20"/>
                <w:szCs w:val="15"/>
              </w:rPr>
            </w:pPr>
            <w:r>
              <w:rPr>
                <w:rFonts w:hint="eastAsia" w:ascii="Arial Narrow" w:hAnsi="Arial Narrow" w:cs="仿宋_GB2312"/>
                <w:kern w:val="0"/>
                <w:sz w:val="20"/>
                <w:szCs w:val="15"/>
              </w:rPr>
              <w:t>财务</w:t>
            </w:r>
            <w:r>
              <w:rPr>
                <w:rFonts w:hint="eastAsia" w:ascii="Arial Narrow" w:hAnsi="Arial Narrow" w:cs="仿宋_GB2312"/>
                <w:kern w:val="0"/>
                <w:sz w:val="20"/>
                <w:szCs w:val="15"/>
              </w:rPr>
              <w:br w:type="textWrapping"/>
            </w:r>
            <w:r>
              <w:rPr>
                <w:rFonts w:hint="eastAsia" w:ascii="Arial Narrow" w:hAnsi="Arial Narrow" w:cs="仿宋_GB2312"/>
                <w:kern w:val="0"/>
                <w:sz w:val="20"/>
                <w:szCs w:val="15"/>
              </w:rPr>
              <w:t>管理</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财务制度健全性（4分）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项目实施单位已制定或具有相应的项目资金管理办法计2分；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项目资金管理办法符合相关财务会计制度的规定计2分。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5"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资金使用合规性（4分）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项目支出符合国家财经法规和财务管理制度以及有关专项资金管理办法的规定，计1分；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资金的拨付具有完整的审批程序和手续，且符合项目预算批复或合同规定的用途，计1分；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项目的重大开支是否经过评估认证，计1分；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不存在截留、挤占、挪用、虚列支出等情况，计1分。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2"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财务监控有效性（4分）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制定或具有相应的监控机制，计2分；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采取了相应的财务检查等必要的监控措施或手段，计2分。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9" w:hRule="atLeast"/>
        </w:trPr>
        <w:tc>
          <w:tcPr>
            <w:tcW w:w="425"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ind w:firstLine="0" w:firstLineChars="0"/>
              <w:rPr>
                <w:rFonts w:ascii="Arial Narrow" w:hAnsi="Arial Narrow" w:cs="仿宋_GB2312"/>
                <w:sz w:val="20"/>
                <w:szCs w:val="15"/>
              </w:rPr>
            </w:pPr>
          </w:p>
          <w:p>
            <w:pPr>
              <w:ind w:firstLine="0" w:firstLineChars="0"/>
              <w:rPr>
                <w:rFonts w:ascii="Arial Narrow" w:hAnsi="Arial Narrow" w:cs="仿宋_GB2312"/>
                <w:sz w:val="20"/>
                <w:szCs w:val="15"/>
              </w:rPr>
            </w:pPr>
            <w:r>
              <w:rPr>
                <w:rFonts w:hint="eastAsia" w:ascii="Arial Narrow" w:hAnsi="Arial Narrow" w:cs="仿宋_GB2312"/>
                <w:kern w:val="0"/>
                <w:sz w:val="20"/>
                <w:szCs w:val="15"/>
              </w:rPr>
              <w:t>项目产出</w:t>
            </w:r>
          </w:p>
          <w:p>
            <w:pPr>
              <w:ind w:firstLine="400"/>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食堂维修改造完成率（4分）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≥100%</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食堂维修改造完成率达100%，计3分，每降低10%，扣0.5分。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验收情况，计1分，全部验收，计1分，否则，不计分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2"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人员配置实现率（4分）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≥100%</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人员配置实现率达100%，计4分，每降低10%，扣0.5分。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厨房设备利用率（4分）</w:t>
            </w:r>
          </w:p>
        </w:tc>
        <w:tc>
          <w:tcPr>
            <w:tcW w:w="567" w:type="dxa"/>
            <w:vAlign w:val="center"/>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90%</w:t>
            </w:r>
          </w:p>
          <w:p>
            <w:pPr>
              <w:ind w:firstLine="800" w:firstLineChars="400"/>
              <w:jc w:val="center"/>
              <w:rPr>
                <w:rFonts w:ascii="Arial Narrow" w:hAnsi="Arial Narrow" w:cs="仿宋_GB2312"/>
                <w:kern w:val="0"/>
                <w:sz w:val="20"/>
                <w:szCs w:val="15"/>
              </w:rPr>
            </w:pPr>
            <w:r>
              <w:rPr>
                <w:rFonts w:hint="eastAsia" w:ascii="Arial Narrow" w:hAnsi="Arial Narrow" w:cs="仿宋_GB2312"/>
                <w:kern w:val="0"/>
                <w:sz w:val="20"/>
                <w:szCs w:val="15"/>
              </w:rPr>
              <w:t>≥</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厨房设备利用率达100%以上，计5分，每降低10%，扣0.5分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4"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工作人员出勤率（4分）</w:t>
            </w:r>
          </w:p>
        </w:tc>
        <w:tc>
          <w:tcPr>
            <w:tcW w:w="567" w:type="dxa"/>
          </w:tcPr>
          <w:p>
            <w:pPr>
              <w:widowControl/>
              <w:spacing w:line="280" w:lineRule="exact"/>
              <w:ind w:firstLine="800" w:firstLineChars="400"/>
              <w:textAlignment w:val="center"/>
              <w:rPr>
                <w:rFonts w:ascii="Arial Narrow" w:hAnsi="Arial Narrow" w:cs="仿宋_GB2312"/>
                <w:kern w:val="0"/>
                <w:sz w:val="20"/>
                <w:szCs w:val="15"/>
              </w:rPr>
            </w:pPr>
            <w:r>
              <w:rPr>
                <w:rFonts w:hint="eastAsia" w:ascii="Arial Narrow" w:hAnsi="Arial Narrow" w:cs="仿宋_GB2312"/>
                <w:kern w:val="0"/>
                <w:sz w:val="20"/>
                <w:szCs w:val="15"/>
              </w:rPr>
              <w:t>≥90%</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两处食堂均不存在2人以上缺勤，计4分，每增加5次，扣1分。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1"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食堂考核频次（4分）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ascii="Arial Narrow" w:hAnsi="Arial Narrow" w:cs="仿宋_GB2312"/>
                <w:kern w:val="0"/>
                <w:sz w:val="20"/>
                <w:szCs w:val="15"/>
              </w:rPr>
              <w:t>12</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全年累计考核频次达到12次，计4分，6次以上计2分，3次以上计1分，否则扣2分。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8"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卫生检疫力度（4分）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划分生熟食材操作区，垃圾定点放置，计1分；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定期对排烟管道进行清理，计1分；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所有食堂工作人员是否通过医院体检，取得行业健康证，计1分；</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对采购的食材索取卫生许可证、产品检疫证、并进行登记备案，计1分；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资金使用率（4分）</w:t>
            </w:r>
          </w:p>
        </w:tc>
        <w:tc>
          <w:tcPr>
            <w:tcW w:w="567" w:type="dxa"/>
          </w:tcPr>
          <w:p>
            <w:pPr>
              <w:ind w:firstLine="0" w:firstLineChars="0"/>
              <w:rPr>
                <w:rFonts w:ascii="Arial Narrow" w:hAnsi="Arial Narrow" w:cs="仿宋_GB2312"/>
                <w:sz w:val="20"/>
                <w:szCs w:val="15"/>
              </w:rPr>
            </w:pPr>
            <w:r>
              <w:rPr>
                <w:rFonts w:hint="eastAsia" w:ascii="Arial Narrow" w:hAnsi="Arial Narrow" w:cs="仿宋_GB2312"/>
                <w:kern w:val="0"/>
                <w:sz w:val="20"/>
                <w:szCs w:val="15"/>
              </w:rPr>
              <w:t>≥95%</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资金使用率超过95%，计4分，每降低10%，扣0.5分。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6" w:hRule="atLeast"/>
        </w:trPr>
        <w:tc>
          <w:tcPr>
            <w:tcW w:w="425"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项目</w:t>
            </w:r>
          </w:p>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效益</w:t>
            </w: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kern w:val="0"/>
                <w:sz w:val="20"/>
                <w:szCs w:val="15"/>
              </w:rPr>
            </w:pPr>
          </w:p>
          <w:p>
            <w:pPr>
              <w:widowControl/>
              <w:spacing w:line="280" w:lineRule="exact"/>
              <w:ind w:firstLine="0" w:firstLineChars="0"/>
              <w:jc w:val="center"/>
              <w:textAlignment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月度毛利润率 （5分）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≤±5%</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月度毛利润率保持在±5%，计5分，每超出1%，扣1分。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2"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菜品多样性   （5分）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right="400"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"评价要点：</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①每周是否更新食谱，并对下周菜谱进行公示；</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②是否会根据季节调整品种和口味；</w:t>
            </w:r>
          </w:p>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③早餐、自助餐、自选餐是否按规定种类提供。"</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1"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就餐环境提升度（5分）</w:t>
            </w:r>
          </w:p>
        </w:tc>
        <w:tc>
          <w:tcPr>
            <w:tcW w:w="567" w:type="dxa"/>
          </w:tcPr>
          <w:p>
            <w:pPr>
              <w:ind w:firstLine="0" w:firstLineChars="0"/>
              <w:rPr>
                <w:rFonts w:ascii="Arial Narrow" w:hAnsi="Arial Narrow" w:cs="仿宋_GB2312"/>
                <w:kern w:val="0"/>
                <w:sz w:val="20"/>
                <w:szCs w:val="15"/>
              </w:rPr>
            </w:pPr>
            <w:r>
              <w:rPr>
                <w:rFonts w:hint="eastAsia" w:ascii="Arial Narrow" w:hAnsi="Arial Narrow" w:cs="仿宋_GB2312"/>
                <w:kern w:val="0"/>
                <w:sz w:val="20"/>
                <w:szCs w:val="15"/>
              </w:rPr>
              <w:t>≥85%</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就餐环境提升度达到85%以上，计5分，每降低10%，扣1分。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4"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卫生检查达标率（5分）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不存在卫生检查不合格的情况，计5分；3次以下，扣1分；5次以下扣2分，5次以上扣5分。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伙食质量保证度（5分）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≥85%</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伙食质量保证度达到85%以上，计5分，每降低10%，扣1分。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8" w:hRule="atLeast"/>
        </w:trPr>
        <w:tc>
          <w:tcPr>
            <w:tcW w:w="425" w:type="dxa"/>
            <w:vMerge w:val="continue"/>
            <w:vAlign w:val="center"/>
          </w:tcPr>
          <w:p>
            <w:pPr>
              <w:widowControl/>
              <w:spacing w:line="280" w:lineRule="exact"/>
              <w:ind w:firstLine="0" w:firstLineChars="0"/>
              <w:jc w:val="center"/>
              <w:rPr>
                <w:rFonts w:ascii="Arial Narrow" w:hAnsi="Arial Narrow" w:cs="仿宋_GB2312"/>
                <w:sz w:val="20"/>
                <w:szCs w:val="15"/>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服务对象满意度（7分）</w:t>
            </w:r>
          </w:p>
        </w:tc>
        <w:tc>
          <w:tcPr>
            <w:tcW w:w="567"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≥85%</w:t>
            </w:r>
          </w:p>
        </w:tc>
        <w:tc>
          <w:tcPr>
            <w:tcW w:w="5528" w:type="dxa"/>
          </w:tcPr>
          <w:p>
            <w:pPr>
              <w:widowControl/>
              <w:spacing w:line="280" w:lineRule="exact"/>
              <w:ind w:firstLine="0" w:firstLineChars="0"/>
              <w:jc w:val="left"/>
              <w:textAlignment w:val="center"/>
              <w:rPr>
                <w:rFonts w:ascii="Arial Narrow" w:hAnsi="Arial Narrow" w:cs="仿宋_GB2312"/>
                <w:kern w:val="0"/>
                <w:sz w:val="20"/>
                <w:szCs w:val="15"/>
              </w:rPr>
            </w:pPr>
            <w:r>
              <w:rPr>
                <w:rFonts w:hint="eastAsia" w:ascii="Arial Narrow" w:hAnsi="Arial Narrow" w:cs="仿宋_GB2312"/>
                <w:kern w:val="0"/>
                <w:sz w:val="20"/>
                <w:szCs w:val="15"/>
              </w:rPr>
              <w:t>在职人员满意度达到85%以上，计7分，每降低10%，扣1分。</w:t>
            </w:r>
          </w:p>
        </w:tc>
        <w:tc>
          <w:tcPr>
            <w:tcW w:w="709" w:type="dxa"/>
          </w:tcPr>
          <w:p>
            <w:pPr>
              <w:widowControl/>
              <w:spacing w:line="280" w:lineRule="exact"/>
              <w:ind w:firstLine="0" w:firstLineChars="0"/>
              <w:jc w:val="center"/>
              <w:textAlignment w:val="center"/>
              <w:rPr>
                <w:rFonts w:ascii="Arial Narrow" w:hAnsi="Arial Narrow" w:cs="仿宋_GB2312"/>
                <w:kern w:val="0"/>
                <w:sz w:val="20"/>
                <w:szCs w:val="15"/>
              </w:rPr>
            </w:pPr>
            <w:r>
              <w:rPr>
                <w:rFonts w:hint="eastAsia" w:ascii="Arial Narrow" w:hAnsi="Arial Narrow" w:cs="仿宋_GB2312"/>
                <w:kern w:val="0"/>
                <w:sz w:val="20"/>
                <w:szCs w:val="15"/>
              </w:rPr>
              <w:t>计划标准</w:t>
            </w:r>
          </w:p>
        </w:tc>
      </w:tr>
    </w:tbl>
    <w:p>
      <w:pPr>
        <w:snapToGrid w:val="0"/>
        <w:ind w:firstLine="480"/>
        <w:rPr>
          <w:rFonts w:ascii="Arial Narrow" w:hAnsi="Arial Narrow" w:cs="Arial Narrow"/>
        </w:rPr>
      </w:pPr>
    </w:p>
    <w:p>
      <w:pPr>
        <w:numPr>
          <w:ilvl w:val="0"/>
          <w:numId w:val="4"/>
        </w:numPr>
        <w:snapToGrid w:val="0"/>
        <w:ind w:firstLine="482"/>
        <w:rPr>
          <w:rFonts w:ascii="Arial Narrow" w:hAnsi="Arial Narrow" w:cs="Arial Narrow"/>
          <w:b/>
          <w:bCs/>
        </w:rPr>
      </w:pPr>
      <w:r>
        <w:rPr>
          <w:rFonts w:hint="eastAsia" w:ascii="Arial Narrow" w:hAnsi="Arial Narrow" w:cs="Arial Narrow"/>
          <w:b/>
          <w:bCs/>
        </w:rPr>
        <w:t>绩效评价指标体系补充说明</w:t>
      </w:r>
    </w:p>
    <w:p>
      <w:pPr>
        <w:snapToGrid w:val="0"/>
        <w:ind w:firstLine="480"/>
        <w:rPr>
          <w:rFonts w:ascii="Arial Narrow" w:hAnsi="Arial Narrow" w:cs="Arial Narrow"/>
        </w:rPr>
      </w:pPr>
      <w:r>
        <w:rPr>
          <w:rFonts w:hint="eastAsia" w:ascii="Arial Narrow" w:hAnsi="Arial Narrow" w:cs="Arial Narrow"/>
        </w:rPr>
        <w:t>武昌区运行保障中心食堂运行经费项目年初没有项目申报表，故以下评价指标均为新增，调整情况如下：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①新增“食堂维修改造完成率”、“人员配置实现率”、“厨房设备利用率”、“工作人员出勤率”、“食堂考核频次”、“卫生检疫力度”、“月度毛利润率 ”、“菜品多样性”、“就餐环境提升度”、“卫生检查达标率”、“伙食质量保证度”，调整原因：根据项目实际产出与社会效益，新增上述指标以反映项目数量、质量目标的实现程度以及项目的社会效益。</w:t>
      </w:r>
    </w:p>
    <w:p>
      <w:pPr>
        <w:snapToGrid w:val="0"/>
        <w:ind w:firstLine="480"/>
        <w:rPr>
          <w:rFonts w:ascii="Arial Narrow" w:hAnsi="Arial Narrow" w:cs="Arial Narrow"/>
        </w:rPr>
      </w:pPr>
      <w:r>
        <w:rPr>
          <w:rFonts w:hint="eastAsia" w:ascii="Arial Narrow" w:hAnsi="Arial Narrow" w:cs="Arial Narrow"/>
        </w:rPr>
        <w:t>②新增“服务对象满意度”，调整原因：根据项目实际产出与社会效益，新增上述指标反映项目的社会效益。</w:t>
      </w:r>
    </w:p>
    <w:p>
      <w:pPr>
        <w:numPr>
          <w:ilvl w:val="0"/>
          <w:numId w:val="5"/>
        </w:numPr>
        <w:snapToGrid w:val="0"/>
        <w:ind w:firstLine="482"/>
        <w:rPr>
          <w:rFonts w:ascii="Arial Narrow" w:hAnsi="Arial Narrow" w:cs="Arial Narrow"/>
          <w:b/>
          <w:bCs/>
        </w:rPr>
      </w:pPr>
      <w:r>
        <w:rPr>
          <w:rFonts w:ascii="Arial Narrow" w:hAnsi="Arial Narrow" w:cs="Arial Narrow"/>
          <w:b/>
          <w:bCs/>
        </w:rPr>
        <w:t>评价方法</w:t>
      </w:r>
    </w:p>
    <w:p>
      <w:pPr>
        <w:snapToGrid w:val="0"/>
        <w:ind w:firstLine="118" w:firstLineChars="49"/>
        <w:rPr>
          <w:rFonts w:ascii="Arial Narrow" w:hAnsi="Arial Narrow" w:cs="Arial Narrow"/>
          <w:b/>
          <w:bCs/>
        </w:rPr>
      </w:pPr>
      <w:r>
        <w:rPr>
          <w:rFonts w:ascii="Arial Narrow" w:hAnsi="Arial Narrow" w:cs="Arial Narrow"/>
          <w:b/>
          <w:bCs/>
        </w:rPr>
        <w:drawing>
          <wp:inline distT="0" distB="0" distL="0" distR="0">
            <wp:extent cx="3829050" cy="1619250"/>
            <wp:effectExtent l="0" t="0" r="19050" b="0"/>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pPr>
        <w:snapToGrid w:val="0"/>
        <w:ind w:firstLine="480"/>
        <w:rPr>
          <w:rFonts w:ascii="Arial Narrow" w:hAnsi="Arial Narrow" w:cs="Arial Narrow"/>
        </w:rPr>
      </w:pPr>
      <w:r>
        <w:rPr>
          <w:rFonts w:ascii="Arial Narrow" w:hAnsi="Arial Narrow" w:cs="Arial Narrow"/>
        </w:rPr>
        <w:t>（1）综合评分方法</w:t>
      </w:r>
    </w:p>
    <w:p>
      <w:pPr>
        <w:snapToGrid w:val="0"/>
        <w:ind w:firstLine="480"/>
        <w:rPr>
          <w:rFonts w:ascii="Arial Narrow" w:hAnsi="Arial Narrow" w:cs="Arial Narrow"/>
        </w:rPr>
      </w:pPr>
      <w:r>
        <w:rPr>
          <w:rFonts w:ascii="Arial Narrow" w:hAnsi="Arial Narrow" w:cs="Arial Narrow"/>
        </w:rPr>
        <w:t>评价采用加权平均法进行综合评分，通过对食堂运行经费项目绩效目标与实际实施效果的对比，综合分析其绩效目标实现程度，对各项指标要素评分，结合各项评分值与指标要素权重得出评价综合分值。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rPr>
      </w:pPr>
      <w:r>
        <w:rPr>
          <w:rFonts w:ascii="Arial Narrow" w:hAnsi="Arial Narrow" w:cs="Arial Narrow"/>
        </w:rPr>
        <w:t>（2）指标计算方法</w:t>
      </w:r>
    </w:p>
    <w:p>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cs="Arial Narrow"/>
        </w:rPr>
      </w:pPr>
      <w:r>
        <w:rPr>
          <w:rFonts w:ascii="Arial Narrow" w:hAnsi="Arial Narrow" w:cs="Arial Narrow"/>
        </w:rPr>
        <w:t>（3）权重确定方法</w:t>
      </w:r>
    </w:p>
    <w:p>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cs="Arial Narrow"/>
        </w:rPr>
      </w:pPr>
      <w:r>
        <w:rPr>
          <w:rFonts w:ascii="Arial Narrow" w:hAnsi="Arial Narrow" w:cs="Arial Narrow"/>
        </w:rPr>
        <w:t>（4）标准值的确定方法</w:t>
      </w:r>
    </w:p>
    <w:p>
      <w:pPr>
        <w:snapToGrid w:val="0"/>
        <w:ind w:firstLine="480"/>
        <w:rPr>
          <w:rFonts w:ascii="Arial Narrow" w:hAnsi="Arial Narrow" w:cs="Arial Narrow"/>
        </w:rPr>
      </w:pPr>
      <w:r>
        <w:rPr>
          <w:rFonts w:ascii="Arial Narrow" w:hAnsi="Arial Narrow" w:cs="Arial Narrow"/>
        </w:rPr>
        <w:t>本次评价采用了计划标准、历史标准或经验标准来确定标准值。以预先制定的目标、计划、预算、定额等数据作为评价标准，或者参照同类指标的历史数据或经验数据确定标准值。</w:t>
      </w:r>
    </w:p>
    <w:p>
      <w:pPr>
        <w:snapToGrid w:val="0"/>
        <w:ind w:firstLine="482"/>
        <w:outlineLvl w:val="1"/>
        <w:rPr>
          <w:rFonts w:ascii="Arial Narrow" w:hAnsi="Arial Narrow" w:cs="Arial Narrow"/>
          <w:b/>
          <w:bCs/>
        </w:rPr>
      </w:pPr>
      <w:bookmarkStart w:id="47" w:name="_Toc7457"/>
      <w:bookmarkStart w:id="48" w:name="_Toc30791"/>
      <w:r>
        <w:rPr>
          <w:rFonts w:ascii="Arial Narrow" w:hAnsi="Arial Narrow" w:cs="Arial Narrow"/>
          <w:b/>
          <w:bCs/>
        </w:rPr>
        <w:t>（四）证据收集方式</w:t>
      </w:r>
      <w:bookmarkEnd w:id="47"/>
      <w:bookmarkEnd w:id="48"/>
    </w:p>
    <w:p>
      <w:pPr>
        <w:snapToGrid w:val="0"/>
        <w:ind w:firstLine="480"/>
        <w:rPr>
          <w:rFonts w:ascii="Arial Narrow" w:hAnsi="Arial Narrow" w:cs="Arial Narrow"/>
        </w:rPr>
      </w:pPr>
      <w:r>
        <w:rPr>
          <w:rFonts w:ascii="Arial Narrow" w:hAnsi="Arial Narrow" w:cs="Arial Narrow"/>
        </w:rPr>
        <w:t>“食堂运行经费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p>
    <w:p>
      <w:pPr>
        <w:snapToGrid w:val="0"/>
        <w:ind w:firstLine="480"/>
        <w:rPr>
          <w:rFonts w:ascii="Arial Narrow" w:hAnsi="Arial Narrow" w:cs="Arial Narrow"/>
        </w:rPr>
      </w:pPr>
      <w:r>
        <w:rPr>
          <w:rFonts w:ascii="Arial Narrow" w:hAnsi="Arial Narrow" w:cs="Arial Narrow"/>
        </w:rPr>
        <w:t>（1）评价信息资料的收集途径。评价小组前往项目实施单位，负责人和财务人员收集相关资料文件，对其进行访谈，了解各项目的开展过程和效果，并向社区居民直接发放调查问卷采集信息。</w:t>
      </w:r>
    </w:p>
    <w:p>
      <w:pPr>
        <w:snapToGrid w:val="0"/>
        <w:ind w:firstLine="480"/>
        <w:rPr>
          <w:rFonts w:ascii="Arial Narrow" w:hAnsi="Arial Narrow" w:cs="Arial Narrow"/>
        </w:rPr>
      </w:pPr>
      <w:r>
        <w:rPr>
          <w:rFonts w:ascii="Arial Narrow" w:hAnsi="Arial Narrow" w:cs="Arial Narrow"/>
        </w:rPr>
        <w:t>（2）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pPr>
        <w:snapToGrid w:val="0"/>
        <w:ind w:firstLine="480"/>
        <w:rPr>
          <w:rFonts w:ascii="Arial Narrow" w:hAnsi="Arial Narrow" w:cs="Arial Narrow"/>
        </w:rPr>
      </w:pPr>
      <w:r>
        <w:rPr>
          <w:rFonts w:ascii="Arial Narrow" w:hAnsi="Arial Narrow" w:cs="Arial Narrow"/>
        </w:rPr>
        <w:t>（3）调查访谈、现场查勘方式与安排。2018年5月02-08日在现场收集资料并了解情况，并对项目负责人进行访谈；2018年5月04日对各机关单位职工进行问卷调查。</w:t>
      </w:r>
    </w:p>
    <w:p>
      <w:pPr>
        <w:snapToGrid w:val="0"/>
        <w:ind w:firstLine="480"/>
        <w:rPr>
          <w:rFonts w:ascii="Arial Narrow" w:hAnsi="Arial Narrow" w:cs="Arial Narrow"/>
          <w:b/>
        </w:rPr>
      </w:pPr>
      <w:r>
        <w:rPr>
          <w:rFonts w:ascii="Arial Narrow" w:hAnsi="Arial Narrow" w:cs="Arial Narrow"/>
        </w:rPr>
        <w:t>（4）调查问卷的制作与安排。调查问卷由绩效评价小组根据项目资料，结合绩效指标框架，针对项目实际情况，设计合理的调查问题，收集相关、有效的问卷信息，综合分析调查结果，便于对项目进行评价。评价小组在武昌区两处机关食堂向职工发放调查问卷。</w:t>
      </w:r>
      <w:bookmarkEnd w:id="45"/>
      <w:bookmarkEnd w:id="46"/>
      <w:bookmarkStart w:id="49" w:name="_Toc387957819"/>
      <w:bookmarkStart w:id="50" w:name="_Toc406666370"/>
      <w:bookmarkStart w:id="51" w:name="_Toc406668044"/>
      <w:bookmarkStart w:id="52" w:name="_Toc361304693"/>
    </w:p>
    <w:p>
      <w:pPr>
        <w:snapToGrid w:val="0"/>
        <w:ind w:firstLine="482"/>
        <w:outlineLvl w:val="0"/>
        <w:rPr>
          <w:rFonts w:ascii="Arial Narrow" w:hAnsi="Arial Narrow" w:cs="Arial Narrow"/>
          <w:b/>
        </w:rPr>
      </w:pPr>
      <w:bookmarkStart w:id="53" w:name="_Toc5346"/>
      <w:r>
        <w:rPr>
          <w:rFonts w:ascii="Arial Narrow" w:hAnsi="Arial Narrow" w:cs="Arial Narrow"/>
          <w:b/>
        </w:rPr>
        <w:t>三、绩效分析</w:t>
      </w:r>
      <w:bookmarkEnd w:id="49"/>
      <w:bookmarkEnd w:id="50"/>
      <w:bookmarkEnd w:id="51"/>
      <w:bookmarkEnd w:id="52"/>
      <w:bookmarkEnd w:id="53"/>
    </w:p>
    <w:p>
      <w:pPr>
        <w:pStyle w:val="2"/>
        <w:snapToGrid w:val="0"/>
        <w:ind w:firstLine="588" w:firstLineChars="245"/>
        <w:rPr>
          <w:rFonts w:ascii="Arial Narrow" w:hAnsi="Arial Narrow" w:cs="Arial Narrow"/>
          <w:szCs w:val="24"/>
        </w:rPr>
      </w:pPr>
      <w:bookmarkStart w:id="54" w:name="_Toc406668045"/>
      <w:bookmarkStart w:id="55" w:name="_Toc387957820"/>
      <w:bookmarkStart w:id="56" w:name="_Toc406666371"/>
      <w:bookmarkStart w:id="57" w:name="_Toc361302031"/>
      <w:bookmarkStart w:id="58" w:name="_Toc361304694"/>
      <w:bookmarkStart w:id="59" w:name="_Toc21106"/>
      <w:r>
        <w:rPr>
          <w:rFonts w:ascii="Arial Narrow" w:hAnsi="Arial Narrow" w:cs="Arial Narrow"/>
          <w:b w:val="0"/>
        </w:rPr>
        <w:t>（一）</w:t>
      </w:r>
      <w:bookmarkEnd w:id="54"/>
      <w:bookmarkEnd w:id="55"/>
      <w:bookmarkEnd w:id="56"/>
      <w:bookmarkEnd w:id="57"/>
      <w:bookmarkEnd w:id="58"/>
      <w:bookmarkStart w:id="60" w:name="_Toc406666373"/>
      <w:bookmarkStart w:id="61" w:name="_Toc361304697"/>
      <w:bookmarkStart w:id="62" w:name="_Toc361302034"/>
      <w:bookmarkStart w:id="63" w:name="_Toc387957822"/>
      <w:bookmarkStart w:id="64" w:name="_Toc406668047"/>
      <w:r>
        <w:rPr>
          <w:rFonts w:ascii="Arial Narrow" w:hAnsi="Arial Narrow" w:cs="Arial Narrow"/>
          <w:szCs w:val="24"/>
        </w:rPr>
        <w:t>项目</w:t>
      </w:r>
      <w:bookmarkStart w:id="65" w:name="_Toc394181010"/>
      <w:r>
        <w:rPr>
          <w:rFonts w:ascii="Arial Narrow" w:hAnsi="Arial Narrow" w:cs="Arial Narrow"/>
          <w:szCs w:val="24"/>
        </w:rPr>
        <w:t>投入</w:t>
      </w:r>
      <w:r>
        <w:rPr>
          <w:rFonts w:ascii="Arial Narrow" w:hAnsi="Arial Narrow" w:cs="Arial Narrow"/>
        </w:rPr>
        <w:t>（16分）</w:t>
      </w:r>
      <w:bookmarkEnd w:id="59"/>
      <w:bookmarkEnd w:id="65"/>
    </w:p>
    <w:p>
      <w:pPr>
        <w:snapToGrid w:val="0"/>
        <w:ind w:firstLine="480"/>
        <w:rPr>
          <w:rFonts w:ascii="Arial Narrow" w:hAnsi="Arial Narrow" w:cs="Arial Narrow"/>
        </w:rPr>
      </w:pPr>
      <w:bookmarkStart w:id="66" w:name="_Toc394490596"/>
      <w:bookmarkStart w:id="67" w:name="_Toc394181009"/>
      <w:r>
        <w:rPr>
          <w:rFonts w:ascii="Arial Narrow" w:hAnsi="Arial Narrow" w:cs="Arial Narrow"/>
        </w:rPr>
        <w:t>根据评价原则，项目投入评价得分为14.5分，评价结果为优。</w:t>
      </w:r>
      <w:bookmarkEnd w:id="66"/>
      <w:bookmarkEnd w:id="67"/>
      <w:bookmarkStart w:id="68" w:name="_Toc394490597"/>
    </w:p>
    <w:p>
      <w:pPr>
        <w:snapToGrid w:val="0"/>
        <w:ind w:firstLine="480"/>
        <w:jc w:val="left"/>
        <w:rPr>
          <w:rFonts w:ascii="Arial Narrow" w:hAnsi="Arial Narrow" w:cs="Arial Narrow"/>
        </w:rPr>
      </w:pPr>
      <w:r>
        <w:rPr>
          <w:rFonts w:ascii="Arial Narrow" w:hAnsi="Arial Narrow"/>
        </w:rPr>
        <w:drawing>
          <wp:inline distT="0" distB="0" distL="0" distR="0">
            <wp:extent cx="4542790" cy="25234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4542857" cy="2523810"/>
                    </a:xfrm>
                    <a:prstGeom prst="rect">
                      <a:avLst/>
                    </a:prstGeom>
                  </pic:spPr>
                </pic:pic>
              </a:graphicData>
            </a:graphic>
          </wp:inline>
        </w:drawing>
      </w:r>
    </w:p>
    <w:bookmarkEnd w:id="68"/>
    <w:p>
      <w:pPr>
        <w:snapToGrid w:val="0"/>
        <w:ind w:firstLine="480"/>
        <w:rPr>
          <w:rFonts w:ascii="Arial Narrow" w:hAnsi="Arial Narrow" w:cs="Arial Narrow"/>
        </w:rPr>
      </w:pPr>
      <w:r>
        <w:rPr>
          <w:rFonts w:ascii="Arial Narrow" w:hAnsi="Arial Narrow" w:cs="Arial Narrow"/>
        </w:rPr>
        <w:t>决策方面主要评价项目绩效目标的合理性、项目决策依据的合理性、项目资金分配的合理性情况。对于该项的评价，绩效评价工作小组主要采取了案卷研究、访谈、实地调研等方式进行资料收集、整理和分析，我们还查看了《武昌区机关运行保障中心2017年绩效目标》、《2017年运行保障中心工作要点》等资料，对项目投入涉及的指标进行打分，并逐级加权计算结果。</w:t>
      </w:r>
    </w:p>
    <w:p>
      <w:pPr>
        <w:snapToGrid w:val="0"/>
        <w:ind w:firstLine="320" w:firstLineChars="133"/>
        <w:rPr>
          <w:rFonts w:ascii="Arial Narrow" w:hAnsi="Arial Narrow" w:cs="Arial Narrow"/>
        </w:rPr>
      </w:pPr>
      <w:r>
        <w:rPr>
          <w:rFonts w:ascii="Arial Narrow" w:hAnsi="Arial Narrow" w:cs="Arial Narrow"/>
          <w:b/>
          <w:bCs/>
        </w:rPr>
        <w:t xml:space="preserve"> 1、项目立项（8分）</w:t>
      </w:r>
    </w:p>
    <w:p>
      <w:pPr>
        <w:snapToGrid w:val="0"/>
        <w:ind w:firstLine="480"/>
        <w:rPr>
          <w:rFonts w:ascii="Arial Narrow" w:hAnsi="Arial Narrow" w:cs="Arial Narrow"/>
        </w:rPr>
      </w:pPr>
      <w:r>
        <w:rPr>
          <w:rFonts w:ascii="Arial Narrow" w:hAnsi="Arial Narrow" w:cs="Arial Narrow"/>
        </w:rPr>
        <w:t>项目立项是指项目所设定的绩效目标是否符合相关规定要求，是否参考相关的依据，并且对项目的具体目标进行细化、量化。项目目标主要通过项目立项规范性与绩效目标合理性两个指标反映。该项指标评价得分为6.5分，评价结果为良。</w:t>
      </w:r>
    </w:p>
    <w:p>
      <w:pPr>
        <w:snapToGrid w:val="0"/>
        <w:ind w:firstLine="480"/>
        <w:rPr>
          <w:rFonts w:ascii="Arial Narrow" w:hAnsi="Arial Narrow" w:cs="Arial Narrow"/>
        </w:rPr>
      </w:pPr>
      <w:r>
        <w:rPr>
          <w:rFonts w:ascii="Arial Narrow" w:hAnsi="Arial Narrow" w:cs="Arial Narrow"/>
        </w:rPr>
        <w:t>（1）项目立项规范性（4分）指标是指项目的申请、设立过程是否符合相关要求，用以反映和考核项目立项的规范情况。武昌区机关运营保障中心年初向湖北省财政厅提交了预算申报文件，并于2016年12月26日收到批复，项目申请设立程序合规。但项目申报时未提交绩效目标或项目规划，申报资料不齐全，扣0.5分，最终得分3.5分。</w:t>
      </w:r>
    </w:p>
    <w:p>
      <w:pPr>
        <w:snapToGrid w:val="0"/>
        <w:ind w:firstLine="480"/>
        <w:rPr>
          <w:rFonts w:ascii="Arial Narrow" w:hAnsi="Arial Narrow" w:cs="Arial Narrow"/>
        </w:rPr>
      </w:pPr>
      <w:r>
        <w:rPr>
          <w:rFonts w:ascii="Arial Narrow" w:hAnsi="Arial Narrow" w:cs="Arial Narrow"/>
        </w:rPr>
        <w:t>（2）绩效目标合理性（4分）指标是指项目所设定的绩效目标依据是否充分，是否符合客观实，可以反映和考核项目绩效目标与项目实施的相符情况。依据本部门职能，项目提出了是否设定长期目标、年度目标和绩效指标、目标和指标的设计是否符合目标管理规范等的绩效目标，项目实施单位针对食堂外包单位制定了考核指标，且指标设立合理，具有可测性，但未针对“食堂运行经费项目”设立相应的绩效指标，扣1分，最终得分3分。</w:t>
      </w:r>
    </w:p>
    <w:p>
      <w:pPr>
        <w:snapToGrid w:val="0"/>
        <w:ind w:firstLine="318" w:firstLineChars="132"/>
        <w:rPr>
          <w:rFonts w:ascii="Arial Narrow" w:hAnsi="Arial Narrow" w:cs="Arial Narrow"/>
          <w:b/>
          <w:bCs/>
        </w:rPr>
      </w:pPr>
      <w:r>
        <w:rPr>
          <w:rFonts w:ascii="Arial Narrow" w:hAnsi="Arial Narrow" w:cs="Arial Narrow"/>
          <w:b/>
          <w:bCs/>
        </w:rPr>
        <w:t xml:space="preserve"> 2、资金落实（8分）</w:t>
      </w:r>
    </w:p>
    <w:p>
      <w:pPr>
        <w:snapToGrid w:val="0"/>
        <w:ind w:firstLine="480"/>
        <w:rPr>
          <w:rFonts w:ascii="Arial Narrow" w:hAnsi="Arial Narrow" w:cs="Arial Narrow"/>
        </w:rPr>
      </w:pPr>
      <w:r>
        <w:rPr>
          <w:rFonts w:ascii="Arial Narrow" w:hAnsi="Arial Narrow" w:cs="Arial Narrow"/>
        </w:rPr>
        <w:t>资金落实主要评价该项目资金实际到位和及时到位情况，观测资金实际落实情况。该指标主要通过资金到位率指标和到位及时率指标来反映的。该项指标评价得分为8分，评价结果为优。</w:t>
      </w:r>
    </w:p>
    <w:p>
      <w:pPr>
        <w:snapToGrid w:val="0"/>
        <w:ind w:firstLine="480"/>
        <w:rPr>
          <w:rFonts w:ascii="Arial Narrow" w:hAnsi="Arial Narrow" w:cs="Arial Narrow"/>
        </w:rPr>
      </w:pPr>
      <w:r>
        <w:rPr>
          <w:rFonts w:ascii="Arial Narrow" w:hAnsi="Arial Narrow" w:cs="Arial Narrow"/>
        </w:rPr>
        <w:t>（1）资金到位率（4分）指标是指实际到位资金与计划投入资金的比率，用以反映和考核资金落实情况对项目实施的总体保障程度。根据《武昌区财政局关于武昌区机关运行保障中心2017年部门预算的批复》，食堂运行经费272万元全部到位，证据充分，最终得分4分。</w:t>
      </w:r>
    </w:p>
    <w:p>
      <w:pPr>
        <w:snapToGrid w:val="0"/>
        <w:ind w:firstLine="480"/>
        <w:rPr>
          <w:rFonts w:ascii="Arial Narrow" w:hAnsi="Arial Narrow" w:cs="Arial Narrow"/>
        </w:rPr>
      </w:pPr>
      <w:r>
        <w:rPr>
          <w:rFonts w:ascii="Arial Narrow" w:hAnsi="Arial Narrow" w:cs="Arial Narrow"/>
        </w:rPr>
        <w:t>（2）到位及时率（4分）指标是指及时到位资金与应到位资金的比率，用以反映和考核项目资金落实的及时性程度。2016年12月26日武昌区财政局下发了《关于武昌区机关运行保障中心2017年部门预算的批复》，食堂运行经费272万元及时到位，证据充分，最终得分4分。</w:t>
      </w:r>
    </w:p>
    <w:bookmarkEnd w:id="60"/>
    <w:bookmarkEnd w:id="61"/>
    <w:bookmarkEnd w:id="62"/>
    <w:bookmarkEnd w:id="63"/>
    <w:bookmarkEnd w:id="64"/>
    <w:p>
      <w:pPr>
        <w:snapToGrid w:val="0"/>
        <w:ind w:firstLine="482"/>
        <w:outlineLvl w:val="2"/>
        <w:rPr>
          <w:rFonts w:ascii="Arial Narrow" w:hAnsi="Arial Narrow" w:cs="Arial Narrow"/>
          <w:b/>
          <w:bCs/>
        </w:rPr>
      </w:pPr>
      <w:bookmarkStart w:id="69" w:name="_Toc14839"/>
      <w:bookmarkStart w:id="70" w:name="_Toc406668048"/>
      <w:bookmarkStart w:id="71" w:name="_Toc387957823"/>
      <w:bookmarkStart w:id="72" w:name="_Toc361302036"/>
      <w:bookmarkStart w:id="73" w:name="_Toc361304699"/>
      <w:bookmarkStart w:id="74" w:name="_Toc406666374"/>
      <w:r>
        <w:rPr>
          <w:rFonts w:ascii="Arial Narrow" w:hAnsi="Arial Narrow" w:cs="Arial Narrow"/>
          <w:b/>
          <w:bCs/>
        </w:rPr>
        <w:t>（二）项目过程（24分）</w:t>
      </w:r>
      <w:bookmarkEnd w:id="69"/>
    </w:p>
    <w:p>
      <w:pPr>
        <w:snapToGrid w:val="0"/>
        <w:ind w:firstLine="480"/>
        <w:rPr>
          <w:rFonts w:ascii="Arial Narrow" w:hAnsi="Arial Narrow" w:cs="Arial Narrow"/>
        </w:rPr>
      </w:pPr>
      <w:bookmarkStart w:id="75" w:name="_Toc394490599"/>
      <w:bookmarkStart w:id="76" w:name="_Toc394181012"/>
      <w:r>
        <w:rPr>
          <w:rFonts w:ascii="Arial Narrow" w:hAnsi="Arial Narrow" w:cs="Arial Narrow"/>
        </w:rPr>
        <w:t>根据评价原则，管理评价得分为24分，评价结果为优。</w:t>
      </w:r>
      <w:bookmarkEnd w:id="75"/>
      <w:bookmarkEnd w:id="76"/>
    </w:p>
    <w:p>
      <w:pPr>
        <w:snapToGrid w:val="0"/>
        <w:ind w:firstLine="199" w:firstLineChars="83"/>
        <w:jc w:val="left"/>
        <w:rPr>
          <w:rFonts w:ascii="Arial Narrow" w:hAnsi="Arial Narrow" w:cs="Arial Narrow"/>
        </w:rPr>
      </w:pPr>
      <w:r>
        <w:rPr>
          <w:rFonts w:ascii="Arial Narrow" w:hAnsi="Arial Narrow"/>
        </w:rPr>
        <w:drawing>
          <wp:inline distT="0" distB="0" distL="0" distR="0">
            <wp:extent cx="5400675" cy="26574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5400675" cy="2657475"/>
                    </a:xfrm>
                    <a:prstGeom prst="rect">
                      <a:avLst/>
                    </a:prstGeom>
                  </pic:spPr>
                </pic:pic>
              </a:graphicData>
            </a:graphic>
          </wp:inline>
        </w:drawing>
      </w:r>
    </w:p>
    <w:p>
      <w:pPr>
        <w:snapToGrid w:val="0"/>
        <w:ind w:firstLine="480"/>
        <w:jc w:val="left"/>
        <w:rPr>
          <w:rFonts w:ascii="Arial Narrow" w:hAnsi="Arial Narrow" w:cs="Arial Narrow"/>
        </w:rPr>
      </w:pPr>
      <w:r>
        <w:rPr>
          <w:rFonts w:ascii="Arial Narrow" w:hAnsi="Arial Narrow" w:cs="Arial Narrow"/>
        </w:rPr>
        <w:t>管理方面主要评价项目管理有效情况和项目的财务管理。对于该项的评价，评价小组主要采取了案卷研究、访谈等方式进行资料收集、整理和分析，收集了项目实施单位的业务管理制度及财务管理制度，查看了财政专项资金的支付凭证，核查其账务处理是否符合规范、资金安全能否得到保障。同时评价小组通过查看了《武昌区财政局关于武昌区机关运行保障中心2017年部门预算的批复》（武昌财预【2016】295号）、《财务管理制度汇编》以及武汉市支付凭证等资料，对项目过程涉及的指标进行打分。</w:t>
      </w:r>
    </w:p>
    <w:p>
      <w:pPr>
        <w:snapToGrid w:val="0"/>
        <w:ind w:firstLine="439" w:firstLineChars="182"/>
        <w:rPr>
          <w:rFonts w:ascii="Arial Narrow" w:hAnsi="Arial Narrow" w:cs="Arial Narrow"/>
          <w:b/>
          <w:bCs/>
        </w:rPr>
      </w:pPr>
      <w:r>
        <w:rPr>
          <w:rFonts w:ascii="Arial Narrow" w:hAnsi="Arial Narrow" w:cs="Arial Narrow"/>
          <w:b/>
          <w:bCs/>
        </w:rPr>
        <w:t>1、有效管理（12分）</w:t>
      </w:r>
    </w:p>
    <w:p>
      <w:pPr>
        <w:snapToGrid w:val="0"/>
        <w:ind w:firstLine="480"/>
        <w:rPr>
          <w:rFonts w:ascii="Arial Narrow" w:hAnsi="Arial Narrow" w:cs="Arial Narrow"/>
        </w:rPr>
      </w:pPr>
      <w:r>
        <w:rPr>
          <w:rFonts w:ascii="Arial Narrow" w:hAnsi="Arial Narrow" w:cs="Arial Narrow"/>
        </w:rPr>
        <w:t>投入管理主要评价项目单位关于预算资金投入的有效管理以及具体执行效果，包括项目管理制度是否健全完善，以及后续执行效果检测以及质量控制。该指标主要由管理制度健全性、制度执行有效性、项目质量可控性等指标来反映。该项指标评价得分为12分，评价结果为优。</w:t>
      </w:r>
    </w:p>
    <w:p>
      <w:pPr>
        <w:snapToGrid w:val="0"/>
        <w:ind w:firstLine="480"/>
        <w:rPr>
          <w:rFonts w:ascii="Arial Narrow" w:hAnsi="Arial Narrow" w:cs="Arial Narrow"/>
        </w:rPr>
      </w:pPr>
      <w:r>
        <w:rPr>
          <w:rFonts w:ascii="Arial Narrow" w:hAnsi="Arial Narrow" w:cs="Arial Narrow"/>
        </w:rPr>
        <w:t>（1）管理制度健全性（4分）指标是指项目管理制度是否健全，用以反映和考核项目管理制度对项目顺利实施的保障情况。项目单位制定了较为完善的业务管理制度，如食堂物资采购与管理制度、食堂财务管理制度、食堂卫生及安全管理制度、机关食堂考核细则等，管理制度合规、完整，最终得分4分。</w:t>
      </w:r>
    </w:p>
    <w:p>
      <w:pPr>
        <w:snapToGrid w:val="0"/>
        <w:ind w:firstLine="480"/>
        <w:rPr>
          <w:rFonts w:ascii="Arial Narrow" w:hAnsi="Arial Narrow" w:cs="Arial Narrow"/>
        </w:rPr>
      </w:pPr>
      <w:r>
        <w:rPr>
          <w:rFonts w:ascii="Arial Narrow" w:hAnsi="Arial Narrow" w:cs="Arial Narrow"/>
        </w:rPr>
        <w:t>（2）制度执行有效性（4分）指标是指项目实施是否符合相关项目管理规定，用以反映和考核项目管理制度的有效执行情况。项目实施过程基本遵守相关的法律法规和项目管理规定。例如物资采购方面，项目单位申请后，根据要求，到主管部门报批采购项目配置，采购先后经经办人、分管财务领导、资产调配科审批；卫生及安全管理方面，定期进行管道清理与防疫处理等，制度执行有效，最终得分4分。</w:t>
      </w:r>
    </w:p>
    <w:p>
      <w:pPr>
        <w:snapToGrid w:val="0"/>
        <w:ind w:firstLine="480"/>
        <w:rPr>
          <w:rFonts w:ascii="Arial Narrow" w:hAnsi="Arial Narrow" w:cs="Arial Narrow"/>
        </w:rPr>
      </w:pPr>
      <w:r>
        <w:rPr>
          <w:rFonts w:ascii="Arial Narrow" w:hAnsi="Arial Narrow" w:cs="Arial Narrow"/>
        </w:rPr>
        <w:t>（3）项目质量可控性（4分）指标是指项目实施单位是否为达到项目质量要求而采取了必需的措施</w:t>
      </w:r>
      <w:r>
        <w:rPr>
          <w:rFonts w:hint="eastAsia" w:ascii="Arial Narrow" w:hAnsi="Arial Narrow" w:cs="Arial Narrow"/>
        </w:rPr>
        <w:t>，</w:t>
      </w:r>
      <w:r>
        <w:rPr>
          <w:rFonts w:ascii="Arial Narrow" w:hAnsi="Arial Narrow" w:cs="Arial Narrow"/>
        </w:rPr>
        <w:t>用以反映和考核项目实施单位对项目质量的控制情况。项目单位在合同中规定了相应的质量标准并制定了考核细则，具有相应的质量控制手段，项目实施过程中的各项档案资料保存完整，并及时归档，最终得分4分。</w:t>
      </w:r>
    </w:p>
    <w:p>
      <w:pPr>
        <w:snapToGrid w:val="0"/>
        <w:ind w:firstLine="482"/>
        <w:jc w:val="left"/>
        <w:rPr>
          <w:rFonts w:ascii="Arial Narrow" w:hAnsi="Arial Narrow" w:cs="Arial Narrow"/>
          <w:b/>
          <w:bCs/>
        </w:rPr>
      </w:pPr>
      <w:r>
        <w:rPr>
          <w:rFonts w:ascii="Arial Narrow" w:hAnsi="Arial Narrow" w:cs="Arial Narrow"/>
          <w:b/>
          <w:bCs/>
        </w:rPr>
        <w:t>2、财务管理（12分）</w:t>
      </w:r>
    </w:p>
    <w:p>
      <w:pPr>
        <w:snapToGrid w:val="0"/>
        <w:ind w:firstLine="480"/>
        <w:rPr>
          <w:rFonts w:ascii="Arial Narrow" w:hAnsi="Arial Narrow" w:cs="Arial Narrow"/>
        </w:rPr>
      </w:pPr>
      <w:r>
        <w:rPr>
          <w:rFonts w:ascii="Arial Narrow" w:hAnsi="Arial Narrow" w:cs="Arial Narrow"/>
        </w:rPr>
        <w:t>财务管理指标主要评价项目实施单位的财务制度情况，资金使用情况以及财务监控措施的实施情况。该指标主要由财务制度健全性、资金使用合规性、财务监控有效性等指标反映。该项指标评价得分为12分，评价结果为优。</w:t>
      </w:r>
    </w:p>
    <w:p>
      <w:pPr>
        <w:snapToGrid w:val="0"/>
        <w:ind w:firstLine="480"/>
        <w:rPr>
          <w:rFonts w:ascii="Arial Narrow" w:hAnsi="Arial Narrow" w:cs="Arial Narrow"/>
        </w:rPr>
      </w:pPr>
      <w:r>
        <w:rPr>
          <w:rFonts w:ascii="Arial Narrow" w:hAnsi="Arial Narrow" w:cs="Arial Narrow"/>
        </w:rPr>
        <w:t>（1）财务制度健全性（4分）指标是指项目实施单位的财务制度是否健全，用以反映和考核财务管理制度对资金规范、安全运行的保障情况，包括是否已制定或具有相应的项目资金管理办法、项目资金管理办法是否符合相关财务会计制度的规定。评价小组通过查看文件并抽查凭证，项目单位制订了《区机关食堂财务管理制度》，会计核算健全，保障资金规范、安全运行，最终得分4分。</w:t>
      </w:r>
    </w:p>
    <w:p>
      <w:pPr>
        <w:snapToGrid w:val="0"/>
        <w:ind w:firstLine="480"/>
        <w:rPr>
          <w:rFonts w:ascii="Arial Narrow" w:hAnsi="Arial Narrow" w:cs="Arial Narrow"/>
        </w:rPr>
      </w:pPr>
      <w:r>
        <w:rPr>
          <w:rFonts w:ascii="Arial Narrow" w:hAnsi="Arial Narrow" w:cs="Arial Narrow"/>
        </w:rPr>
        <w:t>（2）资金使用合规性（4分）指标是指项目资金使用是否符合相关的财务管理制度规定，用以反映和考核项目资金的规范运行情况。项目单位的项目支出符合国家财经法规和财务管理制度以及有关专项资金管理办法的规定，资金的拨付具有完整的审批程序和手续，且符合项目预算批复或合同规定的用途，项目的重大开支经过评估认证，不存在截留、挤占、挪用、虚列支出等情况，证据完整、有效，最终得分4分。</w:t>
      </w:r>
    </w:p>
    <w:p>
      <w:pPr>
        <w:snapToGrid w:val="0"/>
        <w:ind w:firstLine="480"/>
        <w:rPr>
          <w:rFonts w:ascii="Arial Narrow" w:hAnsi="Arial Narrow" w:cs="Arial Narrow"/>
        </w:rPr>
      </w:pPr>
      <w:r>
        <w:rPr>
          <w:rFonts w:ascii="Arial Narrow" w:hAnsi="Arial Narrow" w:cs="Arial Narrow"/>
        </w:rPr>
        <w:t>（3）财务监控有效性（4分）指标是指项目实施单位是否为保障资金的安全、规范运行而采取了必要的监控措施，用以反映和考核项目实施单位对资金运行的控制情况。项目单位制定了相应的监控机制，采取了相应的财务检查等必要的监控措施，包括重要支出事前均经过申请审批，审批程序和手续完整，且重大开支均由相关部门开会通过，财务监控有效，例如荆南街办公区食堂维修工程、采购空调等预算金额在3万元以上且无协议供应商自行采购的项目，经主任办公会集体研究通过，最终得分4分。</w:t>
      </w:r>
    </w:p>
    <w:bookmarkEnd w:id="70"/>
    <w:bookmarkEnd w:id="71"/>
    <w:bookmarkEnd w:id="72"/>
    <w:bookmarkEnd w:id="73"/>
    <w:bookmarkEnd w:id="74"/>
    <w:p>
      <w:pPr>
        <w:pStyle w:val="2"/>
        <w:snapToGrid w:val="0"/>
        <w:ind w:firstLine="590" w:firstLineChars="245"/>
        <w:rPr>
          <w:rFonts w:ascii="Arial Narrow" w:hAnsi="Arial Narrow" w:cs="Arial Narrow"/>
        </w:rPr>
      </w:pPr>
      <w:bookmarkStart w:id="77" w:name="_Toc14011"/>
      <w:bookmarkStart w:id="78" w:name="_Toc406668049"/>
      <w:bookmarkStart w:id="79" w:name="_Toc406666375"/>
      <w:bookmarkStart w:id="80" w:name="_Toc387957824"/>
      <w:r>
        <w:rPr>
          <w:rFonts w:ascii="Arial Narrow" w:hAnsi="Arial Narrow" w:cs="Arial Narrow"/>
          <w:szCs w:val="24"/>
        </w:rPr>
        <w:t>（三）项目产出</w:t>
      </w:r>
      <w:r>
        <w:rPr>
          <w:rFonts w:ascii="Arial Narrow" w:hAnsi="Arial Narrow" w:cs="Arial Narrow"/>
        </w:rPr>
        <w:t>（28分）</w:t>
      </w:r>
      <w:bookmarkEnd w:id="77"/>
    </w:p>
    <w:p>
      <w:pPr>
        <w:snapToGrid w:val="0"/>
        <w:ind w:firstLine="480"/>
        <w:rPr>
          <w:rFonts w:ascii="Arial Narrow" w:hAnsi="Arial Narrow" w:cs="Arial Narrow"/>
        </w:rPr>
      </w:pPr>
      <w:bookmarkStart w:id="81" w:name="_Toc394181015"/>
      <w:bookmarkStart w:id="82" w:name="_Toc394490602"/>
      <w:r>
        <w:rPr>
          <w:rFonts w:ascii="Arial Narrow" w:hAnsi="Arial Narrow" w:cs="Arial Narrow"/>
        </w:rPr>
        <w:t>根据评价原则，绩效评价得分为24.5分，评价结果为良。</w:t>
      </w:r>
      <w:bookmarkEnd w:id="81"/>
      <w:bookmarkEnd w:id="82"/>
    </w:p>
    <w:p>
      <w:pPr>
        <w:snapToGrid w:val="0"/>
        <w:ind w:firstLine="0" w:firstLineChars="0"/>
        <w:rPr>
          <w:rFonts w:ascii="Arial Narrow" w:hAnsi="Arial Narrow"/>
        </w:rPr>
      </w:pPr>
      <w:r>
        <w:rPr>
          <w:rFonts w:ascii="Arial Narrow" w:hAnsi="Arial Narrow"/>
        </w:rPr>
        <w:drawing>
          <wp:inline distT="0" distB="0" distL="0" distR="0">
            <wp:extent cx="5387340" cy="2428875"/>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
                    <a:stretch>
                      <a:fillRect/>
                    </a:stretch>
                  </pic:blipFill>
                  <pic:spPr>
                    <a:xfrm>
                      <a:off x="0" y="0"/>
                      <a:ext cx="5400675" cy="2434794"/>
                    </a:xfrm>
                    <a:prstGeom prst="rect">
                      <a:avLst/>
                    </a:prstGeom>
                  </pic:spPr>
                </pic:pic>
              </a:graphicData>
            </a:graphic>
          </wp:inline>
        </w:drawing>
      </w:r>
    </w:p>
    <w:p>
      <w:pPr>
        <w:snapToGrid w:val="0"/>
        <w:ind w:firstLine="480"/>
        <w:rPr>
          <w:rFonts w:ascii="Arial Narrow" w:hAnsi="Arial Narrow"/>
        </w:rPr>
      </w:pPr>
    </w:p>
    <w:p>
      <w:pPr>
        <w:snapToGrid w:val="0"/>
        <w:ind w:firstLine="482"/>
        <w:rPr>
          <w:rFonts w:ascii="Arial Narrow" w:hAnsi="Arial Narrow" w:cs="Arial Narrow"/>
          <w:b/>
          <w:bCs/>
        </w:rPr>
      </w:pPr>
      <w:bookmarkStart w:id="83" w:name="_Toc394490603"/>
      <w:bookmarkStart w:id="84" w:name="_Toc394181016"/>
      <w:r>
        <w:rPr>
          <w:rFonts w:ascii="Arial Narrow" w:hAnsi="Arial Narrow" w:cs="Arial Narrow"/>
          <w:b/>
          <w:bCs/>
        </w:rPr>
        <w:t>项目产出（28分）</w:t>
      </w:r>
    </w:p>
    <w:p>
      <w:pPr>
        <w:snapToGrid w:val="0"/>
        <w:ind w:firstLine="480"/>
        <w:rPr>
          <w:rFonts w:ascii="Arial Narrow" w:hAnsi="Arial Narrow" w:cs="Arial Narrow"/>
        </w:rPr>
      </w:pPr>
      <w:r>
        <w:rPr>
          <w:rFonts w:ascii="Arial Narrow" w:hAnsi="Arial Narrow" w:cs="Arial Narrow"/>
        </w:rPr>
        <w:t>项目产出方面，绩效评价得分为24.5分，评价结果为良。产出方面主要评价项目实施内容的完成情况，包括完成数量、质量以及时效。对于该项的评价，绩效评价工作小组主要采取了案卷研究、询问、访谈、观察、实地调研等方式进行资料收集、整理和分析，对项目产出涉及的指标进行打分，并逐级加权计算结果。</w:t>
      </w:r>
      <w:bookmarkEnd w:id="83"/>
      <w:bookmarkEnd w:id="84"/>
    </w:p>
    <w:p>
      <w:pPr>
        <w:snapToGrid w:val="0"/>
        <w:ind w:firstLine="480"/>
        <w:rPr>
          <w:rFonts w:ascii="Arial Narrow" w:hAnsi="Arial Narrow" w:cs="Arial Narrow"/>
        </w:rPr>
      </w:pPr>
      <w:r>
        <w:rPr>
          <w:rFonts w:ascii="Arial Narrow" w:hAnsi="Arial Narrow" w:cs="Arial Narrow"/>
        </w:rPr>
        <w:t>（1）食堂维修改造完成率（4分）指标是指项目实施后，实际完成的食堂改造与零星维修工程量与计划完成的食堂改造与零星维修工程量的比率，用以反映和考核项目产出的数量目标的实现程度。根据记账凭证及访谈记录，项目单位食堂维修本年计划共计4次，实际发生共计4次，计划完成率为100%，包括中山路机关食堂零星维修，荆南街办公区食堂维修工程等，但上述维修项目未验收，扣1分，最终得分3分。</w:t>
      </w:r>
    </w:p>
    <w:p>
      <w:pPr>
        <w:snapToGrid w:val="0"/>
        <w:ind w:firstLine="480"/>
        <w:rPr>
          <w:rFonts w:ascii="Arial Narrow" w:hAnsi="Arial Narrow" w:cs="Arial Narrow"/>
        </w:rPr>
      </w:pPr>
      <w:r>
        <w:rPr>
          <w:rFonts w:ascii="Arial Narrow" w:hAnsi="Arial Narrow" w:cs="Arial Narrow"/>
        </w:rPr>
        <w:t>（2）人员配置实现率（4分）指标是指项目实施单位是否按计划对食堂工作人员进行合理配置，保障食堂正常运行，用以反映和考核项目实施单位对厨师和服务人员的。根据《武昌区机关食堂劳务服务委托合同》规定，机关食堂配置厨师团队和服务人员共39人（中山路21人，胭脂路18人），实际工作中抽查了中山路机关食堂，通过访谈及书面资料核对，中山路实际人员配置为21人，人员数量与岗位配置与计划相符，人员配置实现率100%，最终得分4分。</w:t>
      </w:r>
    </w:p>
    <w:p>
      <w:pPr>
        <w:snapToGrid w:val="0"/>
        <w:ind w:firstLine="480"/>
        <w:rPr>
          <w:rFonts w:ascii="Arial Narrow" w:hAnsi="Arial Narrow" w:cs="Arial Narrow"/>
        </w:rPr>
      </w:pPr>
      <w:r>
        <w:rPr>
          <w:rFonts w:ascii="Arial Narrow" w:hAnsi="Arial Narrow" w:cs="Arial Narrow"/>
        </w:rPr>
        <w:t>（3）厨房设备利用率（4分）指标是指实际投入使用的厨房用设备数量与采购的厨房设备数量的比率，用以反映和考核设备是否得到完全利用，不存在长时间闲置的情况。评价小组</w:t>
      </w:r>
      <w:r>
        <w:rPr>
          <w:rFonts w:ascii="Arial Narrow" w:hAnsi="Arial Narrow"/>
        </w:rPr>
        <w:t>对中山路食堂资产配置情况进行了抽查</w:t>
      </w:r>
      <w:r>
        <w:rPr>
          <w:rFonts w:ascii="Arial Narrow" w:hAnsi="Arial Narrow" w:cs="Arial Narrow"/>
        </w:rPr>
        <w:t>，本年新增资产10台均投入正常使用，但打印机未见正常使用，扣0.5分，最终得分3.5分。</w:t>
      </w:r>
    </w:p>
    <w:p>
      <w:pPr>
        <w:snapToGrid w:val="0"/>
        <w:ind w:firstLine="480"/>
        <w:rPr>
          <w:rFonts w:ascii="Arial Narrow" w:hAnsi="Arial Narrow" w:cs="Arial Narrow"/>
        </w:rPr>
      </w:pPr>
      <w:r>
        <w:rPr>
          <w:rFonts w:ascii="Arial Narrow" w:hAnsi="Arial Narrow" w:cs="Arial Narrow"/>
        </w:rPr>
        <w:t>（4）工作人员出勤率（4分）指标是指食堂人员实际出勤人数与应出勤人数的比率，用以反映和考核食堂工作人员出勤情况。根据出勤记录及现场访谈，人员出勤制度完善，基本不存在人员无故缺勤情况，2人以上缺勤的紧急状况会及时调配人员顶替，最终得分4分。</w:t>
      </w:r>
    </w:p>
    <w:p>
      <w:pPr>
        <w:snapToGrid w:val="0"/>
        <w:ind w:firstLine="436" w:firstLineChars="182"/>
        <w:rPr>
          <w:rFonts w:ascii="Arial Narrow" w:hAnsi="Arial Narrow" w:cs="Arial Narrow"/>
        </w:rPr>
      </w:pPr>
      <w:r>
        <w:rPr>
          <w:rFonts w:ascii="Arial Narrow" w:hAnsi="Arial Narrow" w:cs="Arial Narrow"/>
        </w:rPr>
        <w:t>（5）食堂考核频次（4分）指标是指项目实施单位是否定期对食堂工作进行考核，用以放映食堂考核力度。根据现场访谈</w:t>
      </w:r>
      <w:bookmarkEnd w:id="78"/>
      <w:bookmarkEnd w:id="79"/>
      <w:bookmarkEnd w:id="80"/>
      <w:bookmarkStart w:id="85" w:name="_Toc394181022"/>
      <w:bookmarkStart w:id="86" w:name="_Toc406666377"/>
      <w:bookmarkStart w:id="87" w:name="_Toc361302038"/>
      <w:bookmarkStart w:id="88" w:name="_Toc406668051"/>
      <w:bookmarkStart w:id="89" w:name="_Toc361304701"/>
      <w:bookmarkStart w:id="90" w:name="_Toc387957826"/>
      <w:r>
        <w:rPr>
          <w:rFonts w:ascii="Arial Narrow" w:hAnsi="Arial Narrow" w:cs="Arial Narrow"/>
        </w:rPr>
        <w:t>，项目单位食堂每月会进行考核自查，同时项目单位定期抽查，但没有相应的考核记录，扣2分，最终得分2分。</w:t>
      </w:r>
    </w:p>
    <w:p>
      <w:pPr>
        <w:snapToGrid w:val="0"/>
        <w:ind w:firstLine="480" w:firstLineChars="0"/>
        <w:rPr>
          <w:rFonts w:ascii="Arial Narrow" w:hAnsi="Arial Narrow" w:cs="Arial Narrow"/>
        </w:rPr>
      </w:pPr>
      <w:r>
        <w:rPr>
          <w:rFonts w:ascii="Arial Narrow" w:hAnsi="Arial Narrow" w:cs="Arial Narrow"/>
        </w:rPr>
        <w:t>（6）卫生检疫力度（4分）指标是指项目单位是否定期进行清洁、防疫工作，用以反映和考核项目单位卫生检疫力度。根据访谈及现场查看，卫生检查达标程度较高，项目单位根据规定划分生熟食操作台、垃圾定点分类放置，以确保食材安全；定期清理排烟管道，严格把控操作室卫生状况；定期进行除四害等防疫处理；食堂人员取得行业健康证；卫生许可证等有完善的登记备案，最终得分4分。</w:t>
      </w:r>
    </w:p>
    <w:p>
      <w:pPr>
        <w:snapToGrid w:val="0"/>
        <w:ind w:firstLine="480" w:firstLineChars="0"/>
        <w:rPr>
          <w:rFonts w:ascii="Arial Narrow" w:hAnsi="Arial Narrow" w:cs="Arial Narrow"/>
        </w:rPr>
      </w:pPr>
      <w:r>
        <w:rPr>
          <w:rFonts w:ascii="Arial Narrow" w:hAnsi="Arial Narrow" w:cs="Arial Narrow"/>
        </w:rPr>
        <w:t>（7）资金使用率（4分）指标是指项目实际支出与项目到位资金的比率，用以反映和考核项目资金使用情况。截止到2017年12月31日，根据明细表及相关合同凭证，该年度预算资金272万元，资金实际使用260万元，资金使用率达95.59%，达到目标值，最终得分4分。</w:t>
      </w:r>
    </w:p>
    <w:p>
      <w:pPr>
        <w:pStyle w:val="2"/>
        <w:snapToGrid w:val="0"/>
        <w:ind w:firstLine="590" w:firstLineChars="245"/>
        <w:rPr>
          <w:rFonts w:ascii="Arial Narrow" w:hAnsi="Arial Narrow" w:cs="Arial Narrow"/>
        </w:rPr>
      </w:pPr>
      <w:bookmarkStart w:id="91" w:name="_Toc10918"/>
      <w:r>
        <w:rPr>
          <w:rFonts w:ascii="Arial Narrow" w:hAnsi="Arial Narrow" w:cs="Arial Narrow"/>
          <w:szCs w:val="24"/>
        </w:rPr>
        <w:t>（四）项目效益</w:t>
      </w:r>
      <w:r>
        <w:rPr>
          <w:rFonts w:ascii="Arial Narrow" w:hAnsi="Arial Narrow" w:cs="Arial Narrow"/>
        </w:rPr>
        <w:t>（32分）</w:t>
      </w:r>
      <w:bookmarkEnd w:id="91"/>
    </w:p>
    <w:p>
      <w:pPr>
        <w:snapToGrid w:val="0"/>
        <w:ind w:firstLine="480"/>
        <w:rPr>
          <w:rFonts w:ascii="Arial Narrow" w:hAnsi="Arial Narrow" w:cs="Arial Narrow"/>
        </w:rPr>
      </w:pPr>
      <w:r>
        <w:rPr>
          <w:rFonts w:ascii="Arial Narrow" w:hAnsi="Arial Narrow" w:cs="Arial Narrow"/>
        </w:rPr>
        <w:t>根据评价原则，绩效评价得分为26分，评价结果为良。</w:t>
      </w:r>
    </w:p>
    <w:p>
      <w:pPr>
        <w:snapToGrid w:val="0"/>
        <w:ind w:firstLine="0" w:firstLineChars="0"/>
        <w:rPr>
          <w:rFonts w:ascii="Arial Narrow" w:hAnsi="Arial Narrow" w:cs="Arial Narrow"/>
        </w:rPr>
      </w:pPr>
      <w:r>
        <w:rPr>
          <w:rFonts w:ascii="Arial Narrow" w:hAnsi="Arial Narrow"/>
        </w:rPr>
        <w:drawing>
          <wp:inline distT="0" distB="0" distL="0" distR="0">
            <wp:extent cx="5400675" cy="270700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5400675" cy="2707005"/>
                    </a:xfrm>
                    <a:prstGeom prst="rect">
                      <a:avLst/>
                    </a:prstGeom>
                  </pic:spPr>
                </pic:pic>
              </a:graphicData>
            </a:graphic>
          </wp:inline>
        </w:drawing>
      </w:r>
    </w:p>
    <w:p>
      <w:pPr>
        <w:snapToGrid w:val="0"/>
        <w:ind w:firstLine="482"/>
        <w:rPr>
          <w:rFonts w:ascii="Arial Narrow" w:hAnsi="Arial Narrow" w:cs="Arial Narrow"/>
          <w:b/>
          <w:bCs/>
        </w:rPr>
      </w:pPr>
      <w:r>
        <w:rPr>
          <w:rFonts w:ascii="Arial Narrow" w:hAnsi="Arial Narrow" w:cs="Arial Narrow"/>
          <w:b/>
          <w:bCs/>
        </w:rPr>
        <w:t>项目效益（32分）</w:t>
      </w:r>
    </w:p>
    <w:p>
      <w:pPr>
        <w:snapToGrid w:val="0"/>
        <w:ind w:firstLine="480"/>
        <w:rPr>
          <w:rFonts w:ascii="Arial Narrow" w:hAnsi="Arial Narrow" w:cs="Arial Narrow"/>
        </w:rPr>
      </w:pPr>
      <w:r>
        <w:rPr>
          <w:rFonts w:ascii="Arial Narrow" w:hAnsi="Arial Narrow" w:cs="Arial Narrow"/>
        </w:rPr>
        <w:t>项目效益方面，绩效评价得分为26分，评价结果为中。效果方面主要评价项目实施所产生的经济效益，以及对社会的需求和发展所带来的直接或间接影响，反映项目后续运行及成效发挥的可持续影响情况。</w:t>
      </w:r>
      <w:bookmarkEnd w:id="85"/>
      <w:r>
        <w:rPr>
          <w:rFonts w:ascii="Arial Narrow" w:hAnsi="Arial Narrow" w:cs="Arial Narrow"/>
        </w:rPr>
        <w:t>对于该项的评价，绩效评价工作小组主要采取了案卷研究、询问、访谈、观察等方式进行资料收集、整理和分析，查看了项目实施单位的绩效报告，发放调查问卷，采集相关信息，对项目效果涉及的指标进行打分，并逐级加权计算结果。</w:t>
      </w:r>
    </w:p>
    <w:p>
      <w:pPr>
        <w:snapToGrid w:val="0"/>
        <w:ind w:firstLine="240" w:firstLineChars="100"/>
        <w:rPr>
          <w:rFonts w:ascii="Arial Narrow" w:hAnsi="Arial Narrow" w:cs="Arial Narrow"/>
        </w:rPr>
      </w:pPr>
      <w:r>
        <w:rPr>
          <w:rFonts w:ascii="Arial Narrow" w:hAnsi="Arial Narrow" w:cs="Arial Narrow"/>
        </w:rPr>
        <w:t>（1）月度毛利润率（5分）指标是指每月毛利润与食堂收入的比率，用以反映和考核食堂对成本的控制程度。每月毛利率浮动较小，年度毛利率为4.73%，符合目标值，最终得分4分。</w:t>
      </w:r>
    </w:p>
    <w:p>
      <w:pPr>
        <w:snapToGrid w:val="0"/>
        <w:ind w:firstLineChars="0"/>
        <w:rPr>
          <w:rFonts w:ascii="Arial Narrow" w:hAnsi="Arial Narrow" w:cs="Arial Narrow"/>
        </w:rPr>
      </w:pPr>
      <w:r>
        <w:rPr>
          <w:rFonts w:ascii="Arial Narrow" w:hAnsi="Arial Narrow" w:cs="Arial Narrow"/>
        </w:rPr>
        <w:t>（2）菜品多样性（5分）指标是指项目实施单位是否定期更新菜谱，调解菜品，用以反映和考核菜品的多样性。根据访问及现场查看，菜品丰富多样并根据时令调整，操作间食材新鲜并随季节更新，每周更新食谱并于午餐时进行公示。但根据就餐员工反馈，2人认为早午餐种类不够丰富，1人认为菜价比较不合理，扣0.5分，最终得分4.5分。</w:t>
      </w:r>
    </w:p>
    <w:p>
      <w:pPr>
        <w:snapToGrid w:val="0"/>
        <w:ind w:firstLine="480" w:firstLineChars="0"/>
        <w:rPr>
          <w:rFonts w:ascii="Arial Narrow" w:hAnsi="Arial Narrow" w:cs="Arial Narrow"/>
        </w:rPr>
      </w:pPr>
      <w:r>
        <w:rPr>
          <w:rFonts w:ascii="Arial Narrow" w:hAnsi="Arial Narrow" w:cs="Arial Narrow"/>
        </w:rPr>
        <w:t>（3）就餐环境提升度（5分）指标是指项目实施后，中山路机关单位和荆南街办公区两处食堂就餐环境是否有改善，用以反映和考核项目实施后的社会效益。评价小组根据项目实施范围在中山路及荆南街食堂发放调查问卷，受访的20个职工中，共有20份有效问卷，其中</w:t>
      </w:r>
      <w:r>
        <w:rPr>
          <w:rFonts w:ascii="Arial Narrow" w:hAnsi="Arial Narrow" w:cs="仿宋_GB2312"/>
        </w:rPr>
        <w:t>有4人表示</w:t>
      </w:r>
      <w:r>
        <w:rPr>
          <w:rFonts w:ascii="Arial Narrow" w:hAnsi="Arial Narrow"/>
        </w:rPr>
        <w:t>食堂就餐环境改善情况明显</w:t>
      </w:r>
      <w:r>
        <w:rPr>
          <w:rFonts w:ascii="Arial Narrow" w:hAnsi="Arial Narrow" w:cs="仿宋_GB2312"/>
        </w:rPr>
        <w:t>，有13人表示</w:t>
      </w:r>
      <w:r>
        <w:rPr>
          <w:rFonts w:ascii="Arial Narrow" w:hAnsi="Arial Narrow"/>
        </w:rPr>
        <w:t>比较明显</w:t>
      </w:r>
      <w:r>
        <w:rPr>
          <w:rFonts w:ascii="Arial Narrow" w:hAnsi="Arial Narrow" w:cs="仿宋_GB2312"/>
        </w:rPr>
        <w:t>，有3人表示</w:t>
      </w:r>
      <w:r>
        <w:rPr>
          <w:rFonts w:ascii="Arial Narrow" w:hAnsi="Arial Narrow"/>
        </w:rPr>
        <w:t>不太明显</w:t>
      </w:r>
      <w:r>
        <w:rPr>
          <w:rFonts w:ascii="Arial Narrow" w:hAnsi="Arial Narrow" w:cs="仿宋_GB2312"/>
        </w:rPr>
        <w:t>，</w:t>
      </w:r>
      <w:r>
        <w:rPr>
          <w:rFonts w:ascii="Arial Narrow" w:hAnsi="Arial Narrow" w:cs="Arial Narrow"/>
        </w:rPr>
        <w:t>满意度为88.33%，食堂环境提升较为明显，符合标准，最终得分5分</w:t>
      </w:r>
      <w:r>
        <w:rPr>
          <w:rFonts w:ascii="Arial Narrow" w:hAnsi="Arial Narrow" w:cs="仿宋_GB2312"/>
        </w:rPr>
        <w:t>。</w:t>
      </w:r>
    </w:p>
    <w:p>
      <w:pPr>
        <w:snapToGrid w:val="0"/>
        <w:ind w:firstLine="480" w:firstLineChars="0"/>
        <w:rPr>
          <w:rFonts w:ascii="Arial Narrow" w:hAnsi="Arial Narrow" w:cs="Arial Narrow"/>
        </w:rPr>
      </w:pPr>
      <w:r>
        <w:rPr>
          <w:rFonts w:ascii="Arial Narrow" w:hAnsi="Arial Narrow" w:cs="Arial Narrow"/>
        </w:rPr>
        <w:t>（4）卫生检查达标率（5分）指标是指项目实施单位是否存在上级卫生检查不合格的情况，用以反映和考核食堂卫生程度。根据食药检监督意见书以及现场访谈，存在2次食药检等相关部门检查不合格提出意见的情况，扣1分，最终得分4分。</w:t>
      </w:r>
    </w:p>
    <w:p>
      <w:pPr>
        <w:snapToGrid w:val="0"/>
        <w:ind w:firstLine="480" w:firstLineChars="0"/>
        <w:rPr>
          <w:rFonts w:ascii="Arial Narrow" w:hAnsi="Arial Narrow" w:cs="Arial Narrow"/>
        </w:rPr>
      </w:pPr>
      <w:r>
        <w:rPr>
          <w:rFonts w:ascii="Arial Narrow" w:hAnsi="Arial Narrow" w:cs="Arial Narrow"/>
        </w:rPr>
        <w:t>（5）伙食质量保证度（5分）指标是指在职人员对中山路机关单位和荆南街办公区两处食堂的食物品质、新鲜程度的满意程度。评价小组根据项目实施范围在中山路及荆南街食堂发放调查问卷，受访的20个职工中，共有20份有效问卷，其中有4人表示满意食堂菜品的种类、品质和新鲜程度等，有10人表示比较满意，有5人表示不太满意，有1人表示不满意，根据满意度公式计算伙食质量保证度为61.67%，根据评分标准，扣2.5分，最终得分2.5分。</w:t>
      </w:r>
    </w:p>
    <w:p>
      <w:pPr>
        <w:snapToGrid w:val="0"/>
        <w:ind w:firstLine="480" w:firstLineChars="0"/>
        <w:rPr>
          <w:rFonts w:ascii="Arial Narrow" w:hAnsi="Arial Narrow" w:cs="Arial Narrow"/>
        </w:rPr>
      </w:pPr>
      <w:r>
        <w:rPr>
          <w:rFonts w:ascii="Arial Narrow" w:hAnsi="Arial Narrow" w:cs="Arial Narrow"/>
        </w:rPr>
        <w:t>（6）服务对象满意度（7分）是指在职人员对中山路机关单位和荆南街办公区两处食堂环境、菜品、服务的整体满意程度。评价小组根据项目实施范围在中山路及荆南街食堂发放调查问卷，受访的20个职工中，共有20份有效问卷，</w:t>
      </w:r>
      <w:r>
        <w:rPr>
          <w:rFonts w:ascii="Arial Narrow" w:hAnsi="Arial Narrow" w:cs="仿宋_GB2312"/>
        </w:rPr>
        <w:t>有5人表示满意，有11人比较满意，有3人表示不太满意</w:t>
      </w:r>
      <w:r>
        <w:rPr>
          <w:rFonts w:ascii="Arial Narrow" w:hAnsi="Arial Narrow"/>
        </w:rPr>
        <w:t>，有1人表示不满意</w:t>
      </w:r>
      <w:r>
        <w:rPr>
          <w:rFonts w:ascii="Arial Narrow" w:hAnsi="Arial Narrow" w:cs="仿宋_GB2312"/>
        </w:rPr>
        <w:t>，计算出满意度是66.</w:t>
      </w:r>
      <w:r>
        <w:rPr>
          <w:rFonts w:hint="eastAsia" w:ascii="Arial Narrow" w:hAnsi="Arial Narrow" w:cs="仿宋_GB2312"/>
        </w:rPr>
        <w:t>67</w:t>
      </w:r>
      <w:r>
        <w:rPr>
          <w:rFonts w:ascii="Arial Narrow" w:hAnsi="Arial Narrow" w:cs="仿宋_GB2312"/>
        </w:rPr>
        <w:t>%，根据评分标准，扣2分</w:t>
      </w:r>
      <w:r>
        <w:rPr>
          <w:rFonts w:ascii="Arial Narrow" w:hAnsi="Arial Narrow" w:cs="Arial Narrow"/>
        </w:rPr>
        <w:t>，最终得分5分</w:t>
      </w:r>
      <w:r>
        <w:rPr>
          <w:rFonts w:ascii="Arial Narrow" w:hAnsi="Arial Narrow" w:cs="仿宋_GB2312"/>
        </w:rPr>
        <w:t>。</w:t>
      </w:r>
    </w:p>
    <w:p>
      <w:pPr>
        <w:snapToGrid w:val="0"/>
        <w:ind w:firstLine="482"/>
        <w:outlineLvl w:val="0"/>
        <w:rPr>
          <w:rFonts w:ascii="Arial Narrow" w:hAnsi="Arial Narrow" w:cs="Arial Narrow"/>
          <w:b/>
        </w:rPr>
      </w:pPr>
      <w:bookmarkStart w:id="92" w:name="_Toc17329"/>
      <w:r>
        <w:rPr>
          <w:rFonts w:ascii="Arial Narrow" w:hAnsi="Arial Narrow" w:cs="Arial Narrow"/>
          <w:b/>
        </w:rPr>
        <w:t>四、评价结论</w:t>
      </w:r>
      <w:bookmarkEnd w:id="86"/>
      <w:bookmarkEnd w:id="87"/>
      <w:bookmarkEnd w:id="88"/>
      <w:bookmarkEnd w:id="89"/>
      <w:bookmarkEnd w:id="90"/>
      <w:bookmarkEnd w:id="92"/>
      <w:bookmarkStart w:id="93" w:name="_Toc361302039"/>
      <w:bookmarkStart w:id="94" w:name="_Toc361304702"/>
    </w:p>
    <w:bookmarkEnd w:id="93"/>
    <w:bookmarkEnd w:id="94"/>
    <w:p>
      <w:pPr>
        <w:snapToGrid w:val="0"/>
        <w:ind w:firstLine="482"/>
        <w:rPr>
          <w:rFonts w:ascii="Arial Narrow" w:hAnsi="Arial Narrow" w:cs="Arial Narrow"/>
          <w:b/>
          <w:bCs/>
        </w:rPr>
      </w:pPr>
      <w:bookmarkStart w:id="95" w:name="_Toc406668054"/>
      <w:bookmarkStart w:id="96" w:name="_Toc361304705"/>
      <w:bookmarkStart w:id="97" w:name="_Toc406666380"/>
      <w:bookmarkStart w:id="98" w:name="_Toc387957829"/>
      <w:r>
        <w:rPr>
          <w:rFonts w:ascii="Arial Narrow" w:hAnsi="Arial Narrow" w:cs="Arial Narrow"/>
          <w:b/>
          <w:bCs/>
        </w:rPr>
        <w:t>（一）评分结果</w:t>
      </w:r>
    </w:p>
    <w:p>
      <w:pPr>
        <w:snapToGrid w:val="0"/>
        <w:ind w:firstLine="480"/>
        <w:rPr>
          <w:rFonts w:ascii="Arial Narrow" w:hAnsi="Arial Narrow" w:cs="Arial Narrow"/>
        </w:rPr>
      </w:pPr>
      <w:r>
        <w:rPr>
          <w:rFonts w:ascii="Arial Narrow" w:hAnsi="Arial Narrow" w:cs="Arial Narrow"/>
        </w:rPr>
        <w:t>食堂运行经费项目绩效评价得分为89分，评价结果为良，具体各指标评分情况如下：</w:t>
      </w:r>
    </w:p>
    <w:p>
      <w:pPr>
        <w:snapToGrid w:val="0"/>
        <w:ind w:firstLine="480"/>
        <w:rPr>
          <w:rFonts w:ascii="Arial Narrow" w:hAnsi="Arial Narrow" w:cs="Arial Narrow"/>
        </w:rPr>
      </w:pPr>
    </w:p>
    <w:p>
      <w:pPr>
        <w:snapToGrid w:val="0"/>
        <w:ind w:firstLine="480"/>
        <w:rPr>
          <w:rFonts w:ascii="Arial Narrow" w:hAnsi="Arial Narrow" w:cs="Arial Narrow"/>
        </w:rPr>
      </w:pPr>
      <w:r>
        <w:rPr>
          <w:rFonts w:ascii="Arial Narrow" w:hAnsi="Arial Narrow"/>
        </w:rPr>
        <w:drawing>
          <wp:inline distT="0" distB="0" distL="0" distR="0">
            <wp:extent cx="5132705" cy="32378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5133334" cy="3238095"/>
                    </a:xfrm>
                    <a:prstGeom prst="rect">
                      <a:avLst/>
                    </a:prstGeom>
                  </pic:spPr>
                </pic:pic>
              </a:graphicData>
            </a:graphic>
          </wp:inline>
        </w:drawing>
      </w:r>
    </w:p>
    <w:p>
      <w:pPr>
        <w:snapToGrid w:val="0"/>
        <w:spacing w:before="204" w:beforeLines="50"/>
        <w:ind w:firstLine="482"/>
        <w:rPr>
          <w:rFonts w:ascii="Arial Narrow" w:hAnsi="Arial Narrow" w:cs="Arial Narrow"/>
          <w:b/>
          <w:bCs/>
        </w:rPr>
      </w:pPr>
      <w:r>
        <w:rPr>
          <w:rFonts w:ascii="Arial Narrow" w:hAnsi="Arial Narrow" w:cs="Arial Narrow"/>
          <w:b/>
          <w:bCs/>
        </w:rPr>
        <w:t>（二）主要结论</w:t>
      </w:r>
    </w:p>
    <w:p>
      <w:pPr>
        <w:snapToGrid w:val="0"/>
        <w:ind w:firstLine="480"/>
        <w:rPr>
          <w:rFonts w:ascii="Arial Narrow" w:hAnsi="Arial Narrow" w:cs="Arial Narrow"/>
        </w:rPr>
      </w:pPr>
      <w:r>
        <w:rPr>
          <w:rFonts w:ascii="Arial Narrow" w:hAnsi="Arial Narrow" w:cs="Arial Narrow"/>
        </w:rPr>
        <w:t>1、项目投入指标评分结果为14.5分，评价等级为优。项目立项方面：项目的申请、设立过程符合相关要求，但未提交绩效目标或项目规划，申报资料不齐全；项目实施单位针对食堂外包单位制定了考核指标，但未针对“食堂运行经费项目”设立相应的绩效指标。资金落实方面：根据《武昌区财政局关于武昌区机关运行保障中心2017年部门预算的批复》，食堂运行经费272</w:t>
      </w:r>
      <w:r>
        <w:rPr>
          <w:rFonts w:ascii="Arial Narrow" w:hAnsi="Arial Narrow" w:cs="Arial Narrow"/>
          <w:color w:val="FF0000"/>
        </w:rPr>
        <w:t>万</w:t>
      </w:r>
      <w:r>
        <w:rPr>
          <w:rFonts w:ascii="Arial Narrow" w:hAnsi="Arial Narrow" w:cs="Arial Narrow"/>
        </w:rPr>
        <w:t>万元全部及时到位。</w:t>
      </w:r>
    </w:p>
    <w:p>
      <w:pPr>
        <w:snapToGrid w:val="0"/>
        <w:ind w:firstLine="480"/>
        <w:jc w:val="left"/>
        <w:rPr>
          <w:rFonts w:ascii="Arial Narrow" w:hAnsi="Arial Narrow" w:cs="Arial Narrow"/>
        </w:rPr>
      </w:pPr>
      <w:r>
        <w:rPr>
          <w:rFonts w:ascii="Arial Narrow" w:hAnsi="Arial Narrow" w:cs="Arial Narrow"/>
        </w:rPr>
        <w:t>2、项目过程指标评分结果为24分，评价等级为优。有效管理方面：项目单位制定了较为完善的业务管理制度并基本执行，如食堂物资采购与管理制度等，管理制度合规、完整；项目实施过程具有相应的质量控制手段并有效执行，项目实施过程中的各项档案资料保存完整，并及时归档。财务管理方面：项目实施单位的财务制度健全，制订了《区机关食堂财务管理制度》并严格执行，资金的拨付具有完整的审批程序和手续，项目实施单位采取了必要的监控措施，重大开支均由相关部门开会通过。</w:t>
      </w:r>
    </w:p>
    <w:p>
      <w:pPr>
        <w:snapToGrid w:val="0"/>
        <w:ind w:firstLine="480"/>
        <w:rPr>
          <w:rFonts w:ascii="Arial Narrow" w:hAnsi="Arial Narrow" w:cs="Arial Narrow"/>
        </w:rPr>
      </w:pPr>
      <w:r>
        <w:rPr>
          <w:rFonts w:ascii="Arial Narrow" w:hAnsi="Arial Narrow" w:cs="Arial Narrow"/>
        </w:rPr>
        <w:t>3、项目产出指标评分结果为24.5分，评价等级为良。项目单位食堂共计维修4次，计划完成率为100%，但维修项目未进行验收；项目单位食堂设备除打印机外基本不存在闲置的情况；人员数量与岗位配置与计划相符；基本不存在人员无2人以上缺勤状况，但缺乏相应考核记录；项目单位食堂每月会进行考核自查，但相关考核资料不足；项目单位定期进行清洁、防疫工作，卫生检查达标程度较高；截止到2017年12月31日，资金使用率达95.59%，达到目标值。</w:t>
      </w:r>
    </w:p>
    <w:p>
      <w:pPr>
        <w:snapToGrid w:val="0"/>
        <w:ind w:firstLine="480"/>
        <w:rPr>
          <w:rFonts w:ascii="Arial Narrow" w:hAnsi="Arial Narrow" w:cs="Arial Narrow"/>
        </w:rPr>
      </w:pPr>
      <w:r>
        <w:rPr>
          <w:rFonts w:ascii="Arial Narrow" w:hAnsi="Arial Narrow" w:cs="Arial Narrow"/>
        </w:rPr>
        <w:t>4、项目效益指标评分结果为24.5分，评价等级为良。该年度月均毛利率为4.73%，具有良好的经济效益；维修项目实施后，职工对就餐环境满意度有较大提升，环境提升度为88.33%；项目单位定期更新菜谱并根据时令调整，但在走访过程中，部分职工提出早午餐菜品种类不够丰富的意见，并且受访对象对伙食质量满意度仅为61.67%；另外，卫生检疫方面存在2次食药检等相关部门检查不合格的情况，服务对象对食堂环境、菜品、服务等综合满意度为66.</w:t>
      </w:r>
      <w:r>
        <w:rPr>
          <w:rFonts w:hint="eastAsia" w:ascii="Arial Narrow" w:hAnsi="Arial Narrow" w:cs="Arial Narrow"/>
        </w:rPr>
        <w:t>67</w:t>
      </w:r>
      <w:r>
        <w:rPr>
          <w:rFonts w:ascii="Arial Narrow" w:hAnsi="Arial Narrow" w:cs="Arial Narrow"/>
        </w:rPr>
        <w:t>%。</w:t>
      </w:r>
    </w:p>
    <w:p>
      <w:pPr>
        <w:snapToGrid w:val="0"/>
        <w:ind w:firstLine="482"/>
        <w:rPr>
          <w:rFonts w:ascii="Arial Narrow" w:hAnsi="Arial Narrow" w:cs="Arial Narrow"/>
        </w:rPr>
      </w:pPr>
      <w:r>
        <w:rPr>
          <w:rFonts w:ascii="Arial Narrow" w:hAnsi="Arial Narrow" w:cs="Arial Narrow"/>
          <w:b/>
        </w:rPr>
        <w:t>五、</w:t>
      </w:r>
      <w:bookmarkEnd w:id="95"/>
      <w:bookmarkEnd w:id="96"/>
      <w:bookmarkEnd w:id="97"/>
      <w:bookmarkEnd w:id="98"/>
      <w:r>
        <w:rPr>
          <w:rFonts w:ascii="Arial Narrow" w:hAnsi="Arial Narrow" w:cs="Arial Narrow"/>
          <w:b/>
        </w:rPr>
        <w:t>主要经验及做法、存在的问题和建议</w:t>
      </w:r>
    </w:p>
    <w:p>
      <w:pPr>
        <w:snapToGrid w:val="0"/>
        <w:ind w:firstLine="482"/>
        <w:outlineLvl w:val="1"/>
        <w:rPr>
          <w:rFonts w:ascii="Arial Narrow" w:hAnsi="Arial Narrow" w:cs="Arial Narrow"/>
          <w:b/>
          <w:bCs/>
        </w:rPr>
      </w:pPr>
      <w:bookmarkStart w:id="99" w:name="_Toc406668055"/>
      <w:bookmarkStart w:id="100" w:name="_Toc387957830"/>
      <w:bookmarkStart w:id="101" w:name="_Toc406666381"/>
      <w:bookmarkStart w:id="102" w:name="_Toc361304706"/>
      <w:bookmarkStart w:id="103" w:name="_Toc16344"/>
      <w:r>
        <w:rPr>
          <w:rFonts w:ascii="Arial Narrow" w:hAnsi="Arial Narrow" w:cs="Arial Narrow"/>
          <w:b/>
          <w:bCs/>
        </w:rPr>
        <w:t>（一）主要经验及做法</w:t>
      </w:r>
      <w:bookmarkEnd w:id="99"/>
      <w:bookmarkEnd w:id="100"/>
      <w:bookmarkEnd w:id="101"/>
      <w:bookmarkEnd w:id="102"/>
      <w:bookmarkEnd w:id="103"/>
      <w:bookmarkStart w:id="104" w:name="_Toc406668056"/>
      <w:bookmarkStart w:id="105" w:name="_Toc406666382"/>
      <w:bookmarkStart w:id="106" w:name="_Toc387957833"/>
    </w:p>
    <w:p>
      <w:pPr>
        <w:snapToGrid w:val="0"/>
        <w:ind w:firstLine="480"/>
        <w:rPr>
          <w:rFonts w:ascii="Arial Narrow" w:hAnsi="Arial Narrow" w:cs="Arial Narrow"/>
        </w:rPr>
      </w:pPr>
      <w:r>
        <w:rPr>
          <w:rFonts w:ascii="Arial Narrow" w:hAnsi="Arial Narrow" w:cs="Arial Narrow"/>
        </w:rPr>
        <w:t>资金使用率高。2016年12月26日武昌区财政局下发了《关于武昌区机关运行保障中心2017年部门预算的批复》（武昌财预【2016】295号），食堂运行经费272万元及时完全到位。根据明细表及相关合同凭证，该年度资金实际使用260万元，资金使用率达95.59%，达到目标值。项目目标也基本上得到完成，食堂日常运营良好，维修项目及资产购置符合计划，职工对食堂就餐环境改造满意程度高。</w:t>
      </w:r>
    </w:p>
    <w:p>
      <w:pPr>
        <w:snapToGrid w:val="0"/>
        <w:ind w:firstLine="482"/>
        <w:jc w:val="left"/>
        <w:outlineLvl w:val="1"/>
        <w:rPr>
          <w:rFonts w:ascii="Arial Narrow" w:hAnsi="Arial Narrow" w:cs="Arial Narrow"/>
          <w:b/>
          <w:bCs/>
        </w:rPr>
      </w:pPr>
      <w:bookmarkStart w:id="107" w:name="_Toc17535"/>
      <w:r>
        <w:rPr>
          <w:rFonts w:ascii="Arial Narrow" w:hAnsi="Arial Narrow" w:cs="Arial Narrow"/>
          <w:b/>
          <w:bCs/>
        </w:rPr>
        <w:t>（二）存在的问题</w:t>
      </w:r>
      <w:bookmarkEnd w:id="104"/>
      <w:bookmarkEnd w:id="105"/>
      <w:bookmarkEnd w:id="107"/>
    </w:p>
    <w:bookmarkEnd w:id="106"/>
    <w:p>
      <w:pPr>
        <w:snapToGrid w:val="0"/>
        <w:ind w:firstLine="480"/>
        <w:rPr>
          <w:rFonts w:ascii="Arial Narrow" w:hAnsi="Arial Narrow" w:cs="Arial Narrow"/>
        </w:rPr>
      </w:pPr>
      <w:bookmarkStart w:id="108" w:name="_Toc387957834"/>
      <w:r>
        <w:rPr>
          <w:rFonts w:ascii="Arial Narrow" w:hAnsi="Arial Narrow" w:cs="Arial Narrow"/>
        </w:rPr>
        <w:t>食堂运行经费项目</w:t>
      </w:r>
      <w:r>
        <w:rPr>
          <w:rFonts w:ascii="Arial Narrow" w:hAnsi="Arial Narrow" w:cs="Arial Narrow"/>
          <w:bCs/>
        </w:rPr>
        <w:t>总体实施情况为良</w:t>
      </w:r>
      <w:r>
        <w:rPr>
          <w:rFonts w:ascii="Arial Narrow" w:hAnsi="Arial Narrow" w:cs="Arial Narrow"/>
        </w:rPr>
        <w:t>，存在一些问题：</w:t>
      </w:r>
    </w:p>
    <w:p>
      <w:pPr>
        <w:pStyle w:val="21"/>
        <w:numPr>
          <w:ilvl w:val="0"/>
          <w:numId w:val="6"/>
        </w:numPr>
        <w:snapToGrid w:val="0"/>
        <w:ind w:firstLineChars="0"/>
        <w:rPr>
          <w:rFonts w:ascii="Arial Narrow" w:hAnsi="Arial Narrow" w:cs="Arial Narrow"/>
        </w:rPr>
      </w:pPr>
      <w:r>
        <w:rPr>
          <w:rFonts w:ascii="Arial Narrow" w:hAnsi="Arial Narrow" w:cs="Arial Narrow"/>
        </w:rPr>
        <w:t>工程项目未进行验收程序。评价小组查看了记账凭证及明细账，本年进行了4次食堂维修，包括中山路机关食堂零星维修，荆南街办公区食堂维修工程等，但通过现场访谈，</w:t>
      </w:r>
      <w:r>
        <w:rPr>
          <w:rFonts w:ascii="Arial Narrow" w:hAnsi="Arial Narrow"/>
        </w:rPr>
        <w:t>工程完工后未及时组织验收，不利于工程质量的控制。</w:t>
      </w:r>
    </w:p>
    <w:p>
      <w:pPr>
        <w:pStyle w:val="21"/>
        <w:numPr>
          <w:ilvl w:val="0"/>
          <w:numId w:val="6"/>
        </w:numPr>
        <w:snapToGrid w:val="0"/>
        <w:ind w:firstLineChars="0"/>
        <w:rPr>
          <w:rFonts w:ascii="Arial Narrow" w:hAnsi="Arial Narrow" w:cs="Arial Narrow"/>
        </w:rPr>
      </w:pPr>
      <w:r>
        <w:rPr>
          <w:rFonts w:ascii="Arial Narrow" w:hAnsi="Arial Narrow" w:cs="Arial Narrow"/>
        </w:rPr>
        <w:t xml:space="preserve"> 项目申报程序不完善，也未针对“食堂运行经费项目”设立具体的绩效指标。项目申报时未提交绩效目标或项目规划，申报资料不齐全；项目实施单位</w:t>
      </w:r>
      <w:r>
        <w:rPr>
          <w:rFonts w:ascii="Arial Narrow" w:hAnsi="Arial Narrow" w:cs="Arial Narrow"/>
          <w:bCs/>
        </w:rPr>
        <w:t>也未针对食堂经费项目设置具体清晰绩效指标，不利于项目的总结评价。</w:t>
      </w:r>
    </w:p>
    <w:p>
      <w:pPr>
        <w:snapToGrid w:val="0"/>
        <w:ind w:firstLine="436" w:firstLineChars="182"/>
        <w:rPr>
          <w:rFonts w:ascii="Arial Narrow" w:hAnsi="Arial Narrow" w:cs="Arial Narrow"/>
        </w:rPr>
      </w:pPr>
      <w:r>
        <w:rPr>
          <w:rFonts w:ascii="Arial Narrow" w:hAnsi="Arial Narrow" w:cs="Arial Narrow"/>
        </w:rPr>
        <w:t>3、</w:t>
      </w:r>
      <w:r>
        <w:rPr>
          <w:rFonts w:ascii="Arial Narrow" w:hAnsi="Arial Narrow"/>
        </w:rPr>
        <w:t>食堂工作定期考核书面记录不完善</w:t>
      </w:r>
      <w:r>
        <w:rPr>
          <w:rFonts w:ascii="Arial Narrow" w:hAnsi="Arial Narrow" w:cs="Arial Narrow"/>
        </w:rPr>
        <w:t>，</w:t>
      </w:r>
      <w:r>
        <w:rPr>
          <w:rFonts w:ascii="Arial Narrow" w:hAnsi="Arial Narrow"/>
        </w:rPr>
        <w:t>相关部门检查中存在少许</w:t>
      </w:r>
      <w:r>
        <w:rPr>
          <w:rFonts w:ascii="Arial Narrow" w:hAnsi="Arial Narrow" w:cs="Arial Narrow"/>
        </w:rPr>
        <w:t>不合格情况。</w:t>
      </w:r>
      <w:r>
        <w:rPr>
          <w:rFonts w:ascii="Arial Narrow" w:hAnsi="Arial Narrow"/>
        </w:rPr>
        <w:t>根据现场访谈，项目单位定期对食堂工作情况进行检查，外包的服务公司也会每日进行自查，但缺少相关的考核记录和结果</w:t>
      </w:r>
      <w:r>
        <w:rPr>
          <w:rFonts w:ascii="Arial Narrow" w:hAnsi="Arial Narrow" w:cs="Arial Narrow"/>
        </w:rPr>
        <w:t>；</w:t>
      </w:r>
      <w:r>
        <w:rPr>
          <w:rFonts w:ascii="Arial Narrow" w:hAnsi="Arial Narrow"/>
        </w:rPr>
        <w:t>另一方面，食药检相关部门多次对项目单位组织卫生检查，其中存在两次检查不合格提出意见的情况。</w:t>
      </w:r>
      <w:r>
        <w:rPr>
          <w:rFonts w:ascii="Arial Narrow" w:hAnsi="Arial Narrow" w:cs="Arial Narrow"/>
        </w:rPr>
        <w:t>。</w:t>
      </w:r>
    </w:p>
    <w:p>
      <w:pPr>
        <w:pStyle w:val="4"/>
        <w:ind w:firstLine="480"/>
        <w:rPr>
          <w:rFonts w:ascii="Arial Narrow" w:hAnsi="Arial Narrow"/>
        </w:rPr>
      </w:pPr>
      <w:r>
        <w:rPr>
          <w:rFonts w:ascii="Arial Narrow" w:hAnsi="Arial Narrow" w:cs="Arial Narrow"/>
        </w:rPr>
        <w:t>4、菜品丰富度不够，</w:t>
      </w:r>
      <w:r>
        <w:rPr>
          <w:rFonts w:ascii="Arial Narrow" w:hAnsi="Arial Narrow"/>
        </w:rPr>
        <w:t>职工伙食和食堂就餐综合满意度不高。</w:t>
      </w:r>
      <w:r>
        <w:rPr>
          <w:rFonts w:ascii="Arial Narrow" w:hAnsi="Arial Narrow" w:cs="Arial Narrow"/>
        </w:rPr>
        <w:t>。评价人员</w:t>
      </w:r>
      <w:r>
        <w:rPr>
          <w:rFonts w:ascii="Arial Narrow" w:hAnsi="Arial Narrow" w:cs="仿宋_GB2312"/>
        </w:rPr>
        <w:t>对武昌区市政大楼和荆南街武昌区办公大楼</w:t>
      </w:r>
      <w:r>
        <w:rPr>
          <w:rFonts w:ascii="Arial Narrow" w:hAnsi="Arial Narrow"/>
        </w:rPr>
        <w:t>职工共</w:t>
      </w:r>
      <w:r>
        <w:rPr>
          <w:rFonts w:ascii="Arial Narrow" w:hAnsi="Arial Narrow" w:cs="仿宋_GB2312"/>
        </w:rPr>
        <w:t>发放了20份调查问卷，</w:t>
      </w:r>
      <w:r>
        <w:rPr>
          <w:rFonts w:ascii="Arial Narrow" w:hAnsi="Arial Narrow"/>
        </w:rPr>
        <w:t>有6人对食物种类、品质、新鲜度表示不太满意甚至不满意，并称食堂早午餐菜品种类和荤菜种类较少，伙食质量整体满意度和食堂工作整体满意度分别为61.67%和66.78%。</w:t>
      </w:r>
    </w:p>
    <w:p>
      <w:pPr>
        <w:snapToGrid w:val="0"/>
        <w:ind w:firstLine="361" w:firstLineChars="150"/>
        <w:rPr>
          <w:rFonts w:ascii="Arial Narrow" w:hAnsi="Arial Narrow" w:cs="Arial Narrow"/>
          <w:b/>
          <w:bCs/>
        </w:rPr>
      </w:pPr>
      <w:r>
        <w:rPr>
          <w:rFonts w:ascii="Arial Narrow" w:hAnsi="Arial Narrow" w:cs="Arial Narrow"/>
          <w:b/>
          <w:bCs/>
        </w:rPr>
        <w:t>（三）建议</w:t>
      </w:r>
    </w:p>
    <w:p>
      <w:pPr>
        <w:snapToGrid w:val="0"/>
        <w:ind w:firstLine="480"/>
        <w:rPr>
          <w:rFonts w:ascii="Arial Narrow" w:hAnsi="Arial Narrow" w:cs="Arial Narrow"/>
        </w:rPr>
      </w:pPr>
      <w:r>
        <w:rPr>
          <w:rFonts w:ascii="Arial Narrow" w:hAnsi="Arial Narrow" w:cs="Arial Narrow"/>
        </w:rPr>
        <w:t xml:space="preserve">1、完善工程项目验收流程。在工程完成后，项目单位应及时组织各方人员进项验收，出具验收意见，并留档保存，对质量不合格的项目督促改进，不断提高项目实施质量。 </w:t>
      </w:r>
    </w:p>
    <w:p>
      <w:pPr>
        <w:snapToGrid w:val="0"/>
        <w:ind w:firstLine="480"/>
        <w:rPr>
          <w:rFonts w:ascii="Arial Narrow" w:hAnsi="Arial Narrow" w:cs="Arial Narrow"/>
        </w:rPr>
      </w:pPr>
      <w:r>
        <w:rPr>
          <w:rFonts w:ascii="Arial Narrow" w:hAnsi="Arial Narrow" w:cs="Arial Narrow"/>
        </w:rPr>
        <w:t>2、健全项目绩效目标体系，规范项目申报程序。在预算申报环节落实绩效目标编制工作，</w:t>
      </w:r>
      <w:r>
        <w:rPr>
          <w:rFonts w:ascii="Arial Narrow" w:hAnsi="Arial Narrow" w:cs="Arial Narrow"/>
          <w:bCs/>
        </w:rPr>
        <w:t>根据项目预算资金、本年度工作重点和人力安排制定绩效目标，并把绩效目标分解成具体的绩效指标，同时，根据历史指标实现值和行业经验设置切实可行的指标值，</w:t>
      </w:r>
      <w:r>
        <w:rPr>
          <w:rFonts w:ascii="Arial Narrow" w:hAnsi="Arial Narrow" w:cs="Arial Narrow"/>
        </w:rPr>
        <w:t>为项目的完成情况提供评价依据。</w:t>
      </w:r>
    </w:p>
    <w:p>
      <w:pPr>
        <w:snapToGrid w:val="0"/>
        <w:ind w:firstLine="480"/>
        <w:rPr>
          <w:rFonts w:ascii="Arial Narrow" w:hAnsi="Arial Narrow" w:cs="Arial Narrow"/>
        </w:rPr>
      </w:pPr>
      <w:r>
        <w:rPr>
          <w:rFonts w:ascii="Arial Narrow" w:hAnsi="Arial Narrow" w:cs="Arial Narrow"/>
        </w:rPr>
        <w:t>3、落实每月考核工作完善考核的书面材料记录。根据考核标准，每月安全检查之后，落实具体问题进行整改，保证卫生安全情况，保障食堂安全工作质量，为日常工作的良好进行提供良好环境。</w:t>
      </w:r>
    </w:p>
    <w:p>
      <w:pPr>
        <w:snapToGrid w:val="0"/>
        <w:ind w:firstLine="480"/>
        <w:rPr>
          <w:rFonts w:ascii="Arial Narrow" w:hAnsi="Arial Narrow" w:cs="Arial Narrow"/>
        </w:rPr>
      </w:pPr>
      <w:r>
        <w:rPr>
          <w:rFonts w:ascii="Arial Narrow" w:hAnsi="Arial Narrow" w:cs="Arial Narrow"/>
        </w:rPr>
        <w:t>4、多角度、多方面提升或是质量，改善职工用餐体验。第一、在食堂预算规划中，提出丰富菜品种类、保证食材新鲜、提高就餐时间的菜品保温保鲜水平等的目标，为职工增加菜品种类，提供更多选择，并在日常工作中切实落实。第二、</w:t>
      </w:r>
      <w:r>
        <w:rPr>
          <w:rFonts w:ascii="Arial Narrow" w:hAnsi="Arial Narrow"/>
        </w:rPr>
        <w:t>建立伙食质量反馈制度，对用餐人员进行伙食和服务质量调查，登记汇总就餐人员的伙食质量意见和建议，根据反馈结果及时调整，进一步提高服务水平和质量。</w:t>
      </w:r>
    </w:p>
    <w:p>
      <w:pPr>
        <w:snapToGrid w:val="0"/>
        <w:ind w:firstLine="482"/>
        <w:jc w:val="left"/>
        <w:outlineLvl w:val="0"/>
        <w:rPr>
          <w:rFonts w:ascii="Arial Narrow" w:hAnsi="Arial Narrow" w:cs="Arial Narrow"/>
          <w:b/>
        </w:rPr>
      </w:pPr>
      <w:bookmarkStart w:id="109" w:name="_Toc7784"/>
      <w:r>
        <w:rPr>
          <w:rFonts w:ascii="Arial Narrow" w:hAnsi="Arial Narrow" w:cs="Arial Narrow"/>
          <w:b/>
        </w:rPr>
        <w:t>六、其他需说明的问题</w:t>
      </w:r>
      <w:bookmarkEnd w:id="109"/>
    </w:p>
    <w:p>
      <w:pPr>
        <w:snapToGrid w:val="0"/>
        <w:ind w:firstLine="482"/>
        <w:jc w:val="left"/>
        <w:outlineLvl w:val="1"/>
        <w:rPr>
          <w:rFonts w:ascii="Arial Narrow" w:hAnsi="Arial Narrow" w:cs="Arial Narrow"/>
          <w:b/>
          <w:bCs/>
        </w:rPr>
      </w:pPr>
      <w:bookmarkStart w:id="110" w:name="_Toc8065"/>
      <w:r>
        <w:rPr>
          <w:rFonts w:ascii="Arial Narrow" w:hAnsi="Arial Narrow" w:cs="Arial Narrow"/>
          <w:b/>
          <w:bCs/>
        </w:rPr>
        <w:t>（一）关于评价责任的说明</w:t>
      </w:r>
      <w:bookmarkEnd w:id="110"/>
    </w:p>
    <w:p>
      <w:pPr>
        <w:snapToGrid w:val="0"/>
        <w:ind w:firstLine="480"/>
        <w:rPr>
          <w:rFonts w:ascii="Arial Narrow" w:hAnsi="Arial Narrow" w:cs="Arial Narrow"/>
        </w:rPr>
      </w:pPr>
      <w:r>
        <w:rPr>
          <w:rFonts w:ascii="Arial Narrow" w:hAnsi="Arial Narrow"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2"/>
        <w:jc w:val="left"/>
        <w:outlineLvl w:val="1"/>
        <w:rPr>
          <w:rFonts w:ascii="Arial Narrow" w:hAnsi="Arial Narrow" w:cs="Arial Narrow"/>
          <w:b/>
          <w:bCs/>
        </w:rPr>
      </w:pPr>
      <w:bookmarkStart w:id="111" w:name="_Toc23660"/>
      <w:r>
        <w:rPr>
          <w:rFonts w:ascii="Arial Narrow" w:hAnsi="Arial Narrow" w:cs="Arial Narrow"/>
          <w:b/>
          <w:bCs/>
        </w:rPr>
        <w:t>（二）关于本项目评价中局限性的说明</w:t>
      </w:r>
      <w:bookmarkEnd w:id="111"/>
    </w:p>
    <w:p>
      <w:pPr>
        <w:snapToGrid w:val="0"/>
        <w:ind w:firstLine="480"/>
        <w:rPr>
          <w:rFonts w:ascii="Arial Narrow" w:hAnsi="Arial Narrow" w:cs="Arial Narrow"/>
        </w:rPr>
      </w:pPr>
      <w:r>
        <w:rPr>
          <w:rFonts w:ascii="Arial Narrow" w:hAnsi="Arial Narrow" w:cs="Arial Narrow"/>
        </w:rPr>
        <w:t>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rPr>
      </w:pPr>
      <w:r>
        <w:rPr>
          <w:rFonts w:ascii="Arial Narrow" w:hAnsi="Arial Narrow" w:cs="Arial Narrow"/>
        </w:rPr>
        <w:t>2、本项目是经常性的资金使用项目，而且专业性较强。受具体参加本次项目的评价人员的专业能力的影响，对专业指标设定的全面性以及问题、建议提出的专业性可能存在一定的局限性。</w:t>
      </w: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bookmarkEnd w:id="108"/>
    <w:p>
      <w:pPr>
        <w:snapToGrid w:val="0"/>
        <w:ind w:firstLine="0" w:firstLineChars="0"/>
        <w:outlineLvl w:val="1"/>
        <w:rPr>
          <w:rFonts w:ascii="Arial Narrow" w:hAnsi="Arial Narrow" w:cs="Arial Narrow"/>
        </w:rPr>
      </w:pPr>
      <w:bookmarkStart w:id="112" w:name="_Toc387957836"/>
      <w:bookmarkStart w:id="113" w:name="_Toc406666387"/>
      <w:bookmarkStart w:id="114" w:name="_Toc406668061"/>
      <w:bookmarkStart w:id="115" w:name="_Toc24312"/>
      <w:r>
        <w:rPr>
          <w:rFonts w:ascii="Arial Narrow" w:hAnsi="Arial Narrow" w:cs="Arial Narrow"/>
          <w:b/>
          <w:bCs/>
        </w:rPr>
        <w:t>附件</w:t>
      </w:r>
      <w:bookmarkEnd w:id="112"/>
      <w:r>
        <w:rPr>
          <w:rFonts w:ascii="Arial Narrow" w:hAnsi="Arial Narrow" w:cs="Arial Narrow"/>
          <w:b/>
          <w:bCs/>
        </w:rPr>
        <w:t>：</w:t>
      </w:r>
      <w:bookmarkEnd w:id="113"/>
      <w:bookmarkEnd w:id="114"/>
      <w:bookmarkEnd w:id="115"/>
    </w:p>
    <w:p>
      <w:pPr>
        <w:snapToGrid w:val="0"/>
        <w:ind w:firstLine="480"/>
        <w:rPr>
          <w:rFonts w:ascii="Arial Narrow" w:hAnsi="Arial Narrow" w:cs="Arial Narrow"/>
        </w:rPr>
      </w:pPr>
      <w:r>
        <w:rPr>
          <w:rFonts w:ascii="Arial Narrow" w:hAnsi="Arial Narrow" w:cs="Arial Narrow"/>
        </w:rPr>
        <w:t>1：项目绩效评价评分表及说明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w:t>
      </w:r>
      <w:r>
        <w:rPr>
          <w:rFonts w:hint="eastAsia" w:ascii="Arial Narrow" w:hAnsi="Arial Narrow" w:cs="Arial Narrow"/>
        </w:rPr>
        <w:t>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ascii="Arial Narrow" w:hAnsi="Arial Narrow" w:cs="Arial Narrow"/>
        </w:rPr>
        <w:t>10: 其他支持评价结论的相关资料</w:t>
      </w:r>
    </w:p>
    <w:p>
      <w:pPr>
        <w:snapToGrid w:val="0"/>
        <w:ind w:firstLine="480"/>
        <w:rPr>
          <w:rFonts w:ascii="Arial Narrow" w:hAnsi="Arial Narrow" w:cs="Arial Narrow"/>
        </w:rPr>
      </w:pPr>
      <w:r>
        <w:rPr>
          <w:rFonts w:ascii="Arial Narrow" w:hAnsi="Arial Narrow" w:cs="Arial Narrow"/>
        </w:rPr>
        <w:t>11: 评价机构营业执照（复印件）</w:t>
      </w:r>
    </w:p>
    <w:p>
      <w:pPr>
        <w:snapToGrid w:val="0"/>
        <w:ind w:firstLine="480"/>
        <w:rPr>
          <w:rFonts w:ascii="Arial Narrow" w:hAnsi="Arial Narrow" w:cs="Arial Narrow"/>
        </w:rPr>
      </w:pPr>
      <w:r>
        <w:rPr>
          <w:rFonts w:ascii="Arial Narrow" w:hAnsi="Arial Narrow" w:cs="Arial Narrow"/>
        </w:rPr>
        <w:t>12: 相关评价人员执业证明文件（复印件）</w:t>
      </w:r>
    </w:p>
    <w:p>
      <w:pPr>
        <w:snapToGrid w:val="0"/>
        <w:ind w:firstLine="0" w:firstLineChars="0"/>
        <w:rPr>
          <w:rFonts w:ascii="Arial Narrow" w:hAnsi="Arial Narrow" w:cs="Arial Narrow"/>
        </w:rPr>
      </w:pPr>
    </w:p>
    <w:p>
      <w:pPr>
        <w:snapToGrid w:val="0"/>
        <w:ind w:firstLine="0" w:firstLineChars="0"/>
        <w:rPr>
          <w:rFonts w:ascii="Arial Narrow" w:hAnsi="Arial Narrow" w:cs="Arial Narrow"/>
        </w:rPr>
      </w:pPr>
    </w:p>
    <w:p>
      <w:pPr>
        <w:snapToGrid w:val="0"/>
        <w:ind w:firstLine="480"/>
        <w:jc w:val="right"/>
        <w:rPr>
          <w:rFonts w:ascii="Arial Narrow" w:hAnsi="Arial Narrow" w:cs="Arial Narrow"/>
        </w:rPr>
      </w:pPr>
    </w:p>
    <w:p>
      <w:pPr>
        <w:snapToGrid w:val="0"/>
        <w:ind w:firstLine="480"/>
        <w:jc w:val="right"/>
        <w:rPr>
          <w:rFonts w:ascii="Arial Narrow" w:hAnsi="Arial Narrow" w:cs="Arial Narrow"/>
        </w:rPr>
      </w:pPr>
      <w:r>
        <w:rPr>
          <w:rFonts w:ascii="Arial Narrow" w:hAnsi="Arial Narrow" w:cs="Arial Narrow"/>
        </w:rPr>
        <w:t>致同会计师事务所（特殊普通合伙）</w:t>
      </w:r>
    </w:p>
    <w:p>
      <w:pPr>
        <w:snapToGrid w:val="0"/>
        <w:ind w:firstLine="480"/>
        <w:jc w:val="center"/>
        <w:rPr>
          <w:rFonts w:ascii="Arial Narrow" w:hAnsi="Arial Narrow" w:cs="Arial Narrow"/>
        </w:rPr>
      </w:pPr>
      <w:r>
        <w:rPr>
          <w:rFonts w:ascii="Arial Narrow" w:hAnsi="Arial Narrow" w:cs="Arial Narrow"/>
        </w:rPr>
        <w:t xml:space="preserve">                                                          武汉分所</w:t>
      </w:r>
    </w:p>
    <w:p>
      <w:pPr>
        <w:snapToGrid w:val="0"/>
        <w:ind w:firstLine="480"/>
        <w:jc w:val="right"/>
        <w:rPr>
          <w:rFonts w:ascii="Arial Narrow" w:hAnsi="Arial Narrow" w:cs="Arial Narrow"/>
        </w:rPr>
      </w:pPr>
      <w:r>
        <w:rPr>
          <w:rFonts w:ascii="Arial Narrow" w:hAnsi="Arial Narrow" w:cs="Arial Narrow"/>
        </w:rPr>
        <w:t xml:space="preserve"> 2018年5月</w:t>
      </w:r>
      <w:r>
        <w:rPr>
          <w:rFonts w:hint="eastAsia" w:ascii="Arial Narrow" w:hAnsi="Arial Narrow" w:cs="Arial Narrow"/>
        </w:rPr>
        <w:t>31</w:t>
      </w:r>
      <w:r>
        <w:rPr>
          <w:rFonts w:ascii="Arial Narrow" w:hAnsi="Arial Narrow" w:cs="Arial Narrow"/>
        </w:rPr>
        <w:t>日</w:t>
      </w:r>
    </w:p>
    <w:p>
      <w:pPr>
        <w:snapToGrid w:val="0"/>
        <w:ind w:firstLine="480"/>
        <w:jc w:val="right"/>
        <w:rPr>
          <w:rFonts w:ascii="Arial Narrow" w:hAnsi="Arial Narrow" w:cs="Arial Narrow"/>
        </w:rPr>
      </w:pPr>
    </w:p>
    <w:p>
      <w:pPr>
        <w:ind w:firstLine="0" w:firstLineChars="0"/>
        <w:rPr>
          <w:rFonts w:ascii="Arial Narrow" w:hAnsi="Arial Narrow"/>
        </w:rPr>
      </w:pPr>
    </w:p>
    <w:sectPr>
      <w:headerReference r:id="rId9" w:type="default"/>
      <w:footerReference r:id="rId10" w:type="default"/>
      <w:pgSz w:w="11906" w:h="16838"/>
      <w:pgMar w:top="2835" w:right="1417" w:bottom="1417" w:left="1984" w:header="1417"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swiss"/>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1"/>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210" w:firstLineChars="100"/>
      <w:jc w:val="center"/>
      <w:rPr>
        <w:rStyle w:val="12"/>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1</w:t>
    </w:r>
    <w:r>
      <w:rPr>
        <w:rFonts w:ascii="Arial Narrow" w:hAnsi="Arial Narrow"/>
        <w:sz w:val="21"/>
        <w:szCs w:val="21"/>
      </w:rPr>
      <w:fldChar w:fldCharType="end"/>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pPr>
    <w:r>
      <mc:AlternateContent>
        <mc:Choice Requires="wps">
          <w:drawing>
            <wp:anchor distT="0" distB="0" distL="114300" distR="114300" simplePos="0" relativeHeight="251660288"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906905" cy="945515"/>
                      </a:xfrm>
                      <a:prstGeom prst="rect">
                        <a:avLst/>
                      </a:prstGeom>
                      <a:noFill/>
                      <a:ln>
                        <a:noFill/>
                      </a:ln>
                      <a:effectLst/>
                    </wps:spPr>
                    <wps:txb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9.05pt;margin-top:39.95pt;height:74.45pt;width:150.15pt;mso-position-horizontal-relative:page;mso-position-vertical-relative:page;z-index:251660288;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zMPDbAAAACwEAAA8AAAAAAAAAAQAgAAAAIgAAAGRycy9kb3ducmV2Lnht&#10;bFBLAQIUABQAAAAIAIdO4kAF+aiL9gEAAMoDAAAOAAAAAAAAAAEAIAAAACoBAABkcnMvZTJvRG9j&#10;LnhtbFBLBQYAAAAABgAGAFkBAACSBQAAAAA=&#10;">
              <v:fill on="f" focussize="0,0"/>
              <v:stroke on="f"/>
              <v:imagedata o:title=""/>
              <o:lock v:ext="edit" aspectratio="f"/>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v:textbox>
            </v:rect>
          </w:pict>
        </mc:Fallback>
      </mc:AlternateContent>
    </w:r>
    <w:r>
      <w:drawing>
        <wp:anchor distT="0" distB="0" distL="114300" distR="114300" simplePos="0" relativeHeight="251659264" behindDoc="0" locked="0" layoutInCell="1" allowOverlap="1">
          <wp:simplePos x="0" y="0"/>
          <wp:positionH relativeFrom="page">
            <wp:posOffset>1047750</wp:posOffset>
          </wp:positionH>
          <wp:positionV relativeFrom="page">
            <wp:posOffset>447675</wp:posOffset>
          </wp:positionV>
          <wp:extent cx="2200275" cy="638175"/>
          <wp:effectExtent l="0" t="0" r="952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027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C7C3E"/>
    <w:multiLevelType w:val="singleLevel"/>
    <w:tmpl w:val="AF8C7C3E"/>
    <w:lvl w:ilvl="0" w:tentative="0">
      <w:start w:val="4"/>
      <w:numFmt w:val="decimal"/>
      <w:suff w:val="space"/>
      <w:lvlText w:val="%1."/>
      <w:lvlJc w:val="left"/>
    </w:lvl>
  </w:abstractNum>
  <w:abstractNum w:abstractNumId="1">
    <w:nsid w:val="12C24921"/>
    <w:multiLevelType w:val="singleLevel"/>
    <w:tmpl w:val="12C24921"/>
    <w:lvl w:ilvl="0" w:tentative="0">
      <w:start w:val="1"/>
      <w:numFmt w:val="decimal"/>
      <w:suff w:val="nothing"/>
      <w:lvlText w:val="%1、"/>
      <w:lvlJc w:val="left"/>
      <w:rPr>
        <w:rFonts w:ascii="Arial Narrow" w:hAnsi="Arial Narrow" w:eastAsia="仿宋_GB2312" w:cs="Arial Narrow"/>
      </w:rPr>
    </w:lvl>
  </w:abstractNum>
  <w:abstractNum w:abstractNumId="2">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27D25"/>
    <w:multiLevelType w:val="singleLevel"/>
    <w:tmpl w:val="58D27D25"/>
    <w:lvl w:ilvl="0" w:tentative="0">
      <w:start w:val="3"/>
      <w:numFmt w:val="chineseCounting"/>
      <w:suff w:val="nothing"/>
      <w:lvlText w:val="（%1）"/>
      <w:lvlJc w:val="left"/>
    </w:lvl>
  </w:abstractNum>
  <w:abstractNum w:abstractNumId="4">
    <w:nsid w:val="63E04FD8"/>
    <w:multiLevelType w:val="multilevel"/>
    <w:tmpl w:val="63E04FD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F7D990"/>
    <w:multiLevelType w:val="singleLevel"/>
    <w:tmpl w:val="74F7D990"/>
    <w:lvl w:ilvl="0" w:tentative="0">
      <w:start w:val="5"/>
      <w:numFmt w:val="decimal"/>
      <w:suff w:val="space"/>
      <w:lvlText w:val="%1."/>
      <w:lvlJc w:val="left"/>
      <w:pPr>
        <w:ind w:left="600" w:firstLine="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5A"/>
    <w:rsid w:val="000129D3"/>
    <w:rsid w:val="000369BA"/>
    <w:rsid w:val="00051E1E"/>
    <w:rsid w:val="000603E6"/>
    <w:rsid w:val="00064AC1"/>
    <w:rsid w:val="0008558E"/>
    <w:rsid w:val="000A3B73"/>
    <w:rsid w:val="000A54FA"/>
    <w:rsid w:val="000F42E3"/>
    <w:rsid w:val="000F60AB"/>
    <w:rsid w:val="00117231"/>
    <w:rsid w:val="0012057A"/>
    <w:rsid w:val="00122B46"/>
    <w:rsid w:val="00132B1A"/>
    <w:rsid w:val="00161216"/>
    <w:rsid w:val="001645F0"/>
    <w:rsid w:val="001664EC"/>
    <w:rsid w:val="001772B8"/>
    <w:rsid w:val="00185735"/>
    <w:rsid w:val="001C5C05"/>
    <w:rsid w:val="001F5A88"/>
    <w:rsid w:val="001F6C06"/>
    <w:rsid w:val="002102B0"/>
    <w:rsid w:val="00211A64"/>
    <w:rsid w:val="00227A8E"/>
    <w:rsid w:val="002375FD"/>
    <w:rsid w:val="00241CA9"/>
    <w:rsid w:val="00273558"/>
    <w:rsid w:val="0027428C"/>
    <w:rsid w:val="002919A5"/>
    <w:rsid w:val="0029595A"/>
    <w:rsid w:val="002E05A5"/>
    <w:rsid w:val="002E28E7"/>
    <w:rsid w:val="0030171B"/>
    <w:rsid w:val="00302C04"/>
    <w:rsid w:val="003039DD"/>
    <w:rsid w:val="0034154F"/>
    <w:rsid w:val="00343B42"/>
    <w:rsid w:val="003559B2"/>
    <w:rsid w:val="0035615A"/>
    <w:rsid w:val="00357510"/>
    <w:rsid w:val="00360BA2"/>
    <w:rsid w:val="00361226"/>
    <w:rsid w:val="00382E11"/>
    <w:rsid w:val="003A1B48"/>
    <w:rsid w:val="003A330E"/>
    <w:rsid w:val="003C4616"/>
    <w:rsid w:val="003D0F50"/>
    <w:rsid w:val="003E01B1"/>
    <w:rsid w:val="003E052D"/>
    <w:rsid w:val="003F0712"/>
    <w:rsid w:val="0040293B"/>
    <w:rsid w:val="0044293C"/>
    <w:rsid w:val="00480C3C"/>
    <w:rsid w:val="004E7F29"/>
    <w:rsid w:val="00517587"/>
    <w:rsid w:val="00526805"/>
    <w:rsid w:val="0053208B"/>
    <w:rsid w:val="00536D17"/>
    <w:rsid w:val="00547F0B"/>
    <w:rsid w:val="00565F72"/>
    <w:rsid w:val="0059515F"/>
    <w:rsid w:val="005B6A7F"/>
    <w:rsid w:val="005C09AC"/>
    <w:rsid w:val="005C542E"/>
    <w:rsid w:val="005E6B82"/>
    <w:rsid w:val="00614024"/>
    <w:rsid w:val="00660E9B"/>
    <w:rsid w:val="006703BC"/>
    <w:rsid w:val="006870DD"/>
    <w:rsid w:val="00690612"/>
    <w:rsid w:val="006A4CED"/>
    <w:rsid w:val="006C355B"/>
    <w:rsid w:val="006C470A"/>
    <w:rsid w:val="006C6DE3"/>
    <w:rsid w:val="006C7839"/>
    <w:rsid w:val="006C7C82"/>
    <w:rsid w:val="006D438C"/>
    <w:rsid w:val="006D76F7"/>
    <w:rsid w:val="006F4025"/>
    <w:rsid w:val="00712013"/>
    <w:rsid w:val="00713684"/>
    <w:rsid w:val="00724A97"/>
    <w:rsid w:val="00734417"/>
    <w:rsid w:val="00755483"/>
    <w:rsid w:val="00792027"/>
    <w:rsid w:val="00806503"/>
    <w:rsid w:val="00841E29"/>
    <w:rsid w:val="00845466"/>
    <w:rsid w:val="00850BBB"/>
    <w:rsid w:val="0088512A"/>
    <w:rsid w:val="00897887"/>
    <w:rsid w:val="008A1738"/>
    <w:rsid w:val="008B2160"/>
    <w:rsid w:val="008B2FF7"/>
    <w:rsid w:val="008C63F4"/>
    <w:rsid w:val="008D4AB5"/>
    <w:rsid w:val="008D4C50"/>
    <w:rsid w:val="008E46F2"/>
    <w:rsid w:val="008F0BCF"/>
    <w:rsid w:val="00906E8E"/>
    <w:rsid w:val="00911458"/>
    <w:rsid w:val="009123FF"/>
    <w:rsid w:val="00923DD3"/>
    <w:rsid w:val="00932214"/>
    <w:rsid w:val="009622ED"/>
    <w:rsid w:val="0097314C"/>
    <w:rsid w:val="009871F7"/>
    <w:rsid w:val="00997EA0"/>
    <w:rsid w:val="009B6B2D"/>
    <w:rsid w:val="009D2E71"/>
    <w:rsid w:val="009E2468"/>
    <w:rsid w:val="00A04384"/>
    <w:rsid w:val="00A23D6B"/>
    <w:rsid w:val="00A26E29"/>
    <w:rsid w:val="00A727F6"/>
    <w:rsid w:val="00A94C77"/>
    <w:rsid w:val="00AA6666"/>
    <w:rsid w:val="00AC1E80"/>
    <w:rsid w:val="00AE2DA3"/>
    <w:rsid w:val="00B06E59"/>
    <w:rsid w:val="00B32B09"/>
    <w:rsid w:val="00B44A19"/>
    <w:rsid w:val="00B82897"/>
    <w:rsid w:val="00B97E52"/>
    <w:rsid w:val="00BE499F"/>
    <w:rsid w:val="00BE4E77"/>
    <w:rsid w:val="00BF21E6"/>
    <w:rsid w:val="00C04D72"/>
    <w:rsid w:val="00C1696E"/>
    <w:rsid w:val="00C27E21"/>
    <w:rsid w:val="00C3073A"/>
    <w:rsid w:val="00C448FC"/>
    <w:rsid w:val="00C549B5"/>
    <w:rsid w:val="00C8258E"/>
    <w:rsid w:val="00C9197C"/>
    <w:rsid w:val="00CA15C4"/>
    <w:rsid w:val="00CA659E"/>
    <w:rsid w:val="00CE3DC4"/>
    <w:rsid w:val="00D4306C"/>
    <w:rsid w:val="00D46856"/>
    <w:rsid w:val="00D60771"/>
    <w:rsid w:val="00D71C46"/>
    <w:rsid w:val="00DD0D6E"/>
    <w:rsid w:val="00DE739F"/>
    <w:rsid w:val="00E37E18"/>
    <w:rsid w:val="00E500C0"/>
    <w:rsid w:val="00E853F8"/>
    <w:rsid w:val="00EB4531"/>
    <w:rsid w:val="00EC7295"/>
    <w:rsid w:val="00EC754D"/>
    <w:rsid w:val="00F01A86"/>
    <w:rsid w:val="00F248BC"/>
    <w:rsid w:val="00F30905"/>
    <w:rsid w:val="00F43012"/>
    <w:rsid w:val="00F5236B"/>
    <w:rsid w:val="00F70F79"/>
    <w:rsid w:val="00FA3A01"/>
    <w:rsid w:val="00FB5E7E"/>
    <w:rsid w:val="00FF144E"/>
    <w:rsid w:val="00FF344F"/>
    <w:rsid w:val="0402463F"/>
    <w:rsid w:val="08BF4B46"/>
    <w:rsid w:val="0BE830EC"/>
    <w:rsid w:val="1BCE3883"/>
    <w:rsid w:val="1CE574E1"/>
    <w:rsid w:val="25AD048B"/>
    <w:rsid w:val="26BC2BF6"/>
    <w:rsid w:val="2F444F9C"/>
    <w:rsid w:val="341D693F"/>
    <w:rsid w:val="3A800A46"/>
    <w:rsid w:val="3B8A02D2"/>
    <w:rsid w:val="3BD1137F"/>
    <w:rsid w:val="3CC66070"/>
    <w:rsid w:val="3DFF648A"/>
    <w:rsid w:val="40255EFA"/>
    <w:rsid w:val="426E28CC"/>
    <w:rsid w:val="453E0208"/>
    <w:rsid w:val="48E702A1"/>
    <w:rsid w:val="57AA5D17"/>
    <w:rsid w:val="618001A2"/>
    <w:rsid w:val="63506B82"/>
    <w:rsid w:val="65911B44"/>
    <w:rsid w:val="7B405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3"/>
    <w:basedOn w:val="1"/>
    <w:next w:val="1"/>
    <w:link w:val="18"/>
    <w:qFormat/>
    <w:uiPriority w:val="0"/>
    <w:pPr>
      <w:keepNext/>
      <w:keepLines/>
      <w:ind w:firstLine="0" w:firstLineChars="0"/>
      <w:jc w:val="left"/>
      <w:outlineLvl w:val="2"/>
    </w:pPr>
    <w:rPr>
      <w:b/>
      <w:bCs/>
      <w:szCs w:val="32"/>
    </w:rPr>
  </w:style>
  <w:style w:type="character" w:default="1" w:styleId="11">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3"/>
    <w:semiHidden/>
    <w:unhideWhenUsed/>
    <w:qFormat/>
    <w:uiPriority w:val="99"/>
    <w:rPr>
      <w:b/>
      <w:bCs/>
    </w:rPr>
  </w:style>
  <w:style w:type="paragraph" w:styleId="4">
    <w:name w:val="annotation text"/>
    <w:basedOn w:val="1"/>
    <w:link w:val="22"/>
    <w:unhideWhenUsed/>
    <w:qFormat/>
    <w:uiPriority w:val="99"/>
    <w:pPr>
      <w:jc w:val="left"/>
    </w:pPr>
  </w:style>
  <w:style w:type="paragraph" w:styleId="5">
    <w:name w:val="toc 3"/>
    <w:basedOn w:val="1"/>
    <w:next w:val="1"/>
    <w:qFormat/>
    <w:uiPriority w:val="39"/>
    <w:pPr>
      <w:spacing w:line="300" w:lineRule="exact"/>
      <w:ind w:left="567"/>
      <w:jc w:val="left"/>
    </w:pPr>
    <w:rPr>
      <w:iCs/>
      <w:sz w:val="28"/>
      <w:szCs w:val="20"/>
    </w:rPr>
  </w:style>
  <w:style w:type="paragraph" w:styleId="6">
    <w:name w:val="Balloon Text"/>
    <w:basedOn w:val="1"/>
    <w:link w:val="20"/>
    <w:semiHidden/>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8"/>
      <w:szCs w:val="20"/>
    </w:rPr>
  </w:style>
  <w:style w:type="paragraph" w:styleId="10">
    <w:name w:val="toc 2"/>
    <w:basedOn w:val="1"/>
    <w:next w:val="1"/>
    <w:qFormat/>
    <w:uiPriority w:val="39"/>
    <w:pPr>
      <w:spacing w:line="300" w:lineRule="exact"/>
      <w:jc w:val="left"/>
    </w:pPr>
    <w:rPr>
      <w:smallCaps/>
      <w:sz w:val="28"/>
      <w:szCs w:val="20"/>
    </w:r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6">
    <w:name w:val="页眉 Char"/>
    <w:basedOn w:val="11"/>
    <w:link w:val="8"/>
    <w:qFormat/>
    <w:uiPriority w:val="0"/>
    <w:rPr>
      <w:sz w:val="18"/>
      <w:szCs w:val="18"/>
    </w:rPr>
  </w:style>
  <w:style w:type="character" w:customStyle="1" w:styleId="17">
    <w:name w:val="页脚 Char"/>
    <w:basedOn w:val="11"/>
    <w:link w:val="7"/>
    <w:qFormat/>
    <w:uiPriority w:val="99"/>
    <w:rPr>
      <w:sz w:val="18"/>
      <w:szCs w:val="18"/>
    </w:rPr>
  </w:style>
  <w:style w:type="character" w:customStyle="1" w:styleId="18">
    <w:name w:val="标题 3 Char"/>
    <w:basedOn w:val="11"/>
    <w:link w:val="2"/>
    <w:qFormat/>
    <w:uiPriority w:val="0"/>
    <w:rPr>
      <w:rFonts w:ascii="Times New Roman" w:hAnsi="Times New Roman" w:eastAsia="仿宋_GB2312" w:cs="Times New Roman"/>
      <w:b/>
      <w:bCs/>
      <w:sz w:val="24"/>
      <w:szCs w:val="32"/>
    </w:rPr>
  </w:style>
  <w:style w:type="paragraph" w:customStyle="1" w:styleId="19">
    <w:name w:val="列出段落1"/>
    <w:basedOn w:val="1"/>
    <w:qFormat/>
    <w:uiPriority w:val="34"/>
    <w:pPr>
      <w:widowControl/>
      <w:adjustRightInd w:val="0"/>
      <w:snapToGrid w:val="0"/>
      <w:spacing w:after="200" w:line="240" w:lineRule="auto"/>
      <w:ind w:firstLine="420"/>
      <w:jc w:val="left"/>
    </w:pPr>
    <w:rPr>
      <w:rFonts w:ascii="Tahoma" w:hAnsi="Tahoma" w:eastAsia="微软雅黑"/>
      <w:kern w:val="0"/>
      <w:sz w:val="22"/>
      <w:szCs w:val="22"/>
    </w:rPr>
  </w:style>
  <w:style w:type="character" w:customStyle="1" w:styleId="20">
    <w:name w:val="批注框文本 Char"/>
    <w:basedOn w:val="11"/>
    <w:link w:val="6"/>
    <w:semiHidden/>
    <w:qFormat/>
    <w:uiPriority w:val="99"/>
    <w:rPr>
      <w:rFonts w:ascii="Times New Roman" w:hAnsi="Times New Roman" w:eastAsia="仿宋_GB2312" w:cs="Times New Roman"/>
      <w:sz w:val="18"/>
      <w:szCs w:val="18"/>
    </w:rPr>
  </w:style>
  <w:style w:type="paragraph" w:styleId="21">
    <w:name w:val="List Paragraph"/>
    <w:basedOn w:val="1"/>
    <w:qFormat/>
    <w:uiPriority w:val="34"/>
    <w:pPr>
      <w:ind w:firstLine="420"/>
    </w:pPr>
  </w:style>
  <w:style w:type="character" w:customStyle="1" w:styleId="22">
    <w:name w:val="批注文字 Char"/>
    <w:basedOn w:val="11"/>
    <w:link w:val="4"/>
    <w:qFormat/>
    <w:uiPriority w:val="99"/>
    <w:rPr>
      <w:rFonts w:ascii="Times New Roman" w:hAnsi="Times New Roman" w:eastAsia="仿宋_GB2312" w:cs="Times New Roman"/>
      <w:kern w:val="2"/>
      <w:sz w:val="24"/>
      <w:szCs w:val="24"/>
    </w:rPr>
  </w:style>
  <w:style w:type="character" w:customStyle="1" w:styleId="23">
    <w:name w:val="批注主题 Char"/>
    <w:basedOn w:val="22"/>
    <w:link w:val="3"/>
    <w:semiHidden/>
    <w:qFormat/>
    <w:uiPriority w:val="99"/>
    <w:rPr>
      <w:rFonts w:ascii="Times New Roman" w:hAnsi="Times New Roman" w:eastAsia="仿宋_GB2312"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diagramColors" Target="diagrams/colors2.xml"/><Relationship Id="rId21" Type="http://schemas.openxmlformats.org/officeDocument/2006/relationships/diagramQuickStyle" Target="diagrams/quickStyle2.xml"/><Relationship Id="rId20" Type="http://schemas.openxmlformats.org/officeDocument/2006/relationships/diagramLayout" Target="diagrams/layout2.xml"/><Relationship Id="rId2" Type="http://schemas.openxmlformats.org/officeDocument/2006/relationships/settings" Target="settings.xml"/><Relationship Id="rId19" Type="http://schemas.openxmlformats.org/officeDocument/2006/relationships/diagramData" Target="diagrams/data2.xml"/><Relationship Id="rId18" Type="http://schemas.openxmlformats.org/officeDocument/2006/relationships/image" Target="media/image3.png"/><Relationship Id="rId17" Type="http://schemas.openxmlformats.org/officeDocument/2006/relationships/diagramColors" Target="diagrams/colors1.xml"/><Relationship Id="rId16" Type="http://schemas.openxmlformats.org/officeDocument/2006/relationships/diagramQuickStyle" Target="diagrams/quickStyle1.xml"/><Relationship Id="rId15" Type="http://schemas.openxmlformats.org/officeDocument/2006/relationships/diagramLayout" Target="diagrams/layout1.xml"/><Relationship Id="rId14" Type="http://schemas.openxmlformats.org/officeDocument/2006/relationships/diagramData" Target="diagrams/data1.xml"/><Relationship Id="rId13" Type="http://schemas.openxmlformats.org/officeDocument/2006/relationships/image" Target="media/image2.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资金使用情况</c:v>
                </c:pt>
              </c:strCache>
            </c:strRef>
          </c:tx>
          <c:explosion val="0"/>
          <c:dPt>
            <c:idx val="0"/>
            <c:bubble3D val="0"/>
          </c:dPt>
          <c:dPt>
            <c:idx val="1"/>
            <c:bubble3D val="0"/>
          </c:dPt>
          <c:dPt>
            <c:idx val="2"/>
            <c:bubble3D val="0"/>
          </c:dPt>
          <c:dPt>
            <c:idx val="3"/>
            <c:bubble3D val="0"/>
          </c:dPt>
          <c:dPt>
            <c:idx val="4"/>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日常运营</c:v>
                </c:pt>
                <c:pt idx="1">
                  <c:v>人员管理</c:v>
                </c:pt>
                <c:pt idx="2">
                  <c:v>资产购置</c:v>
                </c:pt>
                <c:pt idx="3">
                  <c:v>维修工程</c:v>
                </c:pt>
                <c:pt idx="4">
                  <c:v>办公及其他</c:v>
                </c:pt>
              </c:strCache>
            </c:strRef>
          </c:cat>
          <c:val>
            <c:numRef>
              <c:f>Sheet1!$B$2:$B$6</c:f>
              <c:numCache>
                <c:formatCode>General</c:formatCode>
                <c:ptCount val="5"/>
                <c:pt idx="0">
                  <c:v>1415130.99</c:v>
                </c:pt>
                <c:pt idx="1">
                  <c:v>645820</c:v>
                </c:pt>
                <c:pt idx="2">
                  <c:v>298430.4</c:v>
                </c:pt>
                <c:pt idx="3">
                  <c:v>234501.28</c:v>
                </c:pt>
                <c:pt idx="4">
                  <c:v>10949.2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endParaRPr lang="zh-CN" altLang="en-US"/>
        </a:p>
      </dgm:t>
    </dgm:pt>
    <dgm:pt modelId="{7D2CB469-A4CC-40FA-99F6-C4C66367721B}" cxnId="{6666FC02-9C8D-4DA8-94F5-983077957394}" type="sibTrans">
      <dgm:prSet/>
      <dgm:spPr/>
      <dgm:t>
        <a:bodyPr/>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9B9A4C03-4F04-4DD5-8DA3-2B9CEFDEEC64}" type="presOf" srcId="{0CB1D884-927A-4CD8-ADA4-973A535D4546}" destId="{C330E3A1-3D1D-4453-A315-50DA58578E8B}"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D8A8E51A-E2FE-4E0E-A107-1C4306373964}" type="presOf" srcId="{42B1CAFA-34EB-45A3-9248-7D2EFA1D06C6}" destId="{15B667A0-41D3-4D24-9402-E2D0A9F3193D}" srcOrd="0" destOrd="0" presId="urn:microsoft.com/office/officeart/2005/8/layout/lProcess3#1"/>
    <dgm:cxn modelId="{E849931F-E577-4A2C-BBD6-12E1B41CFB8F}" type="presOf" srcId="{15882016-B55C-44E9-8F1F-2EA976ABCA60}" destId="{6E8D7C1F-A22A-42B0-A090-A57413634287}"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DC24B69B-B775-4BEC-8FDE-65CC2FC9F69C}" type="presOf" srcId="{802CEB23-70DC-44EA-A221-D2B4F2AC6070}" destId="{3133D0F3-2920-497C-9B75-49DB36BD1C0F}" srcOrd="0" destOrd="0" presId="urn:microsoft.com/office/officeart/2005/8/layout/lProcess3#1"/>
    <dgm:cxn modelId="{C24ADC57-E4D4-4CFD-8AA4-8AF9378520A6}" srcId="{AE44D3A4-6643-4157-86EA-2E0899415F11}" destId="{ED222693-D855-4D4D-BFDE-6812A6E41E9C}" srcOrd="1" destOrd="0" parTransId="{ADEAD72F-D2CF-4287-9279-C31D0DCB7910}" sibTransId="{8EACE757-831E-4655-8450-6C7DC2935722}"/>
    <dgm:cxn modelId="{9039BC57-CC96-4B32-B42B-BB651741E847}" srcId="{4B7C27DC-5868-4F38-A9F2-056BB1C2E427}" destId="{AE44D3A4-6643-4157-86EA-2E0899415F11}" srcOrd="0" destOrd="0" parTransId="{5657338A-E5FA-4EF5-BD8A-D52F54EE1777}" sibTransId="{A07EC271-6073-4E00-B05E-681FAB7ADB1E}"/>
    <dgm:cxn modelId="{C2771D08-97DC-4F34-B17F-FE064AE696BF}" type="presOf" srcId="{ED222693-D855-4D4D-BFDE-6812A6E41E9C}" destId="{B8691B77-4694-4BFA-9DAF-40A313A447BB}"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7B06C769-68E6-4E9F-89C2-E59D969E9E2E}" type="presOf" srcId="{4B7C27DC-5868-4F38-A9F2-056BB1C2E427}" destId="{1B7179B6-C9DE-4BDA-8663-4B679997E5DA}" srcOrd="0" destOrd="0" presId="urn:microsoft.com/office/officeart/2005/8/layout/lProcess3#1"/>
    <dgm:cxn modelId="{188730DA-F63D-4D04-AC84-E24BCEA5C18F}" type="presOf" srcId="{AE44D3A4-6643-4157-86EA-2E0899415F11}" destId="{77482DA5-41E1-41D0-A9D6-79B1CCF7F452}" srcOrd="0" destOrd="0" presId="urn:microsoft.com/office/officeart/2005/8/layout/lProcess3#1"/>
    <dgm:cxn modelId="{80CAF495-9C63-4BEF-8EDB-BA70CF487AD9}" type="presParOf" srcId="{1B7179B6-C9DE-4BDA-8663-4B679997E5DA}" destId="{3F78EC4B-0C67-44FB-979D-2F5321EED4DA}" srcOrd="0" destOrd="0" presId="urn:microsoft.com/office/officeart/2005/8/layout/lProcess3#1"/>
    <dgm:cxn modelId="{EA188CF6-BEAA-430C-92FF-CC9637DBF34B}" type="presParOf" srcId="{3F78EC4B-0C67-44FB-979D-2F5321EED4DA}" destId="{77482DA5-41E1-41D0-A9D6-79B1CCF7F452}" srcOrd="0" destOrd="0" presId="urn:microsoft.com/office/officeart/2005/8/layout/lProcess3#1"/>
    <dgm:cxn modelId="{BA25E2F0-3ECD-49FC-B957-8364F1B8B0AF}" type="presParOf" srcId="{3F78EC4B-0C67-44FB-979D-2F5321EED4DA}" destId="{A94D0795-03CA-49E3-BD5E-7CA45A077131}" srcOrd="1" destOrd="0" presId="urn:microsoft.com/office/officeart/2005/8/layout/lProcess3#1"/>
    <dgm:cxn modelId="{D6E910CE-CA2F-4CCF-900D-659331D84265}" type="presParOf" srcId="{3F78EC4B-0C67-44FB-979D-2F5321EED4DA}" destId="{6E8D7C1F-A22A-42B0-A090-A57413634287}" srcOrd="2" destOrd="0" presId="urn:microsoft.com/office/officeart/2005/8/layout/lProcess3#1"/>
    <dgm:cxn modelId="{C3E3D3FE-0A60-4B01-9B3B-D9B294D0DC46}" type="presParOf" srcId="{3F78EC4B-0C67-44FB-979D-2F5321EED4DA}" destId="{CFC898DE-59DC-4028-BA1D-378513CCEA10}" srcOrd="3" destOrd="0" presId="urn:microsoft.com/office/officeart/2005/8/layout/lProcess3#1"/>
    <dgm:cxn modelId="{6749BAA9-D279-47AD-A965-3FBA14672902}" type="presParOf" srcId="{3F78EC4B-0C67-44FB-979D-2F5321EED4DA}" destId="{B8691B77-4694-4BFA-9DAF-40A313A447BB}" srcOrd="4" destOrd="0" presId="urn:microsoft.com/office/officeart/2005/8/layout/lProcess3#1"/>
    <dgm:cxn modelId="{AAD3E722-269F-4ADF-B939-3C62A49F29A3}" type="presParOf" srcId="{3F78EC4B-0C67-44FB-979D-2F5321EED4DA}" destId="{1751DC88-55FC-4BBC-AEEB-04B17C466DA1}" srcOrd="5" destOrd="0" presId="urn:microsoft.com/office/officeart/2005/8/layout/lProcess3#1"/>
    <dgm:cxn modelId="{649C8270-2B80-487F-BA37-B75D59D09C31}" type="presParOf" srcId="{3F78EC4B-0C67-44FB-979D-2F5321EED4DA}" destId="{C330E3A1-3D1D-4453-A315-50DA58578E8B}" srcOrd="6" destOrd="0" presId="urn:microsoft.com/office/officeart/2005/8/layout/lProcess3#1"/>
    <dgm:cxn modelId="{2921B27F-006F-4FB9-B49B-DDADEE98472E}" type="presParOf" srcId="{3F78EC4B-0C67-44FB-979D-2F5321EED4DA}" destId="{498544C9-6F56-4FBB-A67B-E4A4562CC411}" srcOrd="7" destOrd="0" presId="urn:microsoft.com/office/officeart/2005/8/layout/lProcess3#1"/>
    <dgm:cxn modelId="{08ED8471-3F23-4122-9373-72A1F4111090}" type="presParOf" srcId="{3F78EC4B-0C67-44FB-979D-2F5321EED4DA}" destId="{15B667A0-41D3-4D24-9402-E2D0A9F3193D}" srcOrd="8" destOrd="0" presId="urn:microsoft.com/office/officeart/2005/8/layout/lProcess3#1"/>
    <dgm:cxn modelId="{27122629-06C5-4AE7-955C-7DF768756074}" type="presParOf" srcId="{3F78EC4B-0C67-44FB-979D-2F5321EED4DA}" destId="{8A99CEBA-B231-4BAF-A04C-18FDE9C4FB8D}" srcOrd="9" destOrd="0" presId="urn:microsoft.com/office/officeart/2005/8/layout/lProcess3#1"/>
    <dgm:cxn modelId="{8739142F-3A85-47CE-82EB-2A7AF784DB1B}" type="presParOf" srcId="{3F78EC4B-0C67-44FB-979D-2F5321EED4DA}" destId="{3133D0F3-2920-497C-9B75-49DB36BD1C0F}" srcOrd="10" destOrd="0" presId="urn:microsoft.com/office/officeart/2005/8/layout/lProcess3#1"/>
  </dgm:cxnLst>
  <dgm:bg/>
  <dgm:whole/>
</dgm:dataModel>
</file>

<file path=word/diagrams/data2.xml><?xml version="1.0" encoding="utf-8"?>
<dgm:dataModel xmlns:dgm="http://schemas.openxmlformats.org/drawingml/2006/diagram" xmlns:a="http://schemas.openxmlformats.org/drawingml/2006/main">
  <dgm:ptLst>
    <dgm:pt modelId="{C23BE08D-D3D0-4BD5-A919-C335E436EC12}" type="doc">
      <dgm:prSet loTypeId="urn:microsoft.com/office/officeart/2005/8/layout/orgChart1#1" loCatId="hierarchy" qsTypeId="urn:microsoft.com/office/officeart/2005/8/quickstyle/simple1#1" qsCatId="simple" csTypeId="urn:microsoft.com/office/officeart/2005/8/colors/accent1_2#1" csCatId="accent1"/>
      <dgm:spPr/>
    </dgm:pt>
    <dgm:pt modelId="{983329AD-A129-49C3-B8C1-3624962C7C7B}">
      <dgm:prSet/>
      <dgm:spPr/>
      <dgm:t>
        <a:bodyPr/>
        <a:p>
          <a:pPr marR="0" algn="ctr" rtl="0"/>
          <a:r>
            <a:rPr lang="zh-CN" altLang="en-US" b="0" i="0" u="none" strike="noStrike" kern="100" baseline="0" smtClean="0">
              <a:latin typeface="Calibri" panose="020F0502020204030204"/>
              <a:ea typeface="宋体" panose="02010600030101010101" charset="-122"/>
            </a:rPr>
            <a:t>评价</a:t>
          </a:r>
          <a:endParaRPr lang="zh-CN" altLang="en-US" b="0" i="0" u="none" strike="noStrike" kern="100" baseline="0" smtClean="0">
            <a:latin typeface="Times New Roman" panose="02020603050405020304"/>
            <a:ea typeface="宋体" panose="02010600030101010101" charset="-122"/>
          </a:endParaRPr>
        </a:p>
        <a:p>
          <a:pPr marR="0" algn="ctr" rtl="0"/>
          <a:r>
            <a:rPr lang="zh-CN" altLang="en-US" b="0" i="0" u="none" strike="noStrike" kern="100" baseline="0" smtClean="0">
              <a:latin typeface="Calibri" panose="020F0502020204030204"/>
              <a:ea typeface="宋体" panose="02010600030101010101" charset="-122"/>
            </a:rPr>
            <a:t>方法</a:t>
          </a:r>
          <a:endParaRPr lang="zh-CN" altLang="en-US" smtClean="0"/>
        </a:p>
      </dgm:t>
    </dgm:pt>
    <dgm:pt modelId="{3BF53C82-1253-478A-80E0-7D90D08FD648}" cxnId="{5A257265-1D4F-4C17-BB98-D3BC8535ADB6}" type="parTrans">
      <dgm:prSet/>
      <dgm:spPr/>
      <dgm:t>
        <a:bodyPr/>
        <a:p>
          <a:endParaRPr lang="zh-CN" altLang="en-US"/>
        </a:p>
      </dgm:t>
    </dgm:pt>
    <dgm:pt modelId="{A772CBFD-7A85-4D95-AECF-9C063703E34D}" cxnId="{5A257265-1D4F-4C17-BB98-D3BC8535ADB6}" type="sibTrans">
      <dgm:prSet/>
      <dgm:spPr/>
      <dgm:t>
        <a:bodyPr/>
        <a:p>
          <a:endParaRPr lang="zh-CN" altLang="en-US"/>
        </a:p>
      </dgm:t>
    </dgm:pt>
    <dgm:pt modelId="{2E458298-F5CD-406A-8E45-CF20456957C0}">
      <dgm:prSet/>
      <dgm:spPr/>
      <dgm:t>
        <a:bodyPr/>
        <a:p>
          <a:pPr marR="0" algn="ctr" rtl="0"/>
          <a:r>
            <a:rPr lang="zh-CN" altLang="en-US" b="0" i="0" u="none" strike="noStrike" kern="100" baseline="0" smtClean="0">
              <a:latin typeface="Calibri" panose="020F0502020204030204"/>
              <a:ea typeface="宋体" panose="02010600030101010101" charset="-122"/>
            </a:rPr>
            <a:t>权重</a:t>
          </a:r>
          <a:endParaRPr lang="zh-CN" altLang="en-US" b="0" i="0" u="none" strike="noStrike" kern="100" baseline="0" smtClean="0">
            <a:latin typeface="Times New Roman" panose="02020603050405020304"/>
            <a:ea typeface="宋体" panose="02010600030101010101" charset="-122"/>
          </a:endParaRPr>
        </a:p>
        <a:p>
          <a:pPr marR="0" algn="ctr" rtl="0"/>
          <a:r>
            <a:rPr lang="zh-CN" altLang="en-US" b="0" i="0" u="none" strike="noStrike" kern="100" baseline="0" smtClean="0">
              <a:latin typeface="Calibri" panose="020F0502020204030204"/>
              <a:ea typeface="宋体" panose="02010600030101010101" charset="-122"/>
            </a:rPr>
            <a:t>确定方法</a:t>
          </a:r>
          <a:endParaRPr lang="zh-CN" altLang="en-US" smtClean="0"/>
        </a:p>
      </dgm:t>
    </dgm:pt>
    <dgm:pt modelId="{E5F9C847-B2B0-4502-820F-B1217CC84393}" cxnId="{5C37D9F4-E143-4F7F-923B-AF20B25D4CCE}" type="parTrans">
      <dgm:prSet/>
      <dgm:spPr/>
      <dgm:t>
        <a:bodyPr/>
        <a:p>
          <a:endParaRPr lang="zh-CN" altLang="en-US"/>
        </a:p>
      </dgm:t>
    </dgm:pt>
    <dgm:pt modelId="{8A967241-758D-4331-8341-53FF7DFF4DCD}" cxnId="{5C37D9F4-E143-4F7F-923B-AF20B25D4CCE}" type="sibTrans">
      <dgm:prSet/>
      <dgm:spPr/>
      <dgm:t>
        <a:bodyPr/>
        <a:p>
          <a:endParaRPr lang="zh-CN" altLang="en-US"/>
        </a:p>
      </dgm:t>
    </dgm:pt>
    <dgm:pt modelId="{675403BD-F982-42A9-9B1A-3980B483EE35}">
      <dgm:prSet/>
      <dgm:spPr/>
      <dgm:t>
        <a:bodyPr/>
        <a:p>
          <a:pPr marR="0" algn="ctr" rtl="0"/>
          <a:r>
            <a:rPr lang="zh-CN" altLang="en-US" b="0" i="0" u="none" strike="noStrike" kern="100" baseline="0" smtClean="0">
              <a:latin typeface="Calibri" panose="020F0502020204030204"/>
              <a:ea typeface="宋体" panose="02010600030101010101" charset="-122"/>
            </a:rPr>
            <a:t>标准值</a:t>
          </a:r>
          <a:endParaRPr lang="zh-CN" altLang="en-US" b="0" i="0" u="none" strike="noStrike" kern="100" baseline="0" smtClean="0">
            <a:latin typeface="Times New Roman" panose="02020603050405020304"/>
            <a:ea typeface="宋体" panose="02010600030101010101" charset="-122"/>
          </a:endParaRPr>
        </a:p>
        <a:p>
          <a:pPr marR="0" algn="ctr" rtl="0"/>
          <a:r>
            <a:rPr lang="zh-CN" altLang="en-US" b="0" i="0" u="none" strike="noStrike" kern="100" baseline="0" smtClean="0">
              <a:latin typeface="Calibri" panose="020F0502020204030204"/>
              <a:ea typeface="宋体" panose="02010600030101010101" charset="-122"/>
            </a:rPr>
            <a:t>确定方法</a:t>
          </a:r>
          <a:endParaRPr lang="zh-CN" altLang="en-US" smtClean="0"/>
        </a:p>
      </dgm:t>
    </dgm:pt>
    <dgm:pt modelId="{6DFE7C65-530A-4A6B-A701-8226C82761EC}" cxnId="{2BFD0A51-5E21-492F-A555-382DA4D39548}" type="parTrans">
      <dgm:prSet/>
      <dgm:spPr/>
      <dgm:t>
        <a:bodyPr/>
        <a:p>
          <a:endParaRPr lang="zh-CN" altLang="en-US"/>
        </a:p>
      </dgm:t>
    </dgm:pt>
    <dgm:pt modelId="{47E116BA-AE9B-443B-944E-08F8AE10D823}" cxnId="{2BFD0A51-5E21-492F-A555-382DA4D39548}" type="sibTrans">
      <dgm:prSet/>
      <dgm:spPr/>
      <dgm:t>
        <a:bodyPr/>
        <a:p>
          <a:endParaRPr lang="zh-CN" altLang="en-US"/>
        </a:p>
      </dgm:t>
    </dgm:pt>
    <dgm:pt modelId="{1AC75F62-8F7C-4BEB-A73B-C875092A9929}">
      <dgm:prSet/>
      <dgm:spPr/>
      <dgm:t>
        <a:bodyPr/>
        <a:p>
          <a:pPr marR="0" algn="ctr" rtl="0"/>
          <a:r>
            <a:rPr lang="zh-CN" altLang="en-US" b="0" i="0" u="none" strike="noStrike" kern="100" baseline="0" smtClean="0">
              <a:latin typeface="Calibri" panose="020F0502020204030204"/>
              <a:ea typeface="宋体" panose="02010600030101010101" charset="-122"/>
            </a:rPr>
            <a:t>指标</a:t>
          </a:r>
          <a:endParaRPr lang="zh-CN" altLang="en-US" b="0" i="0" u="none" strike="noStrike" kern="100" baseline="0" smtClean="0">
            <a:latin typeface="Times New Roman" panose="02020603050405020304"/>
            <a:ea typeface="宋体" panose="02010600030101010101" charset="-122"/>
          </a:endParaRPr>
        </a:p>
        <a:p>
          <a:pPr marR="0" algn="ctr" rtl="0"/>
          <a:r>
            <a:rPr lang="zh-CN" altLang="en-US" b="0" i="0" u="none" strike="noStrike" kern="100" baseline="0" smtClean="0">
              <a:latin typeface="Calibri" panose="020F0502020204030204"/>
              <a:ea typeface="宋体" panose="02010600030101010101" charset="-122"/>
            </a:rPr>
            <a:t>计算方法</a:t>
          </a:r>
          <a:endParaRPr lang="zh-CN" altLang="en-US" smtClean="0"/>
        </a:p>
      </dgm:t>
    </dgm:pt>
    <dgm:pt modelId="{4FC81B9A-A6D1-41D8-9445-CC342FFD6CFE}" cxnId="{2A9612D9-11C6-4015-A765-9C7ED8EC6F9E}" type="parTrans">
      <dgm:prSet/>
      <dgm:spPr/>
      <dgm:t>
        <a:bodyPr/>
        <a:p>
          <a:endParaRPr lang="zh-CN" altLang="en-US"/>
        </a:p>
      </dgm:t>
    </dgm:pt>
    <dgm:pt modelId="{9FBFBFE8-2480-43AC-B74A-B9519DD42996}" cxnId="{2A9612D9-11C6-4015-A765-9C7ED8EC6F9E}" type="sibTrans">
      <dgm:prSet/>
      <dgm:spPr/>
      <dgm:t>
        <a:bodyPr/>
        <a:p>
          <a:endParaRPr lang="zh-CN" altLang="en-US"/>
        </a:p>
      </dgm:t>
    </dgm:pt>
    <dgm:pt modelId="{C1C9E533-5A22-438E-8686-3B657E9C7C59}">
      <dgm:prSet/>
      <dgm:spPr/>
      <dgm:t>
        <a:bodyPr/>
        <a:p>
          <a:pPr marR="0" algn="ctr" rtl="0"/>
          <a:r>
            <a:rPr lang="zh-CN" altLang="en-US" b="0" i="0" u="none" strike="noStrike" kern="100" baseline="0" smtClean="0">
              <a:latin typeface="Calibri" panose="020F0502020204030204"/>
              <a:ea typeface="宋体" panose="02010600030101010101" charset="-122"/>
            </a:rPr>
            <a:t>综合</a:t>
          </a:r>
          <a:endParaRPr lang="zh-CN" altLang="en-US" b="0" i="0" u="none" strike="noStrike" kern="100" baseline="0" smtClean="0">
            <a:latin typeface="Times New Roman" panose="02020603050405020304"/>
            <a:ea typeface="宋体" panose="02010600030101010101" charset="-122"/>
          </a:endParaRPr>
        </a:p>
        <a:p>
          <a:pPr marR="0" algn="ctr" rtl="0"/>
          <a:r>
            <a:rPr lang="zh-CN" altLang="en-US" b="0" i="0" u="none" strike="noStrike" kern="100" baseline="0" smtClean="0">
              <a:latin typeface="Calibri" panose="020F0502020204030204"/>
              <a:ea typeface="宋体" panose="02010600030101010101" charset="-122"/>
            </a:rPr>
            <a:t>评分方法</a:t>
          </a:r>
          <a:endParaRPr lang="zh-CN" altLang="en-US" smtClean="0"/>
        </a:p>
      </dgm:t>
    </dgm:pt>
    <dgm:pt modelId="{0F0B5D6D-DD6C-4980-9F72-9A9AE0D8EDCC}" cxnId="{CEBD9D93-A054-4D01-B75F-558E161C8CB4}" type="parTrans">
      <dgm:prSet/>
      <dgm:spPr/>
      <dgm:t>
        <a:bodyPr/>
        <a:p>
          <a:endParaRPr lang="zh-CN" altLang="en-US"/>
        </a:p>
      </dgm:t>
    </dgm:pt>
    <dgm:pt modelId="{7E44E7DB-3B35-494B-900D-5BF3F90E50A1}" cxnId="{CEBD9D93-A054-4D01-B75F-558E161C8CB4}" type="sibTrans">
      <dgm:prSet/>
      <dgm:spPr/>
      <dgm:t>
        <a:bodyPr/>
        <a:p>
          <a:endParaRPr lang="zh-CN" altLang="en-US"/>
        </a:p>
      </dgm:t>
    </dgm:pt>
    <dgm:pt modelId="{238E62A2-A525-4876-94A8-D4F4A00D377E}" type="pres">
      <dgm:prSet presAssocID="{C23BE08D-D3D0-4BD5-A919-C335E436EC12}" presName="hierChild1" presStyleCnt="0">
        <dgm:presLayoutVars>
          <dgm:orgChart val="1"/>
          <dgm:chPref val="1"/>
          <dgm:dir/>
          <dgm:animOne val="branch"/>
          <dgm:animLvl val="lvl"/>
          <dgm:resizeHandles/>
        </dgm:presLayoutVars>
      </dgm:prSet>
      <dgm:spPr/>
    </dgm:pt>
    <dgm:pt modelId="{5BBA5C15-53A3-45E6-8024-3C6E98923769}" type="pres">
      <dgm:prSet presAssocID="{983329AD-A129-49C3-B8C1-3624962C7C7B}" presName="hierRoot1" presStyleCnt="0">
        <dgm:presLayoutVars>
          <dgm:hierBranch/>
        </dgm:presLayoutVars>
      </dgm:prSet>
      <dgm:spPr/>
    </dgm:pt>
    <dgm:pt modelId="{0F3AAA4C-D22A-4F40-AB02-AF7FD3799CBD}" type="pres">
      <dgm:prSet presAssocID="{983329AD-A129-49C3-B8C1-3624962C7C7B}" presName="rootComposite1" presStyleCnt="0"/>
      <dgm:spPr/>
    </dgm:pt>
    <dgm:pt modelId="{480FF1B8-BC8C-47DF-AF5A-DB9E4D91BD6F}" type="pres">
      <dgm:prSet presAssocID="{983329AD-A129-49C3-B8C1-3624962C7C7B}" presName="rootText1" presStyleLbl="node0" presStyleIdx="0" presStyleCnt="1">
        <dgm:presLayoutVars>
          <dgm:chPref val="3"/>
        </dgm:presLayoutVars>
      </dgm:prSet>
      <dgm:spPr/>
      <dgm:t>
        <a:bodyPr/>
        <a:p>
          <a:endParaRPr lang="zh-CN" altLang="en-US"/>
        </a:p>
      </dgm:t>
    </dgm:pt>
    <dgm:pt modelId="{C01AB671-7F64-4297-9117-09CA6BAB5630}" type="pres">
      <dgm:prSet presAssocID="{983329AD-A129-49C3-B8C1-3624962C7C7B}" presName="rootConnector1" presStyleLbl="node1" presStyleIdx="0" presStyleCnt="0"/>
      <dgm:spPr/>
      <dgm:t>
        <a:bodyPr/>
        <a:p>
          <a:endParaRPr lang="zh-CN" altLang="en-US"/>
        </a:p>
      </dgm:t>
    </dgm:pt>
    <dgm:pt modelId="{756AA79A-BB27-41F2-9861-38D6EF4C24EF}" type="pres">
      <dgm:prSet presAssocID="{983329AD-A129-49C3-B8C1-3624962C7C7B}" presName="hierChild2" presStyleCnt="0"/>
      <dgm:spPr/>
    </dgm:pt>
    <dgm:pt modelId="{96AC0AF0-3905-485D-AC6A-210F74E638AE}" type="pres">
      <dgm:prSet presAssocID="{E5F9C847-B2B0-4502-820F-B1217CC84393}" presName="Name35" presStyleLbl="parChTrans1D2" presStyleIdx="0" presStyleCnt="4"/>
      <dgm:spPr/>
      <dgm:t>
        <a:bodyPr/>
        <a:p>
          <a:endParaRPr lang="zh-CN" altLang="en-US"/>
        </a:p>
      </dgm:t>
    </dgm:pt>
    <dgm:pt modelId="{90D72F8F-D38A-4B69-AF9E-799BD3545EB2}" type="pres">
      <dgm:prSet presAssocID="{2E458298-F5CD-406A-8E45-CF20456957C0}" presName="hierRoot2" presStyleCnt="0">
        <dgm:presLayoutVars>
          <dgm:hierBranch/>
        </dgm:presLayoutVars>
      </dgm:prSet>
      <dgm:spPr/>
    </dgm:pt>
    <dgm:pt modelId="{0A5AAFCC-B0E0-457A-9EEF-A387474C160E}" type="pres">
      <dgm:prSet presAssocID="{2E458298-F5CD-406A-8E45-CF20456957C0}" presName="rootComposite" presStyleCnt="0"/>
      <dgm:spPr/>
    </dgm:pt>
    <dgm:pt modelId="{3BD53ADD-1FF8-44EF-8288-63CF3517A3AD}" type="pres">
      <dgm:prSet presAssocID="{2E458298-F5CD-406A-8E45-CF20456957C0}" presName="rootText" presStyleLbl="node2" presStyleIdx="0" presStyleCnt="4">
        <dgm:presLayoutVars>
          <dgm:chPref val="3"/>
        </dgm:presLayoutVars>
      </dgm:prSet>
      <dgm:spPr/>
      <dgm:t>
        <a:bodyPr/>
        <a:p>
          <a:endParaRPr lang="zh-CN" altLang="en-US"/>
        </a:p>
      </dgm:t>
    </dgm:pt>
    <dgm:pt modelId="{30219961-A281-4208-9D34-CE5537283C7F}" type="pres">
      <dgm:prSet presAssocID="{2E458298-F5CD-406A-8E45-CF20456957C0}" presName="rootConnector" presStyleLbl="node2" presStyleIdx="0" presStyleCnt="4"/>
      <dgm:spPr/>
      <dgm:t>
        <a:bodyPr/>
        <a:p>
          <a:endParaRPr lang="zh-CN" altLang="en-US"/>
        </a:p>
      </dgm:t>
    </dgm:pt>
    <dgm:pt modelId="{C9176787-72AE-4411-B422-CE1460419059}" type="pres">
      <dgm:prSet presAssocID="{2E458298-F5CD-406A-8E45-CF20456957C0}" presName="hierChild4" presStyleCnt="0"/>
      <dgm:spPr/>
    </dgm:pt>
    <dgm:pt modelId="{04CC252F-BD94-4AF9-A463-E34B2468304F}" type="pres">
      <dgm:prSet presAssocID="{2E458298-F5CD-406A-8E45-CF20456957C0}" presName="hierChild5" presStyleCnt="0"/>
      <dgm:spPr/>
    </dgm:pt>
    <dgm:pt modelId="{E6D85E7F-0FC5-4631-B964-488CF294C501}" type="pres">
      <dgm:prSet presAssocID="{6DFE7C65-530A-4A6B-A701-8226C82761EC}" presName="Name35" presStyleLbl="parChTrans1D2" presStyleIdx="1" presStyleCnt="4"/>
      <dgm:spPr/>
      <dgm:t>
        <a:bodyPr/>
        <a:p>
          <a:endParaRPr lang="zh-CN" altLang="en-US"/>
        </a:p>
      </dgm:t>
    </dgm:pt>
    <dgm:pt modelId="{3E02339B-B28A-4D0C-80C8-5AD97A8F158C}" type="pres">
      <dgm:prSet presAssocID="{675403BD-F982-42A9-9B1A-3980B483EE35}" presName="hierRoot2" presStyleCnt="0">
        <dgm:presLayoutVars>
          <dgm:hierBranch/>
        </dgm:presLayoutVars>
      </dgm:prSet>
      <dgm:spPr/>
    </dgm:pt>
    <dgm:pt modelId="{5542CBC2-CF61-472F-A38B-2BC8D2933C6E}" type="pres">
      <dgm:prSet presAssocID="{675403BD-F982-42A9-9B1A-3980B483EE35}" presName="rootComposite" presStyleCnt="0"/>
      <dgm:spPr/>
    </dgm:pt>
    <dgm:pt modelId="{4122E29C-E356-4116-BAD8-825BAEA5985C}" type="pres">
      <dgm:prSet presAssocID="{675403BD-F982-42A9-9B1A-3980B483EE35}" presName="rootText" presStyleLbl="node2" presStyleIdx="1" presStyleCnt="4">
        <dgm:presLayoutVars>
          <dgm:chPref val="3"/>
        </dgm:presLayoutVars>
      </dgm:prSet>
      <dgm:spPr/>
      <dgm:t>
        <a:bodyPr/>
        <a:p>
          <a:endParaRPr lang="zh-CN" altLang="en-US"/>
        </a:p>
      </dgm:t>
    </dgm:pt>
    <dgm:pt modelId="{F0A5F3D8-78CA-46C1-AF98-4D21C11BD351}" type="pres">
      <dgm:prSet presAssocID="{675403BD-F982-42A9-9B1A-3980B483EE35}" presName="rootConnector" presStyleLbl="node2" presStyleIdx="1" presStyleCnt="4"/>
      <dgm:spPr/>
      <dgm:t>
        <a:bodyPr/>
        <a:p>
          <a:endParaRPr lang="zh-CN" altLang="en-US"/>
        </a:p>
      </dgm:t>
    </dgm:pt>
    <dgm:pt modelId="{F6846271-0AAC-4431-8E15-B9F36F7AE6C5}" type="pres">
      <dgm:prSet presAssocID="{675403BD-F982-42A9-9B1A-3980B483EE35}" presName="hierChild4" presStyleCnt="0"/>
      <dgm:spPr/>
    </dgm:pt>
    <dgm:pt modelId="{CA536636-A917-4FE7-8EA1-AE6E017BB86D}" type="pres">
      <dgm:prSet presAssocID="{675403BD-F982-42A9-9B1A-3980B483EE35}" presName="hierChild5" presStyleCnt="0"/>
      <dgm:spPr/>
    </dgm:pt>
    <dgm:pt modelId="{D0DD43A2-4E8C-4219-BB77-BDE4B27EACF6}" type="pres">
      <dgm:prSet presAssocID="{4FC81B9A-A6D1-41D8-9445-CC342FFD6CFE}" presName="Name35" presStyleLbl="parChTrans1D2" presStyleIdx="2" presStyleCnt="4"/>
      <dgm:spPr/>
      <dgm:t>
        <a:bodyPr/>
        <a:p>
          <a:endParaRPr lang="zh-CN" altLang="en-US"/>
        </a:p>
      </dgm:t>
    </dgm:pt>
    <dgm:pt modelId="{58EEB33B-9F6F-494E-98E0-236BC06D14C5}" type="pres">
      <dgm:prSet presAssocID="{1AC75F62-8F7C-4BEB-A73B-C875092A9929}" presName="hierRoot2" presStyleCnt="0">
        <dgm:presLayoutVars>
          <dgm:hierBranch/>
        </dgm:presLayoutVars>
      </dgm:prSet>
      <dgm:spPr/>
    </dgm:pt>
    <dgm:pt modelId="{E432B2F2-DCFD-4691-B174-EEC696D8C17B}" type="pres">
      <dgm:prSet presAssocID="{1AC75F62-8F7C-4BEB-A73B-C875092A9929}" presName="rootComposite" presStyleCnt="0"/>
      <dgm:spPr/>
    </dgm:pt>
    <dgm:pt modelId="{A2BB5189-A532-4689-AC46-C8CF8506712C}" type="pres">
      <dgm:prSet presAssocID="{1AC75F62-8F7C-4BEB-A73B-C875092A9929}" presName="rootText" presStyleLbl="node2" presStyleIdx="2" presStyleCnt="4">
        <dgm:presLayoutVars>
          <dgm:chPref val="3"/>
        </dgm:presLayoutVars>
      </dgm:prSet>
      <dgm:spPr/>
      <dgm:t>
        <a:bodyPr/>
        <a:p>
          <a:endParaRPr lang="zh-CN" altLang="en-US"/>
        </a:p>
      </dgm:t>
    </dgm:pt>
    <dgm:pt modelId="{7F36C44F-2BE4-4670-BD09-2B7DD820FE98}" type="pres">
      <dgm:prSet presAssocID="{1AC75F62-8F7C-4BEB-A73B-C875092A9929}" presName="rootConnector" presStyleLbl="node2" presStyleIdx="2" presStyleCnt="4"/>
      <dgm:spPr/>
      <dgm:t>
        <a:bodyPr/>
        <a:p>
          <a:endParaRPr lang="zh-CN" altLang="en-US"/>
        </a:p>
      </dgm:t>
    </dgm:pt>
    <dgm:pt modelId="{2877DE03-2ECD-499F-9DF3-14479C20535B}" type="pres">
      <dgm:prSet presAssocID="{1AC75F62-8F7C-4BEB-A73B-C875092A9929}" presName="hierChild4" presStyleCnt="0"/>
      <dgm:spPr/>
    </dgm:pt>
    <dgm:pt modelId="{69D499F4-7131-43B3-BAF7-27F314961DCC}" type="pres">
      <dgm:prSet presAssocID="{1AC75F62-8F7C-4BEB-A73B-C875092A9929}" presName="hierChild5" presStyleCnt="0"/>
      <dgm:spPr/>
    </dgm:pt>
    <dgm:pt modelId="{09805C06-23AB-4D61-8C88-7EAD0E935254}" type="pres">
      <dgm:prSet presAssocID="{0F0B5D6D-DD6C-4980-9F72-9A9AE0D8EDCC}" presName="Name35" presStyleLbl="parChTrans1D2" presStyleIdx="3" presStyleCnt="4"/>
      <dgm:spPr/>
      <dgm:t>
        <a:bodyPr/>
        <a:p>
          <a:endParaRPr lang="zh-CN" altLang="en-US"/>
        </a:p>
      </dgm:t>
    </dgm:pt>
    <dgm:pt modelId="{A9546F81-335C-41D4-8FA8-2797B034C398}" type="pres">
      <dgm:prSet presAssocID="{C1C9E533-5A22-438E-8686-3B657E9C7C59}" presName="hierRoot2" presStyleCnt="0">
        <dgm:presLayoutVars>
          <dgm:hierBranch/>
        </dgm:presLayoutVars>
      </dgm:prSet>
      <dgm:spPr/>
    </dgm:pt>
    <dgm:pt modelId="{A624FE52-AF8B-4E27-B1D7-CA048F0F5084}" type="pres">
      <dgm:prSet presAssocID="{C1C9E533-5A22-438E-8686-3B657E9C7C59}" presName="rootComposite" presStyleCnt="0"/>
      <dgm:spPr/>
    </dgm:pt>
    <dgm:pt modelId="{400BFDAB-42E8-4562-966C-F6E056654989}" type="pres">
      <dgm:prSet presAssocID="{C1C9E533-5A22-438E-8686-3B657E9C7C59}" presName="rootText" presStyleLbl="node2" presStyleIdx="3" presStyleCnt="4">
        <dgm:presLayoutVars>
          <dgm:chPref val="3"/>
        </dgm:presLayoutVars>
      </dgm:prSet>
      <dgm:spPr/>
      <dgm:t>
        <a:bodyPr/>
        <a:p>
          <a:endParaRPr lang="zh-CN" altLang="en-US"/>
        </a:p>
      </dgm:t>
    </dgm:pt>
    <dgm:pt modelId="{8DBA7A36-E7DC-4B83-8DDC-4B7217554E4E}" type="pres">
      <dgm:prSet presAssocID="{C1C9E533-5A22-438E-8686-3B657E9C7C59}" presName="rootConnector" presStyleLbl="node2" presStyleIdx="3" presStyleCnt="4"/>
      <dgm:spPr/>
      <dgm:t>
        <a:bodyPr/>
        <a:p>
          <a:endParaRPr lang="zh-CN" altLang="en-US"/>
        </a:p>
      </dgm:t>
    </dgm:pt>
    <dgm:pt modelId="{37C845B0-AFB9-475A-948E-0EFC4329BE0E}" type="pres">
      <dgm:prSet presAssocID="{C1C9E533-5A22-438E-8686-3B657E9C7C59}" presName="hierChild4" presStyleCnt="0"/>
      <dgm:spPr/>
    </dgm:pt>
    <dgm:pt modelId="{C3828218-39A0-49AB-90CC-CE46E27F669F}" type="pres">
      <dgm:prSet presAssocID="{C1C9E533-5A22-438E-8686-3B657E9C7C59}" presName="hierChild5" presStyleCnt="0"/>
      <dgm:spPr/>
    </dgm:pt>
    <dgm:pt modelId="{0AFF7C0C-164D-468C-8ADB-8C6346B3EAFB}" type="pres">
      <dgm:prSet presAssocID="{983329AD-A129-49C3-B8C1-3624962C7C7B}" presName="hierChild3" presStyleCnt="0"/>
      <dgm:spPr/>
    </dgm:pt>
  </dgm:ptLst>
  <dgm:cxnLst>
    <dgm:cxn modelId="{2BFD0A51-5E21-492F-A555-382DA4D39548}" srcId="{983329AD-A129-49C3-B8C1-3624962C7C7B}" destId="{675403BD-F982-42A9-9B1A-3980B483EE35}" srcOrd="1" destOrd="0" parTransId="{6DFE7C65-530A-4A6B-A701-8226C82761EC}" sibTransId="{47E116BA-AE9B-443B-944E-08F8AE10D823}"/>
    <dgm:cxn modelId="{D3418751-70C0-47EB-8B25-C125672375D0}" type="presOf" srcId="{0F0B5D6D-DD6C-4980-9F72-9A9AE0D8EDCC}" destId="{09805C06-23AB-4D61-8C88-7EAD0E935254}" srcOrd="0" destOrd="0" presId="urn:microsoft.com/office/officeart/2005/8/layout/orgChart1#1"/>
    <dgm:cxn modelId="{03FC0CBE-DEDB-49D3-A939-2752061E85BB}" type="presOf" srcId="{E5F9C847-B2B0-4502-820F-B1217CC84393}" destId="{96AC0AF0-3905-485D-AC6A-210F74E638AE}" srcOrd="0" destOrd="0" presId="urn:microsoft.com/office/officeart/2005/8/layout/orgChart1#1"/>
    <dgm:cxn modelId="{618B6082-F903-4A58-9CDF-0948BFFC6300}" type="presOf" srcId="{6DFE7C65-530A-4A6B-A701-8226C82761EC}" destId="{E6D85E7F-0FC5-4631-B964-488CF294C501}" srcOrd="0" destOrd="0" presId="urn:microsoft.com/office/officeart/2005/8/layout/orgChart1#1"/>
    <dgm:cxn modelId="{CB822446-5445-4C16-A697-6BB28ACC8DE3}" type="presOf" srcId="{675403BD-F982-42A9-9B1A-3980B483EE35}" destId="{4122E29C-E356-4116-BAD8-825BAEA5985C}" srcOrd="0" destOrd="0" presId="urn:microsoft.com/office/officeart/2005/8/layout/orgChart1#1"/>
    <dgm:cxn modelId="{777195DA-7B13-4155-8B40-1E444917DDE1}" type="presOf" srcId="{1AC75F62-8F7C-4BEB-A73B-C875092A9929}" destId="{A2BB5189-A532-4689-AC46-C8CF8506712C}" srcOrd="0" destOrd="0" presId="urn:microsoft.com/office/officeart/2005/8/layout/orgChart1#1"/>
    <dgm:cxn modelId="{5C37D9F4-E143-4F7F-923B-AF20B25D4CCE}" srcId="{983329AD-A129-49C3-B8C1-3624962C7C7B}" destId="{2E458298-F5CD-406A-8E45-CF20456957C0}" srcOrd="0" destOrd="0" parTransId="{E5F9C847-B2B0-4502-820F-B1217CC84393}" sibTransId="{8A967241-758D-4331-8341-53FF7DFF4DCD}"/>
    <dgm:cxn modelId="{355CF9F0-7558-4D05-B31E-010CDB090EA9}" type="presOf" srcId="{2E458298-F5CD-406A-8E45-CF20456957C0}" destId="{3BD53ADD-1FF8-44EF-8288-63CF3517A3AD}" srcOrd="0" destOrd="0" presId="urn:microsoft.com/office/officeart/2005/8/layout/orgChart1#1"/>
    <dgm:cxn modelId="{20270B44-58E7-4205-BE23-FC393AC5B3EE}" type="presOf" srcId="{983329AD-A129-49C3-B8C1-3624962C7C7B}" destId="{C01AB671-7F64-4297-9117-09CA6BAB5630}" srcOrd="1" destOrd="0" presId="urn:microsoft.com/office/officeart/2005/8/layout/orgChart1#1"/>
    <dgm:cxn modelId="{CEBD9D93-A054-4D01-B75F-558E161C8CB4}" srcId="{983329AD-A129-49C3-B8C1-3624962C7C7B}" destId="{C1C9E533-5A22-438E-8686-3B657E9C7C59}" srcOrd="3" destOrd="0" parTransId="{0F0B5D6D-DD6C-4980-9F72-9A9AE0D8EDCC}" sibTransId="{7E44E7DB-3B35-494B-900D-5BF3F90E50A1}"/>
    <dgm:cxn modelId="{ECDA978D-2F91-4191-94ED-90A219D8F52D}" type="presOf" srcId="{983329AD-A129-49C3-B8C1-3624962C7C7B}" destId="{480FF1B8-BC8C-47DF-AF5A-DB9E4D91BD6F}" srcOrd="0" destOrd="0" presId="urn:microsoft.com/office/officeart/2005/8/layout/orgChart1#1"/>
    <dgm:cxn modelId="{4F66EB18-204F-4E0F-9877-8BD37F276E2F}" type="presOf" srcId="{C23BE08D-D3D0-4BD5-A919-C335E436EC12}" destId="{238E62A2-A525-4876-94A8-D4F4A00D377E}" srcOrd="0" destOrd="0" presId="urn:microsoft.com/office/officeart/2005/8/layout/orgChart1#1"/>
    <dgm:cxn modelId="{5A257265-1D4F-4C17-BB98-D3BC8535ADB6}" srcId="{C23BE08D-D3D0-4BD5-A919-C335E436EC12}" destId="{983329AD-A129-49C3-B8C1-3624962C7C7B}" srcOrd="0" destOrd="0" parTransId="{3BF53C82-1253-478A-80E0-7D90D08FD648}" sibTransId="{A772CBFD-7A85-4D95-AECF-9C063703E34D}"/>
    <dgm:cxn modelId="{2A9612D9-11C6-4015-A765-9C7ED8EC6F9E}" srcId="{983329AD-A129-49C3-B8C1-3624962C7C7B}" destId="{1AC75F62-8F7C-4BEB-A73B-C875092A9929}" srcOrd="2" destOrd="0" parTransId="{4FC81B9A-A6D1-41D8-9445-CC342FFD6CFE}" sibTransId="{9FBFBFE8-2480-43AC-B74A-B9519DD42996}"/>
    <dgm:cxn modelId="{C86AB8ED-4B7A-45BE-988A-E8E49321289B}" type="presOf" srcId="{4FC81B9A-A6D1-41D8-9445-CC342FFD6CFE}" destId="{D0DD43A2-4E8C-4219-BB77-BDE4B27EACF6}" srcOrd="0" destOrd="0" presId="urn:microsoft.com/office/officeart/2005/8/layout/orgChart1#1"/>
    <dgm:cxn modelId="{597AA46A-E57E-44E6-9364-FE530D85BE2A}" type="presOf" srcId="{1AC75F62-8F7C-4BEB-A73B-C875092A9929}" destId="{7F36C44F-2BE4-4670-BD09-2B7DD820FE98}" srcOrd="1" destOrd="0" presId="urn:microsoft.com/office/officeart/2005/8/layout/orgChart1#1"/>
    <dgm:cxn modelId="{272AC60A-E1EB-4356-A704-955AB8AE008D}" type="presOf" srcId="{675403BD-F982-42A9-9B1A-3980B483EE35}" destId="{F0A5F3D8-78CA-46C1-AF98-4D21C11BD351}" srcOrd="1" destOrd="0" presId="urn:microsoft.com/office/officeart/2005/8/layout/orgChart1#1"/>
    <dgm:cxn modelId="{699E534B-108C-472A-B6F7-C1DA65A4FD20}" type="presOf" srcId="{C1C9E533-5A22-438E-8686-3B657E9C7C59}" destId="{8DBA7A36-E7DC-4B83-8DDC-4B7217554E4E}" srcOrd="1" destOrd="0" presId="urn:microsoft.com/office/officeart/2005/8/layout/orgChart1#1"/>
    <dgm:cxn modelId="{0F045614-A58F-46C1-BEB1-F52703A3C67A}" type="presOf" srcId="{2E458298-F5CD-406A-8E45-CF20456957C0}" destId="{30219961-A281-4208-9D34-CE5537283C7F}" srcOrd="1" destOrd="0" presId="urn:microsoft.com/office/officeart/2005/8/layout/orgChart1#1"/>
    <dgm:cxn modelId="{C83B2146-F521-4B76-BBA5-DD1223E3C3F5}" type="presOf" srcId="{C1C9E533-5A22-438E-8686-3B657E9C7C59}" destId="{400BFDAB-42E8-4562-966C-F6E056654989}" srcOrd="0" destOrd="0" presId="urn:microsoft.com/office/officeart/2005/8/layout/orgChart1#1"/>
    <dgm:cxn modelId="{BD04E9E7-6203-4CF5-8616-DD537E928168}" type="presParOf" srcId="{238E62A2-A525-4876-94A8-D4F4A00D377E}" destId="{5BBA5C15-53A3-45E6-8024-3C6E98923769}" srcOrd="0" destOrd="0" presId="urn:microsoft.com/office/officeart/2005/8/layout/orgChart1#1"/>
    <dgm:cxn modelId="{B22F21B4-9F02-49D8-B751-C018B6810669}" type="presParOf" srcId="{5BBA5C15-53A3-45E6-8024-3C6E98923769}" destId="{0F3AAA4C-D22A-4F40-AB02-AF7FD3799CBD}" srcOrd="0" destOrd="0" presId="urn:microsoft.com/office/officeart/2005/8/layout/orgChart1#1"/>
    <dgm:cxn modelId="{642AA2AE-8BA5-48B7-BD5A-345CB339BD9D}" type="presParOf" srcId="{0F3AAA4C-D22A-4F40-AB02-AF7FD3799CBD}" destId="{480FF1B8-BC8C-47DF-AF5A-DB9E4D91BD6F}" srcOrd="0" destOrd="0" presId="urn:microsoft.com/office/officeart/2005/8/layout/orgChart1#1"/>
    <dgm:cxn modelId="{563CB0BD-F853-4E5A-B636-D75306BF176E}" type="presParOf" srcId="{0F3AAA4C-D22A-4F40-AB02-AF7FD3799CBD}" destId="{C01AB671-7F64-4297-9117-09CA6BAB5630}" srcOrd="1" destOrd="0" presId="urn:microsoft.com/office/officeart/2005/8/layout/orgChart1#1"/>
    <dgm:cxn modelId="{3381CC5C-96CA-4FE8-B495-A5B3A7C45815}" type="presParOf" srcId="{5BBA5C15-53A3-45E6-8024-3C6E98923769}" destId="{756AA79A-BB27-41F2-9861-38D6EF4C24EF}" srcOrd="1" destOrd="0" presId="urn:microsoft.com/office/officeart/2005/8/layout/orgChart1#1"/>
    <dgm:cxn modelId="{AB9CE6B6-00B5-4DA2-8978-92C4610065CA}" type="presParOf" srcId="{756AA79A-BB27-41F2-9861-38D6EF4C24EF}" destId="{96AC0AF0-3905-485D-AC6A-210F74E638AE}" srcOrd="0" destOrd="0" presId="urn:microsoft.com/office/officeart/2005/8/layout/orgChart1#1"/>
    <dgm:cxn modelId="{49B16C68-A3C0-46F7-B631-DDA301D4BD3A}" type="presParOf" srcId="{756AA79A-BB27-41F2-9861-38D6EF4C24EF}" destId="{90D72F8F-D38A-4B69-AF9E-799BD3545EB2}" srcOrd="1" destOrd="0" presId="urn:microsoft.com/office/officeart/2005/8/layout/orgChart1#1"/>
    <dgm:cxn modelId="{67D43912-3B9D-41DD-B2B7-A8C15227BC71}" type="presParOf" srcId="{90D72F8F-D38A-4B69-AF9E-799BD3545EB2}" destId="{0A5AAFCC-B0E0-457A-9EEF-A387474C160E}" srcOrd="0" destOrd="0" presId="urn:microsoft.com/office/officeart/2005/8/layout/orgChart1#1"/>
    <dgm:cxn modelId="{B39F113D-468E-4B57-9985-72B005B75E31}" type="presParOf" srcId="{0A5AAFCC-B0E0-457A-9EEF-A387474C160E}" destId="{3BD53ADD-1FF8-44EF-8288-63CF3517A3AD}" srcOrd="0" destOrd="0" presId="urn:microsoft.com/office/officeart/2005/8/layout/orgChart1#1"/>
    <dgm:cxn modelId="{A5EFACBA-D97F-4D1D-AA66-153A100F1D76}" type="presParOf" srcId="{0A5AAFCC-B0E0-457A-9EEF-A387474C160E}" destId="{30219961-A281-4208-9D34-CE5537283C7F}" srcOrd="1" destOrd="0" presId="urn:microsoft.com/office/officeart/2005/8/layout/orgChart1#1"/>
    <dgm:cxn modelId="{B4EFCD92-C1A2-4DBC-B00B-5DD2F3F7E7DC}" type="presParOf" srcId="{90D72F8F-D38A-4B69-AF9E-799BD3545EB2}" destId="{C9176787-72AE-4411-B422-CE1460419059}" srcOrd="1" destOrd="0" presId="urn:microsoft.com/office/officeart/2005/8/layout/orgChart1#1"/>
    <dgm:cxn modelId="{131CB694-35BA-4611-B112-02F6A172CB0D}" type="presParOf" srcId="{90D72F8F-D38A-4B69-AF9E-799BD3545EB2}" destId="{04CC252F-BD94-4AF9-A463-E34B2468304F}" srcOrd="2" destOrd="0" presId="urn:microsoft.com/office/officeart/2005/8/layout/orgChart1#1"/>
    <dgm:cxn modelId="{F40DCD88-AB31-482E-A75D-E4DE22152646}" type="presParOf" srcId="{756AA79A-BB27-41F2-9861-38D6EF4C24EF}" destId="{E6D85E7F-0FC5-4631-B964-488CF294C501}" srcOrd="2" destOrd="0" presId="urn:microsoft.com/office/officeart/2005/8/layout/orgChart1#1"/>
    <dgm:cxn modelId="{D6ADE709-291E-4E02-8FBA-83FF12A9FE1D}" type="presParOf" srcId="{756AA79A-BB27-41F2-9861-38D6EF4C24EF}" destId="{3E02339B-B28A-4D0C-80C8-5AD97A8F158C}" srcOrd="3" destOrd="0" presId="urn:microsoft.com/office/officeart/2005/8/layout/orgChart1#1"/>
    <dgm:cxn modelId="{C7BB9B8A-9AE2-4F83-BA2C-E9DCEA48B7F2}" type="presParOf" srcId="{3E02339B-B28A-4D0C-80C8-5AD97A8F158C}" destId="{5542CBC2-CF61-472F-A38B-2BC8D2933C6E}" srcOrd="0" destOrd="0" presId="urn:microsoft.com/office/officeart/2005/8/layout/orgChart1#1"/>
    <dgm:cxn modelId="{BF76A5E5-D2EA-4268-80A0-AE818FA0C295}" type="presParOf" srcId="{5542CBC2-CF61-472F-A38B-2BC8D2933C6E}" destId="{4122E29C-E356-4116-BAD8-825BAEA5985C}" srcOrd="0" destOrd="0" presId="urn:microsoft.com/office/officeart/2005/8/layout/orgChart1#1"/>
    <dgm:cxn modelId="{5F76BDDB-BA4E-426C-841B-B76A43D51A4D}" type="presParOf" srcId="{5542CBC2-CF61-472F-A38B-2BC8D2933C6E}" destId="{F0A5F3D8-78CA-46C1-AF98-4D21C11BD351}" srcOrd="1" destOrd="0" presId="urn:microsoft.com/office/officeart/2005/8/layout/orgChart1#1"/>
    <dgm:cxn modelId="{3A6C0BA8-D6E7-4A82-A1CD-525D034B4C31}" type="presParOf" srcId="{3E02339B-B28A-4D0C-80C8-5AD97A8F158C}" destId="{F6846271-0AAC-4431-8E15-B9F36F7AE6C5}" srcOrd="1" destOrd="0" presId="urn:microsoft.com/office/officeart/2005/8/layout/orgChart1#1"/>
    <dgm:cxn modelId="{CA0A3841-676C-481F-8153-A32A3C252653}" type="presParOf" srcId="{3E02339B-B28A-4D0C-80C8-5AD97A8F158C}" destId="{CA536636-A917-4FE7-8EA1-AE6E017BB86D}" srcOrd="2" destOrd="0" presId="urn:microsoft.com/office/officeart/2005/8/layout/orgChart1#1"/>
    <dgm:cxn modelId="{00C76D48-C96B-40E3-B440-7658E6408A88}" type="presParOf" srcId="{756AA79A-BB27-41F2-9861-38D6EF4C24EF}" destId="{D0DD43A2-4E8C-4219-BB77-BDE4B27EACF6}" srcOrd="4" destOrd="0" presId="urn:microsoft.com/office/officeart/2005/8/layout/orgChart1#1"/>
    <dgm:cxn modelId="{92BA1567-2C02-4578-8840-ED4FD1D2302D}" type="presParOf" srcId="{756AA79A-BB27-41F2-9861-38D6EF4C24EF}" destId="{58EEB33B-9F6F-494E-98E0-236BC06D14C5}" srcOrd="5" destOrd="0" presId="urn:microsoft.com/office/officeart/2005/8/layout/orgChart1#1"/>
    <dgm:cxn modelId="{66931BCC-52A1-4AF9-99F0-A9D36D32D8EC}" type="presParOf" srcId="{58EEB33B-9F6F-494E-98E0-236BC06D14C5}" destId="{E432B2F2-DCFD-4691-B174-EEC696D8C17B}" srcOrd="0" destOrd="0" presId="urn:microsoft.com/office/officeart/2005/8/layout/orgChart1#1"/>
    <dgm:cxn modelId="{AA968551-D7C0-4282-96C7-90B91DCADD62}" type="presParOf" srcId="{E432B2F2-DCFD-4691-B174-EEC696D8C17B}" destId="{A2BB5189-A532-4689-AC46-C8CF8506712C}" srcOrd="0" destOrd="0" presId="urn:microsoft.com/office/officeart/2005/8/layout/orgChart1#1"/>
    <dgm:cxn modelId="{AE628E48-D04F-4AB2-8798-0BD03F125202}" type="presParOf" srcId="{E432B2F2-DCFD-4691-B174-EEC696D8C17B}" destId="{7F36C44F-2BE4-4670-BD09-2B7DD820FE98}" srcOrd="1" destOrd="0" presId="urn:microsoft.com/office/officeart/2005/8/layout/orgChart1#1"/>
    <dgm:cxn modelId="{B190AC93-A70E-4CEA-ABD2-30E63330879B}" type="presParOf" srcId="{58EEB33B-9F6F-494E-98E0-236BC06D14C5}" destId="{2877DE03-2ECD-499F-9DF3-14479C20535B}" srcOrd="1" destOrd="0" presId="urn:microsoft.com/office/officeart/2005/8/layout/orgChart1#1"/>
    <dgm:cxn modelId="{C23C0A5A-EC96-4F84-AD06-04EAF5B7BBA4}" type="presParOf" srcId="{58EEB33B-9F6F-494E-98E0-236BC06D14C5}" destId="{69D499F4-7131-43B3-BAF7-27F314961DCC}" srcOrd="2" destOrd="0" presId="urn:microsoft.com/office/officeart/2005/8/layout/orgChart1#1"/>
    <dgm:cxn modelId="{56429D8F-EC5D-4F1B-B5D4-5E12C6A69F79}" type="presParOf" srcId="{756AA79A-BB27-41F2-9861-38D6EF4C24EF}" destId="{09805C06-23AB-4D61-8C88-7EAD0E935254}" srcOrd="6" destOrd="0" presId="urn:microsoft.com/office/officeart/2005/8/layout/orgChart1#1"/>
    <dgm:cxn modelId="{AFACD73E-17B6-4CEE-98DD-DBC45F8D22AB}" type="presParOf" srcId="{756AA79A-BB27-41F2-9861-38D6EF4C24EF}" destId="{A9546F81-335C-41D4-8FA8-2797B034C398}" srcOrd="7" destOrd="0" presId="urn:microsoft.com/office/officeart/2005/8/layout/orgChart1#1"/>
    <dgm:cxn modelId="{AC83F2D5-1B40-48E9-ABA7-D2C85EA0F63B}" type="presParOf" srcId="{A9546F81-335C-41D4-8FA8-2797B034C398}" destId="{A624FE52-AF8B-4E27-B1D7-CA048F0F5084}" srcOrd="0" destOrd="0" presId="urn:microsoft.com/office/officeart/2005/8/layout/orgChart1#1"/>
    <dgm:cxn modelId="{683549A4-CD88-4714-877C-2B3E2487B873}" type="presParOf" srcId="{A624FE52-AF8B-4E27-B1D7-CA048F0F5084}" destId="{400BFDAB-42E8-4562-966C-F6E056654989}" srcOrd="0" destOrd="0" presId="urn:microsoft.com/office/officeart/2005/8/layout/orgChart1#1"/>
    <dgm:cxn modelId="{258E646B-1D88-4697-AA04-641A82B1737B}" type="presParOf" srcId="{A624FE52-AF8B-4E27-B1D7-CA048F0F5084}" destId="{8DBA7A36-E7DC-4B83-8DDC-4B7217554E4E}" srcOrd="1" destOrd="0" presId="urn:microsoft.com/office/officeart/2005/8/layout/orgChart1#1"/>
    <dgm:cxn modelId="{77D4FC96-5C19-45B2-9FB0-2F8C9F3D7C9E}" type="presParOf" srcId="{A9546F81-335C-41D4-8FA8-2797B034C398}" destId="{37C845B0-AFB9-475A-948E-0EFC4329BE0E}" srcOrd="1" destOrd="0" presId="urn:microsoft.com/office/officeart/2005/8/layout/orgChart1#1"/>
    <dgm:cxn modelId="{4766E8AB-A342-4485-AD12-B6339EA6114E}" type="presParOf" srcId="{A9546F81-335C-41D4-8FA8-2797B034C398}" destId="{C3828218-39A0-49AB-90CC-CE46E27F669F}" srcOrd="2" destOrd="0" presId="urn:microsoft.com/office/officeart/2005/8/layout/orgChart1#1"/>
    <dgm:cxn modelId="{1F7B0F30-D6CD-4EA6-83D1-83670243B731}" type="presParOf" srcId="{5BBA5C15-53A3-45E6-8024-3C6E98923769}" destId="{0AFF7C0C-164D-468C-8ADB-8C6346B3EAFB}" srcOrd="2" destOrd="0"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22" y="485288"/>
          <a:ext cx="1073995" cy="429598"/>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5321" y="485288"/>
        <a:ext cx="644397" cy="429598"/>
      </dsp:txXfrm>
    </dsp:sp>
    <dsp:sp modelId="{6E8D7C1F-A22A-42B0-A090-A57413634287}">
      <dsp:nvSpPr>
        <dsp:cNvPr id="0" name=""/>
        <dsp:cNvSpPr/>
      </dsp:nvSpPr>
      <dsp:spPr>
        <a:xfrm>
          <a:off x="934898"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113181" y="521804"/>
        <a:ext cx="534850" cy="356566"/>
      </dsp:txXfrm>
    </dsp:sp>
    <dsp:sp modelId="{B8691B77-4694-4BFA-9DAF-40A313A447BB}">
      <dsp:nvSpPr>
        <dsp:cNvPr id="0" name=""/>
        <dsp:cNvSpPr/>
      </dsp:nvSpPr>
      <dsp:spPr>
        <a:xfrm>
          <a:off x="1701516"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79799" y="521804"/>
        <a:ext cx="534850" cy="356566"/>
      </dsp:txXfrm>
    </dsp:sp>
    <dsp:sp modelId="{C330E3A1-3D1D-4453-A315-50DA58578E8B}">
      <dsp:nvSpPr>
        <dsp:cNvPr id="0" name=""/>
        <dsp:cNvSpPr/>
      </dsp:nvSpPr>
      <dsp:spPr>
        <a:xfrm>
          <a:off x="2468134"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46417" y="521804"/>
        <a:ext cx="534850" cy="356566"/>
      </dsp:txXfrm>
    </dsp:sp>
    <dsp:sp modelId="{15B667A0-41D3-4D24-9402-E2D0A9F3193D}">
      <dsp:nvSpPr>
        <dsp:cNvPr id="0" name=""/>
        <dsp:cNvSpPr/>
      </dsp:nvSpPr>
      <dsp:spPr>
        <a:xfrm>
          <a:off x="3234752"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13035" y="521804"/>
        <a:ext cx="534850" cy="356566"/>
      </dsp:txXfrm>
    </dsp:sp>
    <dsp:sp modelId="{3133D0F3-2920-497C-9B75-49DB36BD1C0F}">
      <dsp:nvSpPr>
        <dsp:cNvPr id="0" name=""/>
        <dsp:cNvSpPr/>
      </dsp:nvSpPr>
      <dsp:spPr>
        <a:xfrm>
          <a:off x="4001370"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79653" y="521804"/>
        <a:ext cx="534850" cy="3565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05C06-23AB-4D61-8C88-7EAD0E935254}">
      <dsp:nvSpPr>
        <dsp:cNvPr id="0" name=""/>
        <dsp:cNvSpPr/>
      </dsp:nvSpPr>
      <dsp:spPr>
        <a:xfrm>
          <a:off x="1914525" y="722878"/>
          <a:ext cx="1499467" cy="173492"/>
        </a:xfrm>
        <a:custGeom>
          <a:avLst/>
          <a:gdLst/>
          <a:ahLst/>
          <a:cxnLst/>
          <a:rect l="0" t="0" r="0" b="0"/>
          <a:pathLst>
            <a:path>
              <a:moveTo>
                <a:pt x="0" y="0"/>
              </a:moveTo>
              <a:lnTo>
                <a:pt x="0" y="86746"/>
              </a:lnTo>
              <a:lnTo>
                <a:pt x="1499467" y="86746"/>
              </a:lnTo>
              <a:lnTo>
                <a:pt x="1499467" y="173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DD43A2-4E8C-4219-BB77-BDE4B27EACF6}">
      <dsp:nvSpPr>
        <dsp:cNvPr id="0" name=""/>
        <dsp:cNvSpPr/>
      </dsp:nvSpPr>
      <dsp:spPr>
        <a:xfrm>
          <a:off x="1914525" y="722878"/>
          <a:ext cx="499822" cy="173492"/>
        </a:xfrm>
        <a:custGeom>
          <a:avLst/>
          <a:gdLst/>
          <a:ahLst/>
          <a:cxnLst/>
          <a:rect l="0" t="0" r="0" b="0"/>
          <a:pathLst>
            <a:path>
              <a:moveTo>
                <a:pt x="0" y="0"/>
              </a:moveTo>
              <a:lnTo>
                <a:pt x="0" y="86746"/>
              </a:lnTo>
              <a:lnTo>
                <a:pt x="499822" y="86746"/>
              </a:lnTo>
              <a:lnTo>
                <a:pt x="499822" y="173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85E7F-0FC5-4631-B964-488CF294C501}">
      <dsp:nvSpPr>
        <dsp:cNvPr id="0" name=""/>
        <dsp:cNvSpPr/>
      </dsp:nvSpPr>
      <dsp:spPr>
        <a:xfrm>
          <a:off x="1414702" y="722878"/>
          <a:ext cx="499822" cy="173492"/>
        </a:xfrm>
        <a:custGeom>
          <a:avLst/>
          <a:gdLst/>
          <a:ahLst/>
          <a:cxnLst/>
          <a:rect l="0" t="0" r="0" b="0"/>
          <a:pathLst>
            <a:path>
              <a:moveTo>
                <a:pt x="499822" y="0"/>
              </a:moveTo>
              <a:lnTo>
                <a:pt x="499822" y="86746"/>
              </a:lnTo>
              <a:lnTo>
                <a:pt x="0" y="86746"/>
              </a:lnTo>
              <a:lnTo>
                <a:pt x="0" y="173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AC0AF0-3905-485D-AC6A-210F74E638AE}">
      <dsp:nvSpPr>
        <dsp:cNvPr id="0" name=""/>
        <dsp:cNvSpPr/>
      </dsp:nvSpPr>
      <dsp:spPr>
        <a:xfrm>
          <a:off x="415057" y="722878"/>
          <a:ext cx="1499467" cy="173492"/>
        </a:xfrm>
        <a:custGeom>
          <a:avLst/>
          <a:gdLst/>
          <a:ahLst/>
          <a:cxnLst/>
          <a:rect l="0" t="0" r="0" b="0"/>
          <a:pathLst>
            <a:path>
              <a:moveTo>
                <a:pt x="1499467" y="0"/>
              </a:moveTo>
              <a:lnTo>
                <a:pt x="1499467" y="86746"/>
              </a:lnTo>
              <a:lnTo>
                <a:pt x="0" y="86746"/>
              </a:lnTo>
              <a:lnTo>
                <a:pt x="0" y="173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0FF1B8-BC8C-47DF-AF5A-DB9E4D91BD6F}">
      <dsp:nvSpPr>
        <dsp:cNvPr id="0" name=""/>
        <dsp:cNvSpPr/>
      </dsp:nvSpPr>
      <dsp:spPr>
        <a:xfrm>
          <a:off x="1501448" y="309802"/>
          <a:ext cx="826153" cy="413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评价</a:t>
          </a:r>
          <a:endParaRPr lang="zh-CN" altLang="en-US" sz="1100" b="0" i="0" u="none" strike="noStrike"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方法</a:t>
          </a:r>
          <a:endParaRPr lang="zh-CN" altLang="en-US" sz="1100" smtClean="0"/>
        </a:p>
      </dsp:txBody>
      <dsp:txXfrm>
        <a:off x="1501448" y="309802"/>
        <a:ext cx="826153" cy="413076"/>
      </dsp:txXfrm>
    </dsp:sp>
    <dsp:sp modelId="{3BD53ADD-1FF8-44EF-8288-63CF3517A3AD}">
      <dsp:nvSpPr>
        <dsp:cNvPr id="0" name=""/>
        <dsp:cNvSpPr/>
      </dsp:nvSpPr>
      <dsp:spPr>
        <a:xfrm>
          <a:off x="1980" y="896371"/>
          <a:ext cx="826153" cy="413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权重</a:t>
          </a:r>
          <a:endParaRPr lang="zh-CN" altLang="en-US" sz="1100" b="0" i="0" u="none" strike="noStrike"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确定方法</a:t>
          </a:r>
          <a:endParaRPr lang="zh-CN" altLang="en-US" sz="1100" smtClean="0"/>
        </a:p>
      </dsp:txBody>
      <dsp:txXfrm>
        <a:off x="1980" y="896371"/>
        <a:ext cx="826153" cy="413076"/>
      </dsp:txXfrm>
    </dsp:sp>
    <dsp:sp modelId="{4122E29C-E356-4116-BAD8-825BAEA5985C}">
      <dsp:nvSpPr>
        <dsp:cNvPr id="0" name=""/>
        <dsp:cNvSpPr/>
      </dsp:nvSpPr>
      <dsp:spPr>
        <a:xfrm>
          <a:off x="1001625" y="896371"/>
          <a:ext cx="826153" cy="413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标准值</a:t>
          </a:r>
          <a:endParaRPr lang="zh-CN" altLang="en-US" sz="1100" b="0" i="0" u="none" strike="noStrike"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确定方法</a:t>
          </a:r>
          <a:endParaRPr lang="zh-CN" altLang="en-US" sz="1100" smtClean="0"/>
        </a:p>
      </dsp:txBody>
      <dsp:txXfrm>
        <a:off x="1001625" y="896371"/>
        <a:ext cx="826153" cy="413076"/>
      </dsp:txXfrm>
    </dsp:sp>
    <dsp:sp modelId="{A2BB5189-A532-4689-AC46-C8CF8506712C}">
      <dsp:nvSpPr>
        <dsp:cNvPr id="0" name=""/>
        <dsp:cNvSpPr/>
      </dsp:nvSpPr>
      <dsp:spPr>
        <a:xfrm>
          <a:off x="2001271" y="896371"/>
          <a:ext cx="826153" cy="413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指标</a:t>
          </a:r>
          <a:endParaRPr lang="zh-CN" altLang="en-US" sz="1100" b="0" i="0" u="none" strike="noStrike"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计算方法</a:t>
          </a:r>
          <a:endParaRPr lang="zh-CN" altLang="en-US" sz="1100" smtClean="0"/>
        </a:p>
      </dsp:txBody>
      <dsp:txXfrm>
        <a:off x="2001271" y="896371"/>
        <a:ext cx="826153" cy="413076"/>
      </dsp:txXfrm>
    </dsp:sp>
    <dsp:sp modelId="{400BFDAB-42E8-4562-966C-F6E056654989}">
      <dsp:nvSpPr>
        <dsp:cNvPr id="0" name=""/>
        <dsp:cNvSpPr/>
      </dsp:nvSpPr>
      <dsp:spPr>
        <a:xfrm>
          <a:off x="3000916" y="896371"/>
          <a:ext cx="826153" cy="413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综合</a:t>
          </a:r>
          <a:endParaRPr lang="zh-CN" altLang="en-US" sz="1100" b="0" i="0" u="none" strike="noStrike"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b="0" i="0" u="none" strike="noStrike" kern="100" baseline="0" smtClean="0">
              <a:latin typeface="Calibri" panose="020F0502020204030204"/>
              <a:ea typeface="宋体" panose="02010600030101010101" charset="-122"/>
            </a:rPr>
            <a:t>评分方法</a:t>
          </a:r>
          <a:endParaRPr lang="zh-CN" altLang="en-US" sz="1100" smtClean="0"/>
        </a:p>
      </dsp:txBody>
      <dsp:txXfrm>
        <a:off x="3000916" y="896371"/>
        <a:ext cx="826153" cy="41307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04224-FDBF-48CC-9FC6-A6143D699DF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3218</Words>
  <Characters>18343</Characters>
  <Lines>152</Lines>
  <Paragraphs>43</Paragraphs>
  <TotalTime>4</TotalTime>
  <ScaleCrop>false</ScaleCrop>
  <LinksUpToDate>false</LinksUpToDate>
  <CharactersWithSpaces>21518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2018-05-21T09:25:00Z</dcterms:created>
  <dc:creator>ASUS</dc:creator>
  <cp:lastModifiedBy>admin</cp:lastModifiedBy>
  <cp:lastPrinted>2018-05-15T03:45:00Z</cp:lastPrinted>
  <dcterms:modified xsi:type="dcterms:W3CDTF">2018-10-25T01:57:21Z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