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D23BA">
      <w:pPr>
        <w:ind w:firstLine="0" w:firstLineChars="0"/>
        <w:jc w:val="center"/>
        <w:rPr>
          <w:rFonts w:hint="eastAsia" w:ascii="宋体" w:hAnsi="宋体" w:eastAsia="宋体" w:cs="宋体"/>
          <w:b/>
          <w:sz w:val="44"/>
          <w:szCs w:val="44"/>
        </w:rPr>
      </w:pPr>
    </w:p>
    <w:p w14:paraId="031814F5">
      <w:pPr>
        <w:ind w:firstLine="0" w:firstLineChars="0"/>
        <w:jc w:val="center"/>
        <w:rPr>
          <w:rFonts w:hint="eastAsia" w:ascii="宋体" w:hAnsi="宋体" w:eastAsia="宋体" w:cs="宋体"/>
          <w:b/>
          <w:sz w:val="44"/>
          <w:szCs w:val="44"/>
        </w:rPr>
      </w:pPr>
    </w:p>
    <w:p w14:paraId="09F34A2B">
      <w:pPr>
        <w:ind w:firstLine="0" w:firstLineChars="0"/>
        <w:jc w:val="center"/>
        <w:rPr>
          <w:rFonts w:hint="eastAsia" w:ascii="宋体" w:hAnsi="宋体" w:eastAsia="宋体" w:cs="宋体"/>
          <w:b/>
          <w:sz w:val="44"/>
          <w:szCs w:val="44"/>
        </w:rPr>
      </w:pPr>
    </w:p>
    <w:p w14:paraId="149C0054">
      <w:pPr>
        <w:ind w:firstLine="0" w:firstLineChars="0"/>
        <w:jc w:val="center"/>
        <w:rPr>
          <w:rFonts w:hint="eastAsia" w:ascii="宋体" w:hAnsi="宋体" w:eastAsia="宋体" w:cs="宋体"/>
          <w:b/>
          <w:sz w:val="44"/>
          <w:szCs w:val="44"/>
        </w:rPr>
      </w:pPr>
    </w:p>
    <w:p w14:paraId="015C8F19">
      <w:pPr>
        <w:ind w:firstLine="0" w:firstLineChars="0"/>
        <w:jc w:val="both"/>
        <w:rPr>
          <w:rFonts w:hint="eastAsia" w:ascii="宋体" w:hAnsi="宋体" w:eastAsia="宋体" w:cs="宋体"/>
          <w:b/>
          <w:sz w:val="44"/>
          <w:szCs w:val="44"/>
        </w:rPr>
      </w:pPr>
    </w:p>
    <w:p w14:paraId="2D79C30C">
      <w:pPr>
        <w:ind w:firstLine="0" w:firstLineChars="0"/>
        <w:jc w:val="center"/>
        <w:rPr>
          <w:rFonts w:hint="eastAsia" w:ascii="宋体" w:hAnsi="宋体" w:eastAsia="宋体" w:cs="宋体"/>
          <w:b/>
          <w:sz w:val="44"/>
          <w:szCs w:val="44"/>
        </w:rPr>
      </w:pPr>
    </w:p>
    <w:p w14:paraId="2E54F403">
      <w:pPr>
        <w:ind w:firstLine="0" w:firstLineChars="0"/>
        <w:jc w:val="center"/>
        <w:rPr>
          <w:rFonts w:hint="eastAsia" w:ascii="宋体" w:hAnsi="宋体" w:eastAsia="宋体" w:cs="宋体"/>
          <w:b/>
          <w:sz w:val="44"/>
          <w:szCs w:val="44"/>
        </w:rPr>
      </w:pPr>
    </w:p>
    <w:p w14:paraId="74FE4517">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lang w:eastAsia="zh-CN"/>
        </w:rPr>
        <w:t>黄鹤楼街</w:t>
      </w:r>
      <w:r>
        <w:rPr>
          <w:rFonts w:hint="eastAsia" w:ascii="宋体" w:hAnsi="宋体" w:eastAsia="宋体" w:cs="宋体"/>
          <w:b/>
          <w:sz w:val="44"/>
          <w:szCs w:val="44"/>
        </w:rPr>
        <w:t>201</w:t>
      </w:r>
      <w:r>
        <w:rPr>
          <w:rFonts w:hint="eastAsia" w:ascii="宋体" w:hAnsi="宋体" w:eastAsia="宋体" w:cs="宋体"/>
          <w:b/>
          <w:sz w:val="44"/>
          <w:szCs w:val="44"/>
          <w:lang w:val="en-US" w:eastAsia="zh-CN"/>
        </w:rPr>
        <w:t>9</w:t>
      </w:r>
      <w:r>
        <w:rPr>
          <w:rFonts w:hint="eastAsia" w:ascii="宋体" w:hAnsi="宋体" w:eastAsia="宋体" w:cs="宋体"/>
          <w:b/>
          <w:sz w:val="44"/>
          <w:szCs w:val="44"/>
        </w:rPr>
        <w:t>年度文明创建工作经费</w:t>
      </w:r>
    </w:p>
    <w:p w14:paraId="53E4316D">
      <w:pPr>
        <w:widowControl/>
        <w:spacing w:line="480" w:lineRule="auto"/>
        <w:ind w:right="-192" w:rightChars="-80" w:firstLine="0" w:firstLineChars="0"/>
        <w:jc w:val="center"/>
        <w:rPr>
          <w:rFonts w:hint="eastAsia" w:ascii="仿宋_GB2312" w:hAnsi="仿宋_GB2312" w:cs="仿宋_GB2312"/>
          <w:b/>
          <w:bCs/>
          <w:kern w:val="32"/>
          <w:sz w:val="32"/>
          <w:lang w:bidi="he-IL"/>
        </w:rPr>
      </w:pPr>
      <w:r>
        <w:rPr>
          <w:rStyle w:val="7"/>
        </w:rPr>
        <w:t>绩效自评报</w:t>
      </w:r>
      <w:r>
        <w:rPr>
          <w:rStyle w:val="7"/>
          <w:rFonts w:hint="eastAsia" w:eastAsia="黑体"/>
          <w:lang w:eastAsia="zh-CN"/>
        </w:rPr>
        <w:t>告</w:t>
      </w:r>
    </w:p>
    <w:p w14:paraId="3DD66EF0">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12C109FB">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3CD518E2">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117E1DF2">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5E1289AA">
      <w:pPr>
        <w:widowControl/>
        <w:spacing w:line="480" w:lineRule="auto"/>
        <w:ind w:right="-192" w:rightChars="-80" w:firstLine="0" w:firstLineChars="0"/>
        <w:jc w:val="left"/>
        <w:rPr>
          <w:rFonts w:hint="eastAsia" w:ascii="仿宋_GB2312" w:hAnsi="仿宋_GB2312" w:cs="仿宋_GB2312"/>
          <w:b/>
          <w:bCs/>
          <w:kern w:val="32"/>
          <w:sz w:val="32"/>
          <w:szCs w:val="32"/>
          <w:lang w:bidi="he-IL"/>
        </w:rPr>
      </w:pPr>
      <w:r>
        <w:rPr>
          <w:rFonts w:hint="eastAsia" w:ascii="仿宋_GB2312" w:hAnsi="仿宋_GB2312" w:cs="仿宋_GB2312"/>
          <w:b/>
          <w:bCs/>
          <w:kern w:val="32"/>
          <w:sz w:val="32"/>
          <w:lang w:bidi="he-IL"/>
        </w:rPr>
        <w:t>项目名称：</w:t>
      </w:r>
      <w:r>
        <w:rPr>
          <w:rFonts w:hint="eastAsia" w:ascii="仿宋_GB2312" w:hAnsi="仿宋_GB2312" w:cs="仿宋_GB2312"/>
          <w:b/>
          <w:bCs/>
          <w:sz w:val="32"/>
          <w:szCs w:val="32"/>
        </w:rPr>
        <w:t>文明创建工作经费</w:t>
      </w:r>
    </w:p>
    <w:p w14:paraId="61E49094">
      <w:pPr>
        <w:widowControl/>
        <w:spacing w:line="480" w:lineRule="auto"/>
        <w:ind w:firstLine="0" w:firstLineChars="0"/>
        <w:jc w:val="left"/>
        <w:rPr>
          <w:rFonts w:hint="eastAsia" w:ascii="仿宋_GB2312" w:hAnsi="仿宋_GB2312" w:cs="仿宋_GB2312"/>
          <w:b/>
          <w:bCs/>
          <w:sz w:val="32"/>
          <w:szCs w:val="32"/>
        </w:rPr>
      </w:pPr>
      <w:r>
        <w:rPr>
          <w:rFonts w:hint="eastAsia" w:ascii="仿宋_GB2312" w:hAnsi="仿宋_GB2312" w:cs="仿宋_GB2312"/>
          <w:b/>
          <w:bCs/>
          <w:kern w:val="32"/>
          <w:sz w:val="32"/>
          <w:lang w:bidi="he-IL"/>
        </w:rPr>
        <w:t>项目单位：</w:t>
      </w:r>
      <w:r>
        <w:rPr>
          <w:rFonts w:hint="eastAsia" w:ascii="仿宋_GB2312" w:hAnsi="仿宋_GB2312" w:cs="仿宋_GB2312"/>
          <w:b/>
          <w:bCs/>
          <w:sz w:val="32"/>
          <w:szCs w:val="32"/>
        </w:rPr>
        <w:t>武昌区人民政府</w:t>
      </w:r>
      <w:r>
        <w:rPr>
          <w:rFonts w:hint="eastAsia" w:ascii="仿宋_GB2312" w:hAnsi="仿宋_GB2312" w:cs="仿宋_GB2312"/>
          <w:b/>
          <w:bCs/>
          <w:sz w:val="32"/>
          <w:szCs w:val="32"/>
          <w:lang w:eastAsia="zh-CN"/>
        </w:rPr>
        <w:t>黄鹤楼</w:t>
      </w:r>
      <w:r>
        <w:rPr>
          <w:rFonts w:hint="eastAsia" w:ascii="仿宋_GB2312" w:hAnsi="仿宋_GB2312" w:cs="仿宋_GB2312"/>
          <w:b/>
          <w:bCs/>
          <w:sz w:val="32"/>
          <w:szCs w:val="32"/>
        </w:rPr>
        <w:t>街办事处</w:t>
      </w:r>
    </w:p>
    <w:p w14:paraId="2AA3D320">
      <w:pPr>
        <w:ind w:left="0" w:leftChars="0" w:firstLine="0" w:firstLineChars="0"/>
        <w:rPr>
          <w:rFonts w:hint="eastAsia" w:ascii="仿宋_GB2312" w:hAnsi="仿宋_GB2312" w:eastAsia="仿宋_GB2312" w:cs="仿宋_GB2312"/>
          <w:b/>
          <w:bCs/>
          <w:kern w:val="32"/>
          <w:sz w:val="32"/>
          <w:lang w:eastAsia="zh-CN" w:bidi="he-IL"/>
        </w:rPr>
      </w:pPr>
      <w:r>
        <w:rPr>
          <w:rFonts w:hint="eastAsia" w:ascii="仿宋_GB2312" w:hAnsi="仿宋_GB2312" w:cs="仿宋_GB2312"/>
          <w:b/>
          <w:bCs/>
          <w:kern w:val="32"/>
          <w:sz w:val="32"/>
          <w:lang w:bidi="he-IL"/>
        </w:rPr>
        <w:t>主管部门：</w:t>
      </w:r>
      <w:r>
        <w:rPr>
          <w:rFonts w:hint="eastAsia" w:ascii="仿宋_GB2312" w:hAnsi="仿宋_GB2312" w:cs="仿宋_GB2312"/>
          <w:b/>
          <w:bCs/>
          <w:kern w:val="32"/>
          <w:sz w:val="32"/>
          <w:lang w:eastAsia="zh-CN" w:bidi="he-IL"/>
        </w:rPr>
        <w:t>黄鹤楼</w:t>
      </w:r>
      <w:r>
        <w:rPr>
          <w:rFonts w:hint="eastAsia" w:ascii="仿宋_GB2312" w:hAnsi="仿宋_GB2312" w:cs="仿宋_GB2312"/>
          <w:b/>
          <w:bCs/>
          <w:kern w:val="32"/>
          <w:sz w:val="32"/>
          <w:lang w:bidi="he-IL"/>
        </w:rPr>
        <w:t>街办事处</w:t>
      </w:r>
      <w:r>
        <w:rPr>
          <w:rFonts w:hint="eastAsia" w:ascii="仿宋_GB2312" w:hAnsi="仿宋_GB2312" w:cs="仿宋_GB2312"/>
          <w:b/>
          <w:bCs/>
          <w:kern w:val="32"/>
          <w:sz w:val="32"/>
          <w:lang w:eastAsia="zh-CN" w:bidi="he-IL"/>
        </w:rPr>
        <w:t>党建办公室</w:t>
      </w:r>
    </w:p>
    <w:p w14:paraId="380F2DB4">
      <w:pPr>
        <w:spacing w:line="800" w:lineRule="exact"/>
        <w:ind w:firstLine="0" w:firstLineChars="0"/>
        <w:jc w:val="center"/>
        <w:rPr>
          <w:rFonts w:hint="eastAsia" w:ascii="仿宋_GB2312" w:hAnsi="仿宋_GB2312" w:cs="仿宋_GB2312"/>
          <w:b/>
          <w:bCs/>
          <w:sz w:val="32"/>
          <w:szCs w:val="32"/>
        </w:rPr>
      </w:pPr>
    </w:p>
    <w:p w14:paraId="4ED7B48F">
      <w:pPr>
        <w:spacing w:line="800" w:lineRule="exact"/>
        <w:ind w:firstLine="0" w:firstLineChars="0"/>
        <w:jc w:val="center"/>
        <w:rPr>
          <w:rFonts w:hint="eastAsia" w:ascii="仿宋_GB2312" w:hAnsi="仿宋_GB2312" w:cs="仿宋_GB2312"/>
          <w:b/>
          <w:bCs/>
          <w:sz w:val="32"/>
          <w:szCs w:val="32"/>
        </w:rPr>
      </w:pPr>
    </w:p>
    <w:p w14:paraId="4AE00E90">
      <w:pPr>
        <w:widowControl/>
        <w:spacing w:line="480" w:lineRule="auto"/>
        <w:ind w:right="-192" w:rightChars="-80" w:firstLine="0" w:firstLineChars="0"/>
        <w:jc w:val="left"/>
        <w:rPr>
          <w:rFonts w:hint="eastAsia" w:ascii="仿宋_GB2312" w:hAnsi="仿宋_GB2312" w:cs="仿宋_GB2312"/>
          <w:b/>
          <w:bCs/>
          <w:sz w:val="32"/>
          <w:szCs w:val="32"/>
        </w:rPr>
      </w:pPr>
    </w:p>
    <w:p w14:paraId="3D94A6BB">
      <w:pPr>
        <w:widowControl/>
        <w:spacing w:line="480" w:lineRule="auto"/>
        <w:ind w:right="-192" w:rightChars="-80" w:firstLine="0" w:firstLineChars="0"/>
        <w:jc w:val="left"/>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二零二零年十月</w:t>
      </w:r>
    </w:p>
    <w:p w14:paraId="7CE64EE9">
      <w:pPr>
        <w:pStyle w:val="6"/>
        <w:ind w:firstLine="0" w:firstLineChars="0"/>
        <w:rPr>
          <w:rFonts w:hint="eastAsia" w:ascii="Arial Narrow" w:hAnsi="Arial Narrow" w:eastAsia="仿宋_GB2312" w:cs="Arial Narrow"/>
          <w:b/>
          <w:kern w:val="2"/>
          <w:sz w:val="24"/>
          <w:szCs w:val="24"/>
        </w:rPr>
      </w:pPr>
    </w:p>
    <w:p w14:paraId="3D63247D">
      <w:pPr>
        <w:pStyle w:val="6"/>
        <w:ind w:firstLine="0" w:firstLineChars="0"/>
        <w:jc w:val="center"/>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2019</w:t>
      </w:r>
      <w:r>
        <w:rPr>
          <w:rFonts w:ascii="黑体" w:hAnsi="宋体" w:eastAsia="黑体" w:cs="黑体"/>
          <w:b w:val="0"/>
          <w:i w:val="0"/>
          <w:color w:val="000000"/>
          <w:sz w:val="36"/>
          <w:szCs w:val="36"/>
        </w:rPr>
        <w:t>年武汉市</w:t>
      </w:r>
      <w:r>
        <w:rPr>
          <w:rFonts w:hint="eastAsia" w:ascii="黑体" w:hAnsi="宋体" w:eastAsia="黑体" w:cs="黑体"/>
          <w:b w:val="0"/>
          <w:i w:val="0"/>
          <w:color w:val="000000"/>
          <w:sz w:val="36"/>
          <w:szCs w:val="36"/>
          <w:lang w:eastAsia="zh-CN"/>
        </w:rPr>
        <w:t>武昌</w:t>
      </w:r>
      <w:r>
        <w:rPr>
          <w:rFonts w:ascii="黑体" w:hAnsi="宋体" w:eastAsia="黑体" w:cs="黑体"/>
          <w:b w:val="0"/>
          <w:i w:val="0"/>
          <w:color w:val="000000"/>
          <w:sz w:val="36"/>
          <w:szCs w:val="36"/>
        </w:rPr>
        <w:t>区人民政府</w:t>
      </w:r>
      <w:r>
        <w:rPr>
          <w:rFonts w:hint="eastAsia" w:ascii="黑体" w:hAnsi="宋体" w:eastAsia="黑体" w:cs="黑体"/>
          <w:b w:val="0"/>
          <w:i w:val="0"/>
          <w:color w:val="000000"/>
          <w:sz w:val="36"/>
          <w:szCs w:val="36"/>
          <w:lang w:eastAsia="zh-CN"/>
        </w:rPr>
        <w:t>黄鹤楼</w:t>
      </w:r>
      <w:r>
        <w:rPr>
          <w:rFonts w:ascii="黑体" w:hAnsi="宋体" w:eastAsia="黑体" w:cs="黑体"/>
          <w:b w:val="0"/>
          <w:i w:val="0"/>
          <w:color w:val="000000"/>
          <w:sz w:val="36"/>
          <w:szCs w:val="36"/>
        </w:rPr>
        <w:t>街办事处</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6"/>
          <w:szCs w:val="36"/>
          <w:lang w:eastAsia="zh-CN"/>
        </w:rPr>
        <w:t>文明创建工作</w:t>
      </w:r>
      <w:r>
        <w:rPr>
          <w:rFonts w:ascii="黑体" w:hAnsi="宋体" w:eastAsia="黑体" w:cs="黑体"/>
          <w:b w:val="0"/>
          <w:i w:val="0"/>
          <w:color w:val="000000"/>
          <w:sz w:val="36"/>
          <w:szCs w:val="36"/>
        </w:rPr>
        <w:t>经费绩效自评报告</w:t>
      </w:r>
      <w:r>
        <w:rPr>
          <w:rFonts w:ascii="黑体" w:hAnsi="宋体" w:eastAsia="黑体" w:cs="黑体"/>
          <w:b w:val="0"/>
          <w:i w:val="0"/>
          <w:color w:val="000000"/>
          <w:sz w:val="36"/>
          <w:szCs w:val="36"/>
        </w:rPr>
        <w:br w:type="textWrapping"/>
      </w:r>
    </w:p>
    <w:p w14:paraId="2770346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bCs/>
        </w:rPr>
      </w:pPr>
      <w:r>
        <w:rPr>
          <w:rStyle w:val="8"/>
          <w:rFonts w:hint="eastAsia" w:ascii="仿宋_GB2312" w:hAnsi="仿宋_GB2312" w:eastAsia="仿宋_GB2312" w:cs="仿宋_GB2312"/>
          <w:b/>
          <w:bCs/>
        </w:rPr>
        <w:t>一、项目基本情况</w:t>
      </w:r>
    </w:p>
    <w:p w14:paraId="182580D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lang w:eastAsia="zh-CN"/>
        </w:rPr>
        <w:t>（一）项目立项背景和依据</w:t>
      </w:r>
    </w:p>
    <w:p w14:paraId="41D497B8">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sz w:val="24"/>
          <w:szCs w:val="24"/>
        </w:rPr>
      </w:pPr>
      <w:r>
        <w:rPr>
          <w:rStyle w:val="8"/>
          <w:rFonts w:hint="eastAsia" w:ascii="仿宋_GB2312" w:hAnsi="仿宋_GB2312" w:eastAsia="仿宋_GB2312" w:cs="仿宋_GB2312"/>
          <w:sz w:val="24"/>
          <w:szCs w:val="24"/>
        </w:rPr>
        <w:t>《武昌区精神文明建设十三五发展规划》提出，以建设社会主义核心价值体系为主要内容，以巩固全国文明城市创建成果和争创新一轮省、市级文明城区为主线，以提升市民文明素质和城市文明程度为根本任务，以开展“我的中国梦”系列活动为载体，主动适应经济发展新常态和社会转型时期新要求，积极创新内容形式、方法手段和体制机制，努力构筑和谐人际关系和良好社会道德风尚，为建设国家中心城市核心区提供强大精神动力、思想保证和智力支持。根据文件要求，我街道对201</w:t>
      </w:r>
      <w:r>
        <w:rPr>
          <w:rStyle w:val="8"/>
          <w:rFonts w:hint="eastAsia" w:ascii="仿宋_GB2312" w:hAnsi="仿宋_GB2312" w:eastAsia="仿宋_GB2312" w:cs="仿宋_GB2312"/>
          <w:sz w:val="24"/>
          <w:szCs w:val="24"/>
          <w:lang w:val="en-US" w:eastAsia="zh-CN"/>
        </w:rPr>
        <w:t>9</w:t>
      </w:r>
      <w:r>
        <w:rPr>
          <w:rStyle w:val="8"/>
          <w:rFonts w:hint="eastAsia" w:ascii="仿宋_GB2312" w:hAnsi="仿宋_GB2312" w:eastAsia="仿宋_GB2312" w:cs="仿宋_GB2312"/>
          <w:sz w:val="24"/>
          <w:szCs w:val="24"/>
        </w:rPr>
        <w:t>年文明创建工作经费项目进行预算绩效评价。</w:t>
      </w:r>
    </w:p>
    <w:p w14:paraId="2839834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rPr>
        <w:t>二）项目预算绩效目标</w:t>
      </w:r>
    </w:p>
    <w:p w14:paraId="6B0DB5B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文明创建工作经费，主要用于</w:t>
      </w:r>
      <w:r>
        <w:rPr>
          <w:rStyle w:val="8"/>
          <w:rFonts w:hint="eastAsia" w:ascii="仿宋_GB2312" w:hAnsi="仿宋_GB2312" w:eastAsia="仿宋_GB2312" w:cs="仿宋_GB2312"/>
          <w:b w:val="0"/>
          <w:i w:val="0"/>
          <w:color w:val="000000"/>
          <w:sz w:val="24"/>
          <w:szCs w:val="24"/>
        </w:rPr>
        <w:t>文明交通值守，网吧值守，开展志愿者活动、道德文化讲堂活动和教育活动</w:t>
      </w:r>
      <w:r>
        <w:rPr>
          <w:rStyle w:val="8"/>
          <w:rFonts w:hint="eastAsia" w:ascii="仿宋_GB2312" w:hAnsi="仿宋_GB2312" w:eastAsia="仿宋_GB2312" w:cs="仿宋_GB2312"/>
          <w:b w:val="0"/>
          <w:i w:val="0"/>
          <w:color w:val="000000"/>
          <w:sz w:val="24"/>
          <w:szCs w:val="24"/>
          <w:lang w:eastAsia="zh-CN"/>
        </w:rPr>
        <w:t>，组织文明创建相关培训活动，</w:t>
      </w:r>
      <w:r>
        <w:rPr>
          <w:rStyle w:val="8"/>
          <w:rFonts w:hint="eastAsia" w:ascii="仿宋_GB2312" w:hAnsi="仿宋_GB2312" w:eastAsia="仿宋_GB2312" w:cs="仿宋_GB2312"/>
          <w:b w:val="0"/>
          <w:i w:val="0"/>
          <w:color w:val="000000"/>
          <w:sz w:val="24"/>
          <w:szCs w:val="24"/>
        </w:rPr>
        <w:t>做好每月城市文明程度测评</w:t>
      </w:r>
      <w:r>
        <w:rPr>
          <w:rStyle w:val="8"/>
          <w:rFonts w:hint="eastAsia" w:ascii="仿宋_GB2312" w:hAnsi="仿宋_GB2312" w:eastAsia="仿宋_GB2312" w:cs="仿宋_GB2312"/>
          <w:b w:val="0"/>
          <w:i w:val="0"/>
          <w:color w:val="000000"/>
          <w:sz w:val="24"/>
          <w:szCs w:val="24"/>
          <w:lang w:eastAsia="zh-CN"/>
        </w:rPr>
        <w:t>。</w:t>
      </w:r>
    </w:p>
    <w:p w14:paraId="14785D1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bCs/>
          <w:i w:val="0"/>
          <w:color w:val="000000"/>
          <w:sz w:val="28"/>
          <w:szCs w:val="28"/>
        </w:rPr>
      </w:pPr>
      <w:r>
        <w:rPr>
          <w:rFonts w:hint="eastAsia" w:ascii="仿宋_GB2312" w:hAnsi="仿宋_GB2312" w:eastAsia="仿宋_GB2312" w:cs="仿宋_GB2312"/>
          <w:b/>
          <w:bCs/>
          <w:i w:val="0"/>
          <w:color w:val="000000"/>
          <w:sz w:val="28"/>
          <w:szCs w:val="28"/>
          <w:lang w:eastAsia="zh-CN"/>
        </w:rPr>
        <w:t>二</w:t>
      </w:r>
      <w:r>
        <w:rPr>
          <w:rFonts w:hint="eastAsia" w:ascii="仿宋_GB2312" w:hAnsi="仿宋_GB2312" w:eastAsia="仿宋_GB2312" w:cs="仿宋_GB2312"/>
          <w:b/>
          <w:bCs/>
          <w:i w:val="0"/>
          <w:color w:val="000000"/>
          <w:sz w:val="28"/>
          <w:szCs w:val="28"/>
        </w:rPr>
        <w:t>、项目绩效分析</w:t>
      </w:r>
    </w:p>
    <w:p w14:paraId="7A0AB3E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（一）项目概况</w:t>
      </w:r>
    </w:p>
    <w:p w14:paraId="2F1C2DA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1、业务管理情况</w:t>
      </w:r>
    </w:p>
    <w:p w14:paraId="2CCEC4E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Style w:val="8"/>
          <w:rFonts w:hint="eastAsia" w:ascii="仿宋_GB2312" w:hAnsi="仿宋_GB2312" w:eastAsia="仿宋_GB2312" w:cs="仿宋_GB2312"/>
          <w:b w:val="0"/>
          <w:i w:val="0"/>
          <w:color w:val="000000"/>
          <w:sz w:val="24"/>
          <w:szCs w:val="24"/>
          <w:lang w:eastAsia="zh-CN"/>
        </w:rPr>
        <w:t>以建设社会主义核心价值体系为主要内容，以巩固全国文明城市创建成果和争创新一轮文明城区为主线，以提升市民文明素质和城市文明程度为根本任务，开展一系列常态化工作和组织志愿者进行文明过马路、网吧值守、地铁单车、垃圾分类等志愿服务活动，加强未成年人思想道德建设。努力构筑和谐人际关系和良好社会道德风尚。</w:t>
      </w:r>
    </w:p>
    <w:p w14:paraId="2DFFB946">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2.财务管理情况</w:t>
      </w:r>
    </w:p>
    <w:p w14:paraId="559C92D2">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sz w:val="24"/>
          <w:szCs w:val="24"/>
          <w:lang w:val="en-US" w:eastAsia="zh-CN"/>
        </w:rPr>
        <w:t>2019年</w:t>
      </w:r>
      <w:r>
        <w:rPr>
          <w:rFonts w:hint="eastAsia" w:ascii="仿宋_GB2312" w:hAnsi="仿宋_GB2312" w:eastAsia="仿宋_GB2312" w:cs="仿宋_GB2312"/>
          <w:sz w:val="24"/>
          <w:szCs w:val="24"/>
        </w:rPr>
        <w:t>文明创建工作经费项目绩效自评综述：项目全年预算数为1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496D0A34">
      <w:pPr>
        <w:pStyle w:val="6"/>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项目预算绩效目标的</w:t>
      </w:r>
      <w:r>
        <w:rPr>
          <w:rFonts w:hint="eastAsia" w:ascii="仿宋_GB2312" w:hAnsi="仿宋_GB2312" w:eastAsia="仿宋_GB2312" w:cs="仿宋_GB2312"/>
          <w:b w:val="0"/>
          <w:i w:val="0"/>
          <w:color w:val="000000"/>
          <w:sz w:val="24"/>
          <w:szCs w:val="24"/>
          <w:lang w:eastAsia="zh-CN"/>
        </w:rPr>
        <w:t>完成情况及效果</w:t>
      </w:r>
    </w:p>
    <w:p w14:paraId="34CF53BB">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一是组织开展“我们的节日”主题活动、志愿服务活动、“向国旗敬礼”活动、“迎军运 讲文明 树新风”系列活动等共70场，参与6500余人次。</w:t>
      </w:r>
    </w:p>
    <w:p w14:paraId="6EFE049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二是典型人物引领培育发扬核心价值观。寻找“最美家庭”活动选树典型，在辖区开展道德模范、身边好人等先进典型的事迹宣讲活动20余场，向区文明办累计选送8位“身边好人”和4名“新时代好少年”，借由典型事迹培育社会主义核心价值观；</w:t>
      </w:r>
    </w:p>
    <w:p w14:paraId="1C242CE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三是做好宣传和意识形态工作。办好</w:t>
      </w:r>
      <w:bookmarkStart w:id="0" w:name="_GoBack"/>
      <w:bookmarkEnd w:id="0"/>
      <w:r>
        <w:rPr>
          <w:rStyle w:val="8"/>
          <w:rFonts w:hint="eastAsia" w:ascii="仿宋_GB2312" w:hAnsi="仿宋_GB2312" w:eastAsia="仿宋_GB2312" w:cs="仿宋_GB2312"/>
          <w:b w:val="0"/>
          <w:i w:val="0"/>
          <w:color w:val="000000"/>
          <w:sz w:val="24"/>
          <w:szCs w:val="24"/>
          <w:lang w:eastAsia="zh-CN"/>
        </w:rPr>
        <w:t>习近平新时代中国特色社会主义思想武昌周周讲主题学习活动黄鹤楼街子讲堂，共开展活动45次，线下参加人数2700余人次。做好军运会宣传工作，制作张贴相关横幅和海报，发放宣传品近万份。做好庆国庆宣传工作，更新街道宣传栏，悬挂灯笼、国旗以制造良好的节日氛围，激发广大群众爱国热情。加强阵地建设，街道落实意识形态阵地管理制度，加大街道和社区各项工作宣传力度，累计报道36次。</w:t>
      </w:r>
    </w:p>
    <w:p w14:paraId="02C8A8DD">
      <w:pPr>
        <w:pStyle w:val="6"/>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both"/>
        <w:textAlignment w:val="auto"/>
        <w:outlineLvl w:val="9"/>
        <w:rPr>
          <w:rFonts w:hint="eastAsia" w:ascii="仿宋_GB2312" w:hAnsi="仿宋_GB2312" w:eastAsia="仿宋_GB2312" w:cs="仿宋_GB2312"/>
          <w:b w:val="0"/>
          <w:i w:val="0"/>
          <w:color w:val="000000"/>
          <w:sz w:val="24"/>
          <w:szCs w:val="24"/>
          <w:lang w:eastAsia="zh-CN"/>
        </w:rPr>
      </w:pPr>
    </w:p>
    <w:p w14:paraId="45E1134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val="0"/>
          <w:i w:val="0"/>
          <w:color w:val="000000"/>
        </w:rPr>
      </w:pPr>
      <w:r>
        <w:rPr>
          <w:rStyle w:val="8"/>
          <w:rFonts w:hint="eastAsia" w:ascii="仿宋_GB2312" w:hAnsi="仿宋_GB2312" w:eastAsia="仿宋_GB2312" w:cs="仿宋_GB2312"/>
          <w:b w:val="0"/>
          <w:i w:val="0"/>
          <w:color w:val="000000"/>
          <w:lang w:eastAsia="zh-CN"/>
        </w:rPr>
        <w:t>三</w:t>
      </w:r>
      <w:r>
        <w:rPr>
          <w:rStyle w:val="8"/>
          <w:rFonts w:hint="eastAsia" w:ascii="仿宋_GB2312" w:hAnsi="仿宋_GB2312" w:eastAsia="仿宋_GB2312" w:cs="仿宋_GB2312"/>
          <w:b w:val="0"/>
          <w:i w:val="0"/>
          <w:color w:val="000000"/>
        </w:rPr>
        <w:t>、自评结论</w:t>
      </w:r>
    </w:p>
    <w:p w14:paraId="033B9768">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预算执行情况：201</w:t>
      </w:r>
      <w:r>
        <w:rPr>
          <w:rFonts w:hint="eastAsia" w:ascii="仿宋_GB2312" w:hAnsi="仿宋_GB2312" w:eastAsia="仿宋_GB2312" w:cs="仿宋_GB2312"/>
          <w:b w:val="0"/>
          <w:i w:val="0"/>
          <w:color w:val="000000"/>
          <w:sz w:val="24"/>
          <w:szCs w:val="24"/>
          <w:lang w:val="en-US" w:eastAsia="zh-CN"/>
        </w:rPr>
        <w:t>9</w:t>
      </w:r>
      <w:r>
        <w:rPr>
          <w:rFonts w:hint="eastAsia" w:ascii="仿宋_GB2312" w:hAnsi="仿宋_GB2312" w:eastAsia="仿宋_GB2312" w:cs="仿宋_GB2312"/>
          <w:b w:val="0"/>
          <w:i w:val="0"/>
          <w:color w:val="000000"/>
          <w:sz w:val="24"/>
          <w:szCs w:val="24"/>
        </w:rPr>
        <w:t>年度</w:t>
      </w:r>
      <w:r>
        <w:rPr>
          <w:rFonts w:hint="eastAsia" w:ascii="仿宋_GB2312" w:hAnsi="仿宋_GB2312" w:eastAsia="仿宋_GB2312" w:cs="仿宋_GB2312"/>
          <w:sz w:val="24"/>
          <w:szCs w:val="24"/>
        </w:rPr>
        <w:t>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30EF5B4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项目绩效情况：该项目资金的投入经费，保障了街道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的顺利进行。</w:t>
      </w:r>
    </w:p>
    <w:p w14:paraId="5FEA171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综合项目支出绩效体系，我街道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建设经费项目绩效自评总分</w:t>
      </w:r>
      <w:r>
        <w:rPr>
          <w:rFonts w:hint="eastAsia" w:ascii="仿宋_GB2312" w:hAnsi="仿宋_GB2312" w:eastAsia="仿宋_GB2312" w:cs="仿宋_GB2312"/>
          <w:b w:val="0"/>
          <w:i w:val="0"/>
          <w:color w:val="000000"/>
          <w:sz w:val="24"/>
          <w:szCs w:val="24"/>
          <w:lang w:val="en-US" w:eastAsia="zh-CN"/>
        </w:rPr>
        <w:t>97</w:t>
      </w:r>
      <w:r>
        <w:rPr>
          <w:rFonts w:hint="eastAsia" w:ascii="仿宋_GB2312" w:hAnsi="仿宋_GB2312" w:eastAsia="仿宋_GB2312" w:cs="仿宋_GB2312"/>
          <w:b w:val="0"/>
          <w:i w:val="0"/>
          <w:color w:val="000000"/>
          <w:sz w:val="24"/>
          <w:szCs w:val="24"/>
        </w:rPr>
        <w:t>分</w:t>
      </w:r>
      <w:r>
        <w:rPr>
          <w:rFonts w:hint="eastAsia" w:ascii="仿宋_GB2312" w:hAnsi="仿宋_GB2312" w:eastAsia="仿宋_GB2312" w:cs="仿宋_GB2312"/>
          <w:b w:val="0"/>
          <w:i w:val="0"/>
          <w:color w:val="000000"/>
          <w:sz w:val="24"/>
          <w:szCs w:val="24"/>
          <w:lang w:eastAsia="zh-CN"/>
        </w:rPr>
        <w:t>（详见项目绩效自评表）</w:t>
      </w:r>
    </w:p>
    <w:p w14:paraId="4C992362">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lang w:eastAsia="zh-CN"/>
        </w:rPr>
        <w:t>四、</w:t>
      </w:r>
      <w:r>
        <w:rPr>
          <w:rFonts w:hint="eastAsia" w:ascii="仿宋_GB2312" w:hAnsi="仿宋_GB2312" w:eastAsia="仿宋_GB2312" w:cs="仿宋_GB2312"/>
          <w:sz w:val="24"/>
          <w:szCs w:val="24"/>
        </w:rPr>
        <w:t>主要经验及做法、存在的问题和</w:t>
      </w:r>
      <w:r>
        <w:rPr>
          <w:rFonts w:hint="eastAsia" w:ascii="仿宋_GB2312" w:hAnsi="仿宋_GB2312" w:eastAsia="仿宋_GB2312" w:cs="仿宋_GB2312"/>
          <w:sz w:val="24"/>
          <w:szCs w:val="24"/>
          <w:lang w:eastAsia="zh-CN"/>
        </w:rPr>
        <w:t>改进措施</w:t>
      </w:r>
    </w:p>
    <w:p w14:paraId="2F2E7EF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eastAsia" w:ascii="仿宋_GB2312" w:hAnsi="仿宋_GB2312" w:eastAsia="仿宋_GB2312" w:cs="仿宋_GB2312"/>
          <w:b w:val="0"/>
          <w:i w:val="0"/>
          <w:color w:val="000000"/>
          <w:sz w:val="24"/>
          <w:szCs w:val="24"/>
          <w:lang w:val="en-US" w:eastAsia="zh-CN"/>
        </w:rPr>
      </w:pPr>
      <w:r>
        <w:rPr>
          <w:rFonts w:hint="eastAsia" w:ascii="仿宋_GB2312" w:hAnsi="仿宋_GB2312" w:eastAsia="仿宋_GB2312" w:cs="仿宋_GB2312"/>
          <w:b w:val="0"/>
          <w:i w:val="0"/>
          <w:color w:val="000000"/>
          <w:sz w:val="24"/>
          <w:szCs w:val="24"/>
          <w:lang w:val="en-US" w:eastAsia="zh-CN"/>
        </w:rPr>
        <w:t>（一）主要经验及做法</w:t>
      </w:r>
    </w:p>
    <w:p w14:paraId="2EED47D9">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黄鹤楼</w:t>
      </w:r>
      <w:r>
        <w:rPr>
          <w:rFonts w:hint="eastAsia" w:ascii="仿宋_GB2312" w:hAnsi="仿宋_GB2312" w:eastAsia="仿宋_GB2312" w:cs="仿宋_GB2312"/>
          <w:sz w:val="24"/>
          <w:szCs w:val="24"/>
        </w:rPr>
        <w:t>街党工委高度重视全国文明城市创建工作，切实做到强化领导，夯实责任，确保全国文明城市创建工作顺利开展。成立了由街道党工委书记、主管领导、相关科室及社区单位共同参与全国文明城市创建委员会，对辖区实行包保责任制，定期检查、指导和督促，全面形成以“党工委为核心，各职能部门为基础，居民群众为主体，社区单位共同参与”的文明创建新格局。</w:t>
      </w:r>
    </w:p>
    <w:p w14:paraId="32D08DBB">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default" w:ascii="仿宋_GB2312" w:hAnsi="仿宋_GB2312" w:eastAsia="仿宋_GB2312" w:cs="仿宋_GB2312"/>
          <w:b w:val="0"/>
          <w:i w:val="0"/>
          <w:color w:val="000000"/>
          <w:sz w:val="24"/>
          <w:szCs w:val="24"/>
          <w:lang w:val="en-US" w:eastAsia="zh-CN"/>
        </w:rPr>
      </w:pPr>
    </w:p>
    <w:p w14:paraId="3633503C">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（二）存在问题</w:t>
      </w:r>
    </w:p>
    <w:p w14:paraId="036D357E">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是培训力度不够。相关工作人员业务水平仍有提升空间，导致宣传工作存在盲点。二是宣传方式不够。在进行文明创建宣传过程中的借助的手段、方式缺乏创新，宣传效果有待改进。三是宣传广度不够。文明创建大多结合当前重点工作进行宣传，但如未成年人保护等部分常态化工作宣传欠缺。</w:t>
      </w:r>
    </w:p>
    <w:p w14:paraId="4C18DBC1">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改进措施</w:t>
      </w:r>
    </w:p>
    <w:p w14:paraId="1A2AE976">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是结合主题教育，持续深入开展文明创建等相关工作，挖掘大众喜闻乐见宣传文化，将宣传重心下移。二是加大与新闻媒体联系，挖掘辖区优秀资源，逐步扩大宣传影响力。三是制作相关宣传用品，覆盖文明创建相关内容，提升宣传的广度和深度。</w:t>
      </w:r>
    </w:p>
    <w:p w14:paraId="6A48D70F">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rPr>
      </w:pPr>
    </w:p>
    <w:p w14:paraId="03DEBF5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default" w:ascii="仿宋_GB2312" w:hAnsi="仿宋_GB2312" w:eastAsia="仿宋_GB2312" w:cs="仿宋_GB2312"/>
          <w:sz w:val="24"/>
          <w:szCs w:val="24"/>
          <w:lang w:val="en-US" w:eastAsia="zh-CN"/>
        </w:rPr>
      </w:pPr>
    </w:p>
    <w:p w14:paraId="12D96B2C">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Style w:val="8"/>
          <w:rFonts w:hint="eastAsia"/>
          <w:b w:val="0"/>
          <w:i w:val="0"/>
          <w:color w:val="000000"/>
          <w:lang w:eastAsia="zh-CN"/>
        </w:rPr>
      </w:pPr>
      <w:r>
        <w:rPr>
          <w:rStyle w:val="8"/>
          <w:rFonts w:hint="eastAsia"/>
          <w:b w:val="0"/>
          <w:i w:val="0"/>
          <w:color w:val="000000"/>
          <w:lang w:eastAsia="zh-CN"/>
        </w:rPr>
        <w:t>五、201</w:t>
      </w:r>
      <w:r>
        <w:rPr>
          <w:rStyle w:val="8"/>
          <w:rFonts w:hint="eastAsia"/>
          <w:b w:val="0"/>
          <w:i w:val="0"/>
          <w:color w:val="000000"/>
          <w:lang w:val="en-US" w:eastAsia="zh-CN"/>
        </w:rPr>
        <w:t>9</w:t>
      </w:r>
      <w:r>
        <w:rPr>
          <w:rStyle w:val="8"/>
          <w:rFonts w:hint="eastAsia"/>
          <w:b w:val="0"/>
          <w:i w:val="0"/>
          <w:color w:val="000000"/>
          <w:lang w:eastAsia="zh-CN"/>
        </w:rPr>
        <w:t>年度文明创建工作经费项目绩效自评表</w:t>
      </w:r>
    </w:p>
    <w:tbl>
      <w:tblPr>
        <w:tblStyle w:val="4"/>
        <w:tblW w:w="8640" w:type="dxa"/>
        <w:tblInd w:w="0" w:type="dxa"/>
        <w:tblLayout w:type="fixed"/>
        <w:tblCellMar>
          <w:top w:w="15" w:type="dxa"/>
          <w:left w:w="15" w:type="dxa"/>
          <w:bottom w:w="15" w:type="dxa"/>
          <w:right w:w="15" w:type="dxa"/>
        </w:tblCellMar>
      </w:tblPr>
      <w:tblGrid>
        <w:gridCol w:w="567"/>
        <w:gridCol w:w="1533"/>
        <w:gridCol w:w="666"/>
        <w:gridCol w:w="4471"/>
        <w:gridCol w:w="1403"/>
      </w:tblGrid>
      <w:tr w14:paraId="4B373F87">
        <w:tblPrEx>
          <w:tblCellMar>
            <w:top w:w="15" w:type="dxa"/>
            <w:left w:w="15" w:type="dxa"/>
            <w:bottom w:w="15" w:type="dxa"/>
            <w:right w:w="15" w:type="dxa"/>
          </w:tblCellMar>
        </w:tblPrEx>
        <w:trPr>
          <w:trHeight w:val="482" w:hRule="atLeast"/>
          <w:tblHeader/>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54392464">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指标名称（权重）</w:t>
            </w:r>
          </w:p>
        </w:tc>
        <w:tc>
          <w:tcPr>
            <w:tcW w:w="666" w:type="dxa"/>
            <w:tcBorders>
              <w:top w:val="single" w:color="000000" w:sz="4" w:space="0"/>
              <w:left w:val="single" w:color="000000" w:sz="4" w:space="0"/>
              <w:bottom w:val="single" w:color="000000" w:sz="4" w:space="0"/>
              <w:right w:val="single" w:color="000000" w:sz="4" w:space="0"/>
            </w:tcBorders>
            <w:vAlign w:val="center"/>
          </w:tcPr>
          <w:p w14:paraId="393A0231">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eastAsia="zh-CN" w:bidi="ar"/>
              </w:rPr>
              <w:t>得分</w:t>
            </w:r>
          </w:p>
        </w:tc>
        <w:tc>
          <w:tcPr>
            <w:tcW w:w="4471" w:type="dxa"/>
            <w:tcBorders>
              <w:top w:val="single" w:color="000000" w:sz="4" w:space="0"/>
              <w:left w:val="single" w:color="000000" w:sz="4" w:space="0"/>
              <w:bottom w:val="single" w:color="000000" w:sz="4" w:space="0"/>
              <w:right w:val="single" w:color="000000" w:sz="4" w:space="0"/>
            </w:tcBorders>
            <w:vAlign w:val="center"/>
          </w:tcPr>
          <w:p w14:paraId="40208692">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评分细则</w:t>
            </w:r>
          </w:p>
        </w:tc>
        <w:tc>
          <w:tcPr>
            <w:tcW w:w="1403" w:type="dxa"/>
            <w:tcBorders>
              <w:top w:val="single" w:color="000000" w:sz="4" w:space="0"/>
              <w:left w:val="single" w:color="000000" w:sz="4" w:space="0"/>
              <w:bottom w:val="single" w:color="000000" w:sz="4" w:space="0"/>
              <w:right w:val="single" w:color="000000" w:sz="4" w:space="0"/>
            </w:tcBorders>
            <w:vAlign w:val="center"/>
          </w:tcPr>
          <w:p w14:paraId="4A04AA75">
            <w:pPr>
              <w:widowControl/>
              <w:spacing w:line="240" w:lineRule="auto"/>
              <w:ind w:firstLine="0" w:firstLineChars="0"/>
              <w:jc w:val="center"/>
              <w:textAlignment w:val="center"/>
              <w:rPr>
                <w:rFonts w:ascii="Arial Narrow" w:hAnsi="Arial Narrow" w:cs="仿宋_GB2312"/>
                <w:kern w:val="0"/>
                <w:sz w:val="21"/>
                <w:lang w:bidi="ar"/>
              </w:rPr>
            </w:pPr>
            <w:r>
              <w:rPr>
                <w:rFonts w:ascii="Arial Narrow" w:hAnsi="Arial Narrow" w:cs="仿宋_GB2312"/>
                <w:kern w:val="0"/>
                <w:sz w:val="21"/>
                <w:lang w:bidi="ar"/>
              </w:rPr>
              <w:t>绩效标准</w:t>
            </w:r>
          </w:p>
        </w:tc>
      </w:tr>
      <w:tr w14:paraId="72A6F2EF">
        <w:tblPrEx>
          <w:tblCellMar>
            <w:top w:w="15" w:type="dxa"/>
            <w:left w:w="15" w:type="dxa"/>
            <w:bottom w:w="15" w:type="dxa"/>
            <w:right w:w="15" w:type="dxa"/>
          </w:tblCellMar>
        </w:tblPrEx>
        <w:trPr>
          <w:trHeight w:val="50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16E1A78">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立项</w:t>
            </w:r>
          </w:p>
        </w:tc>
        <w:tc>
          <w:tcPr>
            <w:tcW w:w="1533" w:type="dxa"/>
            <w:tcBorders>
              <w:top w:val="single" w:color="000000" w:sz="4" w:space="0"/>
              <w:left w:val="single" w:color="000000" w:sz="4" w:space="0"/>
              <w:bottom w:val="single" w:color="000000" w:sz="4" w:space="0"/>
              <w:right w:val="single" w:color="000000" w:sz="4" w:space="0"/>
            </w:tcBorders>
            <w:vAlign w:val="center"/>
          </w:tcPr>
          <w:p w14:paraId="7B7D4D4B">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项目立项规范性（</w:t>
            </w:r>
            <w:r>
              <w:rPr>
                <w:rFonts w:hint="eastAsia" w:ascii="Arial Narrow" w:hAnsi="Arial Narrow" w:cs="仿宋_GB2312"/>
                <w:kern w:val="0"/>
                <w:sz w:val="21"/>
                <w:lang w:val="en-US" w:eastAsia="zh-CN" w:bidi="ar"/>
              </w:rPr>
              <w:t>4</w:t>
            </w:r>
            <w:r>
              <w:rPr>
                <w:rFonts w:ascii="Arial Narrow" w:hAnsi="Arial Narrow" w:cs="仿宋_GB2312"/>
                <w:kern w:val="0"/>
                <w:sz w:val="21"/>
                <w:lang w:bidi="ar"/>
              </w:rPr>
              <w:t>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3EDC52B">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5D0931F">
            <w:pPr>
              <w:widowControl/>
              <w:spacing w:line="240" w:lineRule="auto"/>
              <w:ind w:firstLine="0" w:firstLineChars="0"/>
              <w:textAlignment w:val="center"/>
              <w:rPr>
                <w:rFonts w:ascii="Arial Narrow" w:hAnsi="Arial Narrow" w:cs="仿宋_GB2312"/>
                <w:snapToGrid w:val="0"/>
                <w:kern w:val="0"/>
                <w:sz w:val="21"/>
                <w:lang w:bidi="ar"/>
              </w:rPr>
            </w:pPr>
            <w:r>
              <w:rPr>
                <w:rFonts w:ascii="Arial Narrow" w:hAnsi="Arial Narrow" w:cs="仿宋_GB2312"/>
                <w:kern w:val="0"/>
                <w:sz w:val="21"/>
                <w:lang w:bidi="ar"/>
              </w:rPr>
              <w:t>项目按照规定的程序申请设立，提交的文件、材料符合相关要求计2分；事前已经过必要的可行性研究、专家论证、风险评估、集体决策的，计2分；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8E8915D">
            <w:pPr>
              <w:widowControl/>
              <w:spacing w:line="240" w:lineRule="auto"/>
              <w:ind w:firstLine="0" w:firstLineChars="0"/>
              <w:jc w:val="center"/>
              <w:textAlignment w:val="center"/>
              <w:rPr>
                <w:rFonts w:hint="eastAsia" w:ascii="Arial Narrow" w:hAnsi="Arial Narrow" w:cs="仿宋_GB2312"/>
                <w:kern w:val="0"/>
                <w:sz w:val="21"/>
                <w:lang w:bidi="ar"/>
              </w:rPr>
            </w:pPr>
          </w:p>
        </w:tc>
      </w:tr>
      <w:tr w14:paraId="4E40350F">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396571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35E787C">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绩效目标合理性（4分）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19B3CE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5A44C272">
            <w:pPr>
              <w:widowControl/>
              <w:spacing w:line="240" w:lineRule="auto"/>
              <w:ind w:firstLine="0" w:firstLineChars="0"/>
              <w:jc w:val="left"/>
              <w:textAlignment w:val="center"/>
              <w:rPr>
                <w:rFonts w:ascii="Arial Narrow" w:hAnsi="Arial Narrow" w:cs="仿宋_GB2312"/>
                <w:snapToGrid w:val="0"/>
                <w:kern w:val="0"/>
                <w:sz w:val="21"/>
                <w:lang w:bidi="ar"/>
              </w:rPr>
            </w:pPr>
            <w:r>
              <w:rPr>
                <w:rFonts w:ascii="Arial Narrow" w:hAnsi="Arial Narrow" w:cs="楷体_GB2312"/>
                <w:kern w:val="0"/>
                <w:sz w:val="21"/>
                <w:lang w:bidi="ar"/>
              </w:rPr>
              <w:t>项目符合国家相关法律法规、国民经济发展规划和党委政府决策计1分，与项目实施单位或委托单位职责密切相关计1分，为促进事业发展所必需计1分，项目预期产出效益和效果符合正常的业绩水平计1分。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A9AC954">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1A0AF1C">
        <w:tblPrEx>
          <w:tblCellMar>
            <w:top w:w="15" w:type="dxa"/>
            <w:left w:w="15" w:type="dxa"/>
            <w:bottom w:w="15" w:type="dxa"/>
            <w:right w:w="15" w:type="dxa"/>
          </w:tblCellMar>
        </w:tblPrEx>
        <w:trPr>
          <w:trHeight w:val="77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CF00540">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资金</w:t>
            </w:r>
            <w:r>
              <w:rPr>
                <w:rFonts w:ascii="Arial Narrow" w:hAnsi="Arial Narrow" w:cs="仿宋_GB2312"/>
                <w:kern w:val="0"/>
                <w:sz w:val="21"/>
                <w:lang w:bidi="ar"/>
              </w:rPr>
              <w:br w:type="textWrapping"/>
            </w:r>
            <w:r>
              <w:rPr>
                <w:rFonts w:ascii="Arial Narrow" w:hAnsi="Arial Narrow" w:cs="仿宋_GB2312"/>
                <w:kern w:val="0"/>
                <w:sz w:val="21"/>
                <w:lang w:bidi="ar"/>
              </w:rPr>
              <w:t>落实</w:t>
            </w:r>
          </w:p>
        </w:tc>
        <w:tc>
          <w:tcPr>
            <w:tcW w:w="1533" w:type="dxa"/>
            <w:tcBorders>
              <w:top w:val="single" w:color="000000" w:sz="4" w:space="0"/>
              <w:left w:val="single" w:color="000000" w:sz="4" w:space="0"/>
              <w:bottom w:val="single" w:color="000000" w:sz="4" w:space="0"/>
              <w:right w:val="single" w:color="000000" w:sz="4" w:space="0"/>
            </w:tcBorders>
            <w:vAlign w:val="center"/>
          </w:tcPr>
          <w:p w14:paraId="3850386C">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资金到位率（4分）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871DA95">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29F0FDE">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预算资金全部到位计4分，到位率每降低10%，扣1分。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8133FC3">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4C4E1508">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EC1B65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63F8CE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到位及时率（3分）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568B284C">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7BB9D7BF">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预算资金及时到位计3分，到位及时率每降低10%，扣1分。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DC1919F">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3C542ADC">
        <w:tblPrEx>
          <w:tblCellMar>
            <w:top w:w="15" w:type="dxa"/>
            <w:left w:w="15" w:type="dxa"/>
            <w:bottom w:w="15" w:type="dxa"/>
            <w:right w:w="15" w:type="dxa"/>
          </w:tblCellMar>
        </w:tblPrEx>
        <w:trPr>
          <w:trHeight w:val="331" w:hRule="atLeast"/>
        </w:trPr>
        <w:tc>
          <w:tcPr>
            <w:tcW w:w="567" w:type="dxa"/>
            <w:vMerge w:val="restart"/>
            <w:tcBorders>
              <w:top w:val="single" w:color="000000" w:sz="4" w:space="0"/>
              <w:left w:val="single" w:color="000000" w:sz="4" w:space="0"/>
              <w:right w:val="single" w:color="000000" w:sz="4" w:space="0"/>
            </w:tcBorders>
            <w:vAlign w:val="center"/>
          </w:tcPr>
          <w:p w14:paraId="75CA5D4C">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业务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3BFC24AC">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管理制度健全性（5分）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293B862">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3F21FC9">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已制定制定值班考勤制、台账制、工作考核评估体系、全国文明城市测评体系等，计4分，每少一项扣1分；业务管理制度合法、合规、完整，计1分。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96426D0">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F9E1D4B">
        <w:tblPrEx>
          <w:tblCellMar>
            <w:top w:w="15" w:type="dxa"/>
            <w:left w:w="15" w:type="dxa"/>
            <w:bottom w:w="15" w:type="dxa"/>
            <w:right w:w="15" w:type="dxa"/>
          </w:tblCellMar>
        </w:tblPrEx>
        <w:trPr>
          <w:trHeight w:val="1570" w:hRule="atLeast"/>
        </w:trPr>
        <w:tc>
          <w:tcPr>
            <w:tcW w:w="567" w:type="dxa"/>
            <w:vMerge w:val="continue"/>
            <w:tcBorders>
              <w:left w:val="single" w:color="000000" w:sz="4" w:space="0"/>
              <w:right w:val="single" w:color="000000" w:sz="4" w:space="0"/>
            </w:tcBorders>
            <w:vAlign w:val="center"/>
          </w:tcPr>
          <w:p w14:paraId="0BEEAE7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21C8934">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制度执行有效性（3分）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2725080">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3C39EF4A">
            <w:pPr>
              <w:widowControl/>
              <w:spacing w:line="240" w:lineRule="auto"/>
              <w:ind w:firstLine="0" w:firstLineChars="0"/>
              <w:jc w:val="left"/>
              <w:textAlignment w:val="center"/>
              <w:rPr>
                <w:rFonts w:ascii="Arial Narrow" w:hAnsi="Arial Narrow" w:cs="楷体_GB2312"/>
                <w:kern w:val="0"/>
                <w:sz w:val="21"/>
                <w:lang w:bidi="ar"/>
              </w:rPr>
            </w:pPr>
            <w:r>
              <w:rPr>
                <w:rFonts w:hint="eastAsia" w:ascii="Arial Narrow" w:hAnsi="Arial Narrow" w:cs="楷体_GB2312"/>
                <w:kern w:val="0"/>
                <w:sz w:val="21"/>
                <w:lang w:eastAsia="zh-CN" w:bidi="ar"/>
              </w:rPr>
              <w:t>遵</w:t>
            </w:r>
            <w:r>
              <w:rPr>
                <w:rFonts w:ascii="Arial Narrow" w:hAnsi="Arial Narrow" w:cs="楷体_GB2312"/>
                <w:kern w:val="0"/>
                <w:sz w:val="21"/>
                <w:lang w:bidi="ar"/>
              </w:rPr>
              <w:t>守相关法律法规和业务管理规定，计1分，建立工作台帐、各项工作开支按照有关制度执行，计1分；项目实施的人员条件、场地设备、信息支撑等落实到位计1分，否则计0分。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9FD5FDB">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049A458C">
        <w:tblPrEx>
          <w:tblCellMar>
            <w:top w:w="15" w:type="dxa"/>
            <w:left w:w="15" w:type="dxa"/>
            <w:bottom w:w="15" w:type="dxa"/>
            <w:right w:w="15" w:type="dxa"/>
          </w:tblCellMar>
        </w:tblPrEx>
        <w:trPr>
          <w:trHeight w:val="1233" w:hRule="atLeast"/>
        </w:trPr>
        <w:tc>
          <w:tcPr>
            <w:tcW w:w="567" w:type="dxa"/>
            <w:vMerge w:val="continue"/>
            <w:tcBorders>
              <w:left w:val="single" w:color="000000" w:sz="4" w:space="0"/>
              <w:right w:val="single" w:color="000000" w:sz="4" w:space="0"/>
            </w:tcBorders>
            <w:vAlign w:val="center"/>
          </w:tcPr>
          <w:p w14:paraId="0F2D8F1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1B802C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项目质量可控性（5分）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9663138">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26A6424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项目执行了值班考勤制、台账制、工作考核评估体系、文明城市测评体系管理办法计4分，若未执行一项扣1分；对文明创建工作进行了有效的监督，并形成工作记录，计1分，否则计0分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6D96F41">
            <w:pPr>
              <w:widowControl/>
              <w:spacing w:line="240" w:lineRule="auto"/>
              <w:ind w:firstLine="0" w:firstLineChars="0"/>
              <w:textAlignment w:val="center"/>
              <w:rPr>
                <w:rFonts w:ascii="Arial Narrow" w:hAnsi="Arial Narrow" w:cs="楷体_GB2312"/>
                <w:kern w:val="0"/>
                <w:sz w:val="21"/>
                <w:lang w:bidi="ar"/>
              </w:rPr>
            </w:pPr>
          </w:p>
        </w:tc>
      </w:tr>
      <w:tr w14:paraId="01338125">
        <w:tblPrEx>
          <w:tblCellMar>
            <w:top w:w="15" w:type="dxa"/>
            <w:left w:w="15" w:type="dxa"/>
            <w:bottom w:w="15" w:type="dxa"/>
            <w:right w:w="15" w:type="dxa"/>
          </w:tblCellMar>
        </w:tblPrEx>
        <w:trPr>
          <w:trHeight w:val="1074" w:hRule="atLeast"/>
        </w:trPr>
        <w:tc>
          <w:tcPr>
            <w:tcW w:w="567" w:type="dxa"/>
            <w:vMerge w:val="continue"/>
            <w:tcBorders>
              <w:left w:val="single" w:color="000000" w:sz="4" w:space="0"/>
              <w:bottom w:val="single" w:color="000000" w:sz="4" w:space="0"/>
              <w:right w:val="single" w:color="000000" w:sz="4" w:space="0"/>
            </w:tcBorders>
            <w:vAlign w:val="center"/>
          </w:tcPr>
          <w:p w14:paraId="1B94F98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358350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项目档案完整性（2分）</w:t>
            </w:r>
          </w:p>
        </w:tc>
        <w:tc>
          <w:tcPr>
            <w:tcW w:w="666" w:type="dxa"/>
            <w:tcBorders>
              <w:top w:val="single" w:color="000000" w:sz="4" w:space="0"/>
              <w:left w:val="single" w:color="000000" w:sz="4" w:space="0"/>
              <w:bottom w:val="single" w:color="000000" w:sz="4" w:space="0"/>
              <w:right w:val="single" w:color="000000" w:sz="4" w:space="0"/>
            </w:tcBorders>
            <w:vAlign w:val="center"/>
          </w:tcPr>
          <w:p w14:paraId="5ADEED7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3F904F8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项目档案资料完整计2分，项目档案资料不完整计1分，没有项目资料计0分。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BBDA3CE">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33F2905F">
        <w:tblPrEx>
          <w:tblCellMar>
            <w:top w:w="15" w:type="dxa"/>
            <w:left w:w="15" w:type="dxa"/>
            <w:bottom w:w="15" w:type="dxa"/>
            <w:right w:w="15" w:type="dxa"/>
          </w:tblCellMar>
        </w:tblPrEx>
        <w:trPr>
          <w:trHeight w:val="46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0F844CD5">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财务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3AD2BC8F">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财务制度健全性（3分）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181526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090326C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项目具有相应的财务管理办法或制定了其他具体的</w:t>
            </w:r>
            <w:r>
              <w:rPr>
                <w:rFonts w:hint="eastAsia" w:ascii="Arial Narrow" w:hAnsi="Arial Narrow" w:cs="楷体_GB2312"/>
                <w:kern w:val="0"/>
                <w:sz w:val="21"/>
                <w:lang w:eastAsia="zh-CN" w:bidi="ar"/>
              </w:rPr>
              <w:t>资金管理办法</w:t>
            </w:r>
            <w:r>
              <w:rPr>
                <w:rFonts w:ascii="Arial Narrow" w:hAnsi="Arial Narrow" w:cs="楷体_GB2312"/>
                <w:kern w:val="0"/>
                <w:sz w:val="21"/>
                <w:lang w:bidi="ar"/>
              </w:rPr>
              <w:t>2分，财务管理办法符合相关财务会计制度的规定计1分，否则计0分。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37C6E7D">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6B9C22E">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5072B5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38416CE">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资金使用合规性（3分）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18B83E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1B9729A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资金的拨付及支出符合国家财经法规和财务管理制度等计1分，项目的的支出符合预算批复规定的用途计1分，不存在截留、挤占、挪用、虚列支出等情况计1分，否则计0分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5768781">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9DE385D">
        <w:tblPrEx>
          <w:tblCellMar>
            <w:top w:w="15" w:type="dxa"/>
            <w:left w:w="15" w:type="dxa"/>
            <w:bottom w:w="15" w:type="dxa"/>
            <w:right w:w="15" w:type="dxa"/>
          </w:tblCellMar>
        </w:tblPrEx>
        <w:trPr>
          <w:trHeight w:val="52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36B967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0C81DFA">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财务监控有效性（4分）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7E29D46">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4CEB4B0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资金的拨付及支出有完整的审批程序和手续，计2分；项目的重大开支经过集体决策，计1分；项目资金进行专款专账核算，计1分。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11FE509">
            <w:pPr>
              <w:widowControl/>
              <w:spacing w:line="240" w:lineRule="auto"/>
              <w:ind w:firstLine="0" w:firstLineChars="0"/>
              <w:jc w:val="center"/>
              <w:textAlignment w:val="center"/>
              <w:rPr>
                <w:rFonts w:ascii="Arial Narrow" w:hAnsi="Arial Narrow" w:cs="楷体_GB2312"/>
                <w:kern w:val="0"/>
                <w:sz w:val="21"/>
                <w:lang w:bidi="ar"/>
              </w:rPr>
            </w:pPr>
          </w:p>
        </w:tc>
      </w:tr>
      <w:tr w14:paraId="345B46FD">
        <w:tblPrEx>
          <w:tblCellMar>
            <w:top w:w="15" w:type="dxa"/>
            <w:left w:w="15" w:type="dxa"/>
            <w:bottom w:w="15" w:type="dxa"/>
            <w:right w:w="15" w:type="dxa"/>
          </w:tblCellMar>
        </w:tblPrEx>
        <w:trPr>
          <w:trHeight w:val="93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BE71324">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产出</w:t>
            </w:r>
          </w:p>
        </w:tc>
        <w:tc>
          <w:tcPr>
            <w:tcW w:w="1533" w:type="dxa"/>
            <w:tcBorders>
              <w:top w:val="single" w:color="000000" w:sz="4" w:space="0"/>
              <w:left w:val="single" w:color="000000" w:sz="4" w:space="0"/>
              <w:bottom w:val="single" w:color="000000" w:sz="4" w:space="0"/>
              <w:right w:val="single" w:color="000000" w:sz="4" w:space="0"/>
            </w:tcBorders>
            <w:vAlign w:val="center"/>
          </w:tcPr>
          <w:p w14:paraId="0AD54CA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培训完成率（5分）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936A40B">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225982C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文明城市创建知识培训完成率=（实际开展培训次数/计划开展培训次数）*100%，全部完成</w:t>
            </w:r>
            <w:r>
              <w:rPr>
                <w:rFonts w:hint="eastAsia" w:ascii="Arial Narrow" w:hAnsi="Arial Narrow" w:cs="楷体_GB2312"/>
                <w:kern w:val="0"/>
                <w:sz w:val="21"/>
                <w:lang w:val="en-US" w:eastAsia="zh-CN" w:bidi="ar"/>
              </w:rPr>
              <w:t>5</w:t>
            </w:r>
            <w:r>
              <w:rPr>
                <w:rFonts w:ascii="Arial Narrow" w:hAnsi="Arial Narrow" w:cs="楷体_GB2312"/>
                <w:kern w:val="0"/>
                <w:sz w:val="21"/>
                <w:lang w:bidi="ar"/>
              </w:rPr>
              <w:t>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58BB822">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计划标准</w:t>
            </w:r>
          </w:p>
        </w:tc>
      </w:tr>
      <w:tr w14:paraId="3130B929">
        <w:tblPrEx>
          <w:tblCellMar>
            <w:top w:w="15" w:type="dxa"/>
            <w:left w:w="15" w:type="dxa"/>
            <w:bottom w:w="15" w:type="dxa"/>
            <w:right w:w="15"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ADA338E">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6F3FAC8">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城市文明程度测评完成率（5分）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CD40BB2">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FB3872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城市文明程度测评完成率=（实际开展测评次数/计划开展测评次数）*100%，全部完成得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CBC985B">
            <w:pPr>
              <w:widowControl/>
              <w:spacing w:line="240" w:lineRule="auto"/>
              <w:ind w:firstLine="0" w:firstLineChars="0"/>
              <w:jc w:val="center"/>
              <w:textAlignment w:val="center"/>
              <w:rPr>
                <w:rFonts w:hint="eastAsia" w:ascii="Arial Narrow" w:hAnsi="Arial Narrow" w:cs="仿宋_GB2312"/>
                <w:kern w:val="0"/>
                <w:sz w:val="21"/>
                <w:lang w:bidi="ar"/>
              </w:rPr>
            </w:pPr>
            <w:r>
              <w:rPr>
                <w:rFonts w:hint="eastAsia" w:ascii="Arial Narrow" w:hAnsi="Arial Narrow" w:cs="仿宋_GB2312"/>
                <w:kern w:val="0"/>
                <w:sz w:val="21"/>
                <w:lang w:bidi="ar"/>
              </w:rPr>
              <w:t>计划标准</w:t>
            </w:r>
          </w:p>
        </w:tc>
      </w:tr>
      <w:tr w14:paraId="72264F1E">
        <w:tblPrEx>
          <w:tblCellMar>
            <w:top w:w="15" w:type="dxa"/>
            <w:left w:w="15" w:type="dxa"/>
            <w:bottom w:w="15" w:type="dxa"/>
            <w:right w:w="15" w:type="dxa"/>
          </w:tblCellMar>
        </w:tblPrEx>
        <w:trPr>
          <w:trHeight w:val="52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8AD2E70">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321E63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街道活动完成率（5分）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08E0B6A">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50BC63C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街道建设活动率=（实际开展建设活动次数/计划开展建设活动次数）*100%，全部完成得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D517758">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59FC38BC">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7B7BADC">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F4AA18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AB21D75">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B73BB7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志愿者参与度=（注册志愿者参加活动人数/注册总人数）*100%，超过90%得5分，每减少10%扣1分。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F43AE9A">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6B31AA82">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5535975">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787FEC1">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预算执行率（5分）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AB81A7A">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589B6FE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预算执行率超过90%计5分，每降低5%，扣1分。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5C3EC9C">
            <w:pPr>
              <w:widowControl/>
              <w:spacing w:line="240" w:lineRule="auto"/>
              <w:ind w:firstLine="0" w:firstLineChars="0"/>
              <w:jc w:val="center"/>
              <w:textAlignment w:val="center"/>
              <w:rPr>
                <w:rFonts w:ascii="Arial Narrow" w:hAnsi="Arial Narrow" w:cs="楷体_GB2312"/>
                <w:kern w:val="0"/>
                <w:sz w:val="21"/>
                <w:lang w:bidi="ar"/>
              </w:rPr>
            </w:pPr>
            <w:r>
              <w:rPr>
                <w:rFonts w:hint="eastAsia" w:ascii="Arial Narrow" w:hAnsi="Arial Narrow" w:cs="仿宋_GB2312"/>
                <w:kern w:val="0"/>
                <w:sz w:val="21"/>
                <w:lang w:bidi="ar"/>
              </w:rPr>
              <w:t>计划标准</w:t>
            </w:r>
          </w:p>
        </w:tc>
      </w:tr>
      <w:tr w14:paraId="7798C6C4">
        <w:tblPrEx>
          <w:tblCellMar>
            <w:top w:w="15" w:type="dxa"/>
            <w:left w:w="15" w:type="dxa"/>
            <w:bottom w:w="15" w:type="dxa"/>
            <w:right w:w="15" w:type="dxa"/>
          </w:tblCellMar>
        </w:tblPrEx>
        <w:trPr>
          <w:trHeight w:val="1117"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6D635C2">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效益</w:t>
            </w:r>
          </w:p>
        </w:tc>
        <w:tc>
          <w:tcPr>
            <w:tcW w:w="1533" w:type="dxa"/>
            <w:tcBorders>
              <w:top w:val="single" w:color="000000" w:sz="4" w:space="0"/>
              <w:left w:val="single" w:color="000000" w:sz="4" w:space="0"/>
              <w:bottom w:val="single" w:color="000000" w:sz="4" w:space="0"/>
              <w:right w:val="single" w:color="000000" w:sz="4" w:space="0"/>
            </w:tcBorders>
            <w:vAlign w:val="center"/>
          </w:tcPr>
          <w:p w14:paraId="4FC9CAAA">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宣传方式多样性（6分）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D9E1096">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1451C633">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项目实施过程中，所采取的宣传活动的形式超过3种，计6分，每少一类扣2分。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351C4F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29D3799">
        <w:tblPrEx>
          <w:tblCellMar>
            <w:top w:w="15" w:type="dxa"/>
            <w:left w:w="15" w:type="dxa"/>
            <w:bottom w:w="15" w:type="dxa"/>
            <w:right w:w="15" w:type="dxa"/>
          </w:tblCellMar>
        </w:tblPrEx>
        <w:trPr>
          <w:trHeight w:val="25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B199DD5">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2D7C28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社会治安稳定程度（6分）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474E5D5">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0CCD9DA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达到80%，计6分，每降低10%，扣1分。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417ED78">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4C8EF357">
        <w:tblPrEx>
          <w:tblCellMar>
            <w:top w:w="15" w:type="dxa"/>
            <w:left w:w="15" w:type="dxa"/>
            <w:bottom w:w="15" w:type="dxa"/>
            <w:right w:w="15"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3979AE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7FBA0F5">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志愿服务活动相关性（6分）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C3F567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5B3EF747">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项目实施单位开展志愿者服务活动的内容与服务重点，与城市文明创建项目相关，能够推动志愿服务活动的开展，计6分。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59B8D47">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827051B">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DA0193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4E17349B">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群众知晓率（6分）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FA2DCF5">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5800EB8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项目实施后，通过对文明城市建设工作常态化的督促和指导，辖区居民对文明城市建设知晓情况，用以反应项目的社会效益。群众知晓率≥95%计6分，每降低5%，扣0.5分。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CED7DB2">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0D5EED3A">
        <w:tblPrEx>
          <w:tblCellMar>
            <w:top w:w="15" w:type="dxa"/>
            <w:left w:w="15" w:type="dxa"/>
            <w:bottom w:w="15" w:type="dxa"/>
            <w:right w:w="15" w:type="dxa"/>
          </w:tblCellMar>
        </w:tblPrEx>
        <w:trPr>
          <w:trHeight w:val="23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F4FE129">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7EC02A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可持续影响性</w:t>
            </w:r>
          </w:p>
          <w:p w14:paraId="278438E5">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B9DCEFE">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71FF2377">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项目实施单位有机构设置和充足的人员配备支持项目实施的后续运行，计2分；开展后续跟踪管理工作，计2分。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4EE1E2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08CC65B1">
        <w:tblPrEx>
          <w:tblCellMar>
            <w:top w:w="15" w:type="dxa"/>
            <w:left w:w="15" w:type="dxa"/>
            <w:bottom w:w="15" w:type="dxa"/>
            <w:right w:w="15" w:type="dxa"/>
          </w:tblCellMar>
        </w:tblPrEx>
        <w:trPr>
          <w:trHeight w:val="8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01AC87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DCD17B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社会公众或服务对象满意度</w:t>
            </w:r>
          </w:p>
          <w:p w14:paraId="5E52A6D3">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（7分）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5D8F31D">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7</w:t>
            </w:r>
          </w:p>
        </w:tc>
        <w:tc>
          <w:tcPr>
            <w:tcW w:w="4471" w:type="dxa"/>
            <w:tcBorders>
              <w:top w:val="single" w:color="000000" w:sz="4" w:space="0"/>
              <w:left w:val="single" w:color="000000" w:sz="4" w:space="0"/>
              <w:bottom w:val="single" w:color="000000" w:sz="4" w:space="0"/>
              <w:right w:val="single" w:color="000000" w:sz="4" w:space="0"/>
            </w:tcBorders>
            <w:vAlign w:val="center"/>
          </w:tcPr>
          <w:p w14:paraId="3414488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达到85%，计7分，每降低10%，扣1分。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8C5B0E4">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05739D11">
        <w:tblPrEx>
          <w:tblCellMar>
            <w:top w:w="15" w:type="dxa"/>
            <w:left w:w="15" w:type="dxa"/>
            <w:bottom w:w="15" w:type="dxa"/>
            <w:right w:w="15" w:type="dxa"/>
          </w:tblCellMar>
        </w:tblPrEx>
        <w:trPr>
          <w:trHeight w:val="815"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A5E99EB">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eastAsia="zh-CN"/>
              </w:rPr>
              <w:t>总分</w:t>
            </w:r>
          </w:p>
        </w:tc>
        <w:tc>
          <w:tcPr>
            <w:tcW w:w="1533" w:type="dxa"/>
            <w:tcBorders>
              <w:top w:val="single" w:color="000000" w:sz="4" w:space="0"/>
              <w:left w:val="single" w:color="000000" w:sz="4" w:space="0"/>
              <w:bottom w:val="single" w:color="000000" w:sz="4" w:space="0"/>
              <w:right w:val="single" w:color="000000" w:sz="4" w:space="0"/>
            </w:tcBorders>
            <w:vAlign w:val="center"/>
          </w:tcPr>
          <w:p w14:paraId="2A26BB41">
            <w:pPr>
              <w:widowControl/>
              <w:spacing w:line="240" w:lineRule="auto"/>
              <w:ind w:firstLine="0" w:firstLineChars="0"/>
              <w:jc w:val="left"/>
              <w:textAlignment w:val="center"/>
              <w:rPr>
                <w:rFonts w:ascii="Arial Narrow" w:hAnsi="Arial Narrow" w:cs="仿宋_GB2312"/>
                <w:kern w:val="0"/>
                <w:sz w:val="21"/>
                <w:lang w:bidi="ar"/>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7C0E59D6">
            <w:pPr>
              <w:widowControl/>
              <w:spacing w:line="240" w:lineRule="auto"/>
              <w:ind w:firstLine="0" w:firstLineChars="0"/>
              <w:jc w:val="center"/>
              <w:textAlignment w:val="center"/>
              <w:rPr>
                <w:rFonts w:hint="eastAsia" w:ascii="Arial Narrow" w:hAnsi="Arial Narrow" w:cs="仿宋_GB2312"/>
                <w:kern w:val="0"/>
                <w:sz w:val="21"/>
                <w:lang w:val="en-US" w:eastAsia="zh-CN" w:bidi="ar"/>
              </w:rPr>
            </w:pPr>
            <w:r>
              <w:rPr>
                <w:rFonts w:hint="eastAsia" w:ascii="Arial Narrow" w:hAnsi="Arial Narrow" w:cs="仿宋_GB2312"/>
                <w:kern w:val="0"/>
                <w:sz w:val="21"/>
                <w:lang w:val="en-US" w:eastAsia="zh-CN" w:bidi="ar"/>
              </w:rPr>
              <w:t>97</w:t>
            </w:r>
          </w:p>
        </w:tc>
        <w:tc>
          <w:tcPr>
            <w:tcW w:w="4471" w:type="dxa"/>
            <w:tcBorders>
              <w:top w:val="single" w:color="000000" w:sz="4" w:space="0"/>
              <w:left w:val="single" w:color="000000" w:sz="4" w:space="0"/>
              <w:bottom w:val="single" w:color="000000" w:sz="4" w:space="0"/>
              <w:right w:val="single" w:color="000000" w:sz="4" w:space="0"/>
            </w:tcBorders>
            <w:vAlign w:val="center"/>
          </w:tcPr>
          <w:p w14:paraId="3E6E99AA">
            <w:pPr>
              <w:widowControl/>
              <w:spacing w:line="240" w:lineRule="auto"/>
              <w:ind w:firstLine="0" w:firstLineChars="0"/>
              <w:jc w:val="left"/>
              <w:textAlignment w:val="center"/>
              <w:rPr>
                <w:rFonts w:ascii="Arial Narrow" w:hAnsi="Arial Narrow" w:cs="楷体_GB2312"/>
                <w:kern w:val="0"/>
                <w:sz w:val="21"/>
                <w:lang w:bidi="ar"/>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1B8A1643">
            <w:pPr>
              <w:widowControl/>
              <w:spacing w:line="240" w:lineRule="auto"/>
              <w:ind w:firstLine="0" w:firstLineChars="0"/>
              <w:jc w:val="center"/>
              <w:textAlignment w:val="center"/>
              <w:rPr>
                <w:rFonts w:hint="eastAsia" w:ascii="Arial Narrow" w:hAnsi="Arial Narrow" w:cs="楷体_GB2312"/>
                <w:kern w:val="0"/>
                <w:sz w:val="21"/>
                <w:lang w:bidi="ar"/>
              </w:rPr>
            </w:pPr>
          </w:p>
        </w:tc>
      </w:tr>
    </w:tbl>
    <w:p w14:paraId="2592A691">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宋体" w:hAnsi="宋体" w:eastAsia="宋体" w:cs="宋体"/>
          <w:b w:val="0"/>
          <w:i w:val="0"/>
          <w:color w:val="00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C265"/>
    <w:multiLevelType w:val="singleLevel"/>
    <w:tmpl w:val="FF38C2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436B3A"/>
    <w:rsid w:val="1B375369"/>
    <w:rsid w:val="1CF354BD"/>
    <w:rsid w:val="28A74EE3"/>
    <w:rsid w:val="28E54277"/>
    <w:rsid w:val="2F7A3FCC"/>
    <w:rsid w:val="309C276B"/>
    <w:rsid w:val="373E71CC"/>
    <w:rsid w:val="42BE7CC5"/>
    <w:rsid w:val="562C3D38"/>
    <w:rsid w:val="608139B1"/>
    <w:rsid w:val="671E01AD"/>
    <w:rsid w:val="6A555BB1"/>
    <w:rsid w:val="6BD67845"/>
    <w:rsid w:val="722F44E0"/>
    <w:rsid w:val="75723239"/>
    <w:rsid w:val="7DFC5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宋体"/>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rFonts w:ascii="Times New Roman" w:hAnsi="Times New Roman" w:eastAsia="宋体"/>
      <w:sz w:val="18"/>
      <w:szCs w:val="20"/>
    </w:rPr>
  </w:style>
  <w:style w:type="paragraph" w:customStyle="1" w:styleId="6">
    <w:name w:val="List Paragraph"/>
    <w:basedOn w:val="1"/>
    <w:qFormat/>
    <w:uiPriority w:val="34"/>
    <w:pPr>
      <w:widowControl/>
      <w:adjustRightInd w:val="0"/>
      <w:snapToGrid w:val="0"/>
      <w:spacing w:after="200" w:line="240" w:lineRule="auto"/>
      <w:ind w:firstLine="420"/>
      <w:jc w:val="left"/>
    </w:pPr>
    <w:rPr>
      <w:rFonts w:ascii="Tahoma" w:hAnsi="Tahoma" w:eastAsia="微软雅黑"/>
      <w:kern w:val="0"/>
      <w:sz w:val="22"/>
      <w:szCs w:val="22"/>
    </w:rPr>
  </w:style>
  <w:style w:type="character" w:customStyle="1" w:styleId="7">
    <w:name w:val="fontstyle01"/>
    <w:basedOn w:val="5"/>
    <w:qFormat/>
    <w:uiPriority w:val="0"/>
    <w:rPr>
      <w:rFonts w:ascii="黑体" w:hAnsi="宋体" w:eastAsia="黑体" w:cs="黑体"/>
      <w:color w:val="000000"/>
      <w:sz w:val="44"/>
      <w:szCs w:val="44"/>
    </w:rPr>
  </w:style>
  <w:style w:type="character" w:customStyle="1" w:styleId="8">
    <w:name w:val="fontstyle11"/>
    <w:basedOn w:val="5"/>
    <w:qFormat/>
    <w:uiPriority w:val="0"/>
    <w:rPr>
      <w:rFonts w:ascii="宋体" w:hAnsi="宋体" w:eastAsia="宋体" w:cs="宋体"/>
      <w:color w:val="000000"/>
      <w:sz w:val="28"/>
      <w:szCs w:val="28"/>
    </w:rPr>
  </w:style>
  <w:style w:type="character" w:customStyle="1" w:styleId="9">
    <w:name w:val="fontstyle21"/>
    <w:basedOn w:val="5"/>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3107</Words>
  <Characters>3195</Characters>
  <Lines>0</Lines>
  <Paragraphs>0</Paragraphs>
  <TotalTime>13</TotalTime>
  <ScaleCrop>false</ScaleCrop>
  <LinksUpToDate>false</LinksUpToDate>
  <CharactersWithSpaces>3216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2019-10-29T01:11:00Z</dcterms:created>
  <dc:creator>是菜菜子呀</dc:creator>
  <cp:lastModifiedBy>Administrator</cp:lastModifiedBy>
  <dcterms:modified xsi:type="dcterms:W3CDTF">2025-03-21T01:16:45Z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eyJoZGlkIjoiNzNkNzMxYjNhYzkyODA0MjA2NDZlMzQ3ZTI2NzRlZGIifQ==</vt:lpwstr>
  </property>
  <property fmtid="{D5CDD505-2E9C-101B-9397-08002B2CF9AE}" pid="4" name="ICV">
    <vt:lpwstr>28A37337A0AB4A07AA969782651BAFC6_13</vt:lpwstr>
  </property>
</Properties>
</file>