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0" w:firstLineChars="0"/>
        <w:jc w:val="center"/>
        <w:rPr>
          <w:rFonts w:ascii="Arial Narrow" w:hAnsi="Arial Narrow"/>
          <w:b/>
          <w:color w:val="000000"/>
          <w:sz w:val="44"/>
          <w:szCs w:val="44"/>
        </w:rPr>
      </w:pPr>
      <w:r>
        <w:rPr>
          <w:rFonts w:hint="eastAsia" w:ascii="Arial Narrow" w:hAnsi="Arial Narrow"/>
          <w:b/>
          <w:color w:val="000000"/>
          <w:sz w:val="44"/>
          <w:szCs w:val="44"/>
        </w:rPr>
        <w:t>武昌区2017年度协税工作经费项目</w:t>
      </w:r>
    </w:p>
    <w:p>
      <w:pPr>
        <w:ind w:firstLine="0" w:firstLineChars="0"/>
        <w:jc w:val="center"/>
        <w:rPr>
          <w:rFonts w:ascii="Arial Narrow" w:hAnsi="Arial Narrow"/>
          <w:b/>
          <w:bCs/>
          <w:color w:val="000000"/>
          <w:sz w:val="44"/>
          <w:szCs w:val="44"/>
        </w:rPr>
      </w:pPr>
      <w:r>
        <w:rPr>
          <w:rFonts w:hint="eastAsia" w:ascii="Arial Narrow" w:hAnsi="Arial Narrow"/>
          <w:b/>
          <w:color w:val="000000"/>
          <w:sz w:val="44"/>
          <w:szCs w:val="44"/>
        </w:rPr>
        <w:t>绩效评价报告</w:t>
      </w:r>
    </w:p>
    <w:p>
      <w:pPr>
        <w:ind w:firstLine="480"/>
        <w:rPr>
          <w:rFonts w:ascii="Arial Narrow" w:hAnsi="Arial Narrow"/>
        </w:rPr>
      </w:pPr>
    </w:p>
    <w:p>
      <w:pPr>
        <w:ind w:firstLine="480"/>
        <w:rPr>
          <w:rFonts w:ascii="Arial Narrow" w:hAnsi="Arial Narrow"/>
        </w:rPr>
      </w:pPr>
    </w:p>
    <w:p>
      <w:pPr>
        <w:ind w:firstLine="480"/>
        <w:rPr>
          <w:rFonts w:ascii="Arial Narrow" w:hAnsi="Arial Narrow"/>
        </w:rPr>
      </w:pPr>
    </w:p>
    <w:p>
      <w:pPr>
        <w:widowControl/>
        <w:spacing w:line="800" w:lineRule="exact"/>
        <w:ind w:firstLine="0" w:firstLineChars="0"/>
        <w:jc w:val="left"/>
        <w:rPr>
          <w:rFonts w:ascii="Arial Narrow" w:hAnsi="Arial Narrow"/>
          <w:b/>
          <w:bCs/>
          <w:kern w:val="32"/>
          <w:sz w:val="32"/>
          <w:lang w:bidi="he-IL"/>
        </w:rPr>
      </w:pPr>
    </w:p>
    <w:p>
      <w:pPr>
        <w:widowControl/>
        <w:spacing w:line="480" w:lineRule="auto"/>
        <w:ind w:right="-192" w:rightChars="-80" w:firstLine="643"/>
        <w:jc w:val="left"/>
        <w:rPr>
          <w:rFonts w:ascii="Arial Narrow" w:hAnsi="Arial Narrow"/>
          <w:b/>
          <w:bCs/>
          <w:kern w:val="32"/>
          <w:sz w:val="32"/>
          <w:lang w:bidi="he-IL"/>
        </w:rPr>
      </w:pPr>
      <w:r>
        <w:rPr>
          <w:rFonts w:ascii="Arial Narrow" w:hAnsi="Arial Narrow"/>
          <w:b/>
          <w:bCs/>
          <w:kern w:val="32"/>
          <w:sz w:val="32"/>
          <w:lang w:bidi="he-IL"/>
        </w:rPr>
        <w:t>项目名称：</w:t>
      </w:r>
      <w:r>
        <w:rPr>
          <w:rFonts w:hint="eastAsia" w:ascii="Arial Narrow" w:hAnsi="Arial Narrow"/>
          <w:b/>
          <w:bCs/>
          <w:kern w:val="32"/>
          <w:sz w:val="32"/>
          <w:lang w:bidi="he-IL"/>
        </w:rPr>
        <w:t xml:space="preserve"> 协税工作经费</w:t>
      </w:r>
    </w:p>
    <w:p>
      <w:pPr>
        <w:widowControl/>
        <w:spacing w:line="480" w:lineRule="auto"/>
        <w:ind w:right="-192" w:rightChars="-80" w:firstLine="643"/>
        <w:jc w:val="left"/>
        <w:rPr>
          <w:rFonts w:ascii="Arial Narrow" w:hAnsi="Arial Narrow"/>
          <w:b/>
          <w:bCs/>
          <w:kern w:val="32"/>
          <w:sz w:val="32"/>
          <w:lang w:bidi="he-IL"/>
        </w:rPr>
      </w:pPr>
      <w:r>
        <w:rPr>
          <w:rFonts w:ascii="Arial Narrow" w:hAnsi="Arial Narrow"/>
          <w:b/>
          <w:bCs/>
          <w:kern w:val="32"/>
          <w:sz w:val="32"/>
          <w:lang w:bidi="he-IL"/>
        </w:rPr>
        <w:t>项目单位：</w:t>
      </w:r>
      <w:r>
        <w:rPr>
          <w:rFonts w:hint="eastAsia" w:ascii="Arial Narrow" w:hAnsi="Arial Narrow"/>
          <w:b/>
          <w:bCs/>
          <w:kern w:val="32"/>
          <w:sz w:val="32"/>
          <w:lang w:bidi="he-IL"/>
        </w:rPr>
        <w:t xml:space="preserve"> 武昌区人民政府黄鹤楼街办事处</w:t>
      </w:r>
    </w:p>
    <w:p>
      <w:pPr>
        <w:widowControl/>
        <w:spacing w:line="480" w:lineRule="auto"/>
        <w:ind w:right="-192" w:rightChars="-80" w:firstLine="643"/>
        <w:jc w:val="left"/>
        <w:rPr>
          <w:rFonts w:ascii="Arial Narrow" w:hAnsi="Arial Narrow"/>
          <w:b/>
          <w:bCs/>
          <w:kern w:val="32"/>
          <w:sz w:val="32"/>
          <w:lang w:bidi="he-IL"/>
        </w:rPr>
      </w:pPr>
      <w:r>
        <w:rPr>
          <w:rFonts w:hint="eastAsia" w:ascii="Arial Narrow" w:hAnsi="Arial Narrow"/>
          <w:b/>
          <w:bCs/>
          <w:kern w:val="32"/>
          <w:sz w:val="32"/>
          <w:lang w:bidi="he-IL"/>
        </w:rPr>
        <w:t>主管部门： 武昌区人民政府黄鹤楼街办事处</w:t>
      </w:r>
    </w:p>
    <w:p>
      <w:pPr>
        <w:widowControl/>
        <w:spacing w:line="480" w:lineRule="auto"/>
        <w:ind w:firstLine="643"/>
        <w:jc w:val="left"/>
        <w:rPr>
          <w:rFonts w:ascii="Arial Narrow" w:hAnsi="Arial Narrow"/>
          <w:b/>
          <w:bCs/>
          <w:kern w:val="32"/>
          <w:sz w:val="32"/>
          <w:lang w:bidi="he-IL"/>
        </w:rPr>
      </w:pPr>
      <w:r>
        <w:rPr>
          <w:rFonts w:ascii="Arial Narrow" w:hAnsi="Arial Narrow"/>
          <w:b/>
          <w:bCs/>
          <w:kern w:val="32"/>
          <w:sz w:val="32"/>
          <w:lang w:bidi="he-IL"/>
        </w:rPr>
        <w:t>评价机构：</w:t>
      </w:r>
      <w:r>
        <w:rPr>
          <w:rFonts w:hint="eastAsia" w:ascii="Arial Narrow" w:hAnsi="Arial Narrow"/>
          <w:b/>
          <w:bCs/>
          <w:kern w:val="32"/>
          <w:sz w:val="32"/>
          <w:lang w:bidi="he-IL"/>
        </w:rPr>
        <w:t xml:space="preserve"> 致同会计师事务所（特殊普通合伙）武汉分所</w:t>
      </w:r>
    </w:p>
    <w:p>
      <w:pPr>
        <w:spacing w:line="800" w:lineRule="exact"/>
        <w:ind w:firstLine="0" w:firstLineChars="0"/>
        <w:rPr>
          <w:rFonts w:ascii="Arial Narrow" w:hAnsi="Arial Narrow"/>
          <w:b/>
          <w:bCs/>
          <w:sz w:val="32"/>
          <w:szCs w:val="32"/>
        </w:rPr>
      </w:pPr>
    </w:p>
    <w:p>
      <w:pPr>
        <w:spacing w:line="800" w:lineRule="exact"/>
        <w:ind w:firstLine="0" w:firstLineChars="0"/>
        <w:jc w:val="center"/>
        <w:rPr>
          <w:rFonts w:ascii="Arial Narrow" w:hAnsi="Arial Narrow"/>
          <w:b/>
          <w:bCs/>
          <w:sz w:val="32"/>
          <w:szCs w:val="32"/>
        </w:rPr>
      </w:pPr>
      <w:r>
        <w:rPr>
          <w:rFonts w:ascii="Arial Narrow" w:hAnsi="Arial Narrow"/>
          <w:b/>
          <w:bCs/>
          <w:sz w:val="32"/>
          <w:szCs w:val="32"/>
        </w:rPr>
        <w:t>二</w:t>
      </w:r>
      <w:r>
        <w:rPr>
          <w:rFonts w:hint="eastAsia" w:ascii="微软雅黑" w:hAnsi="微软雅黑" w:eastAsia="微软雅黑" w:cs="微软雅黑"/>
          <w:b/>
          <w:bCs/>
          <w:sz w:val="32"/>
          <w:szCs w:val="32"/>
        </w:rPr>
        <w:t>〇</w:t>
      </w:r>
      <w:r>
        <w:rPr>
          <w:rFonts w:hint="eastAsia" w:ascii="Arial Narrow" w:hAnsi="Arial Narrow"/>
          <w:b/>
          <w:bCs/>
          <w:sz w:val="32"/>
          <w:szCs w:val="32"/>
        </w:rPr>
        <w:t>一八</w:t>
      </w:r>
      <w:r>
        <w:rPr>
          <w:rFonts w:ascii="Arial Narrow" w:hAnsi="Arial Narrow"/>
          <w:b/>
          <w:bCs/>
          <w:sz w:val="32"/>
          <w:szCs w:val="32"/>
        </w:rPr>
        <w:t>年</w:t>
      </w:r>
      <w:r>
        <w:rPr>
          <w:rFonts w:hint="eastAsia" w:ascii="Arial Narrow" w:hAnsi="Arial Narrow"/>
          <w:b/>
          <w:bCs/>
          <w:sz w:val="32"/>
          <w:szCs w:val="32"/>
        </w:rPr>
        <w:t>五</w:t>
      </w:r>
      <w:r>
        <w:rPr>
          <w:rFonts w:ascii="Arial Narrow" w:hAnsi="Arial Narrow"/>
          <w:b/>
          <w:bCs/>
          <w:sz w:val="32"/>
          <w:szCs w:val="32"/>
        </w:rPr>
        <w:t>月</w:t>
      </w:r>
    </w:p>
    <w:p>
      <w:pPr>
        <w:spacing w:line="800" w:lineRule="exact"/>
        <w:ind w:firstLine="0" w:firstLineChars="0"/>
        <w:jc w:val="center"/>
        <w:rPr>
          <w:rFonts w:ascii="Arial Narrow" w:hAnsi="Arial Narrow"/>
          <w:b/>
          <w:bCs/>
          <w:sz w:val="32"/>
          <w:szCs w:val="32"/>
        </w:rPr>
      </w:pPr>
    </w:p>
    <w:p>
      <w:pPr>
        <w:spacing w:line="240" w:lineRule="auto"/>
        <w:ind w:firstLine="0" w:firstLineChars="0"/>
        <w:jc w:val="center"/>
        <w:rPr>
          <w:rFonts w:ascii="Arial Narrow" w:hAnsi="Arial Narrow"/>
          <w:b/>
          <w:bCs/>
          <w:sz w:val="30"/>
          <w:szCs w:val="30"/>
        </w:rPr>
      </w:pPr>
    </w:p>
    <w:p>
      <w:pPr>
        <w:spacing w:line="240" w:lineRule="auto"/>
        <w:ind w:firstLine="0" w:firstLineChars="0"/>
        <w:jc w:val="center"/>
        <w:rPr>
          <w:rFonts w:ascii="Arial Narrow" w:hAnsi="Arial Narrow"/>
          <w:b/>
          <w:bCs/>
          <w:sz w:val="30"/>
          <w:szCs w:val="30"/>
        </w:rPr>
      </w:pPr>
    </w:p>
    <w:p>
      <w:pPr>
        <w:ind w:firstLine="0" w:firstLineChars="0"/>
        <w:jc w:val="center"/>
        <w:rPr>
          <w:rFonts w:ascii="Arial Narrow" w:hAnsi="Arial Narrow" w:cs="Arial Narrow"/>
          <w:b/>
          <w:sz w:val="44"/>
          <w:szCs w:val="44"/>
        </w:rPr>
      </w:pPr>
      <w:r>
        <w:rPr>
          <w:rFonts w:hint="eastAsia" w:ascii="Arial Narrow" w:hAnsi="Arial Narrow" w:cs="Arial Narrow"/>
          <w:b/>
          <w:sz w:val="44"/>
          <w:szCs w:val="44"/>
        </w:rPr>
        <w:t>摘   要</w:t>
      </w:r>
    </w:p>
    <w:p>
      <w:pPr>
        <w:ind w:firstLine="0" w:firstLineChars="0"/>
        <w:jc w:val="center"/>
        <w:rPr>
          <w:rFonts w:ascii="Arial Narrow" w:hAnsi="Arial Narrow" w:cs="Arial Narrow"/>
          <w:b/>
        </w:rPr>
      </w:pPr>
    </w:p>
    <w:p>
      <w:pPr>
        <w:pStyle w:val="39"/>
        <w:ind w:firstLine="0" w:firstLineChars="0"/>
        <w:jc w:val="left"/>
        <w:rPr>
          <w:rFonts w:ascii="Arial Narrow" w:hAnsi="Arial Narrow" w:cs="Arial Narrow"/>
          <w:b/>
        </w:rPr>
      </w:pPr>
      <w:r>
        <w:rPr>
          <w:rFonts w:ascii="Arial Narrow" w:hAnsi="Arial Narrow" w:cs="Arial Narrow"/>
          <w:b/>
        </w:rPr>
        <w:t>一、项目名称：</w:t>
      </w:r>
      <w:r>
        <w:rPr>
          <w:rFonts w:hint="eastAsia" w:ascii="Arial Narrow" w:hAnsi="Arial Narrow" w:cs="Arial Narrow"/>
          <w:b/>
        </w:rPr>
        <w:t>协税工作经费</w:t>
      </w:r>
    </w:p>
    <w:p>
      <w:pPr>
        <w:pStyle w:val="39"/>
        <w:ind w:firstLine="0" w:firstLineChars="0"/>
        <w:jc w:val="left"/>
        <w:rPr>
          <w:rFonts w:ascii="Arial Narrow" w:hAnsi="Arial Narrow" w:cs="Arial Narrow"/>
          <w:b/>
        </w:rPr>
      </w:pPr>
      <w:r>
        <w:rPr>
          <w:rFonts w:ascii="Arial Narrow" w:hAnsi="Arial Narrow" w:cs="Arial Narrow"/>
          <w:b/>
        </w:rPr>
        <w:t>二 、项目金额：</w:t>
      </w:r>
      <w:r>
        <w:rPr>
          <w:rFonts w:hint="eastAsia" w:ascii="Arial Narrow" w:hAnsi="Arial Narrow" w:cs="Arial Narrow"/>
          <w:b/>
        </w:rPr>
        <w:t>30</w:t>
      </w:r>
      <w:r>
        <w:rPr>
          <w:rFonts w:ascii="Arial Narrow" w:hAnsi="Arial Narrow" w:cs="Arial Narrow"/>
          <w:b/>
        </w:rPr>
        <w:t>万元</w:t>
      </w:r>
    </w:p>
    <w:p>
      <w:pPr>
        <w:ind w:firstLine="0" w:firstLineChars="0"/>
        <w:jc w:val="left"/>
        <w:rPr>
          <w:rFonts w:ascii="Arial Narrow" w:hAnsi="Arial Narrow" w:cs="Arial Narrow"/>
          <w:b/>
        </w:rPr>
      </w:pPr>
      <w:r>
        <w:rPr>
          <w:rFonts w:ascii="Arial Narrow" w:hAnsi="Arial Narrow" w:cs="Arial Narrow"/>
          <w:b/>
        </w:rPr>
        <w:t>三、绩效评价结果</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评价准则</w:t>
            </w:r>
          </w:p>
        </w:tc>
        <w:tc>
          <w:tcPr>
            <w:tcW w:w="2126"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准则分值</w:t>
            </w:r>
          </w:p>
        </w:tc>
        <w:tc>
          <w:tcPr>
            <w:tcW w:w="2268" w:type="dxa"/>
            <w:tcBorders>
              <w:bottom w:val="single" w:color="008000" w:sz="6" w:space="0"/>
            </w:tcBorders>
            <w:vAlign w:val="center"/>
          </w:tcPr>
          <w:p>
            <w:pPr>
              <w:ind w:left="183" w:firstLine="482"/>
              <w:rPr>
                <w:rFonts w:ascii="Arial Narrow" w:hAnsi="Arial Narrow" w:cs="Arial Narrow"/>
                <w:b/>
                <w:bCs/>
              </w:rPr>
            </w:pPr>
            <w:r>
              <w:rPr>
                <w:rFonts w:ascii="Arial Narrow" w:hAnsi="Arial Narrow" w:cs="Arial Narrow"/>
                <w:b/>
                <w:bCs/>
              </w:rPr>
              <w:t>评价得分</w:t>
            </w:r>
          </w:p>
        </w:tc>
        <w:tc>
          <w:tcPr>
            <w:tcW w:w="2126"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项目投入</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1</w:t>
            </w:r>
            <w:r>
              <w:rPr>
                <w:rFonts w:hint="eastAsia" w:ascii="Arial Narrow" w:hAnsi="Arial Narrow" w:cs="Arial Narrow"/>
              </w:rPr>
              <w:t>0</w:t>
            </w:r>
            <w:r>
              <w:rPr>
                <w:rFonts w:ascii="Arial Narrow" w:hAnsi="Arial Narrow"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w:t>
            </w:r>
            <w:r>
              <w:rPr>
                <w:rFonts w:hint="eastAsia" w:ascii="Arial Narrow" w:hAnsi="Arial Narrow" w:cs="Arial Narrow"/>
              </w:rPr>
              <w:t>0</w:t>
            </w:r>
            <w:r>
              <w:rPr>
                <w:rFonts w:ascii="Arial Narrow" w:hAnsi="Arial Narrow" w:cs="Arial Narrow"/>
              </w:rPr>
              <w:t>分</w:t>
            </w:r>
          </w:p>
        </w:tc>
        <w:tc>
          <w:tcPr>
            <w:tcW w:w="2126" w:type="dxa"/>
            <w:vAlign w:val="center"/>
          </w:tcPr>
          <w:p>
            <w:pPr>
              <w:ind w:firstLine="0" w:firstLineChars="0"/>
              <w:jc w:val="center"/>
              <w:rPr>
                <w:rFonts w:ascii="Arial Narrow" w:hAnsi="Arial Narrow" w:cs="Arial Narrow"/>
              </w:rPr>
            </w:pPr>
            <w:r>
              <w:rPr>
                <w:rFonts w:hint="eastAsia"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项目过程</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20分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19分</w:t>
            </w:r>
          </w:p>
        </w:tc>
        <w:tc>
          <w:tcPr>
            <w:tcW w:w="2126" w:type="dxa"/>
            <w:vAlign w:val="center"/>
          </w:tcPr>
          <w:p>
            <w:pPr>
              <w:ind w:firstLine="0" w:firstLineChars="0"/>
              <w:jc w:val="center"/>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项目产出</w:t>
            </w:r>
          </w:p>
        </w:tc>
        <w:tc>
          <w:tcPr>
            <w:tcW w:w="2126" w:type="dxa"/>
            <w:vAlign w:val="center"/>
          </w:tcPr>
          <w:p>
            <w:pPr>
              <w:ind w:firstLine="720" w:firstLineChars="300"/>
              <w:jc w:val="left"/>
              <w:textAlignment w:val="top"/>
              <w:rPr>
                <w:rFonts w:ascii="Arial Narrow" w:hAnsi="Arial Narrow" w:cs="Arial Narrow"/>
              </w:rPr>
            </w:pPr>
            <w:r>
              <w:rPr>
                <w:rFonts w:ascii="Arial Narrow" w:hAnsi="Arial Narrow" w:cs="Arial Narrow"/>
              </w:rPr>
              <w:t>3</w:t>
            </w:r>
            <w:r>
              <w:rPr>
                <w:rFonts w:hint="eastAsia" w:ascii="Arial Narrow" w:hAnsi="Arial Narrow" w:cs="Arial Narrow"/>
              </w:rPr>
              <w:t>3</w:t>
            </w:r>
            <w:r>
              <w:rPr>
                <w:rFonts w:ascii="Arial Narrow" w:hAnsi="Arial Narrow" w:cs="Arial Narrow"/>
              </w:rPr>
              <w:t>分</w:t>
            </w:r>
          </w:p>
        </w:tc>
        <w:tc>
          <w:tcPr>
            <w:tcW w:w="2268" w:type="dxa"/>
            <w:vAlign w:val="center"/>
          </w:tcPr>
          <w:p>
            <w:pPr>
              <w:ind w:left="182" w:leftChars="76" w:firstLine="840" w:firstLineChars="350"/>
              <w:textAlignment w:val="top"/>
              <w:rPr>
                <w:rFonts w:ascii="Arial Narrow" w:hAnsi="Arial Narrow" w:cs="Arial Narrow"/>
              </w:rPr>
            </w:pPr>
            <w:r>
              <w:rPr>
                <w:rFonts w:hint="eastAsia" w:ascii="Arial Narrow" w:hAnsi="Arial Narrow" w:cs="Arial Narrow"/>
              </w:rPr>
              <w:t>29.5</w:t>
            </w:r>
            <w:r>
              <w:rPr>
                <w:rFonts w:ascii="Arial Narrow" w:hAnsi="Arial Narrow" w:cs="Arial Narrow"/>
              </w:rPr>
              <w:t>分</w:t>
            </w:r>
          </w:p>
        </w:tc>
        <w:tc>
          <w:tcPr>
            <w:tcW w:w="2126" w:type="dxa"/>
            <w:vAlign w:val="center"/>
          </w:tcPr>
          <w:p>
            <w:pPr>
              <w:ind w:firstLine="0" w:firstLineChars="0"/>
              <w:jc w:val="center"/>
              <w:textAlignment w:val="top"/>
              <w:rPr>
                <w:rFonts w:ascii="Arial Narrow" w:hAnsi="Arial Narrow" w:cs="Arial Narrow"/>
              </w:rPr>
            </w:pPr>
            <w:r>
              <w:rPr>
                <w:rFonts w:hint="eastAsia" w:ascii="Arial Narrow" w:hAnsi="Arial Narrow" w:cs="Arial Narrow"/>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126"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w:t>
            </w:r>
            <w:r>
              <w:rPr>
                <w:rFonts w:hint="eastAsia" w:ascii="Arial Narrow" w:hAnsi="Arial Narrow" w:cs="Arial Narrow"/>
              </w:rPr>
              <w:t>7</w:t>
            </w:r>
            <w:r>
              <w:rPr>
                <w:rFonts w:ascii="Arial Narrow" w:hAnsi="Arial Narrow" w:cs="Arial Narrow"/>
              </w:rPr>
              <w:t>分</w:t>
            </w:r>
          </w:p>
        </w:tc>
        <w:tc>
          <w:tcPr>
            <w:tcW w:w="226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3</w:t>
            </w:r>
            <w:r>
              <w:rPr>
                <w:rFonts w:hint="eastAsia" w:ascii="Arial Narrow" w:hAnsi="Arial Narrow" w:cs="Arial Narrow"/>
              </w:rPr>
              <w:t>4</w:t>
            </w:r>
            <w:r>
              <w:rPr>
                <w:rFonts w:ascii="Arial Narrow" w:hAnsi="Arial Narrow" w:cs="Arial Narrow"/>
              </w:rPr>
              <w:t>分</w:t>
            </w:r>
          </w:p>
        </w:tc>
        <w:tc>
          <w:tcPr>
            <w:tcW w:w="2126" w:type="dxa"/>
            <w:tcBorders>
              <w:top w:val="single" w:color="008000" w:sz="6" w:space="0"/>
              <w:bottom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firstLine="480"/>
              <w:jc w:val="left"/>
              <w:rPr>
                <w:rFonts w:ascii="Arial Narrow" w:hAnsi="Arial Narrow" w:cs="Arial Narrow"/>
              </w:rPr>
            </w:pPr>
            <w:r>
              <w:rPr>
                <w:rFonts w:ascii="Arial Narrow" w:hAnsi="Arial Narrow" w:cs="Arial Narrow"/>
              </w:rPr>
              <w:t xml:space="preserve">  100分</w:t>
            </w:r>
          </w:p>
        </w:tc>
        <w:tc>
          <w:tcPr>
            <w:tcW w:w="2268"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9</w:t>
            </w:r>
            <w:r>
              <w:rPr>
                <w:rFonts w:hint="eastAsia" w:ascii="Arial Narrow" w:hAnsi="Arial Narrow" w:cs="Arial Narrow"/>
              </w:rPr>
              <w:t>2.5</w:t>
            </w:r>
            <w:r>
              <w:rPr>
                <w:rFonts w:ascii="Arial Narrow" w:hAnsi="Arial Narrow" w:cs="Arial Narrow"/>
              </w:rPr>
              <w:t>分</w:t>
            </w:r>
          </w:p>
        </w:tc>
        <w:tc>
          <w:tcPr>
            <w:tcW w:w="2126" w:type="dxa"/>
            <w:tcBorders>
              <w:top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p>
        </w:tc>
      </w:tr>
    </w:tbl>
    <w:p>
      <w:pPr>
        <w:ind w:firstLine="0" w:firstLineChars="0"/>
        <w:jc w:val="left"/>
        <w:rPr>
          <w:rFonts w:ascii="Arial Narrow" w:hAnsi="Arial Narrow" w:cs="Arial Narrow"/>
          <w:b/>
          <w:highlight w:val="yellow"/>
        </w:rPr>
      </w:pPr>
    </w:p>
    <w:p>
      <w:pPr>
        <w:ind w:firstLine="0" w:firstLineChars="0"/>
        <w:rPr>
          <w:rFonts w:ascii="Arial Narrow" w:hAnsi="Arial Narrow" w:cs="Arial Narrow"/>
          <w:b/>
        </w:rPr>
      </w:pPr>
      <w:r>
        <w:rPr>
          <w:rFonts w:ascii="Arial Narrow" w:hAnsi="Arial Narrow" w:cs="Arial Narrow"/>
          <w:b/>
        </w:rPr>
        <w:t>四、评价工作组组成名单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项目负责组长：何思琪</w:t>
      </w:r>
    </w:p>
    <w:p>
      <w:pPr>
        <w:snapToGrid w:val="0"/>
        <w:ind w:firstLine="0" w:firstLineChars="0"/>
        <w:jc w:val="left"/>
        <w:rPr>
          <w:rFonts w:ascii="Arial Narrow" w:hAnsi="Arial Narrow" w:cs="Arial Narrow"/>
        </w:rPr>
      </w:pPr>
      <w:r>
        <w:rPr>
          <w:rFonts w:ascii="Arial Narrow" w:hAnsi="Arial Narrow" w:cs="Arial Narrow"/>
        </w:rPr>
        <w:t>现场负责人：马硕</w:t>
      </w:r>
    </w:p>
    <w:p>
      <w:pPr>
        <w:snapToGrid w:val="0"/>
        <w:ind w:firstLine="0" w:firstLineChars="0"/>
        <w:jc w:val="left"/>
        <w:rPr>
          <w:rFonts w:ascii="Arial Narrow" w:hAnsi="Arial Narrow" w:cs="Arial Narrow"/>
          <w:b/>
        </w:rPr>
      </w:pPr>
      <w:r>
        <w:rPr>
          <w:rFonts w:ascii="Arial Narrow" w:hAnsi="Arial Narrow" w:cs="Arial Narrow"/>
        </w:rPr>
        <w:t>评价小组成员：刘巧</w:t>
      </w:r>
    </w:p>
    <w:p>
      <w:pPr>
        <w:ind w:firstLine="0" w:firstLineChars="0"/>
        <w:rPr>
          <w:rFonts w:ascii="Arial Narrow" w:hAnsi="Arial Narrow" w:cs="Arial Narrow"/>
          <w:b/>
        </w:rPr>
      </w:pPr>
      <w:r>
        <w:rPr>
          <w:rFonts w:ascii="Arial Narrow" w:hAnsi="Arial Narrow" w:cs="Arial Narrow"/>
          <w:b/>
        </w:rPr>
        <w:t>五、主要评价方法概述</w:t>
      </w:r>
    </w:p>
    <w:p>
      <w:pPr>
        <w:ind w:firstLine="480"/>
        <w:rPr>
          <w:rFonts w:ascii="Arial Narrow" w:hAnsi="Arial Narrow" w:cs="Arial Narrow"/>
          <w:b/>
        </w:rPr>
      </w:pPr>
      <w:r>
        <w:rPr>
          <w:rFonts w:hint="eastAsia" w:ascii="Arial Narrow" w:hAnsi="Arial Narrow" w:cs="仿宋_GB2312"/>
        </w:rPr>
        <w:t xml:space="preserve"> “协税工作经费项目”绩效评价采用比较法、公众评判法、统计计算法、实地考察等方法进行评价分析，与此同时，我们收集了大量项目实施单位的各种统计资料进行分析研究。</w:t>
      </w:r>
    </w:p>
    <w:p>
      <w:pPr>
        <w:snapToGrid w:val="0"/>
        <w:ind w:firstLine="480"/>
        <w:jc w:val="left"/>
        <w:rPr>
          <w:rFonts w:ascii="Arial Narrow" w:hAnsi="Arial Narrow" w:cs="仿宋_GB2312"/>
        </w:rPr>
      </w:pPr>
      <w:r>
        <w:rPr>
          <w:rFonts w:hint="eastAsia" w:ascii="Arial Narrow" w:hAnsi="Arial Narrow" w:cs="仿宋_GB2312"/>
        </w:rPr>
        <w:t>（一）比较法。是指通过对绩效目标与实际实施效果的对比，综合分析绩效目标实现程度。项目小组根据收集的“协税工作经费项目”资料和实地观察，了解项目实际实施情况，与“协税工作经费项目”申报时确定的绩效目标进行对比，评价绩效目标的实现程度。</w:t>
      </w:r>
    </w:p>
    <w:p>
      <w:pPr>
        <w:snapToGrid w:val="0"/>
        <w:ind w:firstLine="480"/>
        <w:jc w:val="left"/>
        <w:rPr>
          <w:rFonts w:ascii="Arial Narrow" w:hAnsi="Arial Narrow" w:cs="仿宋_GB2312"/>
        </w:rPr>
      </w:pPr>
      <w:r>
        <w:rPr>
          <w:rFonts w:hint="eastAsia" w:ascii="Arial Narrow" w:hAnsi="Arial Narrow" w:cs="仿宋_GB2312"/>
        </w:rPr>
        <w:t>（二）公众评判法。是指通过专家评估、公众问卷及抽样调查等对财政支出效果进行评判，评价绩效目标实现程度。项目小组将对武昌区人民政府黄鹤楼街办事处相关负责人进行访谈，同时对项目单位工作人员进行问卷调查，收集项目具体实施情况和效果的相关证据，为绩效分析结论提供有力支撑。</w:t>
      </w:r>
    </w:p>
    <w:p>
      <w:pPr>
        <w:snapToGrid w:val="0"/>
        <w:ind w:firstLine="480"/>
        <w:jc w:val="left"/>
        <w:rPr>
          <w:rFonts w:ascii="Arial Narrow" w:hAnsi="Arial Narrow" w:cs="仿宋_GB2312"/>
        </w:rPr>
      </w:pPr>
      <w:r>
        <w:rPr>
          <w:rFonts w:hint="eastAsia"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协税工作经费项目”特点的评价指标体系，然后采集数据按照计算公式进行计算分析，并根据计算结果分析项目的绩效目标实现程度。</w:t>
      </w:r>
    </w:p>
    <w:p>
      <w:pPr>
        <w:snapToGrid w:val="0"/>
        <w:ind w:firstLine="480"/>
        <w:jc w:val="left"/>
        <w:rPr>
          <w:rFonts w:ascii="Arial Narrow" w:hAnsi="Arial Narrow" w:cs="Arial Narrow"/>
          <w:b/>
        </w:rPr>
      </w:pPr>
      <w:r>
        <w:rPr>
          <w:rFonts w:hint="eastAsia" w:ascii="Arial Narrow" w:hAnsi="Arial Narrow" w:cs="仿宋_GB2312"/>
        </w:rPr>
        <w:t>（四）实地考察。是指前往项目具体实施地进行考察，了解项目的实施情况，评价项目绩效目标实现程度。项目小组将前往武昌区人民政府黄鹤楼街办事处进行资料收集并对相关人员进行访谈，核实项目具体实施情况，与收集的资料进行验证核对，并拍照留痕。</w:t>
      </w:r>
    </w:p>
    <w:p>
      <w:pPr>
        <w:ind w:firstLine="0" w:firstLineChars="0"/>
        <w:rPr>
          <w:rFonts w:ascii="Arial Narrow" w:hAnsi="Arial Narrow" w:cs="Arial Narrow"/>
          <w:b/>
        </w:rPr>
      </w:pPr>
      <w:r>
        <w:rPr>
          <w:rFonts w:hint="eastAsia" w:ascii="Arial Narrow" w:hAnsi="Arial Narrow" w:cs="Arial Narrow"/>
          <w:b/>
        </w:rPr>
        <w:t>六、存在的主要问题概述</w:t>
      </w:r>
    </w:p>
    <w:p>
      <w:pPr>
        <w:snapToGrid w:val="0"/>
        <w:ind w:firstLine="480"/>
        <w:jc w:val="left"/>
        <w:rPr>
          <w:rFonts w:ascii="Arial Narrow" w:hAnsi="Arial Narrow" w:cs="仿宋_GB2312"/>
          <w:color w:val="FF0000"/>
        </w:rPr>
      </w:pPr>
      <w:r>
        <w:rPr>
          <w:rFonts w:ascii="Arial Narrow" w:hAnsi="Arial Narrow" w:cs="仿宋_GB2312"/>
        </w:rPr>
        <w:t>（一）</w:t>
      </w:r>
      <w:r>
        <w:rPr>
          <w:rFonts w:hint="eastAsia" w:ascii="Arial Narrow" w:hAnsi="Arial Narrow" w:cs="仿宋_GB2312"/>
        </w:rPr>
        <w:t>资金</w:t>
      </w:r>
      <w:r>
        <w:rPr>
          <w:rFonts w:ascii="Arial Narrow" w:hAnsi="Arial Narrow" w:cs="仿宋_GB2312"/>
        </w:rPr>
        <w:t>使用不够合理。</w:t>
      </w:r>
      <w:r>
        <w:rPr>
          <w:rFonts w:hint="eastAsia" w:ascii="Arial Narrow" w:hAnsi="Arial Narrow" w:cs="仿宋_GB2312"/>
        </w:rPr>
        <w:t>协税工作主要应用于协税工作人员工资、税收宣传工作、日常工作经费等方面，但通过查阅资金使用明细账、翻阅凭证的过程中发现有一笔拨新洲区三店街的精准扶贫资金计入了协税工作经费支出中，资金使用不够合理，财务核算不太规范。</w:t>
      </w:r>
    </w:p>
    <w:p>
      <w:pPr>
        <w:snapToGrid w:val="0"/>
        <w:ind w:firstLine="480"/>
        <w:jc w:val="left"/>
        <w:rPr>
          <w:rFonts w:ascii="Arial Narrow" w:hAnsi="Arial Narrow" w:cs="仿宋_GB2312"/>
          <w:color w:val="FF0000"/>
        </w:rPr>
      </w:pPr>
      <w:r>
        <w:rPr>
          <w:rFonts w:hint="eastAsia" w:ascii="仿宋_GB2312" w:hAnsi="Arial Narrow" w:cs="仿宋_GB2312"/>
        </w:rPr>
        <w:t>（</w:t>
      </w:r>
      <w:r>
        <w:rPr>
          <w:rFonts w:hint="eastAsia" w:ascii="Arial Narrow" w:hAnsi="Arial Narrow" w:cs="仿宋_GB2312"/>
        </w:rPr>
        <w:t>二）资金使用率不高，税收增长率为负。2017年度财政拨付协税工作经费30万元，实际支出额为19.26万元，资金使用率仅为64.2%。同时，2016年收取零散税235万元，2017年收取零散税206万元，税收增长率为-12.34%，税收增长率呈现下降趋势，且税收投入乘数为10.7较去年11.25有所下降。</w:t>
      </w:r>
    </w:p>
    <w:p>
      <w:pPr>
        <w:snapToGrid w:val="0"/>
        <w:ind w:firstLine="480"/>
        <w:jc w:val="left"/>
        <w:rPr>
          <w:rFonts w:ascii="Arial Narrow" w:hAnsi="Arial Narrow" w:cs="仿宋_GB2312"/>
        </w:rPr>
      </w:pPr>
      <w:r>
        <w:rPr>
          <w:rFonts w:hint="eastAsia" w:ascii="Arial Narrow" w:hAnsi="Arial Narrow" w:cs="仿宋_GB2312"/>
        </w:rPr>
        <w:t>（三）人员配备不充足。项目实施单位设置了黄鹤楼街税务服务站，成立了以区域发展办公室主任为负责人的4人工作小组，人员职责分工比较明确。但协税工作人员不仅需要协助税务部门开展宣传工作、对纳税户进行催报催缴、对漏征漏管的现象进行清查还要对注销户进行跟踪管理，工作内容繁杂琐碎，人员配置及调动方面略有不足。</w:t>
      </w:r>
    </w:p>
    <w:p>
      <w:pPr>
        <w:ind w:firstLine="0" w:firstLineChars="0"/>
        <w:rPr>
          <w:rFonts w:ascii="Arial Narrow" w:hAnsi="Arial Narrow" w:cs="Arial Narrow"/>
          <w:b/>
        </w:rPr>
      </w:pPr>
      <w:r>
        <w:rPr>
          <w:rFonts w:hint="eastAsia" w:ascii="Arial Narrow" w:hAnsi="Arial Narrow" w:cs="Arial Narrow"/>
          <w:b/>
        </w:rPr>
        <w:t>七、管理建议概述</w:t>
      </w:r>
    </w:p>
    <w:p>
      <w:pPr>
        <w:snapToGrid w:val="0"/>
        <w:ind w:firstLine="480"/>
        <w:rPr>
          <w:rFonts w:ascii="Arial Narrow" w:hAnsi="Arial Narrow" w:cs="仿宋_GB2312"/>
        </w:rPr>
      </w:pPr>
      <w:r>
        <w:rPr>
          <w:rFonts w:hint="eastAsia" w:ascii="Arial Narrow" w:hAnsi="Arial Narrow" w:cs="仿宋_GB2312"/>
        </w:rPr>
        <w:t>（一）规范财务核算方法。在项目实施过程中，根据项目预算批复文件及《区人民政府办公室关于进一步做好地方零散税收协助管理工作的通知》等相关办法的要求合理分配项目资金，并对资金支出制定计划，明确资金使用范围，规范账务处理方法。</w:t>
      </w:r>
    </w:p>
    <w:p>
      <w:pPr>
        <w:snapToGrid w:val="0"/>
        <w:ind w:firstLine="480"/>
        <w:rPr>
          <w:rFonts w:ascii="Arial Narrow" w:hAnsi="Arial Narrow" w:cs="仿宋_GB2312"/>
        </w:rPr>
      </w:pPr>
      <w:r>
        <w:rPr>
          <w:rFonts w:hint="eastAsia" w:ascii="Arial Narrow" w:hAnsi="Arial Narrow" w:cs="仿宋_GB2312"/>
        </w:rPr>
        <w:t>（二）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pPr>
        <w:snapToGrid w:val="0"/>
        <w:ind w:firstLine="480"/>
        <w:rPr>
          <w:rFonts w:ascii="Arial Narrow" w:hAnsi="Arial Narrow" w:cs="仿宋_GB2312"/>
        </w:rPr>
      </w:pPr>
      <w:r>
        <w:rPr>
          <w:rFonts w:hint="eastAsia" w:ascii="Arial Narrow" w:hAnsi="Arial Narrow" w:cs="仿宋_GB2312"/>
        </w:rPr>
        <w:t>（三）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tabs>
          <w:tab w:val="left" w:pos="1480"/>
          <w:tab w:val="center" w:pos="4411"/>
        </w:tabs>
        <w:spacing w:line="360" w:lineRule="exact"/>
        <w:ind w:firstLine="0" w:firstLineChars="0"/>
        <w:jc w:val="left"/>
        <w:rPr>
          <w:rFonts w:ascii="Arial Narrow" w:hAnsi="Arial Narrow" w:cs="Arial Narrow"/>
          <w:b/>
          <w:sz w:val="32"/>
          <w:szCs w:val="32"/>
        </w:rPr>
      </w:pPr>
      <w:r>
        <w:rPr>
          <w:rFonts w:hint="eastAsia" w:ascii="Arial Narrow" w:hAnsi="Arial Narrow" w:cs="Arial Narrow"/>
          <w:b/>
          <w:sz w:val="32"/>
          <w:szCs w:val="32"/>
        </w:rPr>
        <w:tab/>
      </w:r>
      <w:r>
        <w:rPr>
          <w:rFonts w:hint="eastAsia" w:ascii="Arial Narrow" w:hAnsi="Arial Narrow" w:cs="Arial Narrow"/>
          <w:b/>
          <w:sz w:val="32"/>
          <w:szCs w:val="32"/>
        </w:rPr>
        <w:tab/>
      </w:r>
      <w:r>
        <w:rPr>
          <w:rFonts w:ascii="Arial Narrow" w:hAnsi="Arial Narrow" w:cs="Arial Narrow"/>
          <w:b/>
          <w:sz w:val="32"/>
          <w:szCs w:val="32"/>
        </w:rPr>
        <w:t>目  录</w:t>
      </w:r>
    </w:p>
    <w:p>
      <w:pPr>
        <w:spacing w:line="360" w:lineRule="exact"/>
        <w:ind w:firstLine="0" w:firstLineChars="0"/>
        <w:jc w:val="center"/>
        <w:rPr>
          <w:rFonts w:ascii="Arial Narrow" w:hAnsi="Arial Narrow" w:cs="Arial Narrow"/>
          <w:b/>
          <w:sz w:val="32"/>
          <w:szCs w:val="32"/>
        </w:rPr>
      </w:pPr>
    </w:p>
    <w:p>
      <w:pPr>
        <w:spacing w:line="240" w:lineRule="auto"/>
        <w:ind w:firstLine="0" w:firstLineChars="0"/>
        <w:rPr>
          <w:rFonts w:ascii="Arial Narrow" w:hAnsi="Arial Narrow" w:cs="Arial Narrow"/>
          <w:bCs/>
          <w:caps/>
        </w:rPr>
      </w:pPr>
      <w:r>
        <w:rPr>
          <w:rFonts w:hint="eastAsia" w:ascii="Arial Narrow" w:hAnsi="Arial Narrow" w:cs="Arial Narrow"/>
          <w:bCs/>
          <w:caps/>
        </w:rPr>
        <w:t>摘要</w:t>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rPr>
          <w:rFonts w:hint="eastAsia" w:ascii="Arial Narrow" w:hAnsi="Arial Narrow" w:cs="Arial Narrow"/>
          <w:b w:val="0"/>
          <w:sz w:val="24"/>
          <w:szCs w:val="24"/>
        </w:rPr>
        <w:fldChar w:fldCharType="begin"/>
      </w:r>
      <w:r>
        <w:rPr>
          <w:rFonts w:hint="eastAsia" w:ascii="Arial Narrow" w:hAnsi="Arial Narrow" w:cs="Arial Narrow"/>
          <w:b w:val="0"/>
          <w:sz w:val="24"/>
          <w:szCs w:val="24"/>
        </w:rPr>
        <w:instrText xml:space="preserve"> TOC \o "1-4" \h \z \u </w:instrText>
      </w:r>
      <w:r>
        <w:rPr>
          <w:rFonts w:hint="eastAsia" w:ascii="Arial Narrow" w:hAnsi="Arial Narrow" w:cs="Arial Narrow"/>
          <w:b w:val="0"/>
          <w:sz w:val="24"/>
          <w:szCs w:val="24"/>
        </w:rPr>
        <w:fldChar w:fldCharType="separate"/>
      </w:r>
      <w:r>
        <w:fldChar w:fldCharType="begin"/>
      </w:r>
      <w:r>
        <w:instrText xml:space="preserve"> HYPERLINK \l "_Toc513817447" </w:instrText>
      </w:r>
      <w:r>
        <w:fldChar w:fldCharType="separate"/>
      </w:r>
      <w:r>
        <w:rPr>
          <w:rStyle w:val="25"/>
          <w:rFonts w:hint="eastAsia" w:ascii="Arial Narrow" w:hAnsi="Arial Narrow" w:cs="Arial Narrow"/>
          <w:b w:val="0"/>
          <w:sz w:val="24"/>
        </w:rPr>
        <w:t>前</w:t>
      </w:r>
      <w:r>
        <w:rPr>
          <w:rStyle w:val="25"/>
          <w:rFonts w:ascii="Arial Narrow" w:hAnsi="Arial Narrow" w:cs="Arial Narrow"/>
          <w:b w:val="0"/>
          <w:sz w:val="24"/>
        </w:rPr>
        <w:t xml:space="preserve">  </w:t>
      </w:r>
      <w:r>
        <w:rPr>
          <w:rStyle w:val="25"/>
          <w:rFonts w:hint="eastAsia" w:ascii="Arial Narrow" w:hAnsi="Arial Narrow" w:cs="Arial Narrow"/>
          <w:b w:val="0"/>
          <w:sz w:val="24"/>
        </w:rPr>
        <w:t>言</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_Toc513817447 \h </w:instrText>
      </w:r>
      <w:r>
        <w:rPr>
          <w:rFonts w:ascii="Arial Narrow" w:hAnsi="Arial Narrow"/>
          <w:b w:val="0"/>
          <w:sz w:val="24"/>
        </w:rPr>
        <w:fldChar w:fldCharType="separate"/>
      </w:r>
      <w:r>
        <w:rPr>
          <w:rFonts w:ascii="Arial Narrow" w:hAnsi="Arial Narrow"/>
          <w:b w:val="0"/>
          <w:sz w:val="24"/>
        </w:rPr>
        <w:t>1</w:t>
      </w:r>
      <w:r>
        <w:rPr>
          <w:rFonts w:ascii="Arial Narrow" w:hAnsi="Arial Narrow"/>
          <w:b w:val="0"/>
          <w:sz w:val="24"/>
        </w:rPr>
        <w:fldChar w:fldCharType="end"/>
      </w:r>
      <w:r>
        <w:rPr>
          <w:rFonts w:ascii="Arial Narrow" w:hAnsi="Arial Narrow"/>
          <w:b w:val="0"/>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"_Toc513817448" </w:instrText>
      </w:r>
      <w:r>
        <w:fldChar w:fldCharType="separate"/>
      </w:r>
      <w:r>
        <w:rPr>
          <w:rStyle w:val="25"/>
          <w:rFonts w:hint="eastAsia" w:ascii="Arial Narrow" w:hAnsi="Arial Narrow" w:cs="Arial Narrow"/>
          <w:b w:val="0"/>
          <w:sz w:val="24"/>
        </w:rPr>
        <w:t>一、项目基本情况</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_Toc513817448 \h </w:instrText>
      </w:r>
      <w:r>
        <w:rPr>
          <w:rFonts w:ascii="Arial Narrow" w:hAnsi="Arial Narrow"/>
          <w:b w:val="0"/>
          <w:sz w:val="24"/>
        </w:rPr>
        <w:fldChar w:fldCharType="separate"/>
      </w:r>
      <w:r>
        <w:rPr>
          <w:rFonts w:ascii="Arial Narrow" w:hAnsi="Arial Narrow"/>
          <w:b w:val="0"/>
          <w:sz w:val="24"/>
        </w:rPr>
        <w:t>1</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"_Toc513817449" </w:instrText>
      </w:r>
      <w:r>
        <w:fldChar w:fldCharType="separate"/>
      </w:r>
      <w:r>
        <w:rPr>
          <w:rStyle w:val="25"/>
          <w:rFonts w:hint="eastAsia" w:ascii="Arial Narrow" w:hAnsi="Arial Narrow" w:cs="Arial Narrow"/>
          <w:bCs/>
          <w:sz w:val="24"/>
        </w:rPr>
        <w:t>（一）项目概况</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_Toc513817449 \h </w:instrText>
      </w:r>
      <w:r>
        <w:rPr>
          <w:rFonts w:ascii="Arial Narrow" w:hAnsi="Arial Narrow"/>
          <w:sz w:val="24"/>
        </w:rPr>
        <w:fldChar w:fldCharType="separate"/>
      </w:r>
      <w:r>
        <w:rPr>
          <w:rFonts w:ascii="Arial Narrow" w:hAnsi="Arial Narrow"/>
          <w:sz w:val="24"/>
        </w:rPr>
        <w:t>1</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"_Toc513817450" </w:instrText>
      </w:r>
      <w:r>
        <w:fldChar w:fldCharType="separate"/>
      </w:r>
      <w:r>
        <w:rPr>
          <w:rStyle w:val="25"/>
          <w:rFonts w:hint="eastAsia" w:ascii="Arial Narrow" w:hAnsi="Arial Narrow" w:cs="Arial Narrow"/>
          <w:bCs/>
          <w:sz w:val="24"/>
        </w:rPr>
        <w:t>（二）项目绩效目标</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_Toc513817450 \h </w:instrText>
      </w:r>
      <w:r>
        <w:rPr>
          <w:rFonts w:ascii="Arial Narrow" w:hAnsi="Arial Narrow"/>
          <w:sz w:val="24"/>
        </w:rPr>
        <w:fldChar w:fldCharType="separate"/>
      </w:r>
      <w:r>
        <w:rPr>
          <w:rFonts w:ascii="Arial Narrow" w:hAnsi="Arial Narrow"/>
          <w:sz w:val="24"/>
        </w:rPr>
        <w:t>4</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"_Toc513817451" </w:instrText>
      </w:r>
      <w:r>
        <w:fldChar w:fldCharType="separate"/>
      </w:r>
      <w:r>
        <w:rPr>
          <w:rStyle w:val="25"/>
          <w:rFonts w:hint="eastAsia" w:ascii="Arial Narrow" w:hAnsi="Arial Narrow" w:cs="Arial Narrow"/>
          <w:b w:val="0"/>
          <w:sz w:val="24"/>
        </w:rPr>
        <w:t>二、绩效评价工作情况</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_Toc513817451 \h </w:instrText>
      </w:r>
      <w:r>
        <w:rPr>
          <w:rFonts w:ascii="Arial Narrow" w:hAnsi="Arial Narrow"/>
          <w:b w:val="0"/>
          <w:sz w:val="24"/>
        </w:rPr>
        <w:fldChar w:fldCharType="separate"/>
      </w:r>
      <w:r>
        <w:rPr>
          <w:rFonts w:ascii="Arial Narrow" w:hAnsi="Arial Narrow"/>
          <w:b w:val="0"/>
          <w:sz w:val="24"/>
        </w:rPr>
        <w:t>4</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"_Toc513817452" </w:instrText>
      </w:r>
      <w:r>
        <w:fldChar w:fldCharType="separate"/>
      </w:r>
      <w:r>
        <w:rPr>
          <w:rStyle w:val="25"/>
          <w:rFonts w:hint="eastAsia" w:ascii="Arial Narrow" w:hAnsi="Arial Narrow" w:cs="Arial Narrow"/>
          <w:bCs/>
          <w:sz w:val="24"/>
        </w:rPr>
        <w:t>（一）绩效评价目的</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_Toc513817452 \h </w:instrText>
      </w:r>
      <w:r>
        <w:rPr>
          <w:rFonts w:ascii="Arial Narrow" w:hAnsi="Arial Narrow"/>
          <w:sz w:val="24"/>
        </w:rPr>
        <w:fldChar w:fldCharType="separate"/>
      </w:r>
      <w:r>
        <w:rPr>
          <w:rFonts w:ascii="Arial Narrow" w:hAnsi="Arial Narrow"/>
          <w:sz w:val="24"/>
        </w:rPr>
        <w:t>4</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"_Toc513817453" </w:instrText>
      </w:r>
      <w:r>
        <w:fldChar w:fldCharType="separate"/>
      </w:r>
      <w:r>
        <w:rPr>
          <w:rStyle w:val="25"/>
          <w:rFonts w:hint="eastAsia" w:ascii="Arial Narrow" w:hAnsi="Arial Narrow" w:cs="Arial Narrow"/>
          <w:bCs/>
          <w:sz w:val="24"/>
        </w:rPr>
        <w:t>（二）绩效评价工作过程</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_Toc513817453 \h </w:instrText>
      </w:r>
      <w:r>
        <w:rPr>
          <w:rFonts w:ascii="Arial Narrow" w:hAnsi="Arial Narrow"/>
          <w:sz w:val="24"/>
        </w:rPr>
        <w:fldChar w:fldCharType="separate"/>
      </w:r>
      <w:r>
        <w:rPr>
          <w:rFonts w:ascii="Arial Narrow" w:hAnsi="Arial Narrow"/>
          <w:sz w:val="24"/>
        </w:rPr>
        <w:t>5</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"_Toc513817454" </w:instrText>
      </w:r>
      <w:r>
        <w:fldChar w:fldCharType="separate"/>
      </w:r>
      <w:r>
        <w:rPr>
          <w:rStyle w:val="25"/>
          <w:rFonts w:hint="eastAsia" w:ascii="Arial Narrow" w:hAnsi="Arial Narrow" w:cs="仿宋_GB2312"/>
          <w:sz w:val="24"/>
        </w:rPr>
        <w:t>（三）绩效评价框架</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_Toc513817454 \h </w:instrText>
      </w:r>
      <w:r>
        <w:rPr>
          <w:rFonts w:ascii="Arial Narrow" w:hAnsi="Arial Narrow"/>
          <w:sz w:val="24"/>
        </w:rPr>
        <w:fldChar w:fldCharType="separate"/>
      </w:r>
      <w:r>
        <w:rPr>
          <w:rFonts w:ascii="Arial Narrow" w:hAnsi="Arial Narrow"/>
          <w:sz w:val="24"/>
        </w:rPr>
        <w:t>6</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"_Toc513817455" </w:instrText>
      </w:r>
      <w:r>
        <w:fldChar w:fldCharType="separate"/>
      </w:r>
      <w:r>
        <w:rPr>
          <w:rStyle w:val="25"/>
          <w:rFonts w:hint="eastAsia" w:ascii="Arial Narrow" w:hAnsi="Arial Narrow" w:cs="Arial Narrow"/>
          <w:sz w:val="24"/>
        </w:rPr>
        <w:t>（四）证据收集方式</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_Toc513817455 \h </w:instrText>
      </w:r>
      <w:r>
        <w:rPr>
          <w:rFonts w:ascii="Arial Narrow" w:hAnsi="Arial Narrow"/>
          <w:sz w:val="24"/>
        </w:rPr>
        <w:fldChar w:fldCharType="separate"/>
      </w:r>
      <w:r>
        <w:rPr>
          <w:rFonts w:ascii="Arial Narrow" w:hAnsi="Arial Narrow"/>
          <w:sz w:val="24"/>
        </w:rPr>
        <w:t>16</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"_Toc513817456" </w:instrText>
      </w:r>
      <w:r>
        <w:fldChar w:fldCharType="separate"/>
      </w:r>
      <w:r>
        <w:rPr>
          <w:rStyle w:val="25"/>
          <w:rFonts w:hint="eastAsia" w:ascii="Arial Narrow" w:hAnsi="Arial Narrow" w:cs="Arial Narrow"/>
          <w:b w:val="0"/>
          <w:sz w:val="24"/>
        </w:rPr>
        <w:t>三、绩效分析</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_Toc513817456 \h </w:instrText>
      </w:r>
      <w:r>
        <w:rPr>
          <w:rFonts w:ascii="Arial Narrow" w:hAnsi="Arial Narrow"/>
          <w:b w:val="0"/>
          <w:sz w:val="24"/>
        </w:rPr>
        <w:fldChar w:fldCharType="separate"/>
      </w:r>
      <w:r>
        <w:rPr>
          <w:rFonts w:ascii="Arial Narrow" w:hAnsi="Arial Narrow"/>
          <w:b w:val="0"/>
          <w:sz w:val="24"/>
        </w:rPr>
        <w:t>17</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"_Toc513817457" </w:instrText>
      </w:r>
      <w:r>
        <w:fldChar w:fldCharType="separate"/>
      </w:r>
      <w:r>
        <w:rPr>
          <w:rStyle w:val="25"/>
          <w:rFonts w:hint="eastAsia" w:ascii="Arial Narrow" w:hAnsi="Arial Narrow" w:cs="Arial Narrow"/>
          <w:sz w:val="24"/>
        </w:rPr>
        <w:t>（一）项目投入（</w:t>
      </w:r>
      <w:r>
        <w:rPr>
          <w:rStyle w:val="25"/>
          <w:rFonts w:ascii="Arial Narrow" w:hAnsi="Arial Narrow" w:cs="Arial Narrow"/>
          <w:sz w:val="24"/>
        </w:rPr>
        <w:t>12</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_Toc513817457 \h </w:instrText>
      </w:r>
      <w:r>
        <w:rPr>
          <w:rFonts w:ascii="Arial Narrow" w:hAnsi="Arial Narrow"/>
          <w:sz w:val="24"/>
        </w:rPr>
        <w:fldChar w:fldCharType="separate"/>
      </w:r>
      <w:r>
        <w:rPr>
          <w:rFonts w:ascii="Arial Narrow" w:hAnsi="Arial Narrow"/>
          <w:sz w:val="24"/>
        </w:rPr>
        <w:t>17</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"_Toc513817458" </w:instrText>
      </w:r>
      <w:r>
        <w:fldChar w:fldCharType="separate"/>
      </w:r>
      <w:r>
        <w:rPr>
          <w:rStyle w:val="25"/>
          <w:rFonts w:hint="eastAsia" w:ascii="Arial Narrow" w:hAnsi="Arial Narrow" w:cs="Arial Narrow"/>
          <w:sz w:val="24"/>
        </w:rPr>
        <w:t>（二）项目过程（</w:t>
      </w:r>
      <w:r>
        <w:rPr>
          <w:rStyle w:val="25"/>
          <w:rFonts w:ascii="Arial Narrow" w:hAnsi="Arial Narrow" w:cs="Arial Narrow"/>
          <w:sz w:val="24"/>
        </w:rPr>
        <w:t>20</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_Toc513817458 \h </w:instrText>
      </w:r>
      <w:r>
        <w:rPr>
          <w:rFonts w:ascii="Arial Narrow" w:hAnsi="Arial Narrow"/>
          <w:sz w:val="24"/>
        </w:rPr>
        <w:fldChar w:fldCharType="separate"/>
      </w:r>
      <w:r>
        <w:rPr>
          <w:rFonts w:ascii="Arial Narrow" w:hAnsi="Arial Narrow"/>
          <w:sz w:val="24"/>
        </w:rPr>
        <w:t>19</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"_Toc513817459" </w:instrText>
      </w:r>
      <w:r>
        <w:fldChar w:fldCharType="separate"/>
      </w:r>
      <w:r>
        <w:rPr>
          <w:rStyle w:val="25"/>
          <w:rFonts w:hint="eastAsia" w:ascii="Arial Narrow" w:hAnsi="Arial Narrow" w:cs="Arial Narrow"/>
          <w:sz w:val="24"/>
        </w:rPr>
        <w:t>（三）项目产出（</w:t>
      </w:r>
      <w:r>
        <w:rPr>
          <w:rStyle w:val="25"/>
          <w:rFonts w:ascii="Arial Narrow" w:hAnsi="Arial Narrow" w:cs="Arial Narrow"/>
          <w:sz w:val="24"/>
        </w:rPr>
        <w:t>32</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_Toc513817459 \h </w:instrText>
      </w:r>
      <w:r>
        <w:rPr>
          <w:rFonts w:ascii="Arial Narrow" w:hAnsi="Arial Narrow"/>
          <w:sz w:val="24"/>
        </w:rPr>
        <w:fldChar w:fldCharType="separate"/>
      </w:r>
      <w:r>
        <w:rPr>
          <w:rFonts w:ascii="Arial Narrow" w:hAnsi="Arial Narrow"/>
          <w:sz w:val="24"/>
        </w:rPr>
        <w:t>22</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"_Toc513817460" </w:instrText>
      </w:r>
      <w:r>
        <w:fldChar w:fldCharType="separate"/>
      </w:r>
      <w:r>
        <w:rPr>
          <w:rStyle w:val="25"/>
          <w:rFonts w:hint="eastAsia" w:ascii="Arial Narrow" w:hAnsi="Arial Narrow" w:cs="Arial Narrow"/>
          <w:sz w:val="24"/>
        </w:rPr>
        <w:t>（四） 项目效果（</w:t>
      </w:r>
      <w:r>
        <w:rPr>
          <w:rStyle w:val="25"/>
          <w:rFonts w:ascii="Arial Narrow" w:hAnsi="Arial Narrow" w:cs="Arial Narrow"/>
          <w:sz w:val="24"/>
        </w:rPr>
        <w:t>36</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_Toc513817460 \h </w:instrText>
      </w:r>
      <w:r>
        <w:rPr>
          <w:rFonts w:ascii="Arial Narrow" w:hAnsi="Arial Narrow"/>
          <w:sz w:val="24"/>
        </w:rPr>
        <w:fldChar w:fldCharType="separate"/>
      </w:r>
      <w:r>
        <w:rPr>
          <w:rFonts w:ascii="Arial Narrow" w:hAnsi="Arial Narrow"/>
          <w:sz w:val="24"/>
        </w:rPr>
        <w:t>23</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"_Toc513817461" </w:instrText>
      </w:r>
      <w:r>
        <w:fldChar w:fldCharType="separate"/>
      </w:r>
      <w:r>
        <w:rPr>
          <w:rStyle w:val="25"/>
          <w:rFonts w:hint="eastAsia" w:ascii="Arial Narrow" w:hAnsi="Arial Narrow" w:cs="Arial Narrow"/>
          <w:b w:val="0"/>
          <w:sz w:val="24"/>
        </w:rPr>
        <w:t>四、评价结论</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_Toc513817461 \h </w:instrText>
      </w:r>
      <w:r>
        <w:rPr>
          <w:rFonts w:ascii="Arial Narrow" w:hAnsi="Arial Narrow"/>
          <w:b w:val="0"/>
          <w:sz w:val="24"/>
        </w:rPr>
        <w:fldChar w:fldCharType="separate"/>
      </w:r>
      <w:r>
        <w:rPr>
          <w:rFonts w:ascii="Arial Narrow" w:hAnsi="Arial Narrow"/>
          <w:b w:val="0"/>
          <w:sz w:val="24"/>
        </w:rPr>
        <w:t>26</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"_Toc513817462" </w:instrText>
      </w:r>
      <w:r>
        <w:fldChar w:fldCharType="separate"/>
      </w:r>
      <w:r>
        <w:rPr>
          <w:rStyle w:val="25"/>
          <w:rFonts w:hint="eastAsia" w:ascii="Arial Narrow" w:hAnsi="Arial Narrow" w:cs="Arial Narrow"/>
          <w:bCs/>
          <w:sz w:val="24"/>
        </w:rPr>
        <w:t>（一）评分结果</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_Toc513817462 \h </w:instrText>
      </w:r>
      <w:r>
        <w:rPr>
          <w:rFonts w:ascii="Arial Narrow" w:hAnsi="Arial Narrow"/>
          <w:sz w:val="24"/>
        </w:rPr>
        <w:fldChar w:fldCharType="separate"/>
      </w:r>
      <w:r>
        <w:rPr>
          <w:rFonts w:ascii="Arial Narrow" w:hAnsi="Arial Narrow"/>
          <w:sz w:val="24"/>
        </w:rPr>
        <w:t>26</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"_Toc513817463" </w:instrText>
      </w:r>
      <w:r>
        <w:fldChar w:fldCharType="separate"/>
      </w:r>
      <w:r>
        <w:rPr>
          <w:rStyle w:val="25"/>
          <w:rFonts w:hint="eastAsia" w:ascii="Arial Narrow" w:hAnsi="Arial Narrow" w:cs="Arial Narrow"/>
          <w:bCs/>
          <w:sz w:val="24"/>
        </w:rPr>
        <w:t>（二）主要结论</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_Toc513817463 \h </w:instrText>
      </w:r>
      <w:r>
        <w:rPr>
          <w:rFonts w:ascii="Arial Narrow" w:hAnsi="Arial Narrow"/>
          <w:sz w:val="24"/>
        </w:rPr>
        <w:fldChar w:fldCharType="separate"/>
      </w:r>
      <w:r>
        <w:rPr>
          <w:rFonts w:ascii="Arial Narrow" w:hAnsi="Arial Narrow"/>
          <w:sz w:val="24"/>
        </w:rPr>
        <w:t>26</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"_Toc513817464" </w:instrText>
      </w:r>
      <w:r>
        <w:fldChar w:fldCharType="separate"/>
      </w:r>
      <w:r>
        <w:rPr>
          <w:rStyle w:val="25"/>
          <w:rFonts w:hint="eastAsia" w:ascii="Arial Narrow" w:hAnsi="Arial Narrow" w:cs="Arial Narrow"/>
          <w:b w:val="0"/>
          <w:sz w:val="24"/>
        </w:rPr>
        <w:t>五、主要经验及做法、存在的问题和建议</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_Toc513817464 \h </w:instrText>
      </w:r>
      <w:r>
        <w:rPr>
          <w:rFonts w:ascii="Arial Narrow" w:hAnsi="Arial Narrow"/>
          <w:b w:val="0"/>
          <w:sz w:val="24"/>
        </w:rPr>
        <w:fldChar w:fldCharType="separate"/>
      </w:r>
      <w:r>
        <w:rPr>
          <w:rFonts w:ascii="Arial Narrow" w:hAnsi="Arial Narrow"/>
          <w:b w:val="0"/>
          <w:sz w:val="24"/>
        </w:rPr>
        <w:t>27</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"_Toc513817465" </w:instrText>
      </w:r>
      <w:r>
        <w:fldChar w:fldCharType="separate"/>
      </w:r>
      <w:r>
        <w:rPr>
          <w:rStyle w:val="25"/>
          <w:rFonts w:hint="eastAsia" w:ascii="Arial Narrow" w:hAnsi="Arial Narrow" w:cs="Arial Narrow"/>
          <w:bCs/>
          <w:sz w:val="24"/>
        </w:rPr>
        <w:t>（一）主要经验及做法</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_Toc513817465 \h </w:instrText>
      </w:r>
      <w:r>
        <w:rPr>
          <w:rFonts w:ascii="Arial Narrow" w:hAnsi="Arial Narrow"/>
          <w:sz w:val="24"/>
        </w:rPr>
        <w:fldChar w:fldCharType="separate"/>
      </w:r>
      <w:r>
        <w:rPr>
          <w:rFonts w:ascii="Arial Narrow" w:hAnsi="Arial Narrow"/>
          <w:sz w:val="24"/>
        </w:rPr>
        <w:t>27</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"_Toc513817466" </w:instrText>
      </w:r>
      <w:r>
        <w:fldChar w:fldCharType="separate"/>
      </w:r>
      <w:r>
        <w:rPr>
          <w:rStyle w:val="25"/>
          <w:rFonts w:hint="eastAsia" w:ascii="Arial Narrow" w:hAnsi="Arial Narrow" w:cs="Arial Narrow"/>
          <w:bCs/>
          <w:sz w:val="24"/>
        </w:rPr>
        <w:t>（二） 存在的问题</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_Toc513817466 \h </w:instrText>
      </w:r>
      <w:r>
        <w:rPr>
          <w:rFonts w:ascii="Arial Narrow" w:hAnsi="Arial Narrow"/>
          <w:sz w:val="24"/>
        </w:rPr>
        <w:fldChar w:fldCharType="separate"/>
      </w:r>
      <w:r>
        <w:rPr>
          <w:rFonts w:ascii="Arial Narrow" w:hAnsi="Arial Narrow"/>
          <w:sz w:val="24"/>
        </w:rPr>
        <w:t>28</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"_Toc513817467" </w:instrText>
      </w:r>
      <w:r>
        <w:fldChar w:fldCharType="separate"/>
      </w:r>
      <w:r>
        <w:rPr>
          <w:rStyle w:val="25"/>
          <w:rFonts w:hint="eastAsia" w:ascii="Arial Narrow" w:hAnsi="Arial Narrow" w:cs="Arial Narrow"/>
          <w:b w:val="0"/>
          <w:sz w:val="24"/>
        </w:rPr>
        <w:t>六、 其他需说明的问题</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_Toc513817467 \h </w:instrText>
      </w:r>
      <w:r>
        <w:rPr>
          <w:rFonts w:ascii="Arial Narrow" w:hAnsi="Arial Narrow"/>
          <w:b w:val="0"/>
          <w:sz w:val="24"/>
        </w:rPr>
        <w:fldChar w:fldCharType="separate"/>
      </w:r>
      <w:r>
        <w:rPr>
          <w:rFonts w:ascii="Arial Narrow" w:hAnsi="Arial Narrow"/>
          <w:b w:val="0"/>
          <w:sz w:val="24"/>
        </w:rPr>
        <w:t>29</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"_Toc513817468" </w:instrText>
      </w:r>
      <w:r>
        <w:fldChar w:fldCharType="separate"/>
      </w:r>
      <w:r>
        <w:rPr>
          <w:rStyle w:val="25"/>
          <w:rFonts w:hint="eastAsia" w:ascii="Arial Narrow" w:hAnsi="Arial Narrow" w:cs="Arial Narrow"/>
          <w:bCs/>
          <w:sz w:val="24"/>
        </w:rPr>
        <w:t>（一）关于评价责任的说明</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_Toc513817468 \h </w:instrText>
      </w:r>
      <w:r>
        <w:rPr>
          <w:rFonts w:ascii="Arial Narrow" w:hAnsi="Arial Narrow"/>
          <w:sz w:val="24"/>
        </w:rPr>
        <w:fldChar w:fldCharType="separate"/>
      </w:r>
      <w:r>
        <w:rPr>
          <w:rFonts w:ascii="Arial Narrow" w:hAnsi="Arial Narrow"/>
          <w:sz w:val="24"/>
        </w:rPr>
        <w:t>29</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"_Toc513817469" </w:instrText>
      </w:r>
      <w:r>
        <w:fldChar w:fldCharType="separate"/>
      </w:r>
      <w:r>
        <w:rPr>
          <w:rStyle w:val="25"/>
          <w:rFonts w:hint="eastAsia" w:ascii="Arial Narrow" w:hAnsi="Arial Narrow" w:cs="Arial Narrow"/>
          <w:bCs/>
          <w:sz w:val="24"/>
        </w:rPr>
        <w:t>（二）关于本项目评价中局限性的说明</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_Toc513817469 \h </w:instrText>
      </w:r>
      <w:r>
        <w:rPr>
          <w:rFonts w:ascii="Arial Narrow" w:hAnsi="Arial Narrow"/>
          <w:sz w:val="24"/>
        </w:rPr>
        <w:fldChar w:fldCharType="separate"/>
      </w:r>
      <w:r>
        <w:rPr>
          <w:rFonts w:ascii="Arial Narrow" w:hAnsi="Arial Narrow"/>
          <w:sz w:val="24"/>
        </w:rPr>
        <w:t>29</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"_Toc513817470" </w:instrText>
      </w:r>
      <w:r>
        <w:fldChar w:fldCharType="separate"/>
      </w:r>
      <w:r>
        <w:rPr>
          <w:rStyle w:val="25"/>
          <w:rFonts w:hint="eastAsia" w:ascii="Arial Narrow" w:hAnsi="Arial Narrow" w:cs="Arial Narrow"/>
          <w:b w:val="0"/>
          <w:sz w:val="24"/>
        </w:rPr>
        <w:t>附件：</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_Toc513817470 \h </w:instrText>
      </w:r>
      <w:r>
        <w:rPr>
          <w:rFonts w:ascii="Arial Narrow" w:hAnsi="Arial Narrow"/>
          <w:b w:val="0"/>
          <w:sz w:val="24"/>
        </w:rPr>
        <w:fldChar w:fldCharType="separate"/>
      </w:r>
      <w:r>
        <w:rPr>
          <w:rFonts w:ascii="Arial Narrow" w:hAnsi="Arial Narrow"/>
          <w:b w:val="0"/>
          <w:sz w:val="24"/>
        </w:rPr>
        <w:t>30</w:t>
      </w:r>
      <w:r>
        <w:rPr>
          <w:rFonts w:ascii="Arial Narrow" w:hAnsi="Arial Narrow"/>
          <w:b w:val="0"/>
          <w:sz w:val="24"/>
        </w:rPr>
        <w:fldChar w:fldCharType="end"/>
      </w:r>
      <w:r>
        <w:rPr>
          <w:rFonts w:ascii="Arial Narrow" w:hAnsi="Arial Narrow"/>
          <w:b w:val="0"/>
          <w:sz w:val="24"/>
        </w:rPr>
        <w:fldChar w:fldCharType="end"/>
      </w:r>
    </w:p>
    <w:p>
      <w:pPr>
        <w:adjustRightInd w:val="0"/>
        <w:snapToGrid w:val="0"/>
        <w:spacing w:line="240" w:lineRule="auto"/>
        <w:ind w:firstLine="0" w:firstLineChars="0"/>
        <w:jc w:val="left"/>
        <w:rPr>
          <w:rFonts w:ascii="Arial Narrow" w:hAnsi="Arial Narrow" w:cs="Arial Narrow"/>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61" w:right="1406" w:bottom="1089" w:left="1797" w:header="1361" w:footer="992" w:gutter="0"/>
          <w:pgNumType w:start="0"/>
          <w:cols w:space="720" w:num="1"/>
          <w:docGrid w:type="lines" w:linePitch="408" w:charSpace="0"/>
        </w:sectPr>
      </w:pPr>
      <w:r>
        <w:rPr>
          <w:rFonts w:hint="eastAsia" w:ascii="Arial Narrow" w:hAnsi="Arial Narrow" w:cs="Arial Narrow"/>
        </w:rPr>
        <w:fldChar w:fldCharType="end"/>
      </w:r>
    </w:p>
    <w:p>
      <w:pPr>
        <w:snapToGrid w:val="0"/>
        <w:ind w:firstLine="0" w:firstLineChars="0"/>
        <w:jc w:val="center"/>
        <w:outlineLvl w:val="0"/>
        <w:rPr>
          <w:rFonts w:ascii="Arial Narrow" w:hAnsi="Arial Narrow" w:cs="Arial Narrow"/>
          <w:b/>
          <w:sz w:val="32"/>
          <w:szCs w:val="32"/>
        </w:rPr>
      </w:pPr>
      <w:bookmarkStart w:id="0" w:name="_Toc406668024"/>
      <w:bookmarkStart w:id="1" w:name="_Toc406666351"/>
      <w:bookmarkStart w:id="2" w:name="_Toc513817447"/>
      <w:r>
        <w:rPr>
          <w:rFonts w:ascii="Arial Narrow" w:hAnsi="Arial Narrow" w:cs="Arial Narrow"/>
          <w:b/>
          <w:sz w:val="32"/>
          <w:szCs w:val="32"/>
        </w:rPr>
        <w:t>前</w:t>
      </w:r>
      <w:r>
        <w:rPr>
          <w:rFonts w:hint="eastAsia"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p>
    <w:p>
      <w:pPr>
        <w:snapToGrid w:val="0"/>
        <w:ind w:firstLine="0" w:firstLineChars="0"/>
        <w:jc w:val="center"/>
        <w:rPr>
          <w:rFonts w:ascii="Arial Narrow" w:hAnsi="Arial Narrow" w:cs="Arial Narrow"/>
          <w:b/>
          <w:sz w:val="32"/>
          <w:szCs w:val="32"/>
        </w:rPr>
      </w:pPr>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napToGrid w:val="0"/>
        <w:ind w:firstLine="480"/>
        <w:rPr>
          <w:rFonts w:ascii="Arial Narrow" w:hAnsi="Arial Narrow" w:cs="Arial Narrow"/>
        </w:rPr>
      </w:pPr>
      <w:r>
        <w:rPr>
          <w:rFonts w:ascii="Arial Narrow" w:hAnsi="Arial Narrow" w:cs="Arial Narrow"/>
        </w:rPr>
        <w:t>通过借鉴西方国家绩效评价发展经验，我国绩效评价工作已进行了一定程度的实践探索，2003年10月11日党的十六届三中全会决定指出，财政要建立预算绩效评价体系。2006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[2014]376号），武昌区财政局印发</w:t>
      </w:r>
      <w:r>
        <w:rPr>
          <w:rFonts w:hint="eastAsia" w:ascii="Arial Narrow" w:hAnsi="Arial Narrow" w:cs="Arial Narrow"/>
        </w:rPr>
        <w:t>了</w:t>
      </w:r>
      <w:r>
        <w:rPr>
          <w:rFonts w:ascii="Arial Narrow" w:hAnsi="Arial Narrow" w:cs="Arial Narrow"/>
        </w:rPr>
        <w:t>《武昌区财政支出绩效评价管理暂行办法》</w:t>
      </w:r>
      <w:r>
        <w:rPr>
          <w:rFonts w:hint="eastAsia" w:ascii="Arial Narrow" w:hAnsi="Arial Narrow" w:cs="Arial Narrow"/>
        </w:rPr>
        <w:t>，</w:t>
      </w:r>
      <w:r>
        <w:rPr>
          <w:rFonts w:ascii="Arial Narrow" w:hAnsi="Arial Narrow" w:cs="Arial Narrow"/>
        </w:rPr>
        <w:t>为此次</w:t>
      </w:r>
      <w:r>
        <w:rPr>
          <w:rFonts w:hint="eastAsia" w:ascii="Arial Narrow" w:hAnsi="Arial Narrow" w:cs="Arial Narrow"/>
        </w:rPr>
        <w:t>“协税工作经费</w:t>
      </w:r>
      <w:r>
        <w:rPr>
          <w:rFonts w:ascii="Arial Narrow" w:hAnsi="Arial Narrow" w:cs="Arial Narrow"/>
        </w:rPr>
        <w:t>项目</w:t>
      </w:r>
      <w:r>
        <w:rPr>
          <w:rFonts w:hint="eastAsia" w:ascii="Arial Narrow" w:hAnsi="Arial Narrow" w:cs="Arial Narrow"/>
        </w:rPr>
        <w:t>”</w:t>
      </w:r>
      <w:r>
        <w:rPr>
          <w:rFonts w:hint="eastAsia"/>
        </w:rPr>
        <w:t xml:space="preserve"> </w:t>
      </w:r>
      <w:r>
        <w:rPr>
          <w:rFonts w:hint="eastAsia" w:ascii="Arial Narrow" w:hAnsi="Arial Narrow" w:cs="Arial Narrow"/>
        </w:rPr>
        <w:t>（以下简称协税经费项目）</w:t>
      </w:r>
      <w:r>
        <w:rPr>
          <w:rFonts w:ascii="Arial Narrow" w:hAnsi="Arial Narrow" w:cs="Arial Narrow"/>
        </w:rPr>
        <w:t>绩效评价的实施提供了指导，确保了绩效评价工作的顺利开展。</w:t>
      </w:r>
    </w:p>
    <w:p>
      <w:pPr>
        <w:snapToGrid w:val="0"/>
        <w:ind w:firstLine="0" w:firstLineChars="0"/>
        <w:rPr>
          <w:rFonts w:ascii="Arial Narrow" w:hAnsi="Arial Narrow" w:cs="Arial Narrow"/>
          <w:b/>
          <w:bCs/>
        </w:rPr>
      </w:pPr>
      <w:bookmarkStart w:id="3" w:name="_Toc387957799"/>
      <w:bookmarkStart w:id="4" w:name="_Toc361304672"/>
      <w:bookmarkStart w:id="5" w:name="_Toc387957800"/>
      <w:bookmarkStart w:id="6" w:name="_Toc361304673"/>
    </w:p>
    <w:p>
      <w:pPr>
        <w:snapToGrid w:val="0"/>
        <w:ind w:firstLine="0" w:firstLineChars="0"/>
        <w:outlineLvl w:val="0"/>
        <w:rPr>
          <w:rFonts w:ascii="Arial Narrow" w:hAnsi="Arial Narrow" w:cs="Arial Narrow"/>
          <w:b/>
          <w:bCs/>
        </w:rPr>
      </w:pPr>
      <w:bookmarkStart w:id="7" w:name="_Toc513817448"/>
      <w:r>
        <w:rPr>
          <w:rFonts w:hint="eastAsia" w:ascii="Arial Narrow" w:hAnsi="Arial Narrow" w:cs="Arial Narrow"/>
          <w:b/>
          <w:bCs/>
        </w:rPr>
        <w:t>一、项目基本情况</w:t>
      </w:r>
      <w:bookmarkEnd w:id="7"/>
    </w:p>
    <w:p>
      <w:pPr>
        <w:snapToGrid w:val="0"/>
        <w:ind w:firstLine="482"/>
        <w:outlineLvl w:val="1"/>
        <w:rPr>
          <w:rFonts w:ascii="Arial Narrow" w:hAnsi="Arial Narrow" w:cs="Arial Narrow"/>
          <w:b/>
          <w:bCs/>
        </w:rPr>
      </w:pPr>
      <w:bookmarkStart w:id="8" w:name="_Toc513817449"/>
      <w:r>
        <w:rPr>
          <w:rFonts w:hint="eastAsia" w:ascii="Arial Narrow" w:hAnsi="Arial Narrow" w:cs="Arial Narrow"/>
          <w:b/>
          <w:bCs/>
        </w:rPr>
        <w:t>（一）项目概况</w:t>
      </w:r>
      <w:bookmarkEnd w:id="8"/>
    </w:p>
    <w:p>
      <w:pPr>
        <w:snapToGrid w:val="0"/>
        <w:ind w:firstLine="482"/>
        <w:rPr>
          <w:rFonts w:ascii="Arial Narrow" w:hAnsi="Arial Narrow" w:cs="Arial Narrow"/>
          <w:b/>
          <w:bCs/>
        </w:rPr>
      </w:pPr>
      <w:r>
        <w:rPr>
          <w:rFonts w:hint="eastAsia" w:ascii="Arial Narrow" w:hAnsi="Arial Narrow" w:cs="Arial Narrow"/>
          <w:b/>
          <w:bCs/>
        </w:rPr>
        <w:t>1. 项目立项</w:t>
      </w:r>
      <w:r>
        <w:rPr>
          <w:rFonts w:ascii="Arial Narrow" w:hAnsi="Arial Narrow" w:cs="Arial Narrow"/>
          <w:b/>
          <w:bCs/>
        </w:rPr>
        <w:t>背景</w:t>
      </w:r>
      <w:bookmarkEnd w:id="3"/>
      <w:bookmarkEnd w:id="4"/>
    </w:p>
    <w:p>
      <w:pPr>
        <w:snapToGrid w:val="0"/>
        <w:ind w:firstLine="480"/>
        <w:rPr>
          <w:rFonts w:ascii="Arial Narrow" w:hAnsi="Arial Narrow" w:cs="Arial Narrow"/>
        </w:rPr>
      </w:pPr>
      <w:r>
        <w:rPr>
          <w:rFonts w:hint="eastAsia" w:ascii="Arial Narrow" w:hAnsi="Arial Narrow" w:cs="Arial Narrow"/>
        </w:rPr>
        <w:t>1.1项目立项依据</w:t>
      </w:r>
    </w:p>
    <w:p>
      <w:pPr>
        <w:snapToGrid w:val="0"/>
        <w:ind w:firstLine="480"/>
        <w:rPr>
          <w:rFonts w:ascii="Arial Narrow" w:hAnsi="Arial Narrow" w:cs="Arial Narrow"/>
        </w:rPr>
      </w:pPr>
      <w:r>
        <w:rPr>
          <w:rFonts w:ascii="Arial Narrow" w:hAnsi="Arial Narrow" w:cs="Arial Narrow"/>
        </w:rPr>
        <w:t>（1）</w:t>
      </w:r>
      <w:r>
        <w:rPr>
          <w:rFonts w:hint="eastAsia" w:ascii="Arial Narrow" w:hAnsi="Arial Narrow" w:cs="Arial Narrow"/>
        </w:rPr>
        <w:t>《关于武昌区人民政府黄鹤楼街办事处2017年部门预算的批复》中指出，要求武昌区人民政府黄鹤楼街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ascii="Arial Narrow" w:hAnsi="Arial Narrow" w:cs="Arial Narrow"/>
        </w:rPr>
      </w:pPr>
      <w:r>
        <w:rPr>
          <w:rFonts w:hint="eastAsia" w:ascii="Arial Narrow" w:hAnsi="Arial Narrow" w:cs="Arial Narrow"/>
        </w:rPr>
        <w:t>（2）根据《区人民政府办公室关于进一步做好地方零散税收协助管理工作的通知》武昌政办[2010]56号文，结合本区实际，充分发挥街道在协税护税工作中的积极性、主动性，加强零散税征收管理，确保零散税收下方街道代征代管后，纳税户管、纳税申报及税收入库等各项具体工作目标任务的完成。</w:t>
      </w:r>
    </w:p>
    <w:p>
      <w:pPr>
        <w:snapToGrid w:val="0"/>
        <w:ind w:firstLine="480"/>
        <w:rPr>
          <w:rFonts w:ascii="Arial Narrow" w:hAnsi="Arial Narrow" w:cs="Arial Narrow"/>
        </w:rPr>
      </w:pPr>
      <w:r>
        <w:rPr>
          <w:rFonts w:hint="eastAsia" w:ascii="Arial Narrow" w:hAnsi="Arial Narrow" w:cs="Arial Narrow"/>
        </w:rPr>
        <w:t>1.2 项目所属领域</w:t>
      </w:r>
    </w:p>
    <w:p>
      <w:pPr>
        <w:snapToGrid w:val="0"/>
        <w:ind w:firstLine="480"/>
        <w:rPr>
          <w:rFonts w:ascii="Arial Narrow" w:hAnsi="Arial Narrow" w:cs="Arial Narrow"/>
        </w:rPr>
      </w:pPr>
      <w:r>
        <w:rPr>
          <w:rFonts w:hint="eastAsia" w:ascii="Arial Narrow" w:hAnsi="Arial Narrow" w:cs="Arial Narrow"/>
        </w:rPr>
        <w:t>街道办事处协护税工作就是协调、协助、支持和维护税收工作,它是根据国家有关税收法规,充分利用街道和社区资源建立起来的多部门协作的一种税源监控机制。这种机制既要得到政府的关心和支持,又要取得社会各界的协作配合,才能健全协护税网络,实现社会综合治税。</w:t>
      </w:r>
    </w:p>
    <w:p>
      <w:pPr>
        <w:snapToGrid w:val="0"/>
        <w:ind w:firstLine="480"/>
        <w:rPr>
          <w:rFonts w:ascii="Arial Narrow" w:hAnsi="Arial Narrow" w:cs="Arial Narrow"/>
        </w:rPr>
      </w:pPr>
      <w:r>
        <w:rPr>
          <w:rFonts w:hint="eastAsia" w:ascii="Arial Narrow" w:hAnsi="Arial Narrow" w:cs="Arial Narrow"/>
        </w:rPr>
        <w:t>1.3 项目性质与特点</w:t>
      </w:r>
    </w:p>
    <w:p>
      <w:pPr>
        <w:snapToGrid w:val="0"/>
        <w:ind w:firstLine="480"/>
        <w:rPr>
          <w:rFonts w:ascii="Arial Narrow" w:hAnsi="Arial Narrow" w:cs="Arial Narrow"/>
        </w:rPr>
      </w:pPr>
      <w:r>
        <w:rPr>
          <w:rFonts w:hint="eastAsia" w:ascii="Arial Narrow" w:hAnsi="Arial Narrow" w:cs="Arial Narrow"/>
        </w:rPr>
        <w:t>街道办事处是城市的基层管理者，直接面对辖区内的经济实体，协税护税网络的建设，不仅可以大大减少税务部门的工作量，也会在社会上形成良好的依法纳税氛围，有助于税收法律、政策的落实，减少税收执法的难度，提高税收效率。</w:t>
      </w:r>
    </w:p>
    <w:p>
      <w:pPr>
        <w:snapToGrid w:val="0"/>
        <w:ind w:firstLine="480"/>
        <w:rPr>
          <w:rFonts w:ascii="Arial Narrow" w:hAnsi="Arial Narrow" w:cs="Arial Narrow"/>
        </w:rPr>
      </w:pPr>
      <w:r>
        <w:rPr>
          <w:rFonts w:hint="eastAsia" w:ascii="Arial Narrow" w:hAnsi="Arial Narrow" w:cs="Arial Narrow"/>
        </w:rPr>
        <w:t>1.4 项目立项时所属领域状况</w:t>
      </w:r>
    </w:p>
    <w:p>
      <w:pPr>
        <w:snapToGrid w:val="0"/>
        <w:ind w:firstLine="480"/>
        <w:rPr>
          <w:rFonts w:ascii="Arial Narrow" w:hAnsi="Arial Narrow" w:cs="Arial Narrow"/>
        </w:rPr>
      </w:pPr>
      <w:r>
        <w:rPr>
          <w:rFonts w:hint="eastAsia" w:ascii="Arial Narrow" w:hAnsi="Arial Narrow" w:cs="Arial Narrow"/>
        </w:rPr>
        <w:t>为进一步加强依法治税工作，充分发挥协税护税网络作用，建立健全规范的税收秩序，堵塞零散税收漏征漏管，营造良好的税收环境，根据《中华人民共和国税收征收管理法》、《中华人民共和国行政许可法》的相关规定，就进一步做好地方零散税收协助管理工作，黄鹤楼街按照区财政下达的协税目标开展协税工作，设立税务服务站，成立协税专班。负责所属区域内的协税工作；组织税款入库，对应纳税款催报催存催缴，清理辖区内漏征漏管户，清理滞欠税款；整理、填写、归档保管好各类相关信息资料。</w:t>
      </w:r>
    </w:p>
    <w:bookmarkEnd w:id="5"/>
    <w:bookmarkEnd w:id="6"/>
    <w:p>
      <w:pPr>
        <w:snapToGrid w:val="0"/>
        <w:ind w:firstLine="482"/>
        <w:rPr>
          <w:rFonts w:ascii="Arial Narrow" w:hAnsi="Arial Narrow" w:cs="Arial Narrow"/>
          <w:b/>
          <w:bCs/>
        </w:rPr>
      </w:pPr>
      <w:r>
        <w:rPr>
          <w:rFonts w:hint="eastAsia" w:ascii="Arial Narrow" w:hAnsi="Arial Narrow" w:cs="Arial Narrow"/>
          <w:b/>
          <w:bCs/>
        </w:rPr>
        <w:t>2. 基准日及评价历时</w:t>
      </w:r>
    </w:p>
    <w:p>
      <w:pPr>
        <w:snapToGrid w:val="0"/>
        <w:ind w:firstLine="480"/>
        <w:rPr>
          <w:rFonts w:ascii="Arial Narrow" w:hAnsi="Arial Narrow" w:cs="Arial Narrow"/>
        </w:rPr>
      </w:pPr>
      <w:bookmarkStart w:id="9" w:name="_Toc361304674"/>
      <w:bookmarkStart w:id="10" w:name="_Toc406668025"/>
      <w:bookmarkStart w:id="11" w:name="_Toc387957801"/>
      <w:bookmarkStart w:id="12" w:name="_Toc406666352"/>
      <w:r>
        <w:rPr>
          <w:rFonts w:hint="eastAsia" w:ascii="Arial Narrow" w:hAnsi="Arial Narrow" w:cs="Arial Narrow"/>
        </w:rPr>
        <w:t xml:space="preserve">2.1 评价基准日：2017年12月31日  </w:t>
      </w:r>
    </w:p>
    <w:p>
      <w:pPr>
        <w:snapToGrid w:val="0"/>
        <w:ind w:firstLine="480"/>
        <w:rPr>
          <w:rFonts w:ascii="Arial Narrow" w:hAnsi="Arial Narrow" w:cs="Arial Narrow"/>
        </w:rPr>
      </w:pPr>
      <w:r>
        <w:rPr>
          <w:rFonts w:hint="eastAsia" w:ascii="Arial Narrow" w:hAnsi="Arial Narrow" w:cs="Arial Narrow"/>
        </w:rPr>
        <w:t>2.2 本次评价从2018年5月10日——2018年5月25日，历时15天</w:t>
      </w:r>
    </w:p>
    <w:p>
      <w:pPr>
        <w:snapToGrid w:val="0"/>
        <w:ind w:firstLine="482"/>
        <w:rPr>
          <w:rFonts w:ascii="Arial Narrow" w:hAnsi="Arial Narrow" w:cs="Arial Narrow"/>
          <w:b/>
          <w:color w:val="000000" w:themeColor="text1"/>
          <w14:textFill>
            <w14:solidFill>
              <w14:schemeClr w14:val="tx1"/>
            </w14:solidFill>
          </w14:textFill>
        </w:rPr>
      </w:pPr>
      <w:r>
        <w:rPr>
          <w:rFonts w:hint="eastAsia" w:ascii="Arial Narrow" w:hAnsi="Arial Narrow" w:cs="Arial Narrow"/>
          <w:b/>
        </w:rPr>
        <w:t>3．项目实施情况</w:t>
      </w:r>
    </w:p>
    <w:p>
      <w:pPr>
        <w:snapToGrid w:val="0"/>
        <w:ind w:firstLine="480"/>
        <w:rPr>
          <w:rFonts w:ascii="Arial Narrow" w:hAnsi="Arial Narrow" w:cs="Arial Narrow"/>
        </w:rPr>
      </w:pPr>
      <w:r>
        <w:rPr>
          <w:rFonts w:hint="eastAsia" w:ascii="Arial Narrow" w:hAnsi="Arial Narrow" w:cs="Arial Narrow"/>
        </w:rPr>
        <w:t>（1）项目实施单位：武昌区人民政府黄鹤楼街办事处</w:t>
      </w:r>
    </w:p>
    <w:p>
      <w:pPr>
        <w:snapToGrid w:val="0"/>
        <w:ind w:firstLine="480"/>
        <w:rPr>
          <w:rFonts w:ascii="Arial Narrow" w:hAnsi="Arial Narrow" w:cs="Arial Narrow"/>
        </w:rPr>
      </w:pPr>
      <w:r>
        <w:rPr>
          <w:rFonts w:hint="eastAsia" w:ascii="Arial Narrow" w:hAnsi="Arial Narrow" w:cs="Arial Narrow"/>
        </w:rPr>
        <w:t>（2）项目实施周期与地点：2017年1月至2017年12月；武昌区人民政府黄鹤楼街办事处所辖4个社区</w:t>
      </w:r>
    </w:p>
    <w:p>
      <w:pPr>
        <w:snapToGrid w:val="0"/>
        <w:ind w:firstLine="480"/>
        <w:rPr>
          <w:rFonts w:ascii="Arial Narrow" w:hAnsi="Arial Narrow" w:cs="Arial Narrow"/>
        </w:rPr>
      </w:pPr>
      <w:r>
        <w:rPr>
          <w:rFonts w:hint="eastAsia" w:ascii="Arial Narrow" w:hAnsi="Arial Narrow" w:cs="Arial Narrow"/>
        </w:rPr>
        <w:t>（3）项目主要内容：协助税务机关开展税法宣传工作，进一步加强依法治税工作，充分发挥协税护税网络作用，建立健全规范的税收秩序，堵塞零散税收漏征漏管，营造良好的税收环境。</w:t>
      </w:r>
    </w:p>
    <w:p>
      <w:pPr>
        <w:snapToGrid w:val="0"/>
        <w:ind w:firstLine="480"/>
        <w:rPr>
          <w:rFonts w:ascii="Arial Narrow" w:hAnsi="Arial Narrow" w:cs="Arial Narrow"/>
        </w:rPr>
      </w:pPr>
      <w:r>
        <w:rPr>
          <w:rFonts w:hint="eastAsia" w:ascii="Arial Narrow" w:hAnsi="Arial Narrow" w:cs="Arial Narrow"/>
        </w:rPr>
        <w:t>（4）项目完成概况：截止12 月 15日止，共完成税收206万元。其中个人房屋出租158万元，个体工商户税48万元。</w:t>
      </w:r>
    </w:p>
    <w:p>
      <w:pPr>
        <w:snapToGrid w:val="0"/>
        <w:ind w:firstLine="482"/>
        <w:rPr>
          <w:rFonts w:ascii="Arial Narrow" w:hAnsi="Arial Narrow" w:cs="Arial Narrow"/>
          <w:b/>
        </w:rPr>
      </w:pPr>
      <w:r>
        <w:rPr>
          <w:rFonts w:hint="eastAsia" w:ascii="Arial Narrow" w:hAnsi="Arial Narrow" w:cs="Arial Narrow"/>
          <w:b/>
        </w:rPr>
        <w:t>4．项目经费来源和使用情况</w:t>
      </w:r>
    </w:p>
    <w:p>
      <w:pPr>
        <w:snapToGrid w:val="0"/>
        <w:ind w:firstLine="480"/>
        <w:rPr>
          <w:rFonts w:ascii="Arial Narrow" w:hAnsi="Arial Narrow" w:cs="Arial Narrow"/>
        </w:rPr>
      </w:pPr>
      <w:r>
        <w:rPr>
          <w:rFonts w:hint="eastAsia" w:ascii="Arial Narrow" w:hAnsi="Arial Narrow" w:cs="Arial Narrow"/>
        </w:rPr>
        <w:t>（1）项目资金来源概况</w:t>
      </w:r>
    </w:p>
    <w:p>
      <w:pPr>
        <w:snapToGrid w:val="0"/>
        <w:ind w:firstLine="480"/>
        <w:rPr>
          <w:rFonts w:ascii="Arial Narrow" w:hAnsi="Arial Narrow" w:cs="Arial Narrow"/>
        </w:rPr>
      </w:pPr>
      <w:r>
        <w:rPr>
          <w:rFonts w:hint="eastAsia" w:ascii="Arial Narrow" w:hAnsi="Arial Narrow" w:cs="Arial Narrow"/>
        </w:rPr>
        <w:t>协税工作经费项目经武昌区财政局批复，下达预算资金30.00万元。</w:t>
      </w:r>
    </w:p>
    <w:p>
      <w:pPr>
        <w:snapToGrid w:val="0"/>
        <w:ind w:firstLine="480"/>
        <w:rPr>
          <w:rFonts w:ascii="Arial Narrow" w:hAnsi="Arial Narrow" w:cs="Arial Narrow"/>
        </w:rPr>
      </w:pPr>
      <w:r>
        <w:rPr>
          <w:rFonts w:hint="eastAsia" w:ascii="Arial Narrow" w:hAnsi="Arial Narrow" w:cs="Arial Narrow"/>
        </w:rPr>
        <w:t>（2）项目资金使用概况</w:t>
      </w:r>
      <w:bookmarkEnd w:id="9"/>
      <w:bookmarkEnd w:id="10"/>
      <w:bookmarkEnd w:id="11"/>
      <w:bookmarkEnd w:id="12"/>
      <w:bookmarkStart w:id="13" w:name="_Toc361302024"/>
      <w:bookmarkStart w:id="14" w:name="_Toc361304679"/>
      <w:bookmarkStart w:id="15" w:name="_Toc361304169"/>
      <w:bookmarkStart w:id="16" w:name="_Toc361303718"/>
      <w:bookmarkStart w:id="17" w:name="_Toc361304427"/>
    </w:p>
    <w:p>
      <w:pPr>
        <w:snapToGrid w:val="0"/>
        <w:ind w:firstLine="480"/>
        <w:rPr>
          <w:rFonts w:ascii="Arial Narrow" w:hAnsi="Arial Narrow" w:cs="Arial Narrow"/>
        </w:rPr>
      </w:pPr>
      <w:r>
        <w:rPr>
          <w:rFonts w:hint="eastAsia" w:ascii="Arial Narrow" w:hAnsi="Arial Narrow" w:cs="Arial Narrow"/>
        </w:rPr>
        <w:t>评价小组通过项目资金支出明细账了解到，“协税工作经费项目”实际支出19.26万元，其中：工作人员工资及补贴17.27万元，办公经费1.48万元，宣传费用0.13万元，车辆购买及维修费0.38，支出明细如下：</w:t>
      </w:r>
    </w:p>
    <w:p>
      <w:pPr>
        <w:snapToGrid w:val="0"/>
        <w:ind w:firstLine="480" w:firstLineChars="0"/>
        <w:jc w:val="center"/>
        <w:rPr>
          <w:rFonts w:ascii="Arial Narrow" w:hAnsi="Arial Narrow" w:cs="Arial Narrow"/>
          <w:highlight w:val="yellow"/>
        </w:rPr>
      </w:pPr>
      <w:r>
        <w:drawing>
          <wp:inline distT="0" distB="0" distL="0" distR="0">
            <wp:extent cx="3952875" cy="2279650"/>
            <wp:effectExtent l="0" t="0" r="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napToGrid w:val="0"/>
        <w:ind w:firstLine="482" w:firstLineChars="0"/>
        <w:rPr>
          <w:rFonts w:ascii="Arial Narrow" w:hAnsi="Arial Narrow" w:cs="Arial Narrow"/>
        </w:rPr>
      </w:pPr>
    </w:p>
    <w:bookmarkEnd w:id="13"/>
    <w:bookmarkEnd w:id="14"/>
    <w:bookmarkEnd w:id="15"/>
    <w:bookmarkEnd w:id="16"/>
    <w:bookmarkEnd w:id="17"/>
    <w:p>
      <w:pPr>
        <w:snapToGrid w:val="0"/>
        <w:ind w:firstLine="482"/>
        <w:outlineLvl w:val="1"/>
        <w:rPr>
          <w:rFonts w:ascii="Arial Narrow" w:hAnsi="Arial Narrow" w:cs="Arial Narrow"/>
          <w:b/>
          <w:bCs/>
        </w:rPr>
      </w:pPr>
      <w:bookmarkStart w:id="18" w:name="_Toc513817450"/>
      <w:bookmarkStart w:id="19" w:name="_Toc16351"/>
      <w:bookmarkStart w:id="20" w:name="_Toc406668030"/>
      <w:bookmarkStart w:id="21" w:name="_Toc361304680"/>
      <w:bookmarkStart w:id="22" w:name="_Toc406666356"/>
      <w:r>
        <w:rPr>
          <w:rFonts w:hint="eastAsia" w:ascii="Arial Narrow" w:hAnsi="Arial Narrow" w:cs="Arial Narrow"/>
          <w:b/>
          <w:bCs/>
        </w:rPr>
        <w:t>（二）项目绩效目标</w:t>
      </w:r>
      <w:bookmarkEnd w:id="18"/>
    </w:p>
    <w:p>
      <w:pPr>
        <w:snapToGrid w:val="0"/>
        <w:ind w:firstLine="482"/>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项目绩效目标</w:t>
      </w:r>
      <w:bookmarkEnd w:id="19"/>
      <w:bookmarkEnd w:id="20"/>
      <w:bookmarkEnd w:id="21"/>
      <w:bookmarkEnd w:id="22"/>
    </w:p>
    <w:p>
      <w:pPr>
        <w:snapToGrid w:val="0"/>
        <w:ind w:firstLine="480"/>
        <w:rPr>
          <w:rFonts w:ascii="Arial Narrow" w:hAnsi="Arial Narrow" w:cs="Arial Narrow"/>
        </w:rPr>
      </w:pPr>
      <w:r>
        <w:rPr>
          <w:rFonts w:hint="eastAsia" w:ascii="Arial Narrow" w:hAnsi="Arial Narrow" w:cs="Arial Narrow"/>
        </w:rPr>
        <w:t>（1）项目立项设定绩效目标</w:t>
      </w:r>
    </w:p>
    <w:p>
      <w:pPr>
        <w:snapToGrid w:val="0"/>
        <w:ind w:firstLine="480"/>
        <w:rPr>
          <w:rFonts w:ascii="Arial Narrow" w:hAnsi="Arial Narrow" w:cs="Arial Narrow"/>
        </w:rPr>
      </w:pPr>
      <w:r>
        <w:rPr>
          <w:rFonts w:hint="eastAsia" w:ascii="Arial Narrow" w:hAnsi="Arial Narrow" w:cs="Arial Narrow"/>
        </w:rPr>
        <w:t>黄鹤楼街税收服务站根据武昌区财政局的绩效管理目标设置本单位年度工作目标，</w:t>
      </w:r>
      <w:bookmarkStart w:id="23" w:name="_Toc3631"/>
      <w:bookmarkStart w:id="24" w:name="_Toc361304681"/>
      <w:bookmarkStart w:id="25" w:name="_Toc387957806"/>
      <w:r>
        <w:rPr>
          <w:rFonts w:hint="eastAsia" w:ascii="Arial Narrow" w:hAnsi="Arial Narrow" w:cs="Arial Narrow"/>
        </w:rPr>
        <w:t>在完成税收的情况下，年税收额应达到200万元，质量指标包括：宣传税法，杜绝漏征漏管，为纳税人服务，制造良好的纳税氛围，全年无纳税人投诉等。</w:t>
      </w:r>
    </w:p>
    <w:p>
      <w:pPr>
        <w:snapToGrid w:val="0"/>
        <w:ind w:firstLine="480"/>
        <w:rPr>
          <w:rFonts w:ascii="Arial Narrow" w:hAnsi="Arial Narrow" w:cs="Arial Narrow"/>
        </w:rPr>
      </w:pPr>
      <w:r>
        <w:rPr>
          <w:rFonts w:hint="eastAsia" w:ascii="Arial Narrow" w:hAnsi="Arial Narrow" w:cs="Arial Narrow"/>
        </w:rPr>
        <w:t>（2）绩效目标完成情况</w:t>
      </w:r>
      <w:bookmarkEnd w:id="23"/>
    </w:p>
    <w:p>
      <w:pPr>
        <w:snapToGrid w:val="0"/>
        <w:ind w:firstLine="480"/>
        <w:rPr>
          <w:rFonts w:ascii="Arial Narrow" w:hAnsi="Arial Narrow" w:cs="Arial Narrow"/>
        </w:rPr>
      </w:pPr>
      <w:r>
        <w:rPr>
          <w:rFonts w:hint="eastAsia" w:ascii="Arial Narrow" w:hAnsi="Arial Narrow" w:cs="Arial Narrow"/>
        </w:rPr>
        <w:t>黄鹤楼街道税收服务办完成零散税收206万元，工作方面能够认真贯彻执行党的方针、政策、增强法制观念，加强自身建设。热情接待纳税人，态度和蔼，文明礼貌，树立全心全意为人民服务的思想，切实为纳税人排忧解难并坚持原则，依法办事，作风正派，廉洁奉公。</w:t>
      </w:r>
      <w:bookmarkStart w:id="26" w:name="_Toc406668031"/>
      <w:bookmarkStart w:id="27" w:name="_Toc406666357"/>
      <w:bookmarkStart w:id="28" w:name="_Toc14372"/>
    </w:p>
    <w:p>
      <w:pPr>
        <w:snapToGrid w:val="0"/>
        <w:ind w:firstLine="482"/>
        <w:outlineLvl w:val="0"/>
        <w:rPr>
          <w:rFonts w:ascii="Arial Narrow" w:hAnsi="Arial Narrow" w:cs="Arial Narrow"/>
          <w:b/>
          <w:bCs/>
        </w:rPr>
      </w:pPr>
      <w:bookmarkStart w:id="29" w:name="_Toc513817451"/>
      <w:r>
        <w:rPr>
          <w:rFonts w:hint="eastAsia" w:ascii="Arial Narrow" w:hAnsi="Arial Narrow" w:cs="Arial Narrow"/>
          <w:b/>
          <w:bCs/>
        </w:rPr>
        <w:t>二、绩效评价工作情况</w:t>
      </w:r>
      <w:bookmarkEnd w:id="24"/>
      <w:bookmarkEnd w:id="25"/>
      <w:bookmarkEnd w:id="26"/>
      <w:bookmarkEnd w:id="27"/>
      <w:bookmarkEnd w:id="28"/>
      <w:bookmarkEnd w:id="29"/>
      <w:bookmarkStart w:id="30" w:name="_Toc361304682"/>
    </w:p>
    <w:bookmarkEnd w:id="30"/>
    <w:p>
      <w:pPr>
        <w:snapToGrid w:val="0"/>
        <w:ind w:firstLine="482"/>
        <w:outlineLvl w:val="1"/>
        <w:rPr>
          <w:rFonts w:ascii="Arial Narrow" w:hAnsi="Arial Narrow" w:cs="Arial Narrow"/>
          <w:b/>
          <w:bCs/>
        </w:rPr>
      </w:pPr>
      <w:bookmarkStart w:id="31" w:name="_Toc513817452"/>
      <w:r>
        <w:rPr>
          <w:rFonts w:hint="eastAsia" w:ascii="Arial Narrow" w:hAnsi="Arial Narrow" w:cs="Arial Narrow"/>
          <w:b/>
          <w:bCs/>
        </w:rPr>
        <w:t>（一）绩效评价目的</w:t>
      </w:r>
      <w:bookmarkEnd w:id="31"/>
    </w:p>
    <w:p>
      <w:pPr>
        <w:snapToGrid w:val="0"/>
        <w:ind w:firstLine="480"/>
        <w:rPr>
          <w:rFonts w:ascii="Arial Narrow" w:hAnsi="Arial Narrow" w:cs="Arial Narrow"/>
        </w:rPr>
      </w:pPr>
      <w:bookmarkStart w:id="32" w:name="_Toc32197"/>
      <w:r>
        <w:rPr>
          <w:rFonts w:hint="eastAsia"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协税工作经费项目经费支出的具体情况，根据武昌区黄鹤楼街办事处总体部署进行此绩效评价工作，其直接目的是在实践中检验绩效评价工作文件的针对性和可操作性，推动绩效评价的制度建设。此外，本次绩效评价还力争实现以下目的：</w:t>
      </w:r>
    </w:p>
    <w:p>
      <w:pPr>
        <w:snapToGrid w:val="0"/>
        <w:ind w:firstLine="480"/>
        <w:rPr>
          <w:rFonts w:ascii="Arial Narrow" w:hAnsi="Arial Narrow" w:cs="Arial Narrow"/>
        </w:rPr>
      </w:pPr>
      <w:r>
        <w:rPr>
          <w:rFonts w:hint="eastAsia" w:ascii="Arial Narrow" w:hAnsi="Arial Narrow" w:cs="Arial Narrow"/>
        </w:rPr>
        <w:t>1、按照公共财政管理要求，运用一定的指标体系和评价标准，采取科学、规范的评价方法，采用定性及定量相结合的评价指标，对本项目的项目投入、项目过程、项目产出、项目效果进行客观公正地评价。</w:t>
      </w:r>
    </w:p>
    <w:p>
      <w:pPr>
        <w:snapToGrid w:val="0"/>
        <w:ind w:firstLine="480"/>
        <w:rPr>
          <w:rFonts w:ascii="Arial Narrow" w:hAnsi="Arial Narrow" w:cs="Arial Narrow"/>
        </w:rPr>
      </w:pPr>
      <w:r>
        <w:rPr>
          <w:rFonts w:hint="eastAsia" w:ascii="Arial Narrow" w:hAnsi="Arial Narrow" w:cs="Arial Narrow"/>
        </w:rPr>
        <w:t>2、通过绩效评价为合理分配资金、优化支出提供依据，也为逐步建立以结果为导向的竞争立项项目评价机制提供决策依据。</w:t>
      </w:r>
    </w:p>
    <w:p>
      <w:pPr>
        <w:snapToGrid w:val="0"/>
        <w:ind w:firstLine="480"/>
        <w:rPr>
          <w:rFonts w:ascii="Arial Narrow" w:hAnsi="Arial Narrow" w:cs="Arial Narrow"/>
        </w:rPr>
      </w:pPr>
      <w:r>
        <w:rPr>
          <w:rFonts w:hint="eastAsia" w:ascii="Arial Narrow" w:hAnsi="Arial Narrow" w:cs="Arial Narrow"/>
        </w:rPr>
        <w:t>3、通过绩效评价总结前一年度项目实施的经验教训，为进一步加强协税工作经费项目管理，提高项目建设水平，发挥财政资金效益提供重要的参考依据，也为将来公益服务项目提供借鉴。</w:t>
      </w:r>
    </w:p>
    <w:p>
      <w:pPr>
        <w:snapToGrid w:val="0"/>
        <w:ind w:firstLine="482"/>
        <w:outlineLvl w:val="1"/>
        <w:rPr>
          <w:rFonts w:ascii="Arial Narrow" w:hAnsi="Arial Narrow" w:cs="Arial Narrow"/>
        </w:rPr>
      </w:pPr>
      <w:bookmarkStart w:id="33" w:name="_Toc513817453"/>
      <w:r>
        <w:rPr>
          <w:rFonts w:hint="eastAsia" w:ascii="Arial Narrow" w:hAnsi="Arial Narrow" w:cs="Arial Narrow"/>
          <w:b/>
          <w:bCs/>
        </w:rPr>
        <w:t>（二）绩效评价工作过程</w:t>
      </w:r>
      <w:bookmarkEnd w:id="32"/>
      <w:bookmarkEnd w:id="33"/>
    </w:p>
    <w:p>
      <w:pPr>
        <w:snapToGrid w:val="0"/>
        <w:ind w:firstLine="480"/>
        <w:rPr>
          <w:rFonts w:ascii="Arial Narrow" w:hAnsi="Arial Narrow" w:cs="Arial Narrow"/>
        </w:rPr>
      </w:pPr>
      <w:r>
        <w:rPr>
          <w:rFonts w:hint="eastAsia" w:ascii="Arial Narrow" w:hAnsi="Arial Narrow" w:cs="Arial Narrow"/>
        </w:rPr>
        <w:drawing>
          <wp:inline distT="0" distB="0" distL="0" distR="0">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pPr>
        <w:snapToGrid w:val="0"/>
        <w:ind w:firstLine="480"/>
        <w:rPr>
          <w:rFonts w:ascii="Arial Narrow" w:hAnsi="Arial Narrow" w:cs="Arial Narrow"/>
        </w:rPr>
      </w:pPr>
      <w:r>
        <w:rPr>
          <w:rFonts w:hint="eastAsia" w:ascii="Arial Narrow" w:hAnsi="Arial Narrow" w:cs="Arial Narrow"/>
        </w:rPr>
        <w:t>1、前期准备工作内容</w:t>
      </w:r>
    </w:p>
    <w:p>
      <w:pPr>
        <w:snapToGrid w:val="0"/>
        <w:ind w:firstLine="480"/>
        <w:rPr>
          <w:rFonts w:ascii="Arial Narrow" w:hAnsi="Arial Narrow" w:cs="Arial Narrow"/>
        </w:rPr>
      </w:pPr>
      <w:r>
        <w:rPr>
          <w:rFonts w:hint="eastAsia" w:ascii="Arial Narrow" w:hAnsi="Arial Narrow" w:cs="Arial Narrow"/>
        </w:rPr>
        <w:t>首先，查阅项目的相关文件。通过查阅了项目单位预算批复文件、《区人民政府办公室关于进一步做好地方零散税收协助管理工作的通知》、《区关于个人出租房屋税委托代征管理实施意见》、《武昌区零散税收协助管理工作职责》等资料，结合《武昌区财政支出绩效评价管理暂行办法》的要求，绩效评价小组充分熟悉项目背景、项目内容、项目活动等信息，这为绩效评价小组后续制定绩效评价方案奠定了基础。</w:t>
      </w:r>
    </w:p>
    <w:p>
      <w:pPr>
        <w:snapToGrid w:val="0"/>
        <w:ind w:firstLine="480"/>
        <w:rPr>
          <w:rFonts w:ascii="Arial Narrow" w:hAnsi="Arial Narrow" w:cs="Arial Narrow"/>
        </w:rPr>
      </w:pPr>
      <w:r>
        <w:rPr>
          <w:rFonts w:hint="eastAsia" w:ascii="Arial Narrow" w:hAnsi="Arial Narrow" w:cs="Arial Narrow"/>
        </w:rPr>
        <w:t>2、组织实施过程内容</w:t>
      </w:r>
    </w:p>
    <w:p>
      <w:pPr>
        <w:snapToGrid w:val="0"/>
        <w:ind w:firstLine="480"/>
        <w:rPr>
          <w:rFonts w:ascii="Arial Narrow" w:hAnsi="Arial Narrow" w:cs="Arial Narrow"/>
        </w:rPr>
      </w:pPr>
      <w:r>
        <w:rPr>
          <w:rFonts w:hint="eastAsia" w:ascii="Arial Narrow" w:hAnsi="Arial Narrow" w:cs="Arial Narrow"/>
        </w:rPr>
        <w:t>其次，根据项目具体情况设定共性指标与个性指标相结合的绩效评价指标体系。社区惠民项目绩效评价指标体系由4个一级指标、6个二级指标、22个三级指标构成。绩效评价指标体系包含13个定性指标，9个定量指标，定性定量指标相结合，量化程度较高。评价小组根据项目特点补充设计了8个个性化指标，包括工作作风与服务意识、税源户信息完整度、税收投入乘数、税收增长率、协税工作综合效益、涉税政策业务指导、可持续影响程度、服务对象满意度。</w:t>
      </w:r>
    </w:p>
    <w:p>
      <w:pPr>
        <w:snapToGrid w:val="0"/>
        <w:ind w:firstLine="480"/>
        <w:rPr>
          <w:rFonts w:ascii="Arial Narrow" w:hAnsi="Arial Narrow" w:cs="Arial Narrow"/>
        </w:rPr>
      </w:pPr>
      <w:r>
        <w:rPr>
          <w:rFonts w:hint="eastAsia" w:ascii="Arial Narrow" w:hAnsi="Arial Narrow" w:cs="Arial Narrow"/>
        </w:rPr>
        <w:t>3、分析评价工作内容</w:t>
      </w:r>
    </w:p>
    <w:p>
      <w:pPr>
        <w:snapToGrid w:val="0"/>
        <w:ind w:firstLine="480"/>
        <w:rPr>
          <w:rFonts w:ascii="Arial Narrow" w:hAnsi="Arial Narrow" w:cs="Arial Narrow"/>
        </w:rPr>
      </w:pPr>
      <w:r>
        <w:rPr>
          <w:rFonts w:hint="eastAsia" w:ascii="Arial Narrow" w:hAnsi="Arial Narrow" w:cs="Arial Narrow"/>
        </w:rPr>
        <w:t>第三，设计绩效评价指标体系和评分标准。项目小组与武昌区黄鹤楼街办事处就协税工作经费项目绩效评价相关事项进行了充分的讨论与研究，制定了绩效评价指标体系和评分标准。</w:t>
      </w:r>
    </w:p>
    <w:p>
      <w:pPr>
        <w:snapToGrid w:val="0"/>
        <w:ind w:firstLine="480"/>
        <w:rPr>
          <w:rFonts w:ascii="Arial Narrow" w:hAnsi="Arial Narrow" w:cs="Arial Narrow"/>
        </w:rPr>
      </w:pPr>
      <w:r>
        <w:rPr>
          <w:rFonts w:hint="eastAsia" w:ascii="Arial Narrow" w:hAnsi="Arial Narrow"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pPr>
        <w:pStyle w:val="3"/>
        <w:keepNext w:val="0"/>
        <w:keepLines w:val="0"/>
        <w:spacing w:line="360" w:lineRule="auto"/>
        <w:ind w:firstLine="482"/>
        <w:jc w:val="left"/>
        <w:rPr>
          <w:rFonts w:ascii="Arial Narrow" w:hAnsi="Arial Narrow" w:eastAsia="仿宋_GB2312" w:cs="仿宋_GB2312"/>
          <w:sz w:val="24"/>
        </w:rPr>
      </w:pPr>
      <w:bookmarkStart w:id="34" w:name="_Toc513817454"/>
      <w:r>
        <w:rPr>
          <w:rFonts w:hint="eastAsia" w:ascii="Arial Narrow" w:hAnsi="Arial Narrow" w:eastAsia="仿宋_GB2312" w:cs="仿宋_GB2312"/>
          <w:sz w:val="24"/>
        </w:rPr>
        <w:t>（三）绩效评价框架</w:t>
      </w:r>
      <w:bookmarkEnd w:id="34"/>
    </w:p>
    <w:p>
      <w:pPr>
        <w:snapToGrid w:val="0"/>
        <w:ind w:firstLine="482"/>
        <w:rPr>
          <w:rFonts w:ascii="Arial Narrow" w:hAnsi="Arial Narrow" w:cs="Arial Narrow"/>
        </w:rPr>
      </w:pPr>
      <w:r>
        <w:rPr>
          <w:rFonts w:hint="eastAsia" w:ascii="Arial Narrow" w:hAnsi="Arial Narrow" w:cs="Arial Narrow"/>
          <w:b/>
          <w:bCs/>
        </w:rPr>
        <w:t>1、评价原则</w:t>
      </w:r>
    </w:p>
    <w:p>
      <w:pPr>
        <w:snapToGrid w:val="0"/>
        <w:ind w:firstLine="480"/>
        <w:rPr>
          <w:rFonts w:ascii="Arial Narrow" w:hAnsi="Arial Narrow" w:cs="Arial Narrow"/>
          <w:b/>
        </w:rPr>
      </w:pPr>
      <w:r>
        <w:rPr>
          <w:rFonts w:ascii="Arial Narrow" w:hAnsi="Arial Narrow" w:cs="Arial Narrow"/>
        </w:rPr>
        <w:drawing>
          <wp:inline distT="0" distB="0" distL="0" distR="0">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napToGrid w:val="0"/>
        <w:ind w:firstLine="480"/>
        <w:rPr>
          <w:rFonts w:ascii="Arial Narrow" w:hAnsi="Arial Narrow" w:cs="Arial Narrow"/>
        </w:rPr>
      </w:pPr>
      <w:r>
        <w:rPr>
          <w:rFonts w:hint="eastAsia" w:ascii="Arial Narrow" w:hAnsi="Arial Narrow" w:cs="Arial Narrow"/>
        </w:rPr>
        <w:t>（1）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pPr>
        <w:snapToGrid w:val="0"/>
        <w:ind w:firstLine="480"/>
        <w:rPr>
          <w:rFonts w:ascii="Arial Narrow" w:hAnsi="Arial Narrow" w:cs="Arial Narrow"/>
        </w:rPr>
      </w:pPr>
      <w:r>
        <w:rPr>
          <w:rFonts w:hint="eastAsia" w:ascii="Arial Narrow" w:hAnsi="Arial Narrow" w:cs="Arial Narrow"/>
        </w:rPr>
        <w:t>（2）公正公开原则。绩效评价应当客观、公正、标准统一、资料可靠、依法公开并接受监督。</w:t>
      </w:r>
    </w:p>
    <w:p>
      <w:pPr>
        <w:snapToGrid w:val="0"/>
        <w:ind w:firstLine="480"/>
        <w:rPr>
          <w:rFonts w:ascii="Arial Narrow" w:hAnsi="Arial Narrow" w:cs="Arial Narrow"/>
        </w:rPr>
      </w:pPr>
      <w:r>
        <w:rPr>
          <w:rFonts w:hint="eastAsia" w:ascii="Arial Narrow" w:hAnsi="Arial Narrow" w:cs="Arial Narrow"/>
        </w:rPr>
        <w:t>（3）分级分类原则。绩效评价根据评价对象的特点分类组织实施。</w:t>
      </w:r>
    </w:p>
    <w:p>
      <w:pPr>
        <w:snapToGrid w:val="0"/>
        <w:ind w:firstLine="480"/>
        <w:rPr>
          <w:rFonts w:ascii="Arial Narrow" w:hAnsi="Arial Narrow" w:cs="Arial Narrow"/>
          <w:b/>
          <w:bCs/>
        </w:rPr>
      </w:pPr>
      <w:r>
        <w:rPr>
          <w:rFonts w:hint="eastAsia" w:ascii="Arial Narrow" w:hAnsi="Arial Narrow" w:cs="Arial Narrow"/>
        </w:rPr>
        <w:t>（4）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pPr>
        <w:snapToGrid w:val="0"/>
        <w:ind w:firstLine="482"/>
        <w:jc w:val="left"/>
        <w:rPr>
          <w:rFonts w:ascii="Arial Narrow" w:hAnsi="Arial Narrow" w:cs="Arial Narrow"/>
          <w:b/>
        </w:rPr>
      </w:pPr>
      <w:bookmarkStart w:id="35" w:name="_Toc406666359"/>
      <w:bookmarkStart w:id="36" w:name="_Toc361304684"/>
      <w:bookmarkStart w:id="37" w:name="_Toc387957809"/>
      <w:bookmarkStart w:id="38" w:name="_Toc406668033"/>
      <w:bookmarkStart w:id="39" w:name="_Toc361302025"/>
      <w:r>
        <w:rPr>
          <w:rFonts w:hint="eastAsia" w:ascii="Arial Narrow" w:hAnsi="Arial Narrow" w:cs="Arial Narrow"/>
          <w:b/>
        </w:rPr>
        <w:t>2、评价依据</w:t>
      </w:r>
    </w:p>
    <w:p>
      <w:pPr>
        <w:snapToGrid w:val="0"/>
        <w:ind w:firstLine="480"/>
        <w:jc w:val="left"/>
        <w:rPr>
          <w:rFonts w:ascii="Arial Narrow" w:hAnsi="Arial Narrow" w:cs="Arial Narrow"/>
        </w:rPr>
      </w:pPr>
      <w:r>
        <w:rPr>
          <w:rFonts w:ascii="Arial Narrow" w:hAnsi="Arial Narrow" w:cs="Arial Narrow"/>
        </w:rPr>
        <w:t>（1）项目行为依据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w:t>
      </w:r>
      <w:r>
        <w:rPr>
          <w:rFonts w:hint="eastAsia" w:ascii="Arial Narrow" w:hAnsi="Arial Narrow" w:cs="Arial Narrow"/>
        </w:rPr>
        <w:t>《武昌区财政局关于武昌区人民政府黄鹤楼街办事处2017年部门预算的批复》武昌财预【2016】308号</w:t>
      </w:r>
      <w:r>
        <w:rPr>
          <w:rFonts w:ascii="Arial Narrow" w:hAnsi="Arial Narrow" w:cs="Arial Narrow"/>
        </w:rPr>
        <w:t>；</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w:t>
      </w:r>
      <w:r>
        <w:rPr>
          <w:rFonts w:hint="eastAsia" w:ascii="Arial Narrow" w:hAnsi="Arial Narrow" w:cs="Arial Narrow"/>
        </w:rPr>
        <w:t>《区人民政府办公室关于进一步做好地方零散税收协助管理工作的通知》武昌政办【2010】56号；</w:t>
      </w:r>
    </w:p>
    <w:p>
      <w:pPr>
        <w:ind w:firstLine="480"/>
        <w:jc w:val="left"/>
        <w:rPr>
          <w:rFonts w:ascii="Arial Narrow" w:hAnsi="Arial Narrow" w:cs="Arial Narrow"/>
        </w:rPr>
      </w:pPr>
      <w:r>
        <w:rPr>
          <w:rFonts w:hint="eastAsia" w:ascii="Arial Narrow" w:hAnsi="Arial Narrow" w:cs="Arial Narrow"/>
        </w:rPr>
        <w:t>③</w:t>
      </w:r>
      <w:r>
        <w:rPr>
          <w:rFonts w:ascii="Arial Narrow" w:hAnsi="Arial Narrow" w:cs="Arial Narrow"/>
        </w:rPr>
        <w:t xml:space="preserve"> </w:t>
      </w:r>
      <w:r>
        <w:rPr>
          <w:rFonts w:hint="eastAsia" w:ascii="Arial Narrow" w:hAnsi="Arial Narrow" w:cs="Arial Narrow"/>
        </w:rPr>
        <w:t>《区人民政府办公室关于转发武昌区个人出租房屋税收委托代征管理实施意见》（武昌政办【2010】66号）。</w:t>
      </w:r>
    </w:p>
    <w:p>
      <w:pPr>
        <w:ind w:firstLine="480"/>
        <w:jc w:val="left"/>
        <w:rPr>
          <w:rFonts w:ascii="Arial Narrow" w:hAnsi="Arial Narrow" w:cs="Arial Narrow"/>
        </w:rPr>
      </w:pPr>
      <w:r>
        <w:rPr>
          <w:rFonts w:ascii="Arial Narrow" w:hAnsi="Arial Narrow" w:cs="Arial Narrow"/>
        </w:rPr>
        <w:t>（2）法律、法规依据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《中华人民共和国预算法》；</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财政部《财政支出绩效评价管理暂行办法》（财预</w:t>
      </w:r>
      <w:r>
        <w:rPr>
          <w:rFonts w:hint="eastAsia" w:ascii="Arial Narrow" w:hAnsi="Arial Narrow" w:cs="Arial Narrow"/>
        </w:rPr>
        <w:t>[</w:t>
      </w:r>
      <w:r>
        <w:rPr>
          <w:rFonts w:ascii="Arial Narrow" w:hAnsi="Arial Narrow" w:cs="Arial Narrow"/>
        </w:rPr>
        <w:t>2011</w:t>
      </w:r>
      <w:r>
        <w:rPr>
          <w:rFonts w:hint="eastAsia" w:ascii="Arial Narrow" w:hAnsi="Arial Narrow" w:cs="Arial Narrow"/>
        </w:rPr>
        <w:t>]</w:t>
      </w:r>
      <w:r>
        <w:rPr>
          <w:rFonts w:ascii="Arial Narrow" w:hAnsi="Arial Narrow" w:cs="Arial Narrow"/>
        </w:rPr>
        <w:t>285号）；</w:t>
      </w:r>
    </w:p>
    <w:p>
      <w:pPr>
        <w:ind w:firstLine="480"/>
        <w:jc w:val="left"/>
        <w:rPr>
          <w:rFonts w:ascii="Arial Narrow" w:hAnsi="Arial Narrow" w:cs="Arial Narrow"/>
        </w:rPr>
      </w:pPr>
      <w:r>
        <w:rPr>
          <w:rFonts w:ascii="Arial Narrow" w:hAnsi="Arial Narrow" w:cs="Arial Narrow"/>
        </w:rPr>
        <w:t xml:space="preserve">《武昌区财政支出绩效评价管理暂行办法》 </w:t>
      </w:r>
      <w:r>
        <w:rPr>
          <w:rFonts w:hint="eastAsia" w:ascii="Arial Narrow" w:hAnsi="Arial Narrow" w:cs="Arial Narrow"/>
        </w:rPr>
        <w:t>；</w:t>
      </w:r>
    </w:p>
    <w:p>
      <w:pPr>
        <w:ind w:firstLine="480"/>
        <w:jc w:val="left"/>
        <w:rPr>
          <w:rFonts w:ascii="Arial Narrow" w:hAnsi="Arial Narrow" w:cs="Arial Narrow"/>
        </w:rPr>
      </w:pPr>
      <w:r>
        <w:rPr>
          <w:rFonts w:hint="eastAsia" w:ascii="Arial Narrow" w:hAnsi="Arial Narrow" w:cs="Arial Narrow"/>
        </w:rPr>
        <w:t>武昌区零散税收协助管理工作职责（暂行）。</w:t>
      </w:r>
    </w:p>
    <w:p>
      <w:pPr>
        <w:ind w:firstLine="480"/>
        <w:jc w:val="left"/>
        <w:rPr>
          <w:rFonts w:ascii="Arial Narrow" w:hAnsi="Arial Narrow" w:cs="Arial Narrow"/>
        </w:rPr>
      </w:pPr>
      <w:r>
        <w:rPr>
          <w:rFonts w:ascii="Arial Narrow" w:hAnsi="Arial Narrow" w:cs="Arial Narrow"/>
        </w:rPr>
        <w:t>（3）项目财务资料依据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经费支出明细账</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记账凭证及有关附件</w:t>
      </w:r>
    </w:p>
    <w:p>
      <w:pPr>
        <w:ind w:firstLine="480"/>
        <w:jc w:val="left"/>
        <w:rPr>
          <w:rFonts w:ascii="Arial Narrow" w:hAnsi="Arial Narrow" w:cs="Arial Narrow"/>
        </w:rPr>
      </w:pPr>
      <w:r>
        <w:rPr>
          <w:rFonts w:ascii="Arial Narrow" w:hAnsi="Arial Narrow" w:cs="Arial Narrow"/>
        </w:rPr>
        <w:t>（4）基础数据、资料依据</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1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①</w:t>
      </w:r>
      <w:r>
        <w:rPr>
          <w:rFonts w:ascii="Arial Narrow" w:hAnsi="Arial Narrow" w:cs="Arial Narrow"/>
        </w:rPr>
        <w:fldChar w:fldCharType="end"/>
      </w:r>
      <w:r>
        <w:rPr>
          <w:rFonts w:hint="eastAsia" w:ascii="Arial Narrow" w:hAnsi="Arial Narrow" w:cs="Arial Narrow"/>
        </w:rPr>
        <w:t>房屋出租总台账</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2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②</w:t>
      </w:r>
      <w:r>
        <w:rPr>
          <w:rFonts w:ascii="Arial Narrow" w:hAnsi="Arial Narrow" w:cs="Arial Narrow"/>
        </w:rPr>
        <w:fldChar w:fldCharType="end"/>
      </w:r>
      <w:r>
        <w:rPr>
          <w:rFonts w:hint="eastAsia" w:ascii="Arial Narrow" w:hAnsi="Arial Narrow" w:cs="Arial Narrow"/>
        </w:rPr>
        <w:t>黄鹤楼街自管户清册</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3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③</w:t>
      </w:r>
      <w:r>
        <w:rPr>
          <w:rFonts w:ascii="Arial Narrow" w:hAnsi="Arial Narrow" w:cs="Arial Narrow"/>
        </w:rPr>
        <w:fldChar w:fldCharType="end"/>
      </w:r>
      <w:r>
        <w:rPr>
          <w:rFonts w:hint="eastAsia" w:ascii="Arial Narrow" w:hAnsi="Arial Narrow" w:cs="Arial Narrow"/>
        </w:rPr>
        <w:t>黄鹤楼街共管户清册</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4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④</w:t>
      </w:r>
      <w:r>
        <w:rPr>
          <w:rFonts w:ascii="Arial Narrow" w:hAnsi="Arial Narrow" w:cs="Arial Narrow"/>
        </w:rPr>
        <w:fldChar w:fldCharType="end"/>
      </w:r>
      <w:r>
        <w:rPr>
          <w:rFonts w:hint="eastAsia" w:ascii="Arial Narrow" w:hAnsi="Arial Narrow" w:cs="Arial Narrow"/>
        </w:rPr>
        <w:t>黄鹤楼街制度汇编</w:t>
      </w:r>
    </w:p>
    <w:p>
      <w:pPr>
        <w:ind w:firstLine="480"/>
        <w:jc w:val="left"/>
        <w:rPr>
          <w:rFonts w:ascii="Arial Narrow" w:hAnsi="Arial Narrow" w:cs="Arial Narrow"/>
        </w:rPr>
      </w:pPr>
      <w:r>
        <w:rPr>
          <w:rFonts w:hint="eastAsia" w:ascii="Arial Narrow" w:hAnsi="Arial Narrow" w:cs="Arial Narrow"/>
        </w:rPr>
        <w:t>⑤户管巡查记录</w:t>
      </w:r>
    </w:p>
    <w:p>
      <w:pPr>
        <w:numPr>
          <w:ilvl w:val="0"/>
          <w:numId w:val="1"/>
        </w:numPr>
        <w:snapToGrid w:val="0"/>
        <w:ind w:firstLine="482"/>
        <w:jc w:val="left"/>
        <w:rPr>
          <w:rFonts w:ascii="Arial Narrow" w:hAnsi="Arial Narrow" w:cs="Arial Narrow"/>
          <w:b/>
        </w:rPr>
      </w:pPr>
      <w:r>
        <w:rPr>
          <w:rFonts w:hint="eastAsia" w:ascii="Arial Narrow" w:hAnsi="Arial Narrow" w:cs="Arial Narrow"/>
          <w:b/>
        </w:rPr>
        <w:t>评价指标体系</w:t>
      </w:r>
    </w:p>
    <w:p>
      <w:pPr>
        <w:widowControl/>
        <w:ind w:firstLine="0" w:firstLineChars="0"/>
        <w:jc w:val="center"/>
        <w:rPr>
          <w:rFonts w:ascii="Arial Narrow" w:hAnsi="Arial Narrow" w:cs="Arial Narrow"/>
          <w:b/>
        </w:rPr>
      </w:pPr>
      <w:r>
        <w:drawing>
          <wp:inline distT="0" distB="0" distL="0" distR="0">
            <wp:extent cx="4689475" cy="2850515"/>
            <wp:effectExtent l="0" t="0" r="15875" b="26035"/>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Pr>
          <w:rFonts w:ascii="Arial Narrow" w:hAnsi="Arial Narrow" w:cs="宋体"/>
          <w:kern w:val="0"/>
          <w:lang w:bidi="ar"/>
        </w:rPr>
        <w:fldChar w:fldCharType="begin"/>
      </w:r>
      <w:r>
        <w:rPr>
          <w:rFonts w:ascii="Arial Narrow" w:hAnsi="Arial Narrow" w:cs="宋体"/>
          <w:kern w:val="0"/>
          <w:lang w:bidi="ar"/>
        </w:rPr>
        <w:instrText xml:space="preserve">INCLUDEPICTURE \d "C:\\Users\\lenovo\\AppData\\Roaming\\Tencent\\Users\\529780129\\QQ\\WinTemp\\RichOle\\0C``F527MNV0A8_T3Z}78`N.png" \* MERGEFORMATINET </w:instrText>
      </w:r>
      <w:r>
        <w:rPr>
          <w:rFonts w:ascii="Arial Narrow" w:hAnsi="Arial Narrow" w:cs="宋体"/>
          <w:kern w:val="0"/>
          <w:lang w:bidi="ar"/>
        </w:rPr>
        <w:fldChar w:fldCharType="end"/>
      </w:r>
    </w:p>
    <w:p>
      <w:pPr>
        <w:snapToGrid w:val="0"/>
        <w:ind w:firstLine="480"/>
        <w:jc w:val="left"/>
        <w:rPr>
          <w:rFonts w:ascii="Arial Narrow" w:hAnsi="Arial Narrow" w:cs="Arial Narrow"/>
        </w:rPr>
      </w:pPr>
      <w:r>
        <w:rPr>
          <w:rFonts w:hint="eastAsia" w:ascii="Arial Narrow" w:hAnsi="Arial Narrow" w:cs="Arial Narrow"/>
        </w:rPr>
        <w:t>绩效评价指标体系是开展绩效评价工作的核心。绩效评价工作小组在参考财政支出绩效评价指标框架的基础上，依据《武昌区财政支出绩效评价管理暂行办法》，结合协税工作经费项目的特点，运用定量定性原则，确定了绩效评价一级指标、二级指标和三级指标。</w:t>
      </w:r>
    </w:p>
    <w:p>
      <w:pPr>
        <w:snapToGrid w:val="0"/>
        <w:ind w:firstLine="480"/>
        <w:jc w:val="left"/>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jc w:val="left"/>
        <w:rPr>
          <w:rFonts w:ascii="Arial Narrow" w:hAnsi="Arial Narrow" w:cs="Arial Narrow"/>
        </w:rPr>
      </w:pPr>
      <w:r>
        <w:rPr>
          <w:rFonts w:hint="eastAsia" w:ascii="Arial Narrow" w:hAnsi="Arial Narrow" w:cs="Arial Narrow"/>
        </w:rPr>
        <w:t>“投入”权重10分，下设二级指标“项目立项”和“资金落实”，主要评价项目立项规范性、绩效目标合理性及资金到位情况，下设4个三级指标具体评价；</w:t>
      </w:r>
    </w:p>
    <w:p>
      <w:pPr>
        <w:snapToGrid w:val="0"/>
        <w:ind w:firstLine="480"/>
        <w:jc w:val="left"/>
        <w:rPr>
          <w:rFonts w:ascii="Arial Narrow" w:hAnsi="Arial Narrow" w:cs="Arial Narrow"/>
        </w:rPr>
      </w:pPr>
      <w:r>
        <w:rPr>
          <w:rFonts w:hint="eastAsia" w:ascii="Arial Narrow" w:hAnsi="Arial Narrow" w:cs="Arial Narrow"/>
        </w:rPr>
        <w:t>“过程”权重20分，下设二级指标“业务管理”和“财务管理”，主要评价项目管理制度的执行、资金使用情况和项目具体实施情况，下设6个三级指标具体评价；</w:t>
      </w:r>
    </w:p>
    <w:p>
      <w:pPr>
        <w:snapToGrid w:val="0"/>
        <w:ind w:firstLine="480"/>
        <w:jc w:val="left"/>
        <w:rPr>
          <w:rFonts w:ascii="Arial Narrow" w:hAnsi="Arial Narrow" w:cs="Arial Narrow"/>
        </w:rPr>
      </w:pPr>
      <w:r>
        <w:rPr>
          <w:rFonts w:hint="eastAsia" w:ascii="Arial Narrow" w:hAnsi="Arial Narrow" w:cs="Arial Narrow"/>
        </w:rPr>
        <w:t>“产出”权重33分，下设二级指标“项目产出”，主要评价项目各项数量产出和质量产出的实现程度以及预算执行率，下设7个三级指标具体评价；</w:t>
      </w:r>
    </w:p>
    <w:p>
      <w:pPr>
        <w:snapToGrid w:val="0"/>
        <w:ind w:firstLine="480"/>
        <w:jc w:val="left"/>
        <w:rPr>
          <w:rFonts w:ascii="Arial Narrow" w:hAnsi="Arial Narrow" w:cs="Arial Narrow"/>
        </w:rPr>
      </w:pPr>
      <w:r>
        <w:rPr>
          <w:rFonts w:hint="eastAsia" w:ascii="Arial Narrow" w:hAnsi="Arial Narrow" w:cs="Arial Narrow"/>
        </w:rPr>
        <w:t>“效果”权重37分，下设二级指标“项目效益”，主要评价项目实施后的社会效益、可持续影响、服务对象满意度，下设7个三级指标具体评价。</w:t>
      </w:r>
    </w:p>
    <w:p>
      <w:pPr>
        <w:snapToGrid w:val="0"/>
        <w:ind w:firstLine="480"/>
        <w:jc w:val="left"/>
        <w:rPr>
          <w:rFonts w:ascii="Arial Narrow" w:hAnsi="Arial Narrow" w:cs="Arial Narrow"/>
        </w:rPr>
      </w:pPr>
      <w:r>
        <w:rPr>
          <w:rFonts w:hint="eastAsia" w:ascii="Arial Narrow" w:hAnsi="Arial Narrow" w:cs="Arial Narrow"/>
        </w:rPr>
        <w:t>具体指标的分布情况、权重、指标解释、指标说明如下表所示：</w:t>
      </w:r>
    </w:p>
    <w:p>
      <w:pPr>
        <w:snapToGrid w:val="0"/>
        <w:ind w:firstLine="480"/>
        <w:jc w:val="left"/>
        <w:rPr>
          <w:rFonts w:ascii="Arial Narrow" w:hAnsi="Arial Narrow" w:cs="Arial Narrow"/>
        </w:rPr>
      </w:pPr>
    </w:p>
    <w:p>
      <w:pPr>
        <w:snapToGrid w:val="0"/>
        <w:ind w:firstLine="480"/>
        <w:jc w:val="left"/>
        <w:rPr>
          <w:rFonts w:ascii="Arial Narrow" w:hAnsi="Arial Narrow" w:cs="Arial Narrow"/>
        </w:rPr>
      </w:pPr>
    </w:p>
    <w:tbl>
      <w:tblPr>
        <w:tblStyle w:val="22"/>
        <w:tblW w:w="9280" w:type="dxa"/>
        <w:tblInd w:w="103" w:type="dxa"/>
        <w:tblLayout w:type="fixed"/>
        <w:tblCellMar>
          <w:top w:w="0" w:type="dxa"/>
          <w:left w:w="108" w:type="dxa"/>
          <w:bottom w:w="0" w:type="dxa"/>
          <w:right w:w="108" w:type="dxa"/>
        </w:tblCellMar>
      </w:tblPr>
      <w:tblGrid>
        <w:gridCol w:w="760"/>
        <w:gridCol w:w="1230"/>
        <w:gridCol w:w="567"/>
        <w:gridCol w:w="2551"/>
        <w:gridCol w:w="4172"/>
      </w:tblGrid>
      <w:tr>
        <w:tblPrEx>
          <w:tblCellMar>
            <w:top w:w="0" w:type="dxa"/>
            <w:left w:w="108" w:type="dxa"/>
            <w:bottom w:w="0" w:type="dxa"/>
            <w:right w:w="108" w:type="dxa"/>
          </w:tblCellMar>
        </w:tblPrEx>
        <w:trPr>
          <w:trHeight w:val="520" w:hRule="atLeast"/>
          <w:tblHeader/>
        </w:trPr>
        <w:tc>
          <w:tcPr>
            <w:tcW w:w="1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指标</w:t>
            </w:r>
            <w:r>
              <w:rPr>
                <w:rFonts w:ascii="Arial Narrow" w:hAnsi="Arial Narrow" w:cs="宋体"/>
                <w:b/>
                <w:bCs/>
                <w:kern w:val="0"/>
                <w:sz w:val="21"/>
                <w:szCs w:val="21"/>
              </w:rPr>
              <w:t>名称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权重</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指标解释</w:t>
            </w:r>
          </w:p>
        </w:tc>
        <w:tc>
          <w:tcPr>
            <w:tcW w:w="417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指标说明</w:t>
            </w:r>
          </w:p>
        </w:tc>
      </w:tr>
      <w:tr>
        <w:tblPrEx>
          <w:tblCellMar>
            <w:top w:w="0" w:type="dxa"/>
            <w:left w:w="108" w:type="dxa"/>
            <w:bottom w:w="0" w:type="dxa"/>
            <w:right w:w="108" w:type="dxa"/>
          </w:tblCellMar>
        </w:tblPrEx>
        <w:trPr>
          <w:trHeight w:val="159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立项</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项目的申请、设立过程是否符合相关要求，用以反映和考核项目立项的规范情况。</w:t>
            </w:r>
          </w:p>
        </w:tc>
        <w:tc>
          <w:tcPr>
            <w:tcW w:w="4172" w:type="dxa"/>
            <w:tcBorders>
              <w:top w:val="nil"/>
              <w:left w:val="nil"/>
              <w:bottom w:val="single" w:color="auto" w:sz="4" w:space="0"/>
              <w:right w:val="single" w:color="auto" w:sz="4" w:space="0"/>
            </w:tcBorders>
            <w:shd w:val="clear" w:color="auto" w:fill="auto"/>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②项目是否按照规定的程序申请设立；</w:t>
            </w:r>
            <w:r>
              <w:rPr>
                <w:rFonts w:hint="eastAsia" w:ascii="Arial Narrow" w:hAnsi="Arial Narrow" w:cs="宋体"/>
                <w:kern w:val="0"/>
                <w:sz w:val="21"/>
                <w:szCs w:val="21"/>
              </w:rPr>
              <w:br w:type="textWrapping"/>
            </w:r>
            <w:r>
              <w:rPr>
                <w:rFonts w:hint="eastAsia" w:ascii="Arial Narrow" w:hAnsi="Arial Narrow" w:cs="宋体"/>
                <w:kern w:val="0"/>
                <w:sz w:val="21"/>
                <w:szCs w:val="21"/>
              </w:rPr>
              <w:t>③所提交的文件、材料是否符合相关要求；</w:t>
            </w:r>
            <w:r>
              <w:rPr>
                <w:rFonts w:hint="eastAsia" w:ascii="Arial Narrow" w:hAnsi="Arial Narrow" w:cs="宋体"/>
                <w:kern w:val="0"/>
                <w:sz w:val="21"/>
                <w:szCs w:val="21"/>
              </w:rPr>
              <w:br w:type="textWrapping"/>
            </w:r>
            <w:r>
              <w:rPr>
                <w:rFonts w:hint="eastAsia" w:ascii="Arial Narrow" w:hAnsi="Arial Narrow" w:cs="宋体"/>
                <w:kern w:val="0"/>
                <w:sz w:val="21"/>
                <w:szCs w:val="21"/>
              </w:rPr>
              <w:t>④事前是否已经过必要的可行性研究、专家论证、风险评估、集体决策等；</w:t>
            </w:r>
            <w:r>
              <w:rPr>
                <w:rFonts w:hint="eastAsia" w:ascii="Arial Narrow" w:hAnsi="Arial Narrow" w:cs="宋体"/>
                <w:kern w:val="0"/>
                <w:sz w:val="21"/>
                <w:szCs w:val="21"/>
              </w:rPr>
              <w:br w:type="textWrapping"/>
            </w:r>
            <w:r>
              <w:rPr>
                <w:rFonts w:hint="eastAsia" w:ascii="Arial Narrow" w:hAnsi="Arial Narrow" w:cs="宋体"/>
                <w:kern w:val="0"/>
                <w:sz w:val="21"/>
                <w:szCs w:val="21"/>
              </w:rPr>
              <w:t>⑤项目执行时是否发生重大调整。</w:t>
            </w:r>
          </w:p>
        </w:tc>
      </w:tr>
      <w:tr>
        <w:tblPrEx>
          <w:tblCellMar>
            <w:top w:w="0" w:type="dxa"/>
            <w:left w:w="108" w:type="dxa"/>
            <w:bottom w:w="0" w:type="dxa"/>
            <w:right w:w="108" w:type="dxa"/>
          </w:tblCellMar>
        </w:tblPrEx>
        <w:trPr>
          <w:trHeight w:val="208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项目所设定的绩效目标是否依据充分，是否符合客观实际，用以反映和考核项目绩效目标与项目实施的相符情况。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①是否设定长期目标、年度目标和绩效指标；</w:t>
            </w:r>
            <w:r>
              <w:rPr>
                <w:rFonts w:hint="eastAsia" w:ascii="Arial Narrow" w:hAnsi="Arial Narrow" w:cs="宋体"/>
                <w:kern w:val="0"/>
                <w:sz w:val="21"/>
                <w:szCs w:val="21"/>
              </w:rPr>
              <w:br w:type="textWrapping"/>
            </w:r>
            <w:r>
              <w:rPr>
                <w:rFonts w:hint="eastAsia" w:ascii="Arial Narrow" w:hAnsi="Arial Narrow" w:cs="宋体"/>
                <w:kern w:val="0"/>
                <w:sz w:val="21"/>
                <w:szCs w:val="21"/>
              </w:rPr>
              <w:t>②目标和指标的设计是否符合目标管理规范；</w:t>
            </w:r>
            <w:r>
              <w:rPr>
                <w:rFonts w:hint="eastAsia" w:ascii="Arial Narrow" w:hAnsi="Arial Narrow" w:cs="宋体"/>
                <w:kern w:val="0"/>
                <w:sz w:val="21"/>
                <w:szCs w:val="21"/>
              </w:rPr>
              <w:br w:type="textWrapping"/>
            </w:r>
            <w:r>
              <w:rPr>
                <w:rFonts w:hint="eastAsia" w:ascii="Arial Narrow" w:hAnsi="Arial Narrow" w:cs="宋体"/>
                <w:kern w:val="0"/>
                <w:sz w:val="21"/>
                <w:szCs w:val="21"/>
              </w:rPr>
              <w:t>③根据绩效目标和完成情况的对比考核目标设立的合理性；</w:t>
            </w:r>
            <w:r>
              <w:rPr>
                <w:rFonts w:hint="eastAsia" w:ascii="Arial Narrow" w:hAnsi="Arial Narrow" w:cs="宋体"/>
                <w:kern w:val="0"/>
                <w:sz w:val="21"/>
                <w:szCs w:val="21"/>
              </w:rPr>
              <w:br w:type="textWrapping"/>
            </w:r>
            <w:r>
              <w:rPr>
                <w:rFonts w:hint="eastAsia" w:ascii="Arial Narrow" w:hAnsi="Arial Narrow" w:cs="宋体"/>
                <w:kern w:val="0"/>
                <w:sz w:val="21"/>
                <w:szCs w:val="21"/>
              </w:rPr>
              <w:t>④绩效指标是否具有可测性。</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w:t>
            </w:r>
            <w:r>
              <w:rPr>
                <w:rFonts w:hint="eastAsia" w:ascii="Arial Narrow" w:hAnsi="Arial Narrow" w:cs="宋体"/>
                <w:kern w:val="0"/>
                <w:sz w:val="21"/>
                <w:szCs w:val="21"/>
              </w:rPr>
              <w:br w:type="textWrapping"/>
            </w:r>
            <w:r>
              <w:rPr>
                <w:rFonts w:hint="eastAsia" w:ascii="Arial Narrow" w:hAnsi="Arial Narrow" w:cs="宋体"/>
                <w:kern w:val="0"/>
                <w:sz w:val="21"/>
                <w:szCs w:val="21"/>
              </w:rPr>
              <w:t>落实</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实际到位资金与计划投入资金的比率，用以反映和考核资金落实情况对项目实施的总体保障程度。</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资金到位率=（实际到位资金/计划投入资金）×100%。</w:t>
            </w:r>
            <w:r>
              <w:rPr>
                <w:rFonts w:hint="eastAsia" w:ascii="Arial Narrow" w:hAnsi="Arial Narrow" w:cs="宋体"/>
                <w:kern w:val="0"/>
                <w:sz w:val="21"/>
                <w:szCs w:val="21"/>
              </w:rPr>
              <w:br w:type="textWrapping"/>
            </w:r>
            <w:r>
              <w:rPr>
                <w:rFonts w:hint="eastAsia" w:ascii="Arial Narrow" w:hAnsi="Arial Narrow" w:cs="宋体"/>
                <w:kern w:val="0"/>
                <w:sz w:val="21"/>
                <w:szCs w:val="21"/>
              </w:rPr>
              <w:t>实际到位资金：一定时期（本年度或项目期）内实际落实到具体项目的资金。</w:t>
            </w:r>
            <w:r>
              <w:rPr>
                <w:rFonts w:hint="eastAsia" w:ascii="Arial Narrow" w:hAnsi="Arial Narrow" w:cs="宋体"/>
                <w:kern w:val="0"/>
                <w:sz w:val="21"/>
                <w:szCs w:val="21"/>
              </w:rPr>
              <w:br w:type="textWrapping"/>
            </w:r>
            <w:r>
              <w:rPr>
                <w:rFonts w:hint="eastAsia" w:ascii="Arial Narrow" w:hAnsi="Arial Narrow" w:cs="宋体"/>
                <w:kern w:val="0"/>
                <w:sz w:val="21"/>
                <w:szCs w:val="21"/>
              </w:rPr>
              <w:t>计划投入资金：一定时期（本年度或项目期）内计划投入到具体项目的资金。（注：分预算资金、配套资金、自筹资金评价）</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及时到位资金与应到位资金的比率，用以反映和考核项目资金落实的及时性程度。</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到位及时率=（及时到位资金/应到位资金）×100%。</w:t>
            </w:r>
            <w:r>
              <w:rPr>
                <w:rFonts w:hint="eastAsia" w:ascii="Arial Narrow" w:hAnsi="Arial Narrow" w:cs="宋体"/>
                <w:kern w:val="0"/>
                <w:sz w:val="21"/>
                <w:szCs w:val="21"/>
              </w:rPr>
              <w:br w:type="textWrapping"/>
            </w:r>
            <w:r>
              <w:rPr>
                <w:rFonts w:hint="eastAsia" w:ascii="Arial Narrow" w:hAnsi="Arial Narrow" w:cs="宋体"/>
                <w:kern w:val="0"/>
                <w:sz w:val="21"/>
                <w:szCs w:val="21"/>
              </w:rPr>
              <w:t>及时到位资金：截至规定时点实际落实到具体项目的资金。</w:t>
            </w:r>
            <w:r>
              <w:rPr>
                <w:rFonts w:hint="eastAsia" w:ascii="Arial Narrow" w:hAnsi="Arial Narrow" w:cs="宋体"/>
                <w:kern w:val="0"/>
                <w:sz w:val="21"/>
                <w:szCs w:val="21"/>
              </w:rPr>
              <w:br w:type="textWrapping"/>
            </w:r>
            <w:r>
              <w:rPr>
                <w:rFonts w:hint="eastAsia" w:ascii="Arial Narrow" w:hAnsi="Arial Narrow" w:cs="宋体"/>
                <w:kern w:val="0"/>
                <w:sz w:val="21"/>
                <w:szCs w:val="21"/>
              </w:rPr>
              <w:t>应到位资金：按照合同或项目进度要求截至规定时点应落实到具体项目的资金。（注：分预算资金、配套资金、自筹资金评价）</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业务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项目实施单位的业务管理制度是否健全，用以反映和考核业务管理制度对项目顺利实施的保障情况。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总项目：</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①是否制定或具有相应业务管理制度；</w:t>
            </w:r>
            <w:r>
              <w:rPr>
                <w:rFonts w:hint="eastAsia" w:ascii="Arial Narrow" w:hAnsi="Arial Narrow" w:cs="宋体"/>
                <w:kern w:val="0"/>
                <w:sz w:val="21"/>
                <w:szCs w:val="21"/>
              </w:rPr>
              <w:br w:type="textWrapping"/>
            </w:r>
            <w:r>
              <w:rPr>
                <w:rFonts w:hint="eastAsia" w:ascii="Arial Narrow" w:hAnsi="Arial Narrow" w:cs="宋体"/>
                <w:kern w:val="0"/>
                <w:sz w:val="21"/>
                <w:szCs w:val="21"/>
              </w:rPr>
              <w:t>②业务管理制度是否合法、合规、完整。</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项目实施是否符合相关业务管理规定，用以反映和考核业务管理制度的有效执行情况。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①是否遵守相关法律法规和项目管理规定；</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②项目调整及支出调整手续是否完备；</w:t>
            </w:r>
            <w:r>
              <w:rPr>
                <w:rFonts w:hint="eastAsia" w:ascii="Arial Narrow" w:hAnsi="Arial Narrow" w:cs="宋体"/>
                <w:kern w:val="0"/>
                <w:sz w:val="21"/>
                <w:szCs w:val="21"/>
              </w:rPr>
              <w:br w:type="textWrapping"/>
            </w:r>
            <w:r>
              <w:rPr>
                <w:rFonts w:hint="eastAsia" w:ascii="Arial Narrow" w:hAnsi="Arial Narrow" w:cs="宋体"/>
                <w:kern w:val="0"/>
                <w:sz w:val="21"/>
                <w:szCs w:val="21"/>
              </w:rPr>
              <w:t>③项目合同书、验收报告、技术鉴定等资料是否齐全并及时归档；</w:t>
            </w:r>
            <w:r>
              <w:rPr>
                <w:rFonts w:hint="eastAsia" w:ascii="Arial Narrow" w:hAnsi="Arial Narrow" w:cs="宋体"/>
                <w:kern w:val="0"/>
                <w:sz w:val="21"/>
                <w:szCs w:val="21"/>
              </w:rPr>
              <w:br w:type="textWrapping"/>
            </w:r>
            <w:r>
              <w:rPr>
                <w:rFonts w:hint="eastAsia" w:ascii="Arial Narrow" w:hAnsi="Arial Narrow" w:cs="宋体"/>
                <w:kern w:val="0"/>
                <w:sz w:val="21"/>
                <w:szCs w:val="21"/>
              </w:rPr>
              <w:t>④项目实施的人员条件、场地设备、信息支撑等是否落实到位。</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项目实施单位是否为达到项目质量要求而采取了必需的措施,用以反映和考核项目实施单位对项目质量的控制情况。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①是否已制定或具有相应的项目质量要求或标准；</w:t>
            </w:r>
            <w:r>
              <w:rPr>
                <w:rFonts w:hint="eastAsia" w:ascii="Arial Narrow" w:hAnsi="Arial Narrow" w:cs="宋体"/>
                <w:kern w:val="0"/>
                <w:sz w:val="21"/>
                <w:szCs w:val="21"/>
              </w:rPr>
              <w:br w:type="textWrapping"/>
            </w:r>
            <w:r>
              <w:rPr>
                <w:rFonts w:hint="eastAsia" w:ascii="Arial Narrow" w:hAnsi="Arial Narrow" w:cs="宋体"/>
                <w:kern w:val="0"/>
                <w:sz w:val="21"/>
                <w:szCs w:val="21"/>
              </w:rPr>
              <w:t>②是否采取了相应的项目质量检查、验收等必需的控制措施或手段。</w:t>
            </w:r>
          </w:p>
        </w:tc>
      </w:tr>
      <w:tr>
        <w:tblPrEx>
          <w:tblCellMar>
            <w:top w:w="0" w:type="dxa"/>
            <w:left w:w="108" w:type="dxa"/>
            <w:bottom w:w="0" w:type="dxa"/>
            <w:right w:w="108" w:type="dxa"/>
          </w:tblCellMar>
        </w:tblPrEx>
        <w:trPr>
          <w:trHeight w:val="8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项目实施单位的财务制度是否健全，用以反映和考核财务管理制度对资金规范、安全运行的保障情况。</w:t>
            </w:r>
          </w:p>
        </w:tc>
        <w:tc>
          <w:tcPr>
            <w:tcW w:w="417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①是否已制定或具有相应的项目资金管理办法；</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②项目资金管理办法是否符合相关财务会计制度的规定。</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项目资金使用是否符合相关的财务管理制度规定，用以反映和考核项目资金的规范运行情况。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①是否符合国家财经法规和财务管理制度以及有关专项资金管理办法的规定；</w:t>
            </w:r>
            <w:r>
              <w:rPr>
                <w:rFonts w:hint="eastAsia" w:ascii="Arial Narrow" w:hAnsi="Arial Narrow" w:cs="宋体"/>
                <w:kern w:val="0"/>
                <w:sz w:val="21"/>
                <w:szCs w:val="21"/>
              </w:rPr>
              <w:br w:type="textWrapping"/>
            </w:r>
            <w:r>
              <w:rPr>
                <w:rFonts w:hint="eastAsia" w:ascii="Arial Narrow" w:hAnsi="Arial Narrow" w:cs="宋体"/>
                <w:kern w:val="0"/>
                <w:sz w:val="21"/>
                <w:szCs w:val="21"/>
              </w:rPr>
              <w:t>②资金的拨付是否有完整的审批程序和手续；</w:t>
            </w:r>
            <w:r>
              <w:rPr>
                <w:rFonts w:hint="eastAsia" w:ascii="Arial Narrow" w:hAnsi="Arial Narrow" w:cs="宋体"/>
                <w:kern w:val="0"/>
                <w:sz w:val="21"/>
                <w:szCs w:val="21"/>
              </w:rPr>
              <w:br w:type="textWrapping"/>
            </w:r>
            <w:r>
              <w:rPr>
                <w:rFonts w:hint="eastAsia" w:ascii="Arial Narrow" w:hAnsi="Arial Narrow" w:cs="宋体"/>
                <w:kern w:val="0"/>
                <w:sz w:val="21"/>
                <w:szCs w:val="21"/>
              </w:rPr>
              <w:t>③项目的重大开支是否经过评估认证；</w:t>
            </w:r>
            <w:r>
              <w:rPr>
                <w:rFonts w:hint="eastAsia" w:ascii="Arial Narrow" w:hAnsi="Arial Narrow" w:cs="宋体"/>
                <w:kern w:val="0"/>
                <w:sz w:val="21"/>
                <w:szCs w:val="21"/>
              </w:rPr>
              <w:br w:type="textWrapping"/>
            </w:r>
            <w:r>
              <w:rPr>
                <w:rFonts w:hint="eastAsia" w:ascii="Arial Narrow" w:hAnsi="Arial Narrow" w:cs="宋体"/>
                <w:kern w:val="0"/>
                <w:sz w:val="21"/>
                <w:szCs w:val="21"/>
              </w:rPr>
              <w:t>④是否符合项目预算批复或合同规定的用途；</w:t>
            </w:r>
            <w:r>
              <w:rPr>
                <w:rFonts w:hint="eastAsia" w:ascii="Arial Narrow" w:hAnsi="Arial Narrow" w:cs="宋体"/>
                <w:kern w:val="0"/>
                <w:sz w:val="21"/>
                <w:szCs w:val="21"/>
              </w:rPr>
              <w:br w:type="textWrapping"/>
            </w:r>
            <w:r>
              <w:rPr>
                <w:rFonts w:hint="eastAsia" w:ascii="Arial Narrow" w:hAnsi="Arial Narrow" w:cs="宋体"/>
                <w:kern w:val="0"/>
                <w:sz w:val="21"/>
                <w:szCs w:val="21"/>
              </w:rPr>
              <w:t>⑤是否存在截留、挤占、挪用、虚列支出等情况。</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项目实施单位是否为保障资金的安全、规范运行而采取了必要的监控措施，用以反映和考核项目实施单位对资金运行的控制情况。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①是否已制定或具有相应的监控机制；</w:t>
            </w:r>
            <w:r>
              <w:rPr>
                <w:rFonts w:hint="eastAsia" w:ascii="Arial Narrow" w:hAnsi="Arial Narrow" w:cs="宋体"/>
                <w:kern w:val="0"/>
                <w:sz w:val="21"/>
                <w:szCs w:val="21"/>
              </w:rPr>
              <w:br w:type="textWrapping"/>
            </w:r>
            <w:r>
              <w:rPr>
                <w:rFonts w:hint="eastAsia" w:ascii="Arial Narrow" w:hAnsi="Arial Narrow" w:cs="宋体"/>
                <w:kern w:val="0"/>
                <w:sz w:val="21"/>
                <w:szCs w:val="21"/>
              </w:rPr>
              <w:t>②是否采取了相应的财务检查等必要的监控措施或手段。</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项目产出</w:t>
            </w: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协税工作人员到岗率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项目实施后，协税站点工作人员到岗率，用以考核和反映项目的完成情况。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税收工作站到岗率为100%。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税收完成率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项目实施后，实际税收总额与计划完成情况对比，用以考核和反映项目数量目标的实现程度。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税收完成率=实际完成的税收总额/计划完成的税收总额×100%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税收增长率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项目实施后，相较于上年零散税征收额的增长情况，用以反映和考核项目的完成情况。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税收增长率=（今年税收总额-上年税收总额）/上年税收总额×100%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税源户信息完整度</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税源户信息采集全面、完整，建立税源户台账，数据及时更新，保证数据信息真实，用以反映和考核项目的工作管理情况。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税源户信息采集全面、完整，建立税源户台账，数据及时更新，保证数据信息真实。</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完成及时率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项目实施中，各项工作任务是否按时完成，用以反映和考核项目产出时效目标的实现程度。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完成及时率=[1-(实际完成时间-计划完成时间）/计划完成时间]×100%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资金使用率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项目实施过程中，项目资金是否按照预算及绩效目标进行合理控制，用以反映项目的产出成本。</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资金使用率=项目实际支出金额/项目计划支出额×100%</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效益</w:t>
            </w: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税收投入乘数</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项目实施中所收取的税收金额与项目实施单位开展工作投入资金之比，用以反映项目的经济效益。</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税收投入乘数=今年实际收取的税收金额/开展工作投入资金×100%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jc w:val="center"/>
              <w:rPr>
                <w:rFonts w:ascii="宋体" w:hAnsi="宋体" w:eastAsia="宋体" w:cs="宋体"/>
                <w:color w:val="000000"/>
                <w:sz w:val="21"/>
                <w:szCs w:val="21"/>
              </w:rPr>
            </w:pPr>
            <w:r>
              <w:rPr>
                <w:rFonts w:hint="eastAsia"/>
                <w:color w:val="000000"/>
                <w:sz w:val="21"/>
                <w:szCs w:val="21"/>
              </w:rPr>
              <w:t>工作作风与服务意识</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项目实施中，协税工作人员是否存在违法、工作作风不廉洁的行为，工作过程中态度是否良好，用以反映和考核项目的质量。</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协税工作人员是否存在违法、工作作风不廉洁的行为，工作过程中态度是否良好。</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jc w:val="center"/>
              <w:rPr>
                <w:rFonts w:ascii="宋体" w:hAnsi="宋体" w:eastAsia="宋体" w:cs="宋体"/>
                <w:color w:val="000000"/>
                <w:sz w:val="21"/>
                <w:szCs w:val="21"/>
              </w:rPr>
            </w:pPr>
            <w:r>
              <w:rPr>
                <w:rFonts w:hint="eastAsia"/>
                <w:color w:val="000000"/>
                <w:sz w:val="21"/>
                <w:szCs w:val="21"/>
              </w:rPr>
              <w:t>协税工作综合效益</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项目实施中加强零散税征收工作，杜绝漏征、漏管，为纳税人服务，制造良好的纳税氛围，全年有无纳税人投诉。</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加强零散税征收工作，杜绝漏征、漏管户，为纳税人服务，制造良好的纳税氛围，无纳税人投诉。</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涉税政策业务指导</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项目实施单位是否为辖区从事生产经营的纳税人提供政策宣传、业务咨询等服务，为纳税人办理涉税事项提供业务指导。</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若项目实施单位为辖区从事生产经营的纳税人提供政策宣传、业务咨询等服务，为纳税人办理涉税事项提供业务指导。</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可持续性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项目实施单位是否支持项目长期运行，是否有相关的管理机构及人力资源满足项目实施的要求，用以反映和考核项目的可持续性。</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项目后续运行及成效发挥的可持续影响情况。</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服务对象满意度</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社会公众或服务对象对项目工作人员服务态度的满意程度。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社会公众或服务对象对项目实施效果的满意程度。</w:t>
            </w:r>
          </w:p>
        </w:tc>
      </w:tr>
    </w:tbl>
    <w:p>
      <w:pPr>
        <w:snapToGrid w:val="0"/>
        <w:spacing w:before="408" w:beforeLines="100"/>
        <w:ind w:firstLine="480"/>
        <w:jc w:val="left"/>
        <w:rPr>
          <w:rFonts w:ascii="Arial Narrow" w:hAnsi="Arial Narrow" w:cs="Arial Narrow"/>
        </w:rPr>
      </w:pPr>
      <w:r>
        <w:rPr>
          <w:rFonts w:hint="eastAsia" w:ascii="Arial Narrow" w:hAnsi="Arial Narrow" w:cs="Arial Narrow"/>
        </w:rPr>
        <w:t>具体指标目标值、绩效标准、评分细则如下表所示：</w:t>
      </w:r>
    </w:p>
    <w:tbl>
      <w:tblPr>
        <w:tblStyle w:val="22"/>
        <w:tblW w:w="9077" w:type="dxa"/>
        <w:tblInd w:w="103" w:type="dxa"/>
        <w:tblLayout w:type="fixed"/>
        <w:tblCellMar>
          <w:top w:w="0" w:type="dxa"/>
          <w:left w:w="108" w:type="dxa"/>
          <w:bottom w:w="0" w:type="dxa"/>
          <w:right w:w="108" w:type="dxa"/>
        </w:tblCellMar>
      </w:tblPr>
      <w:tblGrid>
        <w:gridCol w:w="760"/>
        <w:gridCol w:w="1655"/>
        <w:gridCol w:w="709"/>
        <w:gridCol w:w="4678"/>
        <w:gridCol w:w="1275"/>
      </w:tblGrid>
      <w:tr>
        <w:tblPrEx>
          <w:tblCellMar>
            <w:top w:w="0" w:type="dxa"/>
            <w:left w:w="108" w:type="dxa"/>
            <w:bottom w:w="0" w:type="dxa"/>
            <w:right w:w="108" w:type="dxa"/>
          </w:tblCellMar>
        </w:tblPrEx>
        <w:trPr>
          <w:trHeight w:val="520" w:hRule="atLeast"/>
          <w:tblHeader/>
        </w:trPr>
        <w:tc>
          <w:tcPr>
            <w:tcW w:w="241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val="0"/>
              <w:spacing w:line="240" w:lineRule="auto"/>
              <w:ind w:firstLine="402" w:firstLineChars="0"/>
              <w:jc w:val="center"/>
              <w:rPr>
                <w:rFonts w:ascii="Arial Narrow" w:hAnsi="Arial Narrow" w:cs="宋体"/>
                <w:b/>
                <w:bCs/>
                <w:kern w:val="0"/>
                <w:sz w:val="21"/>
                <w:szCs w:val="21"/>
              </w:rPr>
            </w:pPr>
            <w:r>
              <w:rPr>
                <w:rFonts w:hint="eastAsia" w:ascii="Arial Narrow" w:hAnsi="Arial Narrow" w:cs="宋体"/>
                <w:b/>
                <w:bCs/>
                <w:kern w:val="0"/>
                <w:sz w:val="21"/>
                <w:szCs w:val="21"/>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权重</w:t>
            </w:r>
          </w:p>
        </w:tc>
        <w:tc>
          <w:tcPr>
            <w:tcW w:w="4678" w:type="dxa"/>
            <w:tcBorders>
              <w:top w:val="single" w:color="000000" w:sz="4" w:space="0"/>
              <w:left w:val="nil"/>
              <w:bottom w:val="single" w:color="000000" w:sz="4" w:space="0"/>
              <w:right w:val="nil"/>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评价细则</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参考值</w:t>
            </w:r>
            <w:r>
              <w:rPr>
                <w:rFonts w:hint="eastAsia" w:ascii="Arial Narrow" w:hAnsi="Arial Narrow" w:cs="宋体"/>
                <w:b/>
                <w:bCs/>
                <w:kern w:val="0"/>
                <w:sz w:val="21"/>
                <w:szCs w:val="21"/>
              </w:rPr>
              <w:br w:type="textWrapping"/>
            </w:r>
            <w:r>
              <w:rPr>
                <w:rFonts w:hint="eastAsia" w:ascii="Arial Narrow" w:hAnsi="Arial Narrow" w:cs="宋体"/>
                <w:b/>
                <w:bCs/>
                <w:kern w:val="0"/>
                <w:sz w:val="21"/>
                <w:szCs w:val="21"/>
              </w:rPr>
              <w:t>（目标值）</w:t>
            </w:r>
          </w:p>
        </w:tc>
      </w:tr>
      <w:tr>
        <w:tblPrEx>
          <w:tblCellMar>
            <w:top w:w="0" w:type="dxa"/>
            <w:left w:w="108" w:type="dxa"/>
            <w:bottom w:w="0" w:type="dxa"/>
            <w:right w:w="108" w:type="dxa"/>
          </w:tblCellMar>
        </w:tblPrEx>
        <w:trPr>
          <w:trHeight w:val="159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立项</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是否按照规定的程序申请设立，计1分；所提交的文件、材料是否符合相关要求，计1分；事前是否已经过必要的可行性研究、专家论证、风险评估、集体决策等，计0.5分；项目执行时是否发生重大调整，调整手续规范，计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1300" w:hRule="atLeast"/>
          <w:tblHead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single" w:color="auto" w:sz="4" w:space="0"/>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设定长期目标、年度目标和绩效指标，计1分；目标和指标的设计是否符合目标管理规范，计1分；根据绩效目标和完成情况的对比考核目标设立清晰、合理、可衡量，计1分。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w:t>
            </w:r>
            <w:r>
              <w:rPr>
                <w:rFonts w:hint="eastAsia" w:ascii="Arial Narrow" w:hAnsi="Arial Narrow" w:cs="宋体"/>
                <w:kern w:val="0"/>
                <w:sz w:val="21"/>
                <w:szCs w:val="21"/>
              </w:rPr>
              <w:br w:type="textWrapping"/>
            </w:r>
            <w:r>
              <w:rPr>
                <w:rFonts w:hint="eastAsia" w:ascii="Arial Narrow" w:hAnsi="Arial Narrow" w:cs="宋体"/>
                <w:kern w:val="0"/>
                <w:sz w:val="21"/>
                <w:szCs w:val="21"/>
              </w:rPr>
              <w:t>落实</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4678" w:type="dxa"/>
            <w:tcBorders>
              <w:top w:val="single" w:color="auto" w:sz="4" w:space="0"/>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资金到位率=（实际到位资金/计划投入资金）×100%，达到100%计2分，每降低10%，扣0.5分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到位及时率=（及时到位资金/应到位资金）×100%，达到100%计2分，每降低10%，扣0.5分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100%</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业务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项目实施单位已制定或具有相应的业务管理制度，计2分；</w:t>
            </w:r>
            <w:r>
              <w:rPr>
                <w:rFonts w:ascii="楷体_GB2312" w:hAnsi="楷体_GB2312"/>
                <w:sz w:val="21"/>
                <w:szCs w:val="21"/>
              </w:rPr>
              <w:br w:type="textWrapping"/>
            </w:r>
            <w:r>
              <w:rPr>
                <w:rFonts w:ascii="楷体_GB2312" w:hAnsi="楷体_GB2312"/>
                <w:sz w:val="21"/>
                <w:szCs w:val="21"/>
              </w:rPr>
              <w:t>业务管理制度是否合法、合规、完整，计1分。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项目实施过程遵守相关法律法规和业务管理规定计1分；</w:t>
            </w:r>
            <w:r>
              <w:rPr>
                <w:rFonts w:ascii="楷体_GB2312" w:hAnsi="楷体_GB2312"/>
                <w:sz w:val="21"/>
                <w:szCs w:val="21"/>
              </w:rPr>
              <w:br w:type="textWrapping"/>
            </w:r>
            <w:r>
              <w:rPr>
                <w:rFonts w:ascii="楷体_GB2312" w:hAnsi="楷体_GB2312"/>
                <w:sz w:val="21"/>
                <w:szCs w:val="21"/>
              </w:rPr>
              <w:t>项目调整及支出调整手续完备，项目管理及实施流程等各项资料齐全并及时归档计1分；项目实施的人员条件、场地设备、信息支撑等落实到位计1分。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项目实施单位已制定或具有相应的项目质量要求或标准计2分；采取了相应的项目质量检查、验收等必需的控制措施或手段计2分。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项目实施单位已制定或具有相应的项目资金管理办法计2分；项目资金管理办法符合相关财务会计制度的规定计1分。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项目实施单位不存在虚列项目支出的情况计2分，不存在支出依据不合规计1分，否则计0分；项目实施单位不存在截留、挤占、挪用项目资金情况计3分，项目实施单位不存在超标准开支情况计1分否则计0分。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项目实施单位已制定或具有相应的监控机制计2分；采取了相应的财务检查等必要的监控措施或手段计2分。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产出</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社区服务完成率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工作站点协税人员到岗率达到100%计5分，否则计0分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社区活动完成率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税收完成率=实际完成的税收总额/计划完成的税收总额×100%，超过100%计6分，每降低10%扣1分。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社区环境改造完成率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税收增长率=（今年税收总额-上年税收总额）/上年税收总额×100%，增长率在-10%-10%之间浮动属于正常范围计6分，若低于-10%，每降低十个百分比扣1分。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-10%-10%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社区管理完成率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建立了税源户台账制度计3分，信息全面完整性、信息真实性每项3分。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验收合格率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完成及时率=[1-(实际完成时间-计划完成时间）/计划完成时间]×100%，项目均及时完成计5分，一项未完成扣0.5分。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完成及时率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资金使用率=项目实际支出金额/项目计划支出额×100%，每降低10%，扣1分。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199" w:firstLineChars="95"/>
              <w:rPr>
                <w:rFonts w:ascii="宋体" w:hAnsi="宋体" w:eastAsia="宋体" w:cs="宋体"/>
                <w:sz w:val="21"/>
                <w:szCs w:val="21"/>
              </w:rPr>
            </w:pPr>
            <w:r>
              <w:rPr>
                <w:rFonts w:hint="eastAsia"/>
                <w:sz w:val="21"/>
                <w:szCs w:val="21"/>
              </w:rPr>
              <w:t>100%</w:t>
            </w:r>
          </w:p>
        </w:tc>
      </w:tr>
      <w:tr>
        <w:tblPrEx>
          <w:tblCellMar>
            <w:top w:w="0" w:type="dxa"/>
            <w:left w:w="108" w:type="dxa"/>
            <w:bottom w:w="0" w:type="dxa"/>
            <w:right w:w="108" w:type="dxa"/>
          </w:tblCellMar>
        </w:tblPrEx>
        <w:trPr>
          <w:trHeight w:val="800" w:hRule="atLeast"/>
          <w:tblHead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效益</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惠民服务增长率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税收投入乘数=今年实际收取的税收金额/开展工作投入资金×100%,较去年有所增长，计6分，每降低2点，扣1分。</w:t>
            </w:r>
          </w:p>
        </w:tc>
        <w:tc>
          <w:tcPr>
            <w:tcW w:w="1275"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12</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惠民服务覆盖率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如存在违法或不廉洁行为，不得分。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生活质量提高程度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加强零散税征收工作，杜绝漏征、漏管户，为纳税人服务，制造良好的纳税氛围，无纳税人投诉计6分。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群众参与人次</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若项目实施单位为辖区从事生产经营的纳税人提供政策宣传、业务咨询等服务，为纳税人办理涉税事项提供业务指导，计6分，每少一项扣2分。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惠民服务种类丰富度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项目实施单位有机构设置和充足的人员配备支持项目实施的后续运行计3分，是否积极组织人员培训，计2分，否则计0分。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服务对象满意度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6</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服务对象的满意度，采取问卷调查的方式获取。每降低10%，扣1分。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199" w:firstLineChars="95"/>
              <w:rPr>
                <w:rFonts w:ascii="宋体" w:hAnsi="宋体" w:eastAsia="宋体" w:cs="宋体"/>
                <w:sz w:val="21"/>
                <w:szCs w:val="21"/>
              </w:rPr>
            </w:pPr>
            <w:r>
              <w:rPr>
                <w:rFonts w:hint="eastAsia"/>
                <w:sz w:val="21"/>
                <w:szCs w:val="21"/>
              </w:rPr>
              <w:t>≥90%</w:t>
            </w:r>
          </w:p>
        </w:tc>
      </w:tr>
    </w:tbl>
    <w:p>
      <w:pPr>
        <w:snapToGrid w:val="0"/>
        <w:spacing w:before="408" w:beforeLines="100"/>
        <w:ind w:firstLine="482"/>
        <w:rPr>
          <w:rFonts w:ascii="Arial Narrow" w:hAnsi="Arial Narrow" w:cs="Arial Narrow"/>
          <w:b/>
        </w:rPr>
      </w:pPr>
      <w:r>
        <w:rPr>
          <w:rFonts w:hint="eastAsia" w:ascii="Arial Narrow" w:hAnsi="Arial Narrow" w:cs="Arial Narrow"/>
          <w:b/>
        </w:rPr>
        <w:t>4、</w:t>
      </w:r>
      <w:r>
        <w:rPr>
          <w:rFonts w:hint="eastAsia" w:ascii="Arial Narrow" w:hAnsi="Arial Narrow" w:cs="Arial Narrow"/>
          <w:b/>
        </w:rPr>
        <w:tab/>
      </w:r>
      <w:r>
        <w:rPr>
          <w:rFonts w:hint="eastAsia" w:ascii="Arial Narrow" w:hAnsi="Arial Narrow" w:cs="Arial Narrow"/>
          <w:b/>
        </w:rPr>
        <w:t>绩效评价指标体系补充说明</w:t>
      </w:r>
    </w:p>
    <w:p>
      <w:pPr>
        <w:snapToGrid w:val="0"/>
        <w:ind w:firstLine="480"/>
        <w:rPr>
          <w:rFonts w:ascii="Arial Narrow" w:hAnsi="Arial Narrow" w:cs="Arial Narrow"/>
        </w:rPr>
      </w:pPr>
      <w:r>
        <w:rPr>
          <w:rFonts w:hint="eastAsia" w:ascii="Arial Narrow" w:hAnsi="Arial Narrow" w:cs="Arial Narrow"/>
        </w:rPr>
        <w:t>协税工作经费项目年初没有项目申报表，故以下评价指标均为新增，调整情况如下：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①新增“协税工作人员到岗率”“税收完成率”“税收增长率”“税源户信息完整度”指标，调整原因：根据项目实施情况，新增上述指标以反映项目实施后，项目实际完成情况与目标数量的实现程度。</w:t>
      </w:r>
    </w:p>
    <w:p>
      <w:pPr>
        <w:snapToGrid w:val="0"/>
        <w:ind w:firstLine="480"/>
        <w:rPr>
          <w:rFonts w:ascii="Arial Narrow" w:hAnsi="Arial Narrow" w:cs="Arial Narrow"/>
        </w:rPr>
      </w:pPr>
      <w:r>
        <w:rPr>
          <w:rFonts w:hint="eastAsia" w:ascii="Arial Narrow" w:hAnsi="Arial Narrow" w:cs="Arial Narrow"/>
        </w:rPr>
        <w:t>②新增“社区服务完成率”“社区活动完成率”“社区环境改造完成率”“社区管理完成率”“验收合格率”，调整原因：根据项目实施情况，新增上述指标以反映项目实施后，项目实际完成情况与目标数量的实现程度。</w:t>
      </w:r>
    </w:p>
    <w:p>
      <w:pPr>
        <w:snapToGrid w:val="0"/>
        <w:ind w:firstLine="480"/>
        <w:rPr>
          <w:rFonts w:ascii="Arial Narrow" w:hAnsi="Arial Narrow" w:cs="Arial Narrow"/>
        </w:rPr>
      </w:pPr>
      <w:r>
        <w:rPr>
          <w:rFonts w:hint="eastAsia" w:ascii="Arial Narrow" w:hAnsi="Arial Narrow" w:cs="Arial Narrow"/>
        </w:rPr>
        <w:t>③</w:t>
      </w:r>
      <w:r>
        <w:rPr>
          <w:rFonts w:hint="eastAsia" w:ascii="Arial Narrow" w:hAnsi="Arial Narrow" w:cs="Arial Narrow"/>
        </w:rPr>
        <w:tab/>
      </w:r>
      <w:r>
        <w:rPr>
          <w:rFonts w:hint="eastAsia" w:ascii="Arial Narrow" w:hAnsi="Arial Narrow" w:cs="Arial Narrow"/>
        </w:rPr>
        <w:t>新增“税收投入乘数”“工作作风与服务意识”“协税工作综合效益”“涉税政策业务指导”指标，调整原因：根据项目实际产出与社会效益，新增上述指标以反映项目质量目标的实现程度以及项目的社会效益。</w:t>
      </w:r>
    </w:p>
    <w:p>
      <w:pPr>
        <w:snapToGrid w:val="0"/>
        <w:ind w:firstLine="482"/>
        <w:jc w:val="left"/>
        <w:rPr>
          <w:rFonts w:ascii="Arial Narrow" w:hAnsi="Arial Narrow" w:cs="Arial Narrow"/>
          <w:b/>
        </w:rPr>
      </w:pPr>
      <w:r>
        <w:rPr>
          <w:rFonts w:ascii="Arial Narrow" w:hAnsi="Arial Narrow" w:cs="Arial Narrow"/>
          <w:b/>
        </w:rPr>
        <w:t>5</w:t>
      </w:r>
      <w:r>
        <w:rPr>
          <w:rFonts w:hint="eastAsia" w:ascii="Arial Narrow" w:hAnsi="Arial Narrow" w:cs="Arial Narrow"/>
          <w:b/>
        </w:rPr>
        <w:t>、评价方法</w:t>
      </w:r>
    </w:p>
    <w:bookmarkEnd w:id="35"/>
    <w:bookmarkEnd w:id="36"/>
    <w:bookmarkEnd w:id="37"/>
    <w:bookmarkEnd w:id="38"/>
    <w:bookmarkEnd w:id="39"/>
    <w:p>
      <w:pPr>
        <w:snapToGrid w:val="0"/>
        <w:ind w:firstLine="480"/>
        <w:rPr>
          <w:rFonts w:ascii="Arial Narrow" w:hAnsi="Arial Narrow" w:cs="Arial Narrow"/>
          <w:bCs/>
        </w:rPr>
      </w:pPr>
      <w:bookmarkStart w:id="40" w:name="_Toc406666370"/>
      <w:bookmarkStart w:id="41" w:name="_Toc18443"/>
      <w:bookmarkStart w:id="42" w:name="_Toc387957819"/>
      <w:bookmarkStart w:id="43" w:name="_Toc406668044"/>
      <w:bookmarkStart w:id="44" w:name="_Toc361304693"/>
      <w:r>
        <w:rPr>
          <w:rFonts w:hint="eastAsia" w:ascii="Arial Narrow" w:hAnsi="Arial Narrow" w:cs="Arial Narrow"/>
          <w:bCs/>
        </w:rPr>
        <w:t>（1）综合评分方法</w:t>
      </w:r>
    </w:p>
    <w:p>
      <w:pPr>
        <w:snapToGrid w:val="0"/>
        <w:ind w:firstLine="480"/>
        <w:rPr>
          <w:rFonts w:ascii="Arial Narrow" w:hAnsi="Arial Narrow" w:cs="Arial Narrow"/>
          <w:bCs/>
        </w:rPr>
      </w:pPr>
      <w:r>
        <w:rPr>
          <w:rFonts w:hint="eastAsia" w:ascii="Arial Narrow" w:hAnsi="Arial Narrow" w:cs="Arial Narrow"/>
          <w:bCs/>
        </w:rPr>
        <w:t>评价采用加权平均法进行综合评分，通过对“协税工作经费项目”绩效目标与实际实施效果的对比，综合分析其绩效目标实现程度，对各项指标要素评分，结合各项评分值与指标要素权重得出评价综合分值。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bCs/>
        </w:rPr>
      </w:pPr>
      <w:r>
        <w:rPr>
          <w:rFonts w:hint="eastAsia" w:ascii="Arial Narrow" w:hAnsi="Arial Narrow" w:cs="Arial Narrow"/>
          <w:bCs/>
        </w:rPr>
        <w:t>（2）指标计算方法</w:t>
      </w:r>
    </w:p>
    <w:p>
      <w:pPr>
        <w:snapToGrid w:val="0"/>
        <w:ind w:firstLine="480"/>
        <w:rPr>
          <w:rFonts w:ascii="Arial Narrow" w:hAnsi="Arial Narrow" w:cs="Arial Narrow"/>
          <w:bCs/>
        </w:rPr>
      </w:pPr>
      <w:r>
        <w:rPr>
          <w:rFonts w:hint="eastAsia" w:ascii="Arial Narrow" w:hAnsi="Arial Narrow" w:cs="Arial Narrow"/>
          <w:bCs/>
        </w:rPr>
        <w:t>评价采用比率法对指标进行计算，先计算出指标实现值与指标标准值的比率，再将各项比率和对应指标满分值相乘，得出指标评分值。</w:t>
      </w:r>
    </w:p>
    <w:p>
      <w:pPr>
        <w:snapToGrid w:val="0"/>
        <w:ind w:firstLine="480"/>
        <w:rPr>
          <w:rFonts w:ascii="Arial Narrow" w:hAnsi="Arial Narrow" w:cs="Arial Narrow"/>
          <w:bCs/>
        </w:rPr>
      </w:pPr>
      <w:r>
        <w:rPr>
          <w:rFonts w:hint="eastAsia" w:ascii="Arial Narrow" w:hAnsi="Arial Narrow" w:cs="Arial Narrow"/>
          <w:bCs/>
        </w:rPr>
        <w:t>（3）权重确定方法</w:t>
      </w:r>
    </w:p>
    <w:p>
      <w:pPr>
        <w:snapToGrid w:val="0"/>
        <w:ind w:firstLine="480"/>
        <w:rPr>
          <w:rFonts w:ascii="Arial Narrow" w:hAnsi="Arial Narrow" w:cs="Arial Narrow"/>
          <w:bCs/>
        </w:rPr>
      </w:pPr>
      <w:r>
        <w:rPr>
          <w:rFonts w:hint="eastAsia"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pPr>
        <w:snapToGrid w:val="0"/>
        <w:ind w:firstLine="480"/>
        <w:rPr>
          <w:rFonts w:ascii="Arial Narrow" w:hAnsi="Arial Narrow" w:cs="Arial Narrow"/>
          <w:bCs/>
        </w:rPr>
      </w:pPr>
      <w:r>
        <w:rPr>
          <w:rFonts w:hint="eastAsia" w:ascii="Arial Narrow" w:hAnsi="Arial Narrow" w:cs="Arial Narrow"/>
          <w:bCs/>
        </w:rPr>
        <w:t>（4）标准值的确定方法</w:t>
      </w:r>
    </w:p>
    <w:p>
      <w:pPr>
        <w:snapToGrid w:val="0"/>
        <w:ind w:firstLine="480"/>
        <w:rPr>
          <w:rFonts w:ascii="Arial Narrow" w:hAnsi="Arial Narrow" w:cs="Arial Narrow"/>
          <w:bCs/>
        </w:rPr>
      </w:pPr>
      <w:r>
        <w:rPr>
          <w:rFonts w:hint="eastAsia"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pPr>
        <w:snapToGrid w:val="0"/>
        <w:ind w:firstLine="482"/>
        <w:outlineLvl w:val="1"/>
        <w:rPr>
          <w:rFonts w:ascii="Arial Narrow" w:hAnsi="Arial Narrow" w:cs="Arial Narrow"/>
          <w:b/>
        </w:rPr>
      </w:pPr>
      <w:bookmarkStart w:id="45" w:name="_Toc513817455"/>
      <w:r>
        <w:rPr>
          <w:rFonts w:hint="eastAsia" w:ascii="Arial Narrow" w:hAnsi="Arial Narrow" w:cs="Arial Narrow"/>
          <w:b/>
        </w:rPr>
        <w:t>（四）证据收集方式</w:t>
      </w:r>
      <w:bookmarkEnd w:id="45"/>
    </w:p>
    <w:p>
      <w:pPr>
        <w:snapToGrid w:val="0"/>
        <w:ind w:firstLine="480"/>
        <w:rPr>
          <w:rFonts w:ascii="Arial Narrow" w:hAnsi="Arial Narrow" w:cs="Arial Narrow"/>
          <w:bCs/>
        </w:rPr>
      </w:pPr>
      <w:bookmarkStart w:id="46" w:name="_Toc13985"/>
      <w:r>
        <w:rPr>
          <w:rFonts w:hint="eastAsia" w:ascii="Arial Narrow" w:hAnsi="Arial Narrow" w:cs="Arial Narrow"/>
          <w:bCs/>
        </w:rPr>
        <w:t>“协税经费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6"/>
    </w:p>
    <w:p>
      <w:pPr>
        <w:snapToGrid w:val="0"/>
        <w:ind w:firstLine="480"/>
        <w:rPr>
          <w:rFonts w:ascii="Arial Narrow" w:hAnsi="Arial Narrow" w:cs="Arial Narrow"/>
          <w:bCs/>
        </w:rPr>
      </w:pPr>
      <w:bookmarkStart w:id="47" w:name="_Toc26933"/>
      <w:r>
        <w:rPr>
          <w:rFonts w:hint="eastAsia" w:ascii="Arial Narrow" w:hAnsi="Arial Narrow" w:cs="Arial Narrow"/>
          <w:bCs/>
        </w:rPr>
        <w:t>1、评价信息资料的收集途径。评价小组前往项目实施单位，向项目负责人和财务人员收集相关资料文件，对与协税工作经费项目相关的人员进行访谈或直接发放调查问卷采集项目信息。</w:t>
      </w:r>
      <w:bookmarkEnd w:id="47"/>
    </w:p>
    <w:p>
      <w:pPr>
        <w:snapToGrid w:val="0"/>
        <w:ind w:firstLine="480"/>
        <w:rPr>
          <w:rFonts w:ascii="Arial Narrow" w:hAnsi="Arial Narrow" w:cs="Arial Narrow"/>
          <w:bCs/>
        </w:rPr>
      </w:pPr>
      <w:bookmarkStart w:id="48" w:name="_Toc13780"/>
      <w:r>
        <w:rPr>
          <w:rFonts w:hint="eastAsia" w:ascii="Arial Narrow" w:hAnsi="Arial Narrow" w:cs="Arial Narrow"/>
          <w:bCs/>
        </w:rPr>
        <w:t>2、信息资料的验证方式。财务数据方面，评价小组在项目现场查阅协税工作经费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48"/>
    </w:p>
    <w:p>
      <w:pPr>
        <w:snapToGrid w:val="0"/>
        <w:ind w:firstLine="480"/>
        <w:rPr>
          <w:rFonts w:ascii="Arial Narrow" w:hAnsi="Arial Narrow" w:cs="Arial Narrow"/>
          <w:bCs/>
        </w:rPr>
      </w:pPr>
      <w:bookmarkStart w:id="49" w:name="_Toc26200"/>
      <w:r>
        <w:rPr>
          <w:rFonts w:hint="eastAsia" w:ascii="Arial Narrow" w:hAnsi="Arial Narrow" w:cs="Arial Narrow"/>
          <w:bCs/>
        </w:rPr>
        <w:t>3、调查访谈、现场查勘方式与安排。马硕在2018年5月10日对协税工作经费项目进行现场资料的收集和向负责人了解项目基本情况，马硕在2018年5月11日对相关负责人进行访谈，考察项目实施成果并拍照留痕。</w:t>
      </w:r>
      <w:bookmarkEnd w:id="49"/>
    </w:p>
    <w:p>
      <w:pPr>
        <w:snapToGrid w:val="0"/>
        <w:ind w:firstLine="480"/>
        <w:rPr>
          <w:rFonts w:ascii="Arial Narrow" w:hAnsi="Arial Narrow" w:cs="Arial Narrow"/>
          <w:bCs/>
        </w:rPr>
      </w:pPr>
      <w:bookmarkStart w:id="50" w:name="_Toc1877"/>
      <w:r>
        <w:rPr>
          <w:rFonts w:hint="eastAsia" w:ascii="Arial Narrow" w:hAnsi="Arial Narrow" w:cs="Arial Narrow"/>
          <w:bCs/>
        </w:rPr>
        <w:t>4、调查问卷的制作与安排。调查问卷由绩效评价小组根据项目资料，结合绩效指标框架，针对项目实际情况，设计合理的调查问题，收集相关、有效的问卷信息，综合分析调查结果，便于对项目进行评价。评价小组选取了黄鹤楼街道辖区内4个社区，向居民发放调查问卷。</w:t>
      </w:r>
      <w:bookmarkEnd w:id="50"/>
    </w:p>
    <w:p>
      <w:pPr>
        <w:snapToGrid w:val="0"/>
        <w:ind w:firstLine="482"/>
        <w:outlineLvl w:val="0"/>
        <w:rPr>
          <w:rFonts w:ascii="Arial Narrow" w:hAnsi="Arial Narrow" w:cs="Arial Narrow"/>
          <w:b/>
        </w:rPr>
      </w:pPr>
      <w:bookmarkStart w:id="51" w:name="_Toc513817456"/>
      <w:r>
        <w:rPr>
          <w:rFonts w:ascii="Arial Narrow" w:hAnsi="Arial Narrow" w:cs="Arial Narrow"/>
          <w:b/>
        </w:rPr>
        <w:t>三、绩效分析</w:t>
      </w:r>
      <w:bookmarkEnd w:id="40"/>
      <w:bookmarkEnd w:id="41"/>
      <w:bookmarkEnd w:id="42"/>
      <w:bookmarkEnd w:id="43"/>
      <w:bookmarkEnd w:id="44"/>
      <w:bookmarkEnd w:id="51"/>
    </w:p>
    <w:p>
      <w:pPr>
        <w:ind w:firstLine="482"/>
        <w:outlineLvl w:val="1"/>
        <w:rPr>
          <w:rFonts w:ascii="Arial Narrow" w:hAnsi="Arial Narrow" w:cs="Arial Narrow"/>
          <w:b/>
        </w:rPr>
      </w:pPr>
      <w:bookmarkStart w:id="52" w:name="_Toc2992"/>
      <w:bookmarkStart w:id="53" w:name="_Toc513817457"/>
      <w:bookmarkStart w:id="54" w:name="_Toc361304697"/>
      <w:bookmarkStart w:id="55" w:name="_Toc406668047"/>
      <w:bookmarkStart w:id="56" w:name="_Toc387957822"/>
      <w:bookmarkStart w:id="57" w:name="_Toc406666373"/>
      <w:bookmarkStart w:id="58" w:name="_Toc361302034"/>
      <w:r>
        <w:rPr>
          <w:rFonts w:ascii="Arial Narrow" w:hAnsi="Arial Narrow" w:cs="Arial Narrow"/>
          <w:b/>
        </w:rPr>
        <w:t>（一）项目</w:t>
      </w:r>
      <w:bookmarkStart w:id="59" w:name="_Toc394181010"/>
      <w:r>
        <w:rPr>
          <w:rFonts w:ascii="Arial Narrow" w:hAnsi="Arial Narrow" w:cs="Arial Narrow"/>
          <w:b/>
        </w:rPr>
        <w:t>投入（1</w:t>
      </w:r>
      <w:r>
        <w:rPr>
          <w:rFonts w:hint="eastAsia" w:ascii="Arial Narrow" w:hAnsi="Arial Narrow" w:cs="Arial Narrow"/>
          <w:b/>
        </w:rPr>
        <w:t>0</w:t>
      </w:r>
      <w:r>
        <w:rPr>
          <w:rFonts w:ascii="Arial Narrow" w:hAnsi="Arial Narrow" w:cs="Arial Narrow"/>
          <w:b/>
        </w:rPr>
        <w:t>分）</w:t>
      </w:r>
      <w:bookmarkEnd w:id="52"/>
      <w:bookmarkEnd w:id="53"/>
      <w:bookmarkEnd w:id="59"/>
    </w:p>
    <w:p>
      <w:pPr>
        <w:snapToGrid w:val="0"/>
        <w:ind w:firstLine="480"/>
        <w:rPr>
          <w:rFonts w:ascii="Arial Narrow" w:hAnsi="Arial Narrow" w:cs="Arial Narrow"/>
        </w:rPr>
      </w:pPr>
      <w:bookmarkStart w:id="60" w:name="_Toc394181009"/>
      <w:bookmarkStart w:id="61" w:name="_Toc394490596"/>
      <w:r>
        <w:rPr>
          <w:rFonts w:ascii="Arial Narrow" w:hAnsi="Arial Narrow" w:cs="Arial Narrow"/>
        </w:rPr>
        <w:t>根据评价原则，项目投入评价得</w:t>
      </w:r>
      <w:r>
        <w:rPr>
          <w:rFonts w:ascii="Arial Narrow" w:hAnsi="Arial Narrow" w:cs="Arial Narrow"/>
        </w:rPr>
        <w:tab/>
      </w:r>
      <w:r>
        <w:rPr>
          <w:rFonts w:ascii="Arial Narrow" w:hAnsi="Arial Narrow" w:cs="Arial Narrow"/>
        </w:rPr>
        <w:t>分为1</w:t>
      </w:r>
      <w:r>
        <w:rPr>
          <w:rFonts w:hint="eastAsia" w:ascii="Arial Narrow" w:hAnsi="Arial Narrow" w:cs="Arial Narrow"/>
        </w:rPr>
        <w:t>0</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bookmarkEnd w:id="60"/>
      <w:bookmarkEnd w:id="61"/>
      <w:bookmarkStart w:id="62" w:name="_Toc394490597"/>
    </w:p>
    <w:p>
      <w:pPr>
        <w:snapToGrid w:val="0"/>
        <w:ind w:firstLine="480"/>
        <w:jc w:val="center"/>
        <w:rPr>
          <w:rFonts w:ascii="Arial Narrow" w:hAnsi="Arial Narrow" w:cs="Arial Narrow"/>
        </w:rPr>
      </w:pPr>
      <w:r>
        <w:drawing>
          <wp:inline distT="0" distB="0" distL="0" distR="0">
            <wp:extent cx="3829050" cy="2788285"/>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napToGrid w:val="0"/>
        <w:ind w:firstLine="480"/>
        <w:rPr>
          <w:rFonts w:ascii="Arial Narrow" w:hAnsi="Arial Narrow" w:cs="Arial Narrow"/>
        </w:rPr>
      </w:pPr>
      <w:r>
        <w:rPr>
          <w:rFonts w:ascii="Arial Narrow" w:hAnsi="Arial Narrow" w:cs="Arial Narrow"/>
        </w:rPr>
        <w:t>投入指标主要评价项目立项及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1</w:t>
      </w:r>
      <w:r>
        <w:rPr>
          <w:rFonts w:hint="eastAsia" w:ascii="Arial Narrow" w:hAnsi="Arial Narrow" w:cs="Arial Narrow"/>
        </w:rPr>
        <w:t>0</w:t>
      </w:r>
      <w:r>
        <w:rPr>
          <w:rFonts w:ascii="Arial Narrow" w:hAnsi="Arial Narrow" w:cs="Arial Narrow"/>
        </w:rPr>
        <w:t>分，评价等级为优。</w:t>
      </w:r>
    </w:p>
    <w:bookmarkEnd w:id="62"/>
    <w:p>
      <w:pPr>
        <w:pStyle w:val="39"/>
        <w:snapToGrid w:val="0"/>
        <w:ind w:firstLine="482"/>
        <w:rPr>
          <w:rFonts w:ascii="Arial Narrow" w:hAnsi="Arial Narrow" w:cs="Arial Narrow"/>
          <w:b/>
          <w:bCs/>
        </w:rPr>
      </w:pPr>
      <w:r>
        <w:rPr>
          <w:rFonts w:ascii="Arial Narrow" w:hAnsi="Arial Narrow" w:cs="Arial Narrow"/>
          <w:b/>
          <w:bCs/>
        </w:rPr>
        <w:t>1、项目立项（6分）</w:t>
      </w:r>
    </w:p>
    <w:p>
      <w:pPr>
        <w:snapToGrid w:val="0"/>
        <w:ind w:firstLine="480"/>
        <w:rPr>
          <w:rFonts w:ascii="Arial Narrow" w:hAnsi="Arial Narrow" w:cs="Arial Narrow"/>
        </w:rPr>
      </w:pPr>
      <w:r>
        <w:rPr>
          <w:rFonts w:ascii="Arial Narrow" w:hAnsi="Arial Narrow" w:cs="Arial Narrow"/>
        </w:rPr>
        <w:t>该问题主要从项目立项规范性、绩效目标合理性和绩效目标明确性三个方面具体评价。反映出项目立项的规范情况；项目绩效目标与项目实施的相符情况；项目绩效指标的可衡量性。该项指标评价得分为</w:t>
      </w:r>
      <w:r>
        <w:rPr>
          <w:rFonts w:hint="eastAsia" w:ascii="Arial Narrow" w:hAnsi="Arial Narrow" w:cs="Arial Narrow"/>
        </w:rPr>
        <w:t>6</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（1）项目立项规范性，指项目的申请、设立过程是否符合中央、国务院、省委、省政府的相关要求，用以反映和考核项目立项的规范情况。评价小组经过查阅</w:t>
      </w:r>
      <w:r>
        <w:rPr>
          <w:rFonts w:hint="eastAsia" w:ascii="Arial Narrow" w:hAnsi="Arial Narrow" w:cs="Arial Narrow"/>
        </w:rPr>
        <w:t>《区人民政府办公室关于进一步做好地方零散税收协助管理工作的通知》</w:t>
      </w:r>
      <w:r>
        <w:rPr>
          <w:rFonts w:ascii="Arial Narrow" w:hAnsi="Arial Narrow" w:cs="Arial Narrow"/>
        </w:rPr>
        <w:t>和《</w:t>
      </w:r>
      <w:r>
        <w:rPr>
          <w:rFonts w:hint="eastAsia" w:ascii="Arial Narrow" w:hAnsi="Arial Narrow" w:cs="Arial Narrow"/>
        </w:rPr>
        <w:t>武昌区财政局关于武昌区人民政府黄鹤楼街办事处2017年部门预算的批复</w:t>
      </w:r>
      <w:r>
        <w:rPr>
          <w:rFonts w:ascii="Arial Narrow" w:hAnsi="Arial Narrow" w:cs="Arial Narrow"/>
        </w:rPr>
        <w:t>》了解到，项目按照文件规定开展协税工作</w:t>
      </w:r>
      <w:r>
        <w:rPr>
          <w:rFonts w:hint="eastAsia" w:ascii="Arial Narrow" w:hAnsi="Arial Narrow" w:cs="Arial Narrow"/>
        </w:rPr>
        <w:t>，符合经济社会发展规划和部门年度工作计划。</w:t>
      </w:r>
    </w:p>
    <w:p>
      <w:pPr>
        <w:snapToGrid w:val="0"/>
        <w:ind w:firstLine="480"/>
        <w:rPr>
          <w:rFonts w:ascii="Arial Narrow" w:hAnsi="Arial Narrow" w:cs="Arial Narrow"/>
        </w:rPr>
      </w:pPr>
      <w:r>
        <w:rPr>
          <w:rFonts w:ascii="Arial Narrow" w:hAnsi="Arial Narrow" w:cs="Arial Narrow"/>
        </w:rPr>
        <w:t>（2）绩效目标合理性，</w:t>
      </w:r>
      <w:r>
        <w:rPr>
          <w:rFonts w:hint="eastAsia" w:ascii="Arial Narrow" w:hAnsi="Arial Narrow" w:cs="Arial Narrow"/>
        </w:rPr>
        <w:t>项目所设定的绩效目标是否依据充分，是否符合客观实际，用以反映和考核项目绩效目标与项目实施的相符情况。</w:t>
      </w:r>
      <w:r>
        <w:rPr>
          <w:rFonts w:ascii="Arial Narrow" w:hAnsi="Arial Narrow" w:cs="Arial Narrow"/>
        </w:rPr>
        <w:t>评价小组经过查阅</w:t>
      </w:r>
      <w:r>
        <w:rPr>
          <w:rFonts w:hint="eastAsia" w:ascii="Arial Narrow" w:hAnsi="Arial Narrow" w:cs="Arial Narrow"/>
        </w:rPr>
        <w:t>评价小组经过查阅《黄鹤楼街2017年度工作要点》及《武昌区2017年绩效管理目标定稿》</w:t>
      </w:r>
      <w:r>
        <w:rPr>
          <w:rFonts w:ascii="Arial Narrow" w:hAnsi="Arial Narrow" w:cs="Arial Narrow"/>
        </w:rPr>
        <w:t>文件内容可知，</w:t>
      </w:r>
      <w:r>
        <w:rPr>
          <w:rFonts w:hint="eastAsia" w:ascii="Arial Narrow" w:hAnsi="Arial Narrow" w:cs="Arial Narrow"/>
        </w:rPr>
        <w:t>“项目实施单位制定了年初绩效目标，内容是完成年度协税工作，目标设置规范，能够清晰可衡量。</w:t>
      </w:r>
    </w:p>
    <w:p>
      <w:pPr>
        <w:snapToGrid w:val="0"/>
        <w:ind w:firstLine="482"/>
        <w:rPr>
          <w:rFonts w:ascii="Arial Narrow" w:hAnsi="Arial Narrow" w:cs="Arial Narrow"/>
          <w:b/>
          <w:bCs/>
        </w:rPr>
      </w:pPr>
      <w:r>
        <w:rPr>
          <w:rFonts w:ascii="Arial Narrow" w:hAnsi="Arial Narrow" w:cs="Arial Narrow"/>
          <w:b/>
          <w:bCs/>
        </w:rPr>
        <w:t xml:space="preserve"> 2、资金落实（4分）</w:t>
      </w:r>
    </w:p>
    <w:bookmarkEnd w:id="54"/>
    <w:bookmarkEnd w:id="55"/>
    <w:bookmarkEnd w:id="56"/>
    <w:bookmarkEnd w:id="57"/>
    <w:bookmarkEnd w:id="58"/>
    <w:p>
      <w:pPr>
        <w:snapToGrid w:val="0"/>
        <w:ind w:firstLine="480"/>
        <w:rPr>
          <w:rFonts w:ascii="Arial Narrow" w:hAnsi="Arial Narrow" w:cs="Arial Narrow"/>
        </w:rPr>
      </w:pPr>
      <w:bookmarkStart w:id="63" w:name="_Toc11787"/>
      <w:bookmarkStart w:id="64" w:name="_Toc387957823"/>
      <w:bookmarkStart w:id="65" w:name="_Toc361302036"/>
      <w:bookmarkStart w:id="66" w:name="_Toc406666374"/>
      <w:bookmarkStart w:id="67" w:name="_Toc406668048"/>
      <w:bookmarkStart w:id="68" w:name="_Toc361304699"/>
      <w:r>
        <w:rPr>
          <w:rFonts w:ascii="Arial Narrow" w:hAnsi="Arial Narrow" w:cs="Arial Narrow"/>
        </w:rPr>
        <w:t>该问题主要考察资金到位率及到位及时率，反映项目资金落实情况对项目实施的保障程度、资金落实的及时性程度。该项指标评价得分为4分，评价结果为优。</w:t>
      </w:r>
    </w:p>
    <w:p>
      <w:pPr>
        <w:snapToGrid w:val="0"/>
        <w:ind w:firstLine="480"/>
        <w:rPr>
          <w:rFonts w:ascii="Arial Narrow" w:hAnsi="Arial Narrow" w:cs="Arial Narrow"/>
        </w:rPr>
      </w:pPr>
      <w:r>
        <w:rPr>
          <w:rFonts w:ascii="Arial Narrow" w:hAnsi="Arial Narrow" w:cs="Arial Narrow"/>
        </w:rPr>
        <w:t>（1）资金到位率，指实际到位资金与计划投入资金的比率，用以反映和考核资金落实情况对项目实施的总体保障程度。评价小组采用现场核实的方式，查看了</w:t>
      </w:r>
      <w:r>
        <w:rPr>
          <w:rFonts w:hint="eastAsia" w:ascii="Arial Narrow" w:hAnsi="Arial Narrow" w:cs="Arial Narrow"/>
        </w:rPr>
        <w:t>《关于武昌区人民政府黄鹤楼街办事处2017年部门预算的批复》</w:t>
      </w:r>
      <w:r>
        <w:rPr>
          <w:rFonts w:ascii="Arial Narrow" w:hAnsi="Arial Narrow" w:cs="Arial Narrow"/>
        </w:rPr>
        <w:t>，项目计划投入资金</w:t>
      </w:r>
      <w:r>
        <w:rPr>
          <w:rFonts w:hint="eastAsia" w:ascii="Arial Narrow" w:hAnsi="Arial Narrow" w:cs="Arial Narrow"/>
        </w:rPr>
        <w:t>30</w:t>
      </w:r>
      <w:r>
        <w:rPr>
          <w:rFonts w:ascii="Arial Narrow" w:hAnsi="Arial Narrow" w:cs="Arial Narrow"/>
        </w:rPr>
        <w:t>万元，实际预算资金</w:t>
      </w:r>
      <w:r>
        <w:rPr>
          <w:rFonts w:hint="eastAsia" w:ascii="Arial Narrow" w:hAnsi="Arial Narrow" w:cs="Arial Narrow"/>
        </w:rPr>
        <w:t>30</w:t>
      </w:r>
      <w:r>
        <w:rPr>
          <w:rFonts w:ascii="Arial Narrow" w:hAnsi="Arial Narrow" w:cs="Arial Narrow"/>
        </w:rPr>
        <w:t>万元，资金到位率100%。</w:t>
      </w:r>
    </w:p>
    <w:p>
      <w:pPr>
        <w:snapToGrid w:val="0"/>
        <w:ind w:firstLine="480"/>
        <w:rPr>
          <w:rFonts w:ascii="Arial Narrow" w:hAnsi="Arial Narrow" w:cs="Arial Narrow"/>
        </w:rPr>
      </w:pPr>
      <w:r>
        <w:rPr>
          <w:rFonts w:ascii="Arial Narrow" w:hAnsi="Arial Narrow" w:cs="Arial Narrow"/>
        </w:rPr>
        <w:t>（2）到位及时率。指的是及时到位资金与应到位资金的比率，用以反映和考核资金落实的及时性程度。评价小组通过查看</w:t>
      </w:r>
      <w:r>
        <w:rPr>
          <w:rFonts w:hint="eastAsia" w:ascii="Arial Narrow" w:hAnsi="Arial Narrow" w:cs="Arial Narrow"/>
        </w:rPr>
        <w:t>《关于武昌区人民政府黄鹤楼街办事处2017年部门预算的批复》</w:t>
      </w:r>
      <w:r>
        <w:rPr>
          <w:rFonts w:ascii="Arial Narrow" w:hAnsi="Arial Narrow" w:cs="Arial Narrow"/>
        </w:rPr>
        <w:t>了解到，武昌区财政局于201</w:t>
      </w:r>
      <w:r>
        <w:rPr>
          <w:rFonts w:hint="eastAsia" w:ascii="Arial Narrow" w:hAnsi="Arial Narrow" w:cs="Arial Narrow"/>
        </w:rPr>
        <w:t>6年底下</w:t>
      </w:r>
      <w:r>
        <w:rPr>
          <w:rFonts w:ascii="Arial Narrow" w:hAnsi="Arial Narrow" w:cs="Arial Narrow"/>
        </w:rPr>
        <w:t>达预算批复，资金能够及时到位，到位及时率100%。</w:t>
      </w:r>
    </w:p>
    <w:p>
      <w:pPr>
        <w:snapToGrid w:val="0"/>
        <w:ind w:firstLine="482"/>
        <w:outlineLvl w:val="1"/>
        <w:rPr>
          <w:rFonts w:ascii="Arial Narrow" w:hAnsi="Arial Narrow" w:cs="Arial Narrow"/>
          <w:b/>
        </w:rPr>
      </w:pPr>
      <w:bookmarkStart w:id="69" w:name="_Toc513817458"/>
      <w:r>
        <w:rPr>
          <w:rFonts w:ascii="Arial Narrow" w:hAnsi="Arial Narrow" w:cs="Arial Narrow"/>
          <w:b/>
        </w:rPr>
        <w:t>（二）项目过程（20分）</w:t>
      </w:r>
      <w:bookmarkEnd w:id="63"/>
      <w:bookmarkEnd w:id="69"/>
    </w:p>
    <w:p>
      <w:pPr>
        <w:snapToGrid w:val="0"/>
        <w:ind w:firstLine="480"/>
        <w:rPr>
          <w:rFonts w:ascii="Arial Narrow" w:hAnsi="Arial Narrow" w:cs="Arial Narrow"/>
        </w:rPr>
      </w:pPr>
      <w:bookmarkStart w:id="70" w:name="_Toc394181012"/>
      <w:bookmarkStart w:id="71" w:name="_Toc394490599"/>
      <w:r>
        <w:rPr>
          <w:rFonts w:ascii="Arial Narrow" w:hAnsi="Arial Narrow" w:cs="Arial Narrow"/>
        </w:rPr>
        <w:t>根据评价原则，项目过程得分为</w:t>
      </w:r>
      <w:r>
        <w:rPr>
          <w:rFonts w:hint="eastAsia" w:ascii="Arial Narrow" w:hAnsi="Arial Narrow" w:cs="Arial Narrow"/>
        </w:rPr>
        <w:t>19</w:t>
      </w:r>
      <w:r>
        <w:rPr>
          <w:rFonts w:ascii="Arial Narrow" w:hAnsi="Arial Narrow" w:cs="Arial Narrow"/>
        </w:rPr>
        <w:t>分，评价结果为优。</w:t>
      </w:r>
      <w:bookmarkEnd w:id="70"/>
      <w:bookmarkEnd w:id="71"/>
    </w:p>
    <w:p>
      <w:pPr>
        <w:snapToGrid w:val="0"/>
        <w:ind w:firstLine="480"/>
        <w:jc w:val="center"/>
        <w:rPr>
          <w:rFonts w:ascii="Arial Narrow" w:hAnsi="Arial Narrow" w:cs="Arial Narrow"/>
        </w:rPr>
      </w:pPr>
      <w:r>
        <w:drawing>
          <wp:inline distT="0" distB="0" distL="0" distR="0">
            <wp:extent cx="4291330" cy="270637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napToGrid w:val="0"/>
        <w:ind w:firstLine="480"/>
        <w:jc w:val="center"/>
        <w:rPr>
          <w:rFonts w:ascii="Arial Narrow" w:hAnsi="Arial Narrow" w:cs="Arial Narrow"/>
        </w:rPr>
      </w:pPr>
    </w:p>
    <w:p>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规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Pr>
          <w:rFonts w:hint="eastAsia" w:ascii="Arial Narrow" w:hAnsi="Arial Narrow" w:cs="Arial Narrow"/>
        </w:rPr>
        <w:t>19</w:t>
      </w:r>
      <w:r>
        <w:rPr>
          <w:rFonts w:ascii="Arial Narrow" w:hAnsi="Arial Narrow" w:cs="Arial Narrow"/>
        </w:rPr>
        <w:t>分，评价等级为优。</w:t>
      </w:r>
    </w:p>
    <w:p>
      <w:pPr>
        <w:snapToGrid w:val="0"/>
        <w:ind w:firstLine="482"/>
        <w:rPr>
          <w:rFonts w:ascii="Arial Narrow" w:hAnsi="Arial Narrow" w:cs="Arial Narrow"/>
          <w:b/>
          <w:bCs/>
        </w:rPr>
      </w:pPr>
      <w:r>
        <w:rPr>
          <w:rFonts w:ascii="Arial Narrow" w:hAnsi="Arial Narrow" w:cs="Arial Narrow"/>
          <w:b/>
          <w:bCs/>
        </w:rPr>
        <w:t>1、业务管理（10分）</w:t>
      </w:r>
    </w:p>
    <w:p>
      <w:pPr>
        <w:snapToGrid w:val="0"/>
        <w:ind w:firstLine="480"/>
        <w:jc w:val="left"/>
        <w:rPr>
          <w:rFonts w:ascii="Arial Narrow" w:hAnsi="Arial Narrow" w:cs="Arial Narrow"/>
        </w:rPr>
      </w:pPr>
      <w:r>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Pr>
          <w:rFonts w:hint="eastAsia" w:ascii="Arial Narrow" w:hAnsi="Arial Narrow" w:cs="Arial Narrow"/>
        </w:rPr>
        <w:t>10</w:t>
      </w:r>
      <w:r>
        <w:rPr>
          <w:rFonts w:ascii="Arial Narrow" w:hAnsi="Arial Narrow" w:cs="Arial Narrow"/>
        </w:rPr>
        <w:t>分，评价结果为优。</w:t>
      </w:r>
    </w:p>
    <w:p>
      <w:pPr>
        <w:snapToGrid w:val="0"/>
        <w:ind w:firstLine="480"/>
        <w:jc w:val="left"/>
        <w:rPr>
          <w:rFonts w:ascii="Arial Narrow" w:hAnsi="Arial Narrow" w:cs="Arial Narrow"/>
        </w:rPr>
      </w:pPr>
      <w:r>
        <w:rPr>
          <w:rFonts w:hint="eastAsia" w:ascii="微软雅黑" w:hAnsi="微软雅黑" w:eastAsia="微软雅黑" w:cs="微软雅黑"/>
        </w:rPr>
        <w:t xml:space="preserve">① </w:t>
      </w:r>
      <w:r>
        <w:rPr>
          <w:rFonts w:ascii="Arial Narrow" w:hAnsi="Arial Narrow" w:cs="Arial Narrow"/>
        </w:rPr>
        <w:t>管理制度健全性，指项目实施单位的业务管理制度是否健全，用以反映和考核业务管理制度对项目顺利实施的保障情况。</w:t>
      </w:r>
      <w:r>
        <w:rPr>
          <w:rFonts w:hint="eastAsia" w:ascii="Arial Narrow" w:hAnsi="Arial Narrow" w:cs="Arial Narrow"/>
        </w:rPr>
        <w:t>项目实施单位建立了机关工作人员考勤制度、街道服务站内部管理制度及黄鹤楼街协税员考核制度等相关考核办法，并根据武昌区零散税收协助管理工作职责（暂行）开展工作，业务制度合法合规。</w:t>
      </w:r>
    </w:p>
    <w:p>
      <w:pPr>
        <w:snapToGrid w:val="0"/>
        <w:ind w:firstLine="480"/>
        <w:jc w:val="left"/>
        <w:rPr>
          <w:rFonts w:ascii="Arial Narrow" w:hAnsi="Arial Narrow" w:cs="Arial Narrow"/>
        </w:rPr>
      </w:pPr>
      <w:r>
        <w:rPr>
          <w:rFonts w:hint="eastAsia" w:ascii="微软雅黑" w:hAnsi="微软雅黑" w:eastAsia="微软雅黑" w:cs="微软雅黑"/>
        </w:rPr>
        <w:t xml:space="preserve">② </w:t>
      </w:r>
      <w:r>
        <w:rPr>
          <w:rFonts w:ascii="Arial Narrow" w:hAnsi="Arial Narrow" w:cs="Arial Narrow"/>
        </w:rPr>
        <w:t>制度执行有效性，指项目实施是否符合相关业务管理规定，用以反映和考核业务管理制度的有效执行情况。评价小组采取卷宗研究的方式，查阅了项目</w:t>
      </w:r>
      <w:r>
        <w:rPr>
          <w:rFonts w:hint="eastAsia" w:ascii="Arial Narrow" w:hAnsi="Arial Narrow" w:cs="Arial Narrow"/>
        </w:rPr>
        <w:t>确定和实施相关</w:t>
      </w:r>
      <w:r>
        <w:rPr>
          <w:rFonts w:ascii="Arial Narrow" w:hAnsi="Arial Narrow" w:cs="Arial Narrow"/>
        </w:rPr>
        <w:t>资料，</w:t>
      </w:r>
      <w:bookmarkStart w:id="126" w:name="_GoBack"/>
      <w:r>
        <w:rPr>
          <w:rFonts w:hint="eastAsia" w:ascii="Arial Narrow" w:hAnsi="Arial Narrow" w:cs="Arial Narrow"/>
        </w:rPr>
        <w:t>了解到</w:t>
      </w:r>
      <w:bookmarkEnd w:id="126"/>
      <w:r>
        <w:rPr>
          <w:rFonts w:hint="eastAsia" w:ascii="Arial Narrow" w:hAnsi="Arial Narrow" w:cs="Arial Narrow"/>
        </w:rPr>
        <w:t>项目实施过程遵守了相关业务管理规定，无项目调整情况，各项资料能及时整理归档，日常工作中人员、场地设备、信息支撑均能落实到位。</w:t>
      </w:r>
    </w:p>
    <w:p>
      <w:pPr>
        <w:snapToGrid w:val="0"/>
        <w:ind w:firstLine="480"/>
        <w:jc w:val="left"/>
        <w:rPr>
          <w:rFonts w:ascii="Arial Narrow" w:hAnsi="Arial Narrow" w:cs="Arial Narrow"/>
        </w:rPr>
      </w:pPr>
      <w:r>
        <w:rPr>
          <w:rFonts w:hint="eastAsia" w:ascii="微软雅黑" w:hAnsi="微软雅黑" w:eastAsia="微软雅黑" w:cs="微软雅黑"/>
        </w:rPr>
        <w:t>③</w:t>
      </w:r>
      <w:r>
        <w:rPr>
          <w:rFonts w:ascii="Arial Narrow" w:hAnsi="Arial Narrow" w:cs="Arial Narrow"/>
        </w:rPr>
        <w:t xml:space="preserve"> 项目质量可控性，指项目实施单位是否为达到项目质量要求而采取了必需的措施,用以反映和考核项目实施单位对项目质量的控制情况。</w:t>
      </w:r>
      <w:r>
        <w:rPr>
          <w:rFonts w:hint="eastAsia" w:ascii="Arial Narrow" w:hAnsi="Arial Narrow" w:cs="Arial Narrow"/>
        </w:rPr>
        <w:t>项目实施单位制定了黄鹤楼协管员考核制度，对于考勤采取指纹打卡模式，对于工作情况主要通过网络评议系统由纳税人对协税服务人员进行评价。</w:t>
      </w:r>
    </w:p>
    <w:p>
      <w:pPr>
        <w:snapToGrid w:val="0"/>
        <w:ind w:firstLine="482"/>
        <w:jc w:val="left"/>
        <w:rPr>
          <w:rFonts w:ascii="Arial Narrow" w:hAnsi="Arial Narrow" w:cs="Arial Narrow"/>
          <w:b/>
          <w:bCs/>
        </w:rPr>
      </w:pPr>
      <w:r>
        <w:rPr>
          <w:rFonts w:ascii="Arial Narrow" w:hAnsi="Arial Narrow" w:cs="Arial Narrow"/>
          <w:b/>
          <w:bCs/>
        </w:rPr>
        <w:t>2、财务管理（10分）</w:t>
      </w:r>
    </w:p>
    <w:p>
      <w:pPr>
        <w:snapToGrid w:val="0"/>
        <w:ind w:firstLine="480"/>
        <w:rPr>
          <w:rFonts w:ascii="Arial Narrow" w:hAnsi="Arial Narrow" w:cs="Arial Narrow"/>
        </w:rPr>
      </w:pPr>
      <w:r>
        <w:rPr>
          <w:rFonts w:ascii="Arial Narrow" w:hAnsi="Arial Narrow" w:cs="Arial Narrow"/>
        </w:rPr>
        <w:t>该问题主要从财务制度健全性、资金使用合规性、财务监控有效性三方面具体评价。用以反映和考核财务管理制度对资金规范、安全运行的保障情况，项目资金的规范运行情况及项目实施单位对资金运行的控制情况。该项指标评价得分为</w:t>
      </w:r>
      <w:r>
        <w:rPr>
          <w:rFonts w:hint="eastAsia" w:ascii="Arial Narrow" w:hAnsi="Arial Narrow" w:cs="Arial Narrow"/>
        </w:rPr>
        <w:t>9</w:t>
      </w:r>
      <w:r>
        <w:rPr>
          <w:rFonts w:ascii="Arial Narrow" w:hAnsi="Arial Narrow" w:cs="Arial Narrow"/>
        </w:rPr>
        <w:t>分，评价结果为优。</w:t>
      </w:r>
    </w:p>
    <w:p>
      <w:pPr>
        <w:snapToGrid w:val="0"/>
        <w:ind w:firstLine="480"/>
        <w:rPr>
          <w:rFonts w:ascii="Arial Narrow" w:hAnsi="Arial Narrow" w:cs="Arial Narrow"/>
        </w:rPr>
      </w:pPr>
      <w:r>
        <w:rPr>
          <w:rFonts w:hint="eastAsia" w:ascii="微软雅黑" w:hAnsi="微软雅黑" w:eastAsia="微软雅黑" w:cs="微软雅黑"/>
        </w:rPr>
        <w:t xml:space="preserve">① </w:t>
      </w:r>
      <w:r>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w:t>
      </w:r>
      <w:r>
        <w:rPr>
          <w:rFonts w:hint="eastAsia" w:ascii="Arial Narrow" w:hAnsi="Arial Narrow" w:cs="Arial Narrow"/>
        </w:rPr>
        <w:t>项目实施单位制订了《黄鹤楼街财务收支制度》，项目资金管理符合相关财务会计制度。</w:t>
      </w:r>
    </w:p>
    <w:p>
      <w:pPr>
        <w:snapToGrid w:val="0"/>
        <w:ind w:firstLine="480"/>
        <w:rPr>
          <w:rFonts w:ascii="Arial Narrow" w:hAnsi="Arial Narrow" w:cs="Arial Narrow"/>
        </w:rPr>
      </w:pPr>
      <w:r>
        <w:rPr>
          <w:rFonts w:hint="eastAsia" w:ascii="微软雅黑" w:hAnsi="微软雅黑" w:eastAsia="微软雅黑" w:cs="微软雅黑"/>
        </w:rPr>
        <w:t xml:space="preserve">② </w:t>
      </w:r>
      <w:r>
        <w:rPr>
          <w:rFonts w:ascii="Arial Narrow" w:hAnsi="Arial Narrow" w:cs="Arial Narrow"/>
        </w:rPr>
        <w:t>资金使用合规性，指项目资金使用是否符合相关的财务管理制度规定，用以反映和考核项目资金的规范运行情况。评价小组获取了项目资金支出明细账，抽查部分凭证及附件了解到，</w:t>
      </w:r>
      <w:r>
        <w:rPr>
          <w:rFonts w:hint="eastAsia" w:ascii="Arial Narrow" w:hAnsi="Arial Narrow" w:cs="Arial Narrow"/>
        </w:rPr>
        <w:t>项目经费主要用于发放协税人员工资以及办公用品费、协税人员电动车维修费等方面，但在翻阅凭证过程中发现有一笔拨新洲区三店街的精准扶贫资金计入了协税工作经费支出中，财务核算不太规范，扣1分。</w:t>
      </w:r>
    </w:p>
    <w:p>
      <w:pPr>
        <w:snapToGrid w:val="0"/>
        <w:ind w:firstLine="480"/>
        <w:rPr>
          <w:rFonts w:ascii="Arial Narrow" w:hAnsi="Arial Narrow" w:cs="Arial Narrow"/>
        </w:rPr>
      </w:pPr>
      <w:r>
        <w:rPr>
          <w:rFonts w:hint="eastAsia" w:ascii="微软雅黑" w:hAnsi="微软雅黑" w:eastAsia="微软雅黑" w:cs="微软雅黑"/>
        </w:rPr>
        <w:t xml:space="preserve">③ </w:t>
      </w:r>
      <w:r>
        <w:rPr>
          <w:rFonts w:ascii="Arial Narrow" w:hAnsi="Arial Narrow" w:cs="Arial Narrow"/>
        </w:rPr>
        <w:t>财务监控有效性，指项目实施单位是否为保障资金的安全、规范运行而采取了必要的监控措施，用以反映和考核项目实施单位对资金运行的控制情况。</w:t>
      </w:r>
      <w:bookmarkEnd w:id="64"/>
      <w:bookmarkEnd w:id="65"/>
      <w:bookmarkEnd w:id="66"/>
      <w:bookmarkEnd w:id="67"/>
      <w:bookmarkEnd w:id="68"/>
      <w:bookmarkStart w:id="72" w:name="_Toc5732"/>
      <w:bookmarkStart w:id="73" w:name="_Toc387957824"/>
      <w:bookmarkStart w:id="74" w:name="_Toc406666375"/>
      <w:bookmarkStart w:id="75" w:name="_Toc406668049"/>
      <w:r>
        <w:rPr>
          <w:rFonts w:hint="eastAsia" w:ascii="Arial Narrow" w:hAnsi="Arial Narrow" w:cs="Arial Narrow"/>
        </w:rPr>
        <w:t>黄鹤楼街道办制定了《黄鹤楼街财务管理制度》，其中财务管理制度对经费开支范围、报销的审批权限及流程、各层级审批的金额等进行了明确规定，并能按照规定执行项目资金使用审批程序。</w:t>
      </w:r>
    </w:p>
    <w:p>
      <w:pPr>
        <w:ind w:firstLine="482"/>
        <w:outlineLvl w:val="1"/>
        <w:rPr>
          <w:rFonts w:ascii="Arial Narrow" w:hAnsi="Arial Narrow" w:cs="Arial Narrow"/>
          <w:b/>
        </w:rPr>
      </w:pPr>
      <w:bookmarkStart w:id="76" w:name="_Toc513817459"/>
      <w:r>
        <w:rPr>
          <w:rFonts w:ascii="Arial Narrow" w:hAnsi="Arial Narrow" w:cs="Arial Narrow"/>
          <w:b/>
        </w:rPr>
        <w:t>（三）项目产出（3</w:t>
      </w:r>
      <w:r>
        <w:rPr>
          <w:rFonts w:hint="eastAsia" w:ascii="Arial Narrow" w:hAnsi="Arial Narrow" w:cs="Arial Narrow"/>
          <w:b/>
        </w:rPr>
        <w:t>3</w:t>
      </w:r>
      <w:r>
        <w:rPr>
          <w:rFonts w:ascii="Arial Narrow" w:hAnsi="Arial Narrow" w:cs="Arial Narrow"/>
          <w:b/>
        </w:rPr>
        <w:t>分）</w:t>
      </w:r>
      <w:bookmarkEnd w:id="72"/>
      <w:bookmarkEnd w:id="76"/>
    </w:p>
    <w:p>
      <w:pPr>
        <w:snapToGrid w:val="0"/>
        <w:ind w:firstLine="480"/>
        <w:rPr>
          <w:rFonts w:ascii="Arial Narrow" w:hAnsi="Arial Narrow" w:cs="Arial Narrow"/>
        </w:rPr>
      </w:pPr>
      <w:bookmarkStart w:id="77" w:name="_Toc394490602"/>
      <w:bookmarkStart w:id="78" w:name="_Toc394181015"/>
      <w:r>
        <w:rPr>
          <w:rFonts w:ascii="Arial Narrow" w:hAnsi="Arial Narrow" w:cs="Arial Narrow"/>
        </w:rPr>
        <w:t>根据评价原则，项目产出评价得分为</w:t>
      </w:r>
      <w:r>
        <w:rPr>
          <w:rFonts w:hint="eastAsia" w:ascii="Arial Narrow" w:hAnsi="Arial Narrow" w:cs="Arial Narrow"/>
        </w:rPr>
        <w:t>29.5</w:t>
      </w:r>
      <w:r>
        <w:rPr>
          <w:rFonts w:ascii="Arial Narrow" w:hAnsi="Arial Narrow" w:cs="Arial Narrow"/>
        </w:rPr>
        <w:t>分，评价结果为</w:t>
      </w:r>
      <w:r>
        <w:rPr>
          <w:rFonts w:hint="eastAsia" w:ascii="Arial Narrow" w:hAnsi="Arial Narrow" w:cs="Arial Narrow"/>
        </w:rPr>
        <w:t>良</w:t>
      </w:r>
      <w:r>
        <w:rPr>
          <w:rFonts w:ascii="Arial Narrow" w:hAnsi="Arial Narrow" w:cs="Arial Narrow"/>
        </w:rPr>
        <w:t>。</w:t>
      </w:r>
      <w:bookmarkEnd w:id="77"/>
      <w:bookmarkEnd w:id="78"/>
    </w:p>
    <w:p>
      <w:pPr>
        <w:snapToGrid w:val="0"/>
        <w:ind w:firstLine="480"/>
        <w:jc w:val="center"/>
        <w:rPr>
          <w:rFonts w:ascii="Arial Narrow" w:hAnsi="Arial Narrow" w:cs="Arial Narrow"/>
        </w:rPr>
      </w:pPr>
      <w:r>
        <w:drawing>
          <wp:inline distT="0" distB="0" distL="0" distR="0">
            <wp:extent cx="4572000" cy="27432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bookmarkEnd w:id="73"/>
    <w:bookmarkEnd w:id="74"/>
    <w:bookmarkEnd w:id="75"/>
    <w:p>
      <w:pPr>
        <w:snapToGrid w:val="0"/>
        <w:ind w:firstLine="480"/>
        <w:rPr>
          <w:rFonts w:ascii="Arial Narrow" w:hAnsi="Arial Narrow" w:cs="Arial Narrow"/>
        </w:rPr>
      </w:pPr>
      <w:bookmarkStart w:id="79" w:name="_Toc394181022"/>
      <w:bookmarkStart w:id="80" w:name="_Toc361304701"/>
      <w:bookmarkStart w:id="81" w:name="_Toc406668051"/>
      <w:bookmarkStart w:id="82" w:name="_Toc361302038"/>
      <w:bookmarkStart w:id="83" w:name="_Toc387957826"/>
      <w:bookmarkStart w:id="84" w:name="_Toc406666377"/>
      <w:r>
        <w:rPr>
          <w:rFonts w:ascii="Arial Narrow" w:hAnsi="Arial Narrow" w:cs="Arial Narrow"/>
        </w:rPr>
        <w:t>产出指标主要从项目的</w:t>
      </w:r>
      <w:r>
        <w:rPr>
          <w:rFonts w:hint="eastAsia" w:ascii="Arial Narrow" w:hAnsi="Arial Narrow" w:cs="Arial Narrow"/>
        </w:rPr>
        <w:t>协税工作人员到岗率、税收</w:t>
      </w:r>
      <w:r>
        <w:rPr>
          <w:rFonts w:ascii="Arial Narrow" w:hAnsi="Arial Narrow" w:cs="Arial Narrow"/>
        </w:rPr>
        <w:t>完成率</w:t>
      </w:r>
      <w:r>
        <w:rPr>
          <w:rFonts w:hint="eastAsia" w:ascii="Arial Narrow" w:hAnsi="Arial Narrow" w:cs="Arial Narrow"/>
        </w:rPr>
        <w:t>、税收增长率、税源户信息完整度、完成及时率、资金使用率</w:t>
      </w:r>
      <w:r>
        <w:rPr>
          <w:rFonts w:ascii="Arial Narrow" w:hAnsi="Arial Narrow" w:cs="Arial Narrow"/>
        </w:rPr>
        <w:t>这</w:t>
      </w:r>
      <w:r>
        <w:rPr>
          <w:rFonts w:hint="eastAsia" w:ascii="Arial Narrow" w:hAnsi="Arial Narrow" w:cs="Arial Narrow"/>
        </w:rPr>
        <w:t>六</w:t>
      </w:r>
      <w:r>
        <w:rPr>
          <w:rFonts w:ascii="Arial Narrow" w:hAnsi="Arial Narrow" w:cs="Arial Narrow"/>
        </w:rPr>
        <w:t>个方面来进行评价。对于该项的评价，评价小组主要采取了案卷研究、访谈等方式进行资料收集、整理和分析，收集了项目具体实施单位的项目</w:t>
      </w:r>
      <w:r>
        <w:rPr>
          <w:rFonts w:hint="eastAsia" w:ascii="Arial Narrow" w:hAnsi="Arial Narrow" w:cs="Arial Narrow"/>
        </w:rPr>
        <w:t>资金使用情况表</w:t>
      </w:r>
      <w:r>
        <w:rPr>
          <w:rFonts w:ascii="Arial Narrow" w:hAnsi="Arial Narrow" w:cs="Arial Narrow"/>
        </w:rPr>
        <w:t>、预算批复文件及验收资料、资金支出明细账等资料，对项目产出涉及的指标进行打分和评价。经过综合计分，产出指标得分为</w:t>
      </w:r>
      <w:r>
        <w:rPr>
          <w:rFonts w:hint="eastAsia" w:ascii="Arial Narrow" w:hAnsi="Arial Narrow" w:cs="Arial Narrow"/>
        </w:rPr>
        <w:t>29.5</w:t>
      </w:r>
      <w:r>
        <w:rPr>
          <w:rFonts w:ascii="Arial Narrow" w:hAnsi="Arial Narrow" w:cs="Arial Narrow"/>
        </w:rPr>
        <w:t>分，评价等级为</w:t>
      </w:r>
      <w:r>
        <w:rPr>
          <w:rFonts w:hint="eastAsia" w:ascii="Arial Narrow" w:hAnsi="Arial Narrow" w:cs="Arial Narrow"/>
        </w:rPr>
        <w:t>良</w:t>
      </w:r>
      <w:r>
        <w:rPr>
          <w:rFonts w:ascii="Arial Narrow" w:hAnsi="Arial Narrow" w:cs="Arial Narrow"/>
        </w:rPr>
        <w:t>。</w:t>
      </w:r>
    </w:p>
    <w:p>
      <w:pPr>
        <w:numPr>
          <w:ilvl w:val="0"/>
          <w:numId w:val="2"/>
        </w:numPr>
        <w:snapToGrid w:val="0"/>
        <w:ind w:firstLine="480" w:firstLineChars="0"/>
        <w:rPr>
          <w:rFonts w:ascii="Arial Narrow" w:hAnsi="Arial Narrow" w:cs="Arial Narrow"/>
        </w:rPr>
      </w:pPr>
      <w:r>
        <w:rPr>
          <w:rFonts w:hint="eastAsia" w:ascii="Arial Narrow" w:hAnsi="Arial Narrow" w:cs="Arial Narrow"/>
        </w:rPr>
        <w:t>协税工作人员到岗率，项目实施后，协税站点工作人员到岗率，用以考核和反映项目的完成情况。协税工作人员共3人，按照街道考勤制度上班指纹打卡，未有迟到早退情况。</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收完成率，项目实施后，实际税收总额与计划完成情况对比，用以考核和反映项目数量目标的实现程度。项目实施单位当年的税收目标是200万元，实际税收金额为206万元，税收完成率为103%，根据评分标准，不扣分。</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税收增长率，指项目实施后，相较于上年零散税征收额的增长情况，用以反映和考核项目的完成情况。</w:t>
      </w:r>
      <w:r>
        <w:rPr>
          <w:rFonts w:ascii="Arial Narrow" w:hAnsi="Arial Narrow" w:cs="Arial Narrow"/>
        </w:rPr>
        <w:t>评价小组</w:t>
      </w:r>
      <w:r>
        <w:rPr>
          <w:rFonts w:hint="eastAsia" w:ascii="Arial Narrow" w:hAnsi="Arial Narrow" w:cs="Arial Narrow"/>
        </w:rPr>
        <w:t>通过访谈了解，项目实施单位在2016年收取零散税235万元，2017年收取零散税206万元，税收增长率为-12.34%，根据评分标准，扣0.5分。</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源户信息完整度，指税源户信息采集全面、完整，建立税源户台账，数据及时更新，保证数据信息真实，用以反映和考核项目的工作管理情况。评价小组通过与项目负责人沟通，了解到项目实施单位的税源户信息都是通过金三税务系统进行台账管理，相关信息真实完整，而对于新户的数据信息更新需要通过专管员定税，定好税后信息传达下来就能够及时更新数据。</w:t>
      </w:r>
    </w:p>
    <w:p>
      <w:pPr>
        <w:numPr>
          <w:ilvl w:val="0"/>
          <w:numId w:val="2"/>
        </w:numPr>
        <w:snapToGrid w:val="0"/>
        <w:ind w:firstLine="480" w:firstLineChars="0"/>
        <w:rPr>
          <w:rFonts w:ascii="Arial Narrow" w:hAnsi="Arial Narrow" w:cs="Arial Narrow"/>
        </w:rPr>
      </w:pPr>
      <w:r>
        <w:rPr>
          <w:rFonts w:ascii="Arial Narrow" w:hAnsi="Arial Narrow" w:cs="Arial Narrow"/>
        </w:rPr>
        <w:t>完成及时率，指项目实际提前完成时间与计划完成时间的比率，用以反映和考核项目产出时效目标的实现程度。评价小组</w:t>
      </w:r>
      <w:r>
        <w:rPr>
          <w:rFonts w:hint="eastAsia" w:ascii="Arial Narrow" w:hAnsi="Arial Narrow" w:cs="Arial Narrow"/>
        </w:rPr>
        <w:t>通过访谈，协税护税工作主要是对个体工商户和房屋出租户进行征管，个体户按月完成，房租户按年完成。</w:t>
      </w:r>
    </w:p>
    <w:p>
      <w:pPr>
        <w:numPr>
          <w:ilvl w:val="0"/>
          <w:numId w:val="2"/>
        </w:numPr>
        <w:snapToGrid w:val="0"/>
        <w:ind w:firstLine="480" w:firstLineChars="0"/>
        <w:rPr>
          <w:rFonts w:ascii="Arial Narrow" w:hAnsi="Arial Narrow" w:cs="Arial Narrow"/>
        </w:rPr>
      </w:pPr>
      <w:r>
        <w:rPr>
          <w:rFonts w:hint="eastAsia" w:ascii="Arial Narrow" w:hAnsi="Arial Narrow" w:cs="Arial Narrow"/>
        </w:rPr>
        <w:t>资金使用</w:t>
      </w:r>
      <w:r>
        <w:rPr>
          <w:rFonts w:ascii="Arial Narrow" w:hAnsi="Arial Narrow" w:cs="Arial Narrow"/>
        </w:rPr>
        <w:t>率，指项目实施过程中，项目资金是否按照预算及绩效目标进行合理控制，用以反映项目的产出成本。</w:t>
      </w:r>
      <w:r>
        <w:rPr>
          <w:rFonts w:hint="eastAsia" w:ascii="Arial Narrow" w:hAnsi="Arial Narrow" w:cs="Arial Narrow"/>
        </w:rPr>
        <w:t>项目实际支出金额为19.26万元，项目计划支出额为30万元，资金使用率为64.2%，扣3分。</w:t>
      </w:r>
      <w:r>
        <w:rPr>
          <w:rFonts w:ascii="Arial Narrow" w:hAnsi="Arial Narrow" w:cs="Arial Narrow"/>
        </w:rPr>
        <w:t xml:space="preserve"> </w:t>
      </w:r>
    </w:p>
    <w:p>
      <w:pPr>
        <w:numPr>
          <w:ilvl w:val="0"/>
          <w:numId w:val="3"/>
        </w:numPr>
        <w:ind w:firstLine="482"/>
        <w:outlineLvl w:val="1"/>
        <w:rPr>
          <w:rFonts w:ascii="Arial Narrow" w:hAnsi="Arial Narrow" w:cs="Arial Narrow"/>
          <w:b/>
        </w:rPr>
      </w:pPr>
      <w:bookmarkStart w:id="85" w:name="_Toc513817460"/>
      <w:r>
        <w:rPr>
          <w:rFonts w:ascii="Arial Narrow" w:hAnsi="Arial Narrow" w:cs="Arial Narrow"/>
          <w:b/>
        </w:rPr>
        <w:t>项目效果（3</w:t>
      </w:r>
      <w:r>
        <w:rPr>
          <w:rFonts w:hint="eastAsia" w:ascii="Arial Narrow" w:hAnsi="Arial Narrow" w:cs="Arial Narrow"/>
          <w:b/>
        </w:rPr>
        <w:t>7</w:t>
      </w:r>
      <w:r>
        <w:rPr>
          <w:rFonts w:ascii="Arial Narrow" w:hAnsi="Arial Narrow" w:cs="Arial Narrow"/>
          <w:b/>
        </w:rPr>
        <w:t>分）</w:t>
      </w:r>
      <w:bookmarkEnd w:id="85"/>
    </w:p>
    <w:p>
      <w:pPr>
        <w:snapToGrid w:val="0"/>
        <w:ind w:firstLine="480"/>
        <w:rPr>
          <w:rFonts w:ascii="Arial Narrow" w:hAnsi="Arial Narrow" w:cs="Arial Narrow"/>
          <w:b/>
        </w:rPr>
      </w:pPr>
      <w:r>
        <w:rPr>
          <w:rFonts w:ascii="Arial Narrow" w:hAnsi="Arial Narrow" w:cs="Arial Narrow"/>
        </w:rPr>
        <w:t>根据评价原则，项目效果评价得分为3</w:t>
      </w:r>
      <w:r>
        <w:rPr>
          <w:rFonts w:hint="eastAsia" w:ascii="Arial Narrow" w:hAnsi="Arial Narrow" w:cs="Arial Narrow"/>
        </w:rPr>
        <w:t>4</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p>
    <w:p>
      <w:pPr>
        <w:snapToGrid w:val="0"/>
        <w:ind w:firstLine="0" w:firstLineChars="0"/>
        <w:jc w:val="center"/>
        <w:rPr>
          <w:rFonts w:ascii="Arial Narrow" w:hAnsi="Arial Narrow" w:cs="Arial Narrow"/>
        </w:rPr>
      </w:pPr>
      <w:r>
        <w:drawing>
          <wp:inline distT="0" distB="0" distL="0" distR="0">
            <wp:extent cx="4572000" cy="27432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napToGrid w:val="0"/>
        <w:ind w:firstLine="480"/>
        <w:rPr>
          <w:rFonts w:ascii="Arial Narrow" w:hAnsi="Arial Narrow" w:cs="Arial Narrow"/>
        </w:rPr>
      </w:pPr>
      <w:r>
        <w:rPr>
          <w:rFonts w:ascii="Arial Narrow" w:hAnsi="Arial Narrow" w:cs="Arial Narrow"/>
        </w:rPr>
        <w:t>效果方面主要评价</w:t>
      </w:r>
      <w:r>
        <w:rPr>
          <w:rFonts w:hint="eastAsia" w:ascii="Arial Narrow" w:hAnsi="Arial Narrow" w:cs="Arial Narrow"/>
        </w:rPr>
        <w:t>项目税收投入乘数、税收增长率、协税工作综合效益、涉税政策业务指导、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行资料收集、整理和分析，查看了项目实施单位工作台帐及资金计划审批表等，对项目相关负责人进行访谈了解项目实施单位组织结构及人员分工，并通过调查问卷的方式来采集相关信息，对项目效果涉及的指标进行打分和评价。</w:t>
      </w:r>
      <w:r>
        <w:rPr>
          <w:rFonts w:ascii="Arial Narrow" w:hAnsi="Arial Narrow" w:cs="Arial Narrow"/>
        </w:rPr>
        <w:t>经过综合计分，效果指标得分为</w:t>
      </w:r>
      <w:r>
        <w:rPr>
          <w:rFonts w:hint="eastAsia" w:ascii="Arial Narrow" w:hAnsi="Arial Narrow" w:cs="Arial Narrow"/>
        </w:rPr>
        <w:t>34</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1、</w:t>
      </w:r>
      <w:r>
        <w:rPr>
          <w:rFonts w:hint="eastAsia" w:ascii="Arial Narrow" w:hAnsi="Arial Narrow" w:cs="Arial Narrow"/>
        </w:rPr>
        <w:t>税收投入乘数，指项目实施中所收取的税收金额与项目实施单位开展工作投入资金之比，用以反映项目的经济效益。</w:t>
      </w:r>
      <w:r>
        <w:rPr>
          <w:rFonts w:ascii="Arial Narrow" w:hAnsi="Arial Narrow" w:cs="Arial Narrow"/>
        </w:rPr>
        <w:t>评价小组通过查看</w:t>
      </w:r>
      <w:r>
        <w:rPr>
          <w:rFonts w:hint="eastAsia" w:ascii="Arial Narrow" w:hAnsi="Arial Narrow" w:cs="Arial Narrow"/>
        </w:rPr>
        <w:t>2017年黄鹤楼街协税工作总结及上年资料了解到，17年实际收取的税收金额为206万元，开展工作投入资金19.26万元，税收投入乘数为10.7，去年税收投入乘数为11.25，根据评分标准，扣0.5分。</w:t>
      </w:r>
    </w:p>
    <w:p>
      <w:pPr>
        <w:snapToGrid w:val="0"/>
        <w:ind w:firstLine="480"/>
        <w:rPr>
          <w:rFonts w:ascii="Arial Narrow" w:hAnsi="Arial Narrow" w:cs="Arial Narrow"/>
        </w:rPr>
      </w:pPr>
      <w:r>
        <w:rPr>
          <w:rFonts w:hint="eastAsia" w:ascii="Arial Narrow" w:hAnsi="Arial Narrow" w:cs="Arial Narrow"/>
        </w:rPr>
        <w:t>2、工作作风与服务意识，指项目实施中，协税工作人员是否存在违法、工作作风不廉洁的行为，工作过程中态度是否良好，用以反映和考核项目的质量。</w:t>
      </w:r>
      <w:r>
        <w:rPr>
          <w:rFonts w:ascii="Arial Narrow" w:hAnsi="Arial Narrow" w:cs="Arial Narrow"/>
        </w:rPr>
        <w:t>评价小组</w:t>
      </w:r>
      <w:r>
        <w:rPr>
          <w:rFonts w:hint="eastAsia" w:ascii="Arial Narrow" w:hAnsi="Arial Narrow" w:cs="Arial Narrow"/>
        </w:rPr>
        <w:t>通过双评系统及发放问卷了解到协税工作人员不存在违法、工作作风不廉洁的行为。</w:t>
      </w:r>
    </w:p>
    <w:p>
      <w:pPr>
        <w:snapToGrid w:val="0"/>
        <w:ind w:firstLine="480"/>
        <w:rPr>
          <w:rFonts w:ascii="Arial Narrow" w:hAnsi="Arial Narrow" w:cs="Arial Narrow"/>
        </w:rPr>
      </w:pPr>
      <w:r>
        <w:rPr>
          <w:rFonts w:hint="eastAsia" w:ascii="Arial Narrow" w:hAnsi="Arial Narrow" w:cs="Arial Narrow"/>
        </w:rPr>
        <w:t>3、协税工作综合效益，指项目实施中，实施单位是否加强零散税征收工作，杜绝漏征、漏管，为纳税人服务，制造良好的纳税氛围以及全年有无纳税人投诉。通过访谈，协税工作人员严格按照《黄鹤楼街协税护税工作人员的职责》等相关要求执行征税工作，对应纳税款催报催存催缴，协助主管税务机关核定纳税人的纳税额，全年无投诉记录，对于已登记的纳税人能够杜绝漏征漏管现象，但对个人出租房屋部分无法完全杜绝漏征漏管现象，扣0.5分。</w:t>
      </w:r>
    </w:p>
    <w:p>
      <w:pPr>
        <w:snapToGrid w:val="0"/>
        <w:ind w:firstLine="480"/>
        <w:rPr>
          <w:rFonts w:ascii="Arial Narrow" w:hAnsi="Arial Narrow" w:cs="Arial Narrow"/>
        </w:rPr>
      </w:pPr>
      <w:r>
        <w:rPr>
          <w:rFonts w:hint="eastAsia" w:ascii="Arial Narrow" w:hAnsi="Arial Narrow" w:cs="Arial Narrow"/>
        </w:rPr>
        <w:t>4、涉税政策业务指导，指项目实施单位是否为辖区从事生产经营的纳税人提供政策宣传、业务咨询等服务，为纳税人办理涉税事项提供业务指导。通过访谈了解，项目实施单位采取在办税窗口发放电子税务局宣传手册，社区设置易拉宝等方式进行宣传，但宣传方式有限，宣传力度不大，扣1分。</w:t>
      </w:r>
    </w:p>
    <w:p>
      <w:pPr>
        <w:snapToGrid w:val="0"/>
        <w:ind w:firstLine="480"/>
        <w:rPr>
          <w:rFonts w:ascii="Arial Narrow" w:hAnsi="Arial Narrow" w:cs="Arial Narrow"/>
        </w:rPr>
      </w:pPr>
      <w:r>
        <w:rPr>
          <w:rFonts w:hint="eastAsia" w:ascii="Arial Narrow" w:hAnsi="Arial Narrow" w:cs="Arial Narrow"/>
        </w:rPr>
        <w:t>5、</w:t>
      </w:r>
      <w:r>
        <w:rPr>
          <w:rFonts w:ascii="Arial Narrow" w:hAnsi="Arial Narrow" w:cs="Arial Narrow"/>
        </w:rPr>
        <w:t>可持续影响，指项目实施单位是否支持项目长期运行，是否有相关的管理机构及人力资源满足项目实施的要求，用以反映和考核项目的可持续性。评价小组通过访谈了解到</w:t>
      </w:r>
      <w:r>
        <w:rPr>
          <w:rFonts w:hint="eastAsia" w:ascii="Arial Narrow" w:hAnsi="Arial Narrow" w:cs="Arial Narrow"/>
        </w:rPr>
        <w:t>项目实施单位区域发展办下设协税工作小组，人员职责明确，但通过访谈了解到实际工作中人员配备仍不够充足，外勤人员还需兼顾国税局相关工作，扣1分。</w:t>
      </w:r>
    </w:p>
    <w:p>
      <w:pPr>
        <w:snapToGrid w:val="0"/>
        <w:ind w:firstLine="480"/>
        <w:rPr>
          <w:rFonts w:ascii="Arial Narrow" w:hAnsi="Arial Narrow" w:cs="Arial Narrow"/>
        </w:rPr>
      </w:pPr>
      <w:r>
        <w:rPr>
          <w:rFonts w:hint="eastAsia" w:ascii="Arial Narrow" w:hAnsi="Arial Narrow" w:cs="Arial Narrow"/>
        </w:rPr>
        <w:t>6、</w:t>
      </w:r>
      <w:r>
        <w:rPr>
          <w:rFonts w:ascii="Arial Narrow" w:hAnsi="Arial Narrow" w:cs="Arial Narrow"/>
        </w:rPr>
        <w:t>服务对象满意度，指服务对象对项目实施效果的满意程度。</w:t>
      </w:r>
      <w:bookmarkEnd w:id="79"/>
      <w:bookmarkStart w:id="86" w:name="_Toc17932"/>
      <w:r>
        <w:rPr>
          <w:rFonts w:hint="eastAsia" w:ascii="Arial Narrow" w:hAnsi="Arial Narrow" w:cs="Arial Narrow"/>
        </w:rPr>
        <w:t>评价小组对在黄鹤楼街道办代开发票及纳税人中发放15份问卷，其中15人均表示对协税员的工作态度感到满意。</w:t>
      </w:r>
    </w:p>
    <w:p>
      <w:pPr>
        <w:snapToGrid w:val="0"/>
        <w:ind w:firstLine="482"/>
        <w:outlineLvl w:val="0"/>
        <w:rPr>
          <w:rFonts w:ascii="Arial Narrow" w:hAnsi="Arial Narrow" w:cs="Arial Narrow"/>
          <w:b/>
          <w:bCs/>
        </w:rPr>
      </w:pPr>
      <w:bookmarkStart w:id="87" w:name="_Toc513817461"/>
      <w:r>
        <w:rPr>
          <w:rFonts w:hint="eastAsia" w:ascii="Arial Narrow" w:hAnsi="Arial Narrow" w:cs="Arial Narrow"/>
          <w:b/>
          <w:bCs/>
        </w:rPr>
        <w:t>四、</w:t>
      </w:r>
      <w:r>
        <w:rPr>
          <w:rFonts w:ascii="Arial Narrow" w:hAnsi="Arial Narrow" w:cs="Arial Narrow"/>
          <w:b/>
          <w:bCs/>
        </w:rPr>
        <w:t>评价结论</w:t>
      </w:r>
      <w:bookmarkEnd w:id="80"/>
      <w:bookmarkEnd w:id="81"/>
      <w:bookmarkEnd w:id="82"/>
      <w:bookmarkEnd w:id="83"/>
      <w:bookmarkEnd w:id="84"/>
      <w:bookmarkEnd w:id="86"/>
      <w:bookmarkEnd w:id="87"/>
      <w:bookmarkStart w:id="88" w:name="_Toc361302039"/>
      <w:bookmarkStart w:id="89" w:name="_Toc361304702"/>
    </w:p>
    <w:bookmarkEnd w:id="88"/>
    <w:bookmarkEnd w:id="89"/>
    <w:p>
      <w:pPr>
        <w:snapToGrid w:val="0"/>
        <w:ind w:firstLine="482"/>
        <w:outlineLvl w:val="1"/>
        <w:rPr>
          <w:rFonts w:ascii="Arial Narrow" w:hAnsi="Arial Narrow" w:cs="Arial Narrow"/>
          <w:b/>
          <w:bCs/>
        </w:rPr>
      </w:pPr>
      <w:bookmarkStart w:id="90" w:name="_Toc513817462"/>
      <w:r>
        <w:rPr>
          <w:rFonts w:hint="eastAsia" w:ascii="Arial Narrow" w:hAnsi="Arial Narrow" w:cs="Arial Narrow"/>
          <w:b/>
          <w:bCs/>
        </w:rPr>
        <w:t>（一）</w:t>
      </w:r>
      <w:r>
        <w:rPr>
          <w:rFonts w:ascii="Arial Narrow" w:hAnsi="Arial Narrow" w:cs="Arial Narrow"/>
          <w:b/>
          <w:bCs/>
        </w:rPr>
        <w:t>评分结果</w:t>
      </w:r>
      <w:bookmarkEnd w:id="90"/>
    </w:p>
    <w:p>
      <w:pPr>
        <w:snapToGrid w:val="0"/>
        <w:ind w:firstLine="480"/>
        <w:rPr>
          <w:rFonts w:ascii="Arial Narrow" w:hAnsi="Arial Narrow" w:cs="Arial Narrow"/>
        </w:rPr>
      </w:pPr>
      <w:bookmarkStart w:id="91" w:name="_Toc387957829"/>
      <w:bookmarkStart w:id="92" w:name="_Toc361304705"/>
      <w:bookmarkStart w:id="93" w:name="_Toc406666380"/>
      <w:bookmarkStart w:id="94" w:name="_Toc406668054"/>
      <w:r>
        <w:rPr>
          <w:rFonts w:hint="eastAsia" w:ascii="Arial Narrow" w:hAnsi="Arial Narrow" w:cs="Arial Narrow"/>
        </w:rPr>
        <w:t>“协税工作经费”绩效评价得分为92.5分，评价结果为优。</w:t>
      </w:r>
      <w:r>
        <w:rPr>
          <w:rFonts w:ascii="Arial Narrow" w:hAnsi="Arial Narrow" w:cs="Arial Narrow"/>
        </w:rPr>
        <w:t>下图为各指标得分情况：</w:t>
      </w:r>
    </w:p>
    <w:p>
      <w:pPr>
        <w:snapToGrid w:val="0"/>
        <w:ind w:firstLine="480"/>
        <w:jc w:val="center"/>
        <w:rPr>
          <w:rFonts w:ascii="Arial Narrow" w:hAnsi="Arial Narrow" w:cs="Arial Narrow"/>
        </w:rPr>
      </w:pPr>
      <w:r>
        <w:drawing>
          <wp:inline distT="0" distB="0" distL="0" distR="0">
            <wp:extent cx="45720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napToGrid w:val="0"/>
        <w:ind w:firstLine="482"/>
        <w:outlineLvl w:val="1"/>
        <w:rPr>
          <w:rFonts w:ascii="Arial Narrow" w:hAnsi="Arial Narrow" w:cs="Arial Narrow"/>
          <w:b/>
          <w:bCs/>
        </w:rPr>
      </w:pPr>
      <w:bookmarkStart w:id="95" w:name="_Toc513817463"/>
      <w:r>
        <w:rPr>
          <w:rFonts w:hint="eastAsia" w:ascii="Arial Narrow" w:hAnsi="Arial Narrow" w:cs="Arial Narrow"/>
          <w:b/>
          <w:bCs/>
        </w:rPr>
        <w:t>（二）主要结论</w:t>
      </w:r>
      <w:bookmarkEnd w:id="95"/>
    </w:p>
    <w:p>
      <w:pPr>
        <w:snapToGrid w:val="0"/>
        <w:ind w:firstLine="480"/>
        <w:rPr>
          <w:rFonts w:ascii="Arial Narrow" w:hAnsi="Arial Narrow" w:cs="Arial Narrow"/>
        </w:rPr>
      </w:pPr>
      <w:bookmarkStart w:id="96" w:name="_Toc14373"/>
      <w:r>
        <w:rPr>
          <w:rFonts w:hint="eastAsia" w:ascii="Arial Narrow" w:hAnsi="Arial Narrow" w:cs="Arial Narrow"/>
        </w:rPr>
        <w:t>1、投入。项目投入评价得分为10分，评价等级为优。项目投入分为项目立项和资金落实两个方面，根据《区人民政府办公室关于进一步做好地方零散税收协助管理工作的通知》</w:t>
      </w:r>
      <w:r>
        <w:rPr>
          <w:rFonts w:ascii="Arial Narrow" w:hAnsi="Arial Narrow" w:cs="Arial Narrow"/>
        </w:rPr>
        <w:t>和《</w:t>
      </w:r>
      <w:r>
        <w:rPr>
          <w:rFonts w:hint="eastAsia" w:ascii="Arial Narrow" w:hAnsi="Arial Narrow" w:cs="Arial Narrow"/>
        </w:rPr>
        <w:t>关于武昌区人民政府黄鹤楼街办事处2017年部门预算的批复</w:t>
      </w:r>
      <w:r>
        <w:rPr>
          <w:rFonts w:ascii="Arial Narrow" w:hAnsi="Arial Narrow" w:cs="Arial Narrow"/>
        </w:rPr>
        <w:t>》</w:t>
      </w:r>
      <w:r>
        <w:rPr>
          <w:rFonts w:hint="eastAsia" w:ascii="Arial Narrow" w:hAnsi="Arial Narrow" w:cs="Arial Narrow"/>
        </w:rPr>
        <w:t>了解到，项目符合申报条件，申报、批复程序符合相关管理办法；通过税收目标值对项目产出方面制定了绩效指标，指标清晰可衡量；项目资金能全部及时到位。</w:t>
      </w:r>
    </w:p>
    <w:p>
      <w:pPr>
        <w:snapToGrid w:val="0"/>
        <w:ind w:firstLine="480"/>
        <w:jc w:val="left"/>
        <w:rPr>
          <w:rFonts w:ascii="Arial Narrow" w:hAnsi="Arial Narrow" w:cs="Arial Narrow"/>
          <w:color w:val="FF0000"/>
        </w:rPr>
      </w:pPr>
      <w:r>
        <w:rPr>
          <w:rFonts w:hint="eastAsia" w:ascii="Arial Narrow" w:hAnsi="Arial Narrow" w:cs="Arial Narrow"/>
        </w:rPr>
        <w:t>2、过程。项目过程评价得分为19分，评价等级为优。项目过程分为业务管理和财务管理两个方面。业务管理方面，项目实施单位主要参考武昌区协税工作管理制度开展工作，制定了协税工作人员考核办法规范管理，业务制度合法合规；项目实施能够遵守相关业务管理规定。财务管理方面，项目实施单位财务管理制度健全，符合相关财务会计制度，财务管理制度中明确了资金报销流程及审批程序，确保资金的规范使用，但今年存在一笔拨新洲区三店街的精准扶贫资金计入了协税工作经费支出，财务核算不太规范。</w:t>
      </w:r>
    </w:p>
    <w:p>
      <w:pPr>
        <w:snapToGrid w:val="0"/>
        <w:ind w:firstLine="480"/>
        <w:jc w:val="left"/>
        <w:rPr>
          <w:rFonts w:ascii="Arial Narrow" w:hAnsi="Arial Narrow" w:cs="Arial Narrow"/>
        </w:rPr>
      </w:pPr>
      <w:r>
        <w:rPr>
          <w:rFonts w:hint="eastAsia" w:ascii="Arial Narrow" w:hAnsi="Arial Narrow" w:cs="Arial Narrow"/>
        </w:rPr>
        <w:t xml:space="preserve"> 3、产出。项目产出评价得分为29.5分，评价等级为良。协税工作主要是对个体工商户和房屋出租户进行纳税征管，工作贯穿整年，项目能够按时完成，且税源户信息完整度较高，协税工作人员到岗情况较好；年初税收计划完成200万，实际完成206万元，税收完成率为103%，但税收增长率有所下降，为-12.34%，协税工作经费项目资金使用率也不太高，仅为64.2%。</w:t>
      </w:r>
    </w:p>
    <w:p>
      <w:pPr>
        <w:snapToGrid w:val="0"/>
        <w:ind w:firstLine="480"/>
        <w:jc w:val="left"/>
        <w:rPr>
          <w:rFonts w:ascii="Arial Narrow" w:hAnsi="Arial Narrow" w:cs="Arial Narrow"/>
          <w:color w:val="FF0000"/>
        </w:rPr>
      </w:pPr>
      <w:r>
        <w:rPr>
          <w:rFonts w:hint="eastAsia" w:ascii="Arial Narrow" w:hAnsi="Arial Narrow" w:cs="Arial Narrow"/>
        </w:rPr>
        <w:t>4、效果。项目效果评价得分为34分，评价等级为优。税收宣传方面主要通过在办税窗口发放电子税务局宣传手册，社区设置易拉宝等方式进行宣传；协税工作人员能够按照《黄鹤楼街协税护税工作人员的职责》等相关要求执行征税工作，但仍无法杜绝漏征漏管现象；税收投入乘数为10.7，较去年11.25有所下降,；可持续性方面，项目实施单位有机构设置及人力资源支持项目的后续运行，但人员配备方面仍存在不足；项目工作人员工作作风与服务意识较好，无违法不廉洁行为；服务对象满意度为100%。</w:t>
      </w:r>
    </w:p>
    <w:p>
      <w:pPr>
        <w:snapToGrid w:val="0"/>
        <w:ind w:firstLine="482"/>
        <w:jc w:val="left"/>
        <w:outlineLvl w:val="0"/>
        <w:rPr>
          <w:rFonts w:ascii="Arial Narrow" w:hAnsi="Arial Narrow" w:cs="Arial Narrow"/>
          <w:b/>
        </w:rPr>
      </w:pPr>
      <w:bookmarkStart w:id="97" w:name="_Toc513817464"/>
      <w:r>
        <w:rPr>
          <w:rFonts w:hint="eastAsia" w:ascii="Arial Narrow" w:hAnsi="Arial Narrow" w:cs="Arial Narrow"/>
          <w:b/>
        </w:rPr>
        <w:t>五</w:t>
      </w:r>
      <w:r>
        <w:rPr>
          <w:rFonts w:ascii="Arial Narrow" w:hAnsi="Arial Narrow" w:cs="Arial Narrow"/>
          <w:b/>
        </w:rPr>
        <w:t>、</w:t>
      </w:r>
      <w:bookmarkEnd w:id="91"/>
      <w:bookmarkEnd w:id="92"/>
      <w:bookmarkEnd w:id="93"/>
      <w:bookmarkEnd w:id="94"/>
      <w:r>
        <w:rPr>
          <w:rFonts w:ascii="Arial Narrow" w:hAnsi="Arial Narrow" w:cs="Arial Narrow"/>
          <w:b/>
        </w:rPr>
        <w:t>主要</w:t>
      </w:r>
      <w:r>
        <w:rPr>
          <w:rFonts w:hint="eastAsia" w:ascii="Arial Narrow" w:hAnsi="Arial Narrow" w:cs="Arial Narrow"/>
          <w:b/>
        </w:rPr>
        <w:t>经验</w:t>
      </w:r>
      <w:r>
        <w:rPr>
          <w:rFonts w:ascii="Arial Narrow" w:hAnsi="Arial Narrow" w:cs="Arial Narrow"/>
          <w:b/>
        </w:rPr>
        <w:t>及做法、存在的问题和建议</w:t>
      </w:r>
      <w:bookmarkEnd w:id="96"/>
      <w:bookmarkEnd w:id="97"/>
    </w:p>
    <w:p>
      <w:pPr>
        <w:snapToGrid w:val="0"/>
        <w:ind w:firstLine="482"/>
        <w:outlineLvl w:val="1"/>
        <w:rPr>
          <w:rFonts w:ascii="Arial Narrow" w:hAnsi="Arial Narrow" w:cs="Arial Narrow"/>
          <w:b/>
          <w:bCs/>
        </w:rPr>
      </w:pPr>
      <w:bookmarkStart w:id="98" w:name="_Toc361304706"/>
      <w:bookmarkStart w:id="99" w:name="_Toc27928"/>
      <w:bookmarkStart w:id="100" w:name="_Toc406668055"/>
      <w:bookmarkStart w:id="101" w:name="_Toc387957830"/>
      <w:bookmarkStart w:id="102" w:name="_Toc406666381"/>
      <w:bookmarkStart w:id="103" w:name="_Toc513390737"/>
      <w:bookmarkStart w:id="104" w:name="_Toc513817465"/>
      <w:r>
        <w:rPr>
          <w:rFonts w:ascii="Arial Narrow" w:hAnsi="Arial Narrow" w:cs="Arial Narrow"/>
          <w:b/>
          <w:bCs/>
        </w:rPr>
        <w:t>（一）主要经验及做法</w:t>
      </w:r>
      <w:bookmarkEnd w:id="98"/>
      <w:bookmarkEnd w:id="99"/>
      <w:bookmarkEnd w:id="100"/>
      <w:bookmarkEnd w:id="101"/>
      <w:bookmarkEnd w:id="102"/>
      <w:bookmarkEnd w:id="103"/>
      <w:bookmarkEnd w:id="104"/>
    </w:p>
    <w:p>
      <w:pPr>
        <w:snapToGrid w:val="0"/>
        <w:ind w:firstLine="480"/>
        <w:rPr>
          <w:rFonts w:ascii="Arial Narrow" w:hAnsi="Arial Narrow" w:cs="Arial Narrow"/>
        </w:rPr>
      </w:pPr>
      <w:bookmarkStart w:id="105" w:name="_Toc406668056"/>
      <w:bookmarkStart w:id="106" w:name="_Toc406666382"/>
      <w:bookmarkStart w:id="107" w:name="_Toc16696"/>
      <w:bookmarkStart w:id="108" w:name="_Toc513390738"/>
      <w:bookmarkStart w:id="109" w:name="_Toc513817466"/>
      <w:bookmarkStart w:id="110" w:name="_Toc387957833"/>
      <w:r>
        <w:rPr>
          <w:rFonts w:hint="eastAsia" w:ascii="Arial Narrow" w:hAnsi="Arial Narrow" w:cs="Arial Narrow"/>
        </w:rPr>
        <w:t>开展协税工作以来，黄鹤楼街税收服务站本着“抓大、控中、不放小”的税收征管原则，组织工商、税务、经发部、财政所、社区及协税人员对辖区内个体工商户全面摸排，健全台账。对两税部门核定的个体工商户全面落实到位、代征代管。对个人出租户，先进行调查，在确认其为纳税对象后，收集相关证据，然后下达限期改正通知书督促纳税人缴纳税款。</w:t>
      </w:r>
    </w:p>
    <w:p>
      <w:pPr>
        <w:snapToGrid w:val="0"/>
        <w:ind w:firstLine="482"/>
        <w:outlineLvl w:val="1"/>
        <w:rPr>
          <w:rFonts w:ascii="Arial Narrow" w:hAnsi="Arial Narrow" w:cs="Arial Narrow"/>
          <w:b/>
          <w:bCs/>
        </w:rPr>
      </w:pPr>
      <w:r>
        <w:rPr>
          <w:rFonts w:hint="eastAsia" w:ascii="Arial Narrow" w:hAnsi="Arial Narrow" w:cs="Arial Narrow"/>
          <w:b/>
          <w:bCs/>
        </w:rPr>
        <w:t>（二）</w:t>
      </w:r>
      <w:r>
        <w:rPr>
          <w:rFonts w:ascii="Arial Narrow" w:hAnsi="Arial Narrow" w:cs="Arial Narrow"/>
          <w:b/>
          <w:bCs/>
        </w:rPr>
        <w:t>存在的问题</w:t>
      </w:r>
      <w:bookmarkEnd w:id="105"/>
      <w:bookmarkEnd w:id="106"/>
      <w:bookmarkEnd w:id="107"/>
      <w:bookmarkEnd w:id="108"/>
      <w:bookmarkEnd w:id="109"/>
    </w:p>
    <w:p>
      <w:pPr>
        <w:snapToGrid w:val="0"/>
        <w:ind w:firstLine="480"/>
        <w:rPr>
          <w:rFonts w:ascii="Arial Narrow" w:hAnsi="Arial Narrow" w:cs="Arial Narrow"/>
        </w:rPr>
      </w:pPr>
      <w:bookmarkStart w:id="111" w:name="_Toc28128"/>
      <w:r>
        <w:rPr>
          <w:rFonts w:hint="eastAsia" w:ascii="Arial Narrow" w:hAnsi="Arial Narrow" w:cs="Arial Narrow"/>
        </w:rPr>
        <w:t>1、资金使用不够合理。协税工作主要应用于协税工作人员工资、税收宣传工作、日常工作经费等方面，但通过查阅资金使用明细账、翻阅凭证的过程中发现有一笔拨新洲区三店街的精准扶贫资金计入了协税工作经费支出中，资金使用不够合理，财务核算不太规范。</w:t>
      </w:r>
    </w:p>
    <w:p>
      <w:pPr>
        <w:snapToGrid w:val="0"/>
        <w:ind w:firstLine="480"/>
        <w:rPr>
          <w:rFonts w:ascii="Arial Narrow" w:hAnsi="Arial Narrow" w:cs="Arial Narrow"/>
        </w:rPr>
      </w:pPr>
      <w:r>
        <w:rPr>
          <w:rFonts w:hint="eastAsia" w:ascii="Arial Narrow" w:hAnsi="Arial Narrow" w:cs="Arial Narrow"/>
        </w:rPr>
        <w:t>2、资金使用率不高，税收增长率为负。2017年度财政拨付协税工作经费30万元，实际支出额为19.26万元，资金使用率仅为64.2%。同时，2016年收取零散税235万元，2017年收取零散税206万元，税收增长率为-12.34%，税收增长率呈现下降趋势，且税收投入乘数为10.7较去年11.25有所下降。</w:t>
      </w:r>
    </w:p>
    <w:p>
      <w:pPr>
        <w:snapToGrid w:val="0"/>
        <w:ind w:firstLine="480"/>
        <w:rPr>
          <w:rFonts w:ascii="Arial Narrow" w:hAnsi="Arial Narrow" w:cs="Arial Narrow"/>
        </w:rPr>
      </w:pPr>
      <w:r>
        <w:rPr>
          <w:rFonts w:hint="eastAsia" w:ascii="Arial Narrow" w:hAnsi="Arial Narrow" w:cs="Arial Narrow"/>
        </w:rPr>
        <w:t>3、人员配备不充足。项目实施单位设置了黄鹤楼街税务服务站，成立了以区域发展办公室主任为负责人的4人工作小组，人员职责分工比较明确。但协税工作人员不仅需要协助税务部门开展宣传工作、对纳税户进行催报催缴、对漏征漏管的现象进行清查还要对注销户进行跟踪管理，工作内容繁杂琐碎，人员配置及调动方面略有不足。</w:t>
      </w:r>
    </w:p>
    <w:p>
      <w:pPr>
        <w:snapToGrid w:val="0"/>
        <w:ind w:firstLine="482"/>
        <w:outlineLvl w:val="1"/>
        <w:rPr>
          <w:rFonts w:ascii="Arial Narrow" w:hAnsi="Arial Narrow" w:cs="Arial Narrow"/>
          <w:b/>
          <w:bCs/>
        </w:rPr>
      </w:pPr>
      <w:r>
        <w:rPr>
          <w:rFonts w:ascii="Arial Narrow" w:hAnsi="Arial Narrow" w:cs="Arial Narrow"/>
          <w:b/>
          <w:bCs/>
        </w:rPr>
        <w:t>（三）建议</w:t>
      </w:r>
      <w:bookmarkEnd w:id="110"/>
      <w:bookmarkEnd w:id="111"/>
      <w:bookmarkStart w:id="112" w:name="_Toc387957834"/>
    </w:p>
    <w:p>
      <w:pPr>
        <w:snapToGrid w:val="0"/>
        <w:ind w:firstLine="480"/>
        <w:rPr>
          <w:rFonts w:ascii="Arial Narrow" w:hAnsi="Arial Narrow" w:cs="Arial Narrow"/>
        </w:rPr>
      </w:pPr>
      <w:bookmarkStart w:id="113" w:name="_Toc9981"/>
      <w:r>
        <w:rPr>
          <w:rFonts w:hint="eastAsia" w:ascii="Arial Narrow" w:hAnsi="Arial Narrow" w:cs="Arial Narrow"/>
        </w:rPr>
        <w:t>1、规范财务核算方法。在项目实施过程中，根据项目预算批复文件及《区人民政府办公室关于进一步做好地方零散税收协助管理工作的通知》等相关办法的要求合理分配项目资金，并对资金支出制定计划，明确资金使用范围，规范账务处理方法。</w:t>
      </w:r>
    </w:p>
    <w:p>
      <w:pPr>
        <w:snapToGrid w:val="0"/>
        <w:ind w:firstLine="480"/>
        <w:rPr>
          <w:rFonts w:ascii="Arial Narrow" w:hAnsi="Arial Narrow" w:cs="Arial Narrow"/>
        </w:rPr>
      </w:pPr>
      <w:r>
        <w:rPr>
          <w:rFonts w:hint="eastAsia" w:ascii="Arial Narrow" w:hAnsi="Arial Narrow" w:cs="Arial Narrow"/>
        </w:rPr>
        <w:t>2、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pPr>
        <w:snapToGrid w:val="0"/>
        <w:ind w:firstLine="480"/>
        <w:rPr>
          <w:rFonts w:ascii="Arial Narrow" w:hAnsi="Arial Narrow" w:cs="Arial Narrow"/>
        </w:rPr>
      </w:pPr>
      <w:r>
        <w:rPr>
          <w:rFonts w:hint="eastAsia" w:ascii="Arial Narrow" w:hAnsi="Arial Narrow" w:cs="Arial Narrow"/>
        </w:rPr>
        <w:t>3、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pPr>
        <w:numPr>
          <w:ilvl w:val="0"/>
          <w:numId w:val="4"/>
        </w:numPr>
        <w:snapToGrid w:val="0"/>
        <w:ind w:firstLine="482"/>
        <w:outlineLvl w:val="0"/>
        <w:rPr>
          <w:rFonts w:ascii="Arial Narrow" w:hAnsi="Arial Narrow" w:cs="Arial Narrow"/>
          <w:b/>
        </w:rPr>
      </w:pPr>
      <w:bookmarkStart w:id="114" w:name="_Toc513390739"/>
      <w:bookmarkStart w:id="115" w:name="_Toc513817467"/>
      <w:r>
        <w:rPr>
          <w:rFonts w:ascii="Arial Narrow" w:hAnsi="Arial Narrow" w:cs="Arial Narrow"/>
          <w:b/>
        </w:rPr>
        <w:t>其他需说明的问题</w:t>
      </w:r>
      <w:bookmarkEnd w:id="113"/>
      <w:bookmarkEnd w:id="114"/>
      <w:bookmarkEnd w:id="115"/>
    </w:p>
    <w:p>
      <w:pPr>
        <w:snapToGrid w:val="0"/>
        <w:ind w:firstLine="480"/>
        <w:outlineLvl w:val="1"/>
        <w:rPr>
          <w:rFonts w:ascii="Arial Narrow" w:hAnsi="Arial Narrow" w:cs="Arial Narrow"/>
          <w:bCs/>
        </w:rPr>
      </w:pPr>
      <w:bookmarkStart w:id="116" w:name="_Toc513817468"/>
      <w:bookmarkStart w:id="117" w:name="_Toc513390740"/>
      <w:r>
        <w:rPr>
          <w:rFonts w:hint="eastAsia" w:ascii="Arial Narrow" w:hAnsi="Arial Narrow" w:cs="Arial Narrow"/>
          <w:bCs/>
        </w:rPr>
        <w:t>（一）关于评价责任的说明</w:t>
      </w:r>
      <w:bookmarkEnd w:id="116"/>
      <w:bookmarkEnd w:id="117"/>
    </w:p>
    <w:p>
      <w:pPr>
        <w:snapToGrid w:val="0"/>
        <w:ind w:firstLine="480"/>
        <w:rPr>
          <w:rFonts w:ascii="Arial Narrow" w:hAnsi="Arial Narrow" w:cs="Arial Narrow"/>
          <w:bCs/>
        </w:rPr>
      </w:pPr>
      <w:r>
        <w:rPr>
          <w:rFonts w:hint="eastAsia" w:ascii="Arial Narrow" w:hAnsi="Arial Narrow" w:cs="Arial Narrow"/>
          <w:bCs/>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0"/>
        <w:outlineLvl w:val="1"/>
        <w:rPr>
          <w:rFonts w:ascii="Arial Narrow" w:hAnsi="Arial Narrow" w:cs="Arial Narrow"/>
          <w:bCs/>
        </w:rPr>
      </w:pPr>
      <w:bookmarkStart w:id="118" w:name="_Toc513390741"/>
      <w:bookmarkStart w:id="119" w:name="_Toc513817469"/>
      <w:r>
        <w:rPr>
          <w:rFonts w:hint="eastAsia" w:ascii="Arial Narrow" w:hAnsi="Arial Narrow" w:cs="Arial Narrow"/>
          <w:bCs/>
        </w:rPr>
        <w:t>（二）关于本项目评价中局限性的说明</w:t>
      </w:r>
      <w:bookmarkEnd w:id="118"/>
      <w:bookmarkEnd w:id="119"/>
    </w:p>
    <w:p>
      <w:pPr>
        <w:snapToGrid w:val="0"/>
        <w:ind w:firstLine="480"/>
        <w:rPr>
          <w:rFonts w:ascii="Arial Narrow" w:hAnsi="Arial Narrow" w:cs="Arial Narrow"/>
          <w:bCs/>
        </w:rPr>
      </w:pPr>
      <w:r>
        <w:rPr>
          <w:rFonts w:hint="eastAsia" w:ascii="Arial Narrow" w:hAnsi="Arial Narrow" w:cs="Arial Narrow"/>
          <w:bCs/>
        </w:rPr>
        <w:t xml:space="preserve"> 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b/>
        </w:rPr>
      </w:pPr>
      <w:r>
        <w:rPr>
          <w:rFonts w:hint="eastAsia" w:ascii="Arial Narrow" w:hAnsi="Arial Narrow" w:cs="Arial Narrow"/>
          <w:bCs/>
        </w:rPr>
        <w:t xml:space="preserve"> 2、本项目是专项资金使用项目，受具体参加本次项目的评价人员的专业能力的影响，对专业指标设定和问题、建议提出的全面性可能存在一定的局限性。</w:t>
      </w:r>
    </w:p>
    <w:bookmarkEnd w:id="112"/>
    <w:p>
      <w:pPr>
        <w:snapToGrid w:val="0"/>
        <w:ind w:firstLine="0" w:firstLineChars="0"/>
        <w:rPr>
          <w:rFonts w:ascii="Arial Narrow" w:hAnsi="Arial Narrow" w:cs="Arial Narrow"/>
          <w:b/>
          <w:bCs/>
        </w:rPr>
      </w:pPr>
      <w:bookmarkStart w:id="120" w:name="_Toc387957836"/>
      <w:bookmarkStart w:id="121" w:name="_Toc406668061"/>
      <w:bookmarkStart w:id="122" w:name="_Toc5673"/>
      <w:bookmarkStart w:id="123" w:name="_Toc406666387"/>
    </w:p>
    <w:p>
      <w:pPr>
        <w:snapToGrid w:val="0"/>
        <w:ind w:firstLine="0" w:firstLineChars="0"/>
        <w:rPr>
          <w:rFonts w:ascii="Arial Narrow" w:hAnsi="Arial Narrow" w:cs="Arial Narrow"/>
          <w:b/>
          <w:bCs/>
        </w:rPr>
      </w:pPr>
    </w:p>
    <w:p>
      <w:pPr>
        <w:snapToGrid w:val="0"/>
        <w:ind w:firstLine="0" w:firstLineChars="0"/>
        <w:outlineLvl w:val="0"/>
        <w:rPr>
          <w:rFonts w:ascii="Arial Narrow" w:hAnsi="Arial Narrow" w:cs="Arial Narrow"/>
        </w:rPr>
      </w:pPr>
      <w:bookmarkStart w:id="124" w:name="_Toc513390742"/>
      <w:bookmarkStart w:id="125" w:name="_Toc513817470"/>
      <w:r>
        <w:rPr>
          <w:rFonts w:ascii="Arial Narrow" w:hAnsi="Arial Narrow" w:cs="Arial Narrow"/>
          <w:b/>
          <w:bCs/>
        </w:rPr>
        <w:t>附件</w:t>
      </w:r>
      <w:bookmarkEnd w:id="120"/>
      <w:r>
        <w:rPr>
          <w:rFonts w:ascii="Arial Narrow" w:hAnsi="Arial Narrow" w:cs="Arial Narrow"/>
          <w:b/>
          <w:bCs/>
        </w:rPr>
        <w:t>：</w:t>
      </w:r>
      <w:bookmarkEnd w:id="121"/>
      <w:bookmarkEnd w:id="122"/>
      <w:bookmarkEnd w:id="123"/>
      <w:bookmarkEnd w:id="124"/>
      <w:bookmarkEnd w:id="125"/>
    </w:p>
    <w:p>
      <w:pPr>
        <w:snapToGrid w:val="0"/>
        <w:ind w:firstLine="480"/>
        <w:rPr>
          <w:rFonts w:ascii="Arial Narrow" w:hAnsi="Arial Narrow" w:cs="Arial Narrow"/>
        </w:rPr>
      </w:pPr>
      <w:r>
        <w:rPr>
          <w:rFonts w:ascii="Arial Narrow" w:hAnsi="Arial Narrow" w:cs="Arial Narrow"/>
        </w:rPr>
        <w:t>1：项目绩效评价评分表</w:t>
      </w:r>
      <w:r>
        <w:rPr>
          <w:rFonts w:hint="eastAsia" w:ascii="Arial Narrow" w:hAnsi="Arial Narrow" w:cs="Arial Narrow"/>
        </w:rPr>
        <w:t>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hint="eastAsia" w:ascii="Arial Narrow" w:hAnsi="Arial Narrow" w:cs="Arial Narrow"/>
        </w:rPr>
        <w:t>10:</w:t>
      </w:r>
      <w:r>
        <w:rPr>
          <w:rFonts w:hint="eastAsia" w:ascii="Arial Narrow" w:hAnsi="Arial Narrow"/>
        </w:rPr>
        <w:t xml:space="preserve"> </w:t>
      </w:r>
      <w:r>
        <w:rPr>
          <w:rFonts w:hint="eastAsia" w:ascii="Arial Narrow" w:hAnsi="Arial Narrow" w:cs="Arial Narrow"/>
        </w:rPr>
        <w:t>其他支持评价结论的相关资料</w:t>
      </w:r>
    </w:p>
    <w:p>
      <w:pPr>
        <w:snapToGrid w:val="0"/>
        <w:ind w:firstLine="480"/>
        <w:rPr>
          <w:rFonts w:ascii="Arial Narrow" w:hAnsi="Arial Narrow" w:cs="Arial Narrow"/>
        </w:rPr>
      </w:pPr>
      <w:r>
        <w:rPr>
          <w:rFonts w:hint="eastAsia" w:ascii="Arial Narrow" w:hAnsi="Arial Narrow" w:cs="Arial Narrow"/>
        </w:rPr>
        <w:t>11:评价机构营业执照（复印件）</w:t>
      </w:r>
    </w:p>
    <w:p>
      <w:pPr>
        <w:snapToGrid w:val="0"/>
        <w:ind w:firstLine="480"/>
        <w:rPr>
          <w:rFonts w:ascii="Arial Narrow" w:hAnsi="Arial Narrow" w:cs="Arial Narrow"/>
        </w:rPr>
      </w:pPr>
      <w:r>
        <w:rPr>
          <w:rFonts w:hint="eastAsia" w:ascii="Arial Narrow" w:hAnsi="Arial Narrow" w:cs="Arial Narrow"/>
        </w:rPr>
        <w:t>12:相关评价人员执业证明文件（复印件）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hint="eastAsia" w:ascii="Arial Narrow" w:hAnsi="Arial Narrow" w:cs="Arial Narrow"/>
        </w:rPr>
        <w:t>致同会计师事务所（特殊普通合伙）武汉分所</w:t>
      </w:r>
    </w:p>
    <w:p>
      <w:pPr>
        <w:snapToGrid w:val="0"/>
        <w:ind w:firstLine="480"/>
        <w:jc w:val="right"/>
        <w:rPr>
          <w:rFonts w:ascii="Arial Narrow" w:hAnsi="Arial Narrow" w:cs="Arial Narrow"/>
        </w:rPr>
      </w:pPr>
      <w:r>
        <w:rPr>
          <w:rFonts w:hint="eastAsia" w:ascii="Arial Narrow" w:hAnsi="Arial Narrow" w:cs="Arial Narrow"/>
        </w:rPr>
        <w:t>2018年5月</w:t>
      </w:r>
      <w:r>
        <w:rPr>
          <w:rFonts w:ascii="Arial Narrow" w:hAnsi="Arial Narrow" w:cs="Arial Narrow"/>
        </w:rPr>
        <w:t xml:space="preserve"> </w:t>
      </w:r>
      <w:r>
        <w:rPr>
          <w:rFonts w:hint="eastAsia" w:ascii="Arial Narrow" w:hAnsi="Arial Narrow" w:cs="Arial Narrow"/>
        </w:rPr>
        <w:t>25日</w:t>
      </w:r>
    </w:p>
    <w:p>
      <w:pPr>
        <w:snapToGrid w:val="0"/>
        <w:ind w:firstLine="480"/>
        <w:rPr>
          <w:rFonts w:ascii="Arial Narrow" w:hAnsi="Arial Narrow" w:cs="Arial Narrow"/>
        </w:rPr>
      </w:pPr>
    </w:p>
    <w:p>
      <w:pPr>
        <w:snapToGrid w:val="0"/>
        <w:ind w:firstLine="480"/>
        <w:rPr>
          <w:rFonts w:ascii="Arial Narrow" w:hAnsi="Arial Narrow" w:cs="Arial Narrow"/>
        </w:rPr>
      </w:pPr>
    </w:p>
    <w:sectPr>
      <w:headerReference r:id="rId11" w:type="default"/>
      <w:footerReference r:id="rId12" w:type="default"/>
      <w:pgSz w:w="11906" w:h="16838"/>
      <w:pgMar w:top="1440" w:right="1406" w:bottom="1089" w:left="1800" w:header="2041" w:footer="1134"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swiss"/>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w:t>
    </w:r>
    <w:r>
      <w:rPr>
        <w:rFonts w:ascii="Arial Narrow" w:hAnsi="Arial Narrow"/>
        <w:sz w:val="21"/>
        <w:szCs w:val="21"/>
      </w:rPr>
      <w:fldChar w:fldCharType="end"/>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MzDw2wAAAAsBAAAPAAAAAAAAAAEAIAAAACIAAABkcnMvZG93bnJldi54bWxQSwECFAAUAAAACACH&#10;TuJAhsnpXq8BAABOAwAADgAAAAAAAAABACAAAAAqAQAAZHJzL2Uyb0RvYy54bWxQSwUGAAAAAAYA&#10;BgBZAQAASwU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3DB60"/>
    <w:multiLevelType w:val="singleLevel"/>
    <w:tmpl w:val="58D3DB60"/>
    <w:lvl w:ilvl="0" w:tentative="0">
      <w:start w:val="1"/>
      <w:numFmt w:val="decimal"/>
      <w:suff w:val="nothing"/>
      <w:lvlText w:val="%1、"/>
      <w:lvlJc w:val="left"/>
    </w:lvl>
  </w:abstractNum>
  <w:abstractNum w:abstractNumId="1">
    <w:nsid w:val="58D3DDD7"/>
    <w:multiLevelType w:val="singleLevel"/>
    <w:tmpl w:val="58D3DDD7"/>
    <w:lvl w:ilvl="0" w:tentative="0">
      <w:start w:val="4"/>
      <w:numFmt w:val="chineseCounting"/>
      <w:suff w:val="nothing"/>
      <w:lvlText w:val="（%1）"/>
      <w:lvlJc w:val="left"/>
    </w:lvl>
  </w:abstractNum>
  <w:abstractNum w:abstractNumId="2">
    <w:nsid w:val="58D4CF4E"/>
    <w:multiLevelType w:val="singleLevel"/>
    <w:tmpl w:val="58D4CF4E"/>
    <w:lvl w:ilvl="0" w:tentative="0">
      <w:start w:val="6"/>
      <w:numFmt w:val="chineseCounting"/>
      <w:suff w:val="nothing"/>
      <w:lvlText w:val="%1、"/>
      <w:lvlJc w:val="left"/>
    </w:lvl>
  </w:abstractNum>
  <w:abstractNum w:abstractNumId="3">
    <w:nsid w:val="58DA0C3E"/>
    <w:multiLevelType w:val="singleLevel"/>
    <w:tmpl w:val="58DA0C3E"/>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20"/>
  <w:drawingGridVerticalSpacing w:val="204"/>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WNmNDE2MGFmM2MzODdmMGZhMjhkM2ZlNDM1OWQifQ=="/>
  </w:docVars>
  <w:rsids>
    <w:rsidRoot w:val="00172A27"/>
    <w:rsid w:val="00002A69"/>
    <w:rsid w:val="00004795"/>
    <w:rsid w:val="000107B2"/>
    <w:rsid w:val="00012B09"/>
    <w:rsid w:val="000153F5"/>
    <w:rsid w:val="00016011"/>
    <w:rsid w:val="000225A4"/>
    <w:rsid w:val="000231B2"/>
    <w:rsid w:val="000235EA"/>
    <w:rsid w:val="00027617"/>
    <w:rsid w:val="00030459"/>
    <w:rsid w:val="00034CB1"/>
    <w:rsid w:val="00034FDC"/>
    <w:rsid w:val="00037160"/>
    <w:rsid w:val="00037FDA"/>
    <w:rsid w:val="000412B4"/>
    <w:rsid w:val="00041931"/>
    <w:rsid w:val="000435FD"/>
    <w:rsid w:val="000475B2"/>
    <w:rsid w:val="00051092"/>
    <w:rsid w:val="0005129C"/>
    <w:rsid w:val="0005263F"/>
    <w:rsid w:val="0005446E"/>
    <w:rsid w:val="00060B99"/>
    <w:rsid w:val="000647BB"/>
    <w:rsid w:val="00065443"/>
    <w:rsid w:val="00070099"/>
    <w:rsid w:val="0007044D"/>
    <w:rsid w:val="00071B04"/>
    <w:rsid w:val="00071C74"/>
    <w:rsid w:val="00072DAF"/>
    <w:rsid w:val="00080BD2"/>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131E"/>
    <w:rsid w:val="000C2C67"/>
    <w:rsid w:val="000C4653"/>
    <w:rsid w:val="000C4C40"/>
    <w:rsid w:val="000C5388"/>
    <w:rsid w:val="000C5D62"/>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5891"/>
    <w:rsid w:val="00117519"/>
    <w:rsid w:val="00134F95"/>
    <w:rsid w:val="00142BA0"/>
    <w:rsid w:val="00143DA4"/>
    <w:rsid w:val="001441F8"/>
    <w:rsid w:val="0014542F"/>
    <w:rsid w:val="00147E31"/>
    <w:rsid w:val="00147F3F"/>
    <w:rsid w:val="00152FB6"/>
    <w:rsid w:val="001542F3"/>
    <w:rsid w:val="001548CF"/>
    <w:rsid w:val="00156601"/>
    <w:rsid w:val="001573DC"/>
    <w:rsid w:val="00157614"/>
    <w:rsid w:val="0016074D"/>
    <w:rsid w:val="00162D9E"/>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4611"/>
    <w:rsid w:val="001A4B9A"/>
    <w:rsid w:val="001A6E1D"/>
    <w:rsid w:val="001A7035"/>
    <w:rsid w:val="001A71D3"/>
    <w:rsid w:val="001A7BCC"/>
    <w:rsid w:val="001B0C62"/>
    <w:rsid w:val="001B156C"/>
    <w:rsid w:val="001B206F"/>
    <w:rsid w:val="001B2C2B"/>
    <w:rsid w:val="001B564E"/>
    <w:rsid w:val="001B6A0F"/>
    <w:rsid w:val="001C1AB0"/>
    <w:rsid w:val="001C3F6F"/>
    <w:rsid w:val="001C6498"/>
    <w:rsid w:val="001C788F"/>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788"/>
    <w:rsid w:val="00226CA1"/>
    <w:rsid w:val="00227F82"/>
    <w:rsid w:val="002331CD"/>
    <w:rsid w:val="00242395"/>
    <w:rsid w:val="00242589"/>
    <w:rsid w:val="00243172"/>
    <w:rsid w:val="00243D70"/>
    <w:rsid w:val="00243DB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0BD"/>
    <w:rsid w:val="0028633D"/>
    <w:rsid w:val="002911A7"/>
    <w:rsid w:val="00291951"/>
    <w:rsid w:val="00294EF8"/>
    <w:rsid w:val="002953EE"/>
    <w:rsid w:val="002969DC"/>
    <w:rsid w:val="002973CA"/>
    <w:rsid w:val="002A0822"/>
    <w:rsid w:val="002A175B"/>
    <w:rsid w:val="002A731C"/>
    <w:rsid w:val="002A7693"/>
    <w:rsid w:val="002B55AD"/>
    <w:rsid w:val="002C012C"/>
    <w:rsid w:val="002C05DC"/>
    <w:rsid w:val="002C1375"/>
    <w:rsid w:val="002C21EB"/>
    <w:rsid w:val="002C439E"/>
    <w:rsid w:val="002C5757"/>
    <w:rsid w:val="002C5D77"/>
    <w:rsid w:val="002D1D84"/>
    <w:rsid w:val="002E11FA"/>
    <w:rsid w:val="002E21D6"/>
    <w:rsid w:val="002E494D"/>
    <w:rsid w:val="002F1C3F"/>
    <w:rsid w:val="002F44AB"/>
    <w:rsid w:val="002F7973"/>
    <w:rsid w:val="0031024E"/>
    <w:rsid w:val="00312F11"/>
    <w:rsid w:val="003132F6"/>
    <w:rsid w:val="00315407"/>
    <w:rsid w:val="00322C3A"/>
    <w:rsid w:val="003313C3"/>
    <w:rsid w:val="003363C3"/>
    <w:rsid w:val="0034018A"/>
    <w:rsid w:val="00343216"/>
    <w:rsid w:val="00343815"/>
    <w:rsid w:val="00344CC3"/>
    <w:rsid w:val="0034515E"/>
    <w:rsid w:val="00345783"/>
    <w:rsid w:val="00347FD1"/>
    <w:rsid w:val="003506E6"/>
    <w:rsid w:val="00352DF8"/>
    <w:rsid w:val="00356E00"/>
    <w:rsid w:val="0036466F"/>
    <w:rsid w:val="003712A9"/>
    <w:rsid w:val="00372944"/>
    <w:rsid w:val="00374FFF"/>
    <w:rsid w:val="003750CC"/>
    <w:rsid w:val="003753D2"/>
    <w:rsid w:val="0037593E"/>
    <w:rsid w:val="00376DC7"/>
    <w:rsid w:val="0038083D"/>
    <w:rsid w:val="00381038"/>
    <w:rsid w:val="00382DAE"/>
    <w:rsid w:val="003838A6"/>
    <w:rsid w:val="00387964"/>
    <w:rsid w:val="0039007B"/>
    <w:rsid w:val="00390399"/>
    <w:rsid w:val="0039079D"/>
    <w:rsid w:val="003919EC"/>
    <w:rsid w:val="003920BE"/>
    <w:rsid w:val="0039236F"/>
    <w:rsid w:val="00392AA2"/>
    <w:rsid w:val="00392F5E"/>
    <w:rsid w:val="003944E9"/>
    <w:rsid w:val="00394FAF"/>
    <w:rsid w:val="003967AC"/>
    <w:rsid w:val="0039690B"/>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3003"/>
    <w:rsid w:val="003F4A08"/>
    <w:rsid w:val="003F640B"/>
    <w:rsid w:val="003F78E3"/>
    <w:rsid w:val="003F7D80"/>
    <w:rsid w:val="004016BF"/>
    <w:rsid w:val="00402380"/>
    <w:rsid w:val="0040727E"/>
    <w:rsid w:val="00412C52"/>
    <w:rsid w:val="0041356F"/>
    <w:rsid w:val="00414470"/>
    <w:rsid w:val="004156F2"/>
    <w:rsid w:val="0041689F"/>
    <w:rsid w:val="00417F32"/>
    <w:rsid w:val="0042114C"/>
    <w:rsid w:val="00424A8D"/>
    <w:rsid w:val="004251FE"/>
    <w:rsid w:val="00432769"/>
    <w:rsid w:val="004365D4"/>
    <w:rsid w:val="00436630"/>
    <w:rsid w:val="00436685"/>
    <w:rsid w:val="00436978"/>
    <w:rsid w:val="00437ABF"/>
    <w:rsid w:val="004406CE"/>
    <w:rsid w:val="004416B6"/>
    <w:rsid w:val="00444C92"/>
    <w:rsid w:val="00444F7A"/>
    <w:rsid w:val="00446C56"/>
    <w:rsid w:val="00446E9B"/>
    <w:rsid w:val="00447CE1"/>
    <w:rsid w:val="00452616"/>
    <w:rsid w:val="00457C88"/>
    <w:rsid w:val="00461176"/>
    <w:rsid w:val="004637D6"/>
    <w:rsid w:val="00465728"/>
    <w:rsid w:val="00465904"/>
    <w:rsid w:val="004720AA"/>
    <w:rsid w:val="0049123B"/>
    <w:rsid w:val="004960A7"/>
    <w:rsid w:val="00496736"/>
    <w:rsid w:val="004973E8"/>
    <w:rsid w:val="004977DE"/>
    <w:rsid w:val="00497DCD"/>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42A1"/>
    <w:rsid w:val="004F5FA6"/>
    <w:rsid w:val="00500581"/>
    <w:rsid w:val="005008C6"/>
    <w:rsid w:val="005041BE"/>
    <w:rsid w:val="005134B0"/>
    <w:rsid w:val="0051441E"/>
    <w:rsid w:val="005155D3"/>
    <w:rsid w:val="00525692"/>
    <w:rsid w:val="00527E66"/>
    <w:rsid w:val="00534945"/>
    <w:rsid w:val="005360A1"/>
    <w:rsid w:val="00537C3E"/>
    <w:rsid w:val="0054431F"/>
    <w:rsid w:val="00544890"/>
    <w:rsid w:val="00547FC6"/>
    <w:rsid w:val="00552615"/>
    <w:rsid w:val="00553385"/>
    <w:rsid w:val="005567B3"/>
    <w:rsid w:val="005608DB"/>
    <w:rsid w:val="005622DC"/>
    <w:rsid w:val="005632D3"/>
    <w:rsid w:val="005655D1"/>
    <w:rsid w:val="005658C9"/>
    <w:rsid w:val="00565929"/>
    <w:rsid w:val="005659EE"/>
    <w:rsid w:val="00565D9A"/>
    <w:rsid w:val="00566498"/>
    <w:rsid w:val="005708E6"/>
    <w:rsid w:val="005812C2"/>
    <w:rsid w:val="00583F95"/>
    <w:rsid w:val="00586A06"/>
    <w:rsid w:val="00586E04"/>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E770E"/>
    <w:rsid w:val="005F072F"/>
    <w:rsid w:val="005F0A83"/>
    <w:rsid w:val="005F234F"/>
    <w:rsid w:val="005F3C50"/>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4B77"/>
    <w:rsid w:val="00646876"/>
    <w:rsid w:val="00650DEF"/>
    <w:rsid w:val="00651741"/>
    <w:rsid w:val="00656BC8"/>
    <w:rsid w:val="0066273D"/>
    <w:rsid w:val="00662D0D"/>
    <w:rsid w:val="00663F64"/>
    <w:rsid w:val="006642D3"/>
    <w:rsid w:val="006643F5"/>
    <w:rsid w:val="006711A5"/>
    <w:rsid w:val="006715C4"/>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7A7"/>
    <w:rsid w:val="006C2D83"/>
    <w:rsid w:val="006C3F2E"/>
    <w:rsid w:val="006C4D9E"/>
    <w:rsid w:val="006D10DC"/>
    <w:rsid w:val="006D22CB"/>
    <w:rsid w:val="006D281E"/>
    <w:rsid w:val="006D3823"/>
    <w:rsid w:val="006D3E5C"/>
    <w:rsid w:val="006D431A"/>
    <w:rsid w:val="006D6DB9"/>
    <w:rsid w:val="006E149F"/>
    <w:rsid w:val="006E4514"/>
    <w:rsid w:val="006E5C42"/>
    <w:rsid w:val="006F40B5"/>
    <w:rsid w:val="006F581B"/>
    <w:rsid w:val="006F74F7"/>
    <w:rsid w:val="006F7E68"/>
    <w:rsid w:val="00702AE3"/>
    <w:rsid w:val="0070567E"/>
    <w:rsid w:val="00705ADC"/>
    <w:rsid w:val="0070659F"/>
    <w:rsid w:val="007148E9"/>
    <w:rsid w:val="0072025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076"/>
    <w:rsid w:val="00753FB8"/>
    <w:rsid w:val="00756213"/>
    <w:rsid w:val="00757369"/>
    <w:rsid w:val="00760264"/>
    <w:rsid w:val="0076125E"/>
    <w:rsid w:val="007614A0"/>
    <w:rsid w:val="00766CC5"/>
    <w:rsid w:val="0076789B"/>
    <w:rsid w:val="0077612D"/>
    <w:rsid w:val="007805CB"/>
    <w:rsid w:val="0078403F"/>
    <w:rsid w:val="00784A3B"/>
    <w:rsid w:val="007857C2"/>
    <w:rsid w:val="007951AE"/>
    <w:rsid w:val="007960FC"/>
    <w:rsid w:val="0079735A"/>
    <w:rsid w:val="007A1325"/>
    <w:rsid w:val="007A260C"/>
    <w:rsid w:val="007A4561"/>
    <w:rsid w:val="007A65E2"/>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7F7E79"/>
    <w:rsid w:val="00800E4A"/>
    <w:rsid w:val="008015DF"/>
    <w:rsid w:val="00801640"/>
    <w:rsid w:val="0080288E"/>
    <w:rsid w:val="008053EB"/>
    <w:rsid w:val="00805A0A"/>
    <w:rsid w:val="00807D07"/>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722F9"/>
    <w:rsid w:val="00872F11"/>
    <w:rsid w:val="00874847"/>
    <w:rsid w:val="00885CF7"/>
    <w:rsid w:val="00886E69"/>
    <w:rsid w:val="008934FA"/>
    <w:rsid w:val="008A0F83"/>
    <w:rsid w:val="008A175E"/>
    <w:rsid w:val="008A2E40"/>
    <w:rsid w:val="008B15BE"/>
    <w:rsid w:val="008B7645"/>
    <w:rsid w:val="008C0D6C"/>
    <w:rsid w:val="008C5857"/>
    <w:rsid w:val="008C5DAD"/>
    <w:rsid w:val="008D0512"/>
    <w:rsid w:val="008D094F"/>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188C"/>
    <w:rsid w:val="009337F2"/>
    <w:rsid w:val="00934B5A"/>
    <w:rsid w:val="0094138A"/>
    <w:rsid w:val="00946016"/>
    <w:rsid w:val="00946554"/>
    <w:rsid w:val="00953385"/>
    <w:rsid w:val="009536E4"/>
    <w:rsid w:val="009553EB"/>
    <w:rsid w:val="009556E8"/>
    <w:rsid w:val="00960332"/>
    <w:rsid w:val="00960896"/>
    <w:rsid w:val="00963C82"/>
    <w:rsid w:val="009754A1"/>
    <w:rsid w:val="00977B6C"/>
    <w:rsid w:val="00981B94"/>
    <w:rsid w:val="009850DD"/>
    <w:rsid w:val="009852EE"/>
    <w:rsid w:val="009918A8"/>
    <w:rsid w:val="00995CC6"/>
    <w:rsid w:val="009964F7"/>
    <w:rsid w:val="009968C4"/>
    <w:rsid w:val="009A07B6"/>
    <w:rsid w:val="009A0C08"/>
    <w:rsid w:val="009A2934"/>
    <w:rsid w:val="009A3167"/>
    <w:rsid w:val="009A488C"/>
    <w:rsid w:val="009A6B01"/>
    <w:rsid w:val="009B042D"/>
    <w:rsid w:val="009B0E77"/>
    <w:rsid w:val="009B2265"/>
    <w:rsid w:val="009B6DA0"/>
    <w:rsid w:val="009B7C3D"/>
    <w:rsid w:val="009C21D3"/>
    <w:rsid w:val="009C3BDF"/>
    <w:rsid w:val="009C6399"/>
    <w:rsid w:val="009C700D"/>
    <w:rsid w:val="009D117E"/>
    <w:rsid w:val="009D2C81"/>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36C97"/>
    <w:rsid w:val="00A40A4B"/>
    <w:rsid w:val="00A42C65"/>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4109"/>
    <w:rsid w:val="00AC548A"/>
    <w:rsid w:val="00AD5C59"/>
    <w:rsid w:val="00AE0E5D"/>
    <w:rsid w:val="00AE270B"/>
    <w:rsid w:val="00AE5064"/>
    <w:rsid w:val="00AE5365"/>
    <w:rsid w:val="00AE55CB"/>
    <w:rsid w:val="00AF3FDF"/>
    <w:rsid w:val="00AF47E1"/>
    <w:rsid w:val="00AF5069"/>
    <w:rsid w:val="00AF564E"/>
    <w:rsid w:val="00AF58FD"/>
    <w:rsid w:val="00B01326"/>
    <w:rsid w:val="00B0164D"/>
    <w:rsid w:val="00B019F5"/>
    <w:rsid w:val="00B02152"/>
    <w:rsid w:val="00B04CC4"/>
    <w:rsid w:val="00B04F4E"/>
    <w:rsid w:val="00B052BC"/>
    <w:rsid w:val="00B05BCA"/>
    <w:rsid w:val="00B05CB2"/>
    <w:rsid w:val="00B0618B"/>
    <w:rsid w:val="00B1078F"/>
    <w:rsid w:val="00B139FF"/>
    <w:rsid w:val="00B222AE"/>
    <w:rsid w:val="00B22D6C"/>
    <w:rsid w:val="00B33B98"/>
    <w:rsid w:val="00B349F7"/>
    <w:rsid w:val="00B3578A"/>
    <w:rsid w:val="00B431EF"/>
    <w:rsid w:val="00B51ADD"/>
    <w:rsid w:val="00B54937"/>
    <w:rsid w:val="00B553D8"/>
    <w:rsid w:val="00B569AD"/>
    <w:rsid w:val="00B56E34"/>
    <w:rsid w:val="00B57039"/>
    <w:rsid w:val="00B6093A"/>
    <w:rsid w:val="00B668D2"/>
    <w:rsid w:val="00B72C1F"/>
    <w:rsid w:val="00B73C5F"/>
    <w:rsid w:val="00B74177"/>
    <w:rsid w:val="00B76D53"/>
    <w:rsid w:val="00B82656"/>
    <w:rsid w:val="00B83704"/>
    <w:rsid w:val="00B852FC"/>
    <w:rsid w:val="00B90CC2"/>
    <w:rsid w:val="00B93330"/>
    <w:rsid w:val="00B93FD0"/>
    <w:rsid w:val="00B96017"/>
    <w:rsid w:val="00B96778"/>
    <w:rsid w:val="00BA2BEC"/>
    <w:rsid w:val="00BA4E80"/>
    <w:rsid w:val="00BA56B6"/>
    <w:rsid w:val="00BA6A7B"/>
    <w:rsid w:val="00BB2AB4"/>
    <w:rsid w:val="00BB4F17"/>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35802"/>
    <w:rsid w:val="00C418E0"/>
    <w:rsid w:val="00C41CE3"/>
    <w:rsid w:val="00C44CDE"/>
    <w:rsid w:val="00C515F8"/>
    <w:rsid w:val="00C5195C"/>
    <w:rsid w:val="00C52063"/>
    <w:rsid w:val="00C60D35"/>
    <w:rsid w:val="00C61427"/>
    <w:rsid w:val="00C63B8D"/>
    <w:rsid w:val="00C6411B"/>
    <w:rsid w:val="00C66CD2"/>
    <w:rsid w:val="00C72429"/>
    <w:rsid w:val="00C75D95"/>
    <w:rsid w:val="00C76049"/>
    <w:rsid w:val="00C76291"/>
    <w:rsid w:val="00C770DB"/>
    <w:rsid w:val="00C80786"/>
    <w:rsid w:val="00C807F9"/>
    <w:rsid w:val="00C81852"/>
    <w:rsid w:val="00C81D03"/>
    <w:rsid w:val="00C830AA"/>
    <w:rsid w:val="00C83E2E"/>
    <w:rsid w:val="00C853F1"/>
    <w:rsid w:val="00C8640F"/>
    <w:rsid w:val="00C92A41"/>
    <w:rsid w:val="00CA20CC"/>
    <w:rsid w:val="00CB0887"/>
    <w:rsid w:val="00CB7B22"/>
    <w:rsid w:val="00CC1988"/>
    <w:rsid w:val="00CC19AA"/>
    <w:rsid w:val="00CC3865"/>
    <w:rsid w:val="00CC5C28"/>
    <w:rsid w:val="00CC6A6D"/>
    <w:rsid w:val="00CD01A6"/>
    <w:rsid w:val="00CD4E1A"/>
    <w:rsid w:val="00CD5D7A"/>
    <w:rsid w:val="00CD740C"/>
    <w:rsid w:val="00CE03A4"/>
    <w:rsid w:val="00CE1BE6"/>
    <w:rsid w:val="00CE36B8"/>
    <w:rsid w:val="00CE4D5D"/>
    <w:rsid w:val="00CE6E37"/>
    <w:rsid w:val="00CE7334"/>
    <w:rsid w:val="00CF161B"/>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15AA"/>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A7508"/>
    <w:rsid w:val="00DB0341"/>
    <w:rsid w:val="00DB1144"/>
    <w:rsid w:val="00DB1A6E"/>
    <w:rsid w:val="00DB3373"/>
    <w:rsid w:val="00DB3ACE"/>
    <w:rsid w:val="00DB4415"/>
    <w:rsid w:val="00DB4A3F"/>
    <w:rsid w:val="00DB4A41"/>
    <w:rsid w:val="00DB662D"/>
    <w:rsid w:val="00DB6793"/>
    <w:rsid w:val="00DC0240"/>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73FE"/>
    <w:rsid w:val="00E01478"/>
    <w:rsid w:val="00E01655"/>
    <w:rsid w:val="00E01E5D"/>
    <w:rsid w:val="00E04274"/>
    <w:rsid w:val="00E11DC5"/>
    <w:rsid w:val="00E12295"/>
    <w:rsid w:val="00E20C05"/>
    <w:rsid w:val="00E20FF2"/>
    <w:rsid w:val="00E22B62"/>
    <w:rsid w:val="00E2632C"/>
    <w:rsid w:val="00E31C4A"/>
    <w:rsid w:val="00E377AB"/>
    <w:rsid w:val="00E40AE7"/>
    <w:rsid w:val="00E42612"/>
    <w:rsid w:val="00E53A1D"/>
    <w:rsid w:val="00E560DE"/>
    <w:rsid w:val="00E56786"/>
    <w:rsid w:val="00E576F8"/>
    <w:rsid w:val="00E63C72"/>
    <w:rsid w:val="00E6462D"/>
    <w:rsid w:val="00E67CC2"/>
    <w:rsid w:val="00E720E0"/>
    <w:rsid w:val="00E735DF"/>
    <w:rsid w:val="00E753C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243C"/>
    <w:rsid w:val="00EC2497"/>
    <w:rsid w:val="00EC3D5E"/>
    <w:rsid w:val="00EC5C8F"/>
    <w:rsid w:val="00EC650F"/>
    <w:rsid w:val="00EC7597"/>
    <w:rsid w:val="00ED3252"/>
    <w:rsid w:val="00ED392F"/>
    <w:rsid w:val="00ED625C"/>
    <w:rsid w:val="00ED725E"/>
    <w:rsid w:val="00EE3359"/>
    <w:rsid w:val="00EE590E"/>
    <w:rsid w:val="00EE6CEB"/>
    <w:rsid w:val="00EF2329"/>
    <w:rsid w:val="00EF3750"/>
    <w:rsid w:val="00EF3AD0"/>
    <w:rsid w:val="00EF5189"/>
    <w:rsid w:val="00EF51D9"/>
    <w:rsid w:val="00EF6670"/>
    <w:rsid w:val="00EF7867"/>
    <w:rsid w:val="00F007F5"/>
    <w:rsid w:val="00F034DE"/>
    <w:rsid w:val="00F052D1"/>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75A94"/>
    <w:rsid w:val="00F7643C"/>
    <w:rsid w:val="00F866DF"/>
    <w:rsid w:val="00F87BB1"/>
    <w:rsid w:val="00F91449"/>
    <w:rsid w:val="00F91525"/>
    <w:rsid w:val="00F91D9B"/>
    <w:rsid w:val="00F93523"/>
    <w:rsid w:val="00F939A0"/>
    <w:rsid w:val="00F93A2D"/>
    <w:rsid w:val="00F945F2"/>
    <w:rsid w:val="00F95CEC"/>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15C5"/>
    <w:rsid w:val="00FE1DB5"/>
    <w:rsid w:val="00FE1F54"/>
    <w:rsid w:val="00FE5BA5"/>
    <w:rsid w:val="00FE5C48"/>
    <w:rsid w:val="00FE7174"/>
    <w:rsid w:val="00FF018C"/>
    <w:rsid w:val="00FF0713"/>
    <w:rsid w:val="00FF1DC6"/>
    <w:rsid w:val="00FF6F97"/>
    <w:rsid w:val="00FF7089"/>
    <w:rsid w:val="01024267"/>
    <w:rsid w:val="02572AE5"/>
    <w:rsid w:val="02BE5C12"/>
    <w:rsid w:val="04AB0172"/>
    <w:rsid w:val="086D03E7"/>
    <w:rsid w:val="08A313EA"/>
    <w:rsid w:val="0C95396C"/>
    <w:rsid w:val="157F2A02"/>
    <w:rsid w:val="176F2FA6"/>
    <w:rsid w:val="19CA20F1"/>
    <w:rsid w:val="1A5E3890"/>
    <w:rsid w:val="1B236601"/>
    <w:rsid w:val="1C2511D4"/>
    <w:rsid w:val="21D450F0"/>
    <w:rsid w:val="24907FED"/>
    <w:rsid w:val="29500CDB"/>
    <w:rsid w:val="29E00044"/>
    <w:rsid w:val="2ABF664D"/>
    <w:rsid w:val="39991DA1"/>
    <w:rsid w:val="3A2A1B78"/>
    <w:rsid w:val="3A8A54FD"/>
    <w:rsid w:val="3AC577F8"/>
    <w:rsid w:val="3F37323F"/>
    <w:rsid w:val="3F45486D"/>
    <w:rsid w:val="42B76DDE"/>
    <w:rsid w:val="48DE2C2A"/>
    <w:rsid w:val="4E0C1ED3"/>
    <w:rsid w:val="4EC766FE"/>
    <w:rsid w:val="517E0914"/>
    <w:rsid w:val="57BF44F5"/>
    <w:rsid w:val="5A2A46E6"/>
    <w:rsid w:val="5CFF6ECE"/>
    <w:rsid w:val="5F24554E"/>
    <w:rsid w:val="6ECC48DD"/>
    <w:rsid w:val="70344EA3"/>
    <w:rsid w:val="71C852BA"/>
    <w:rsid w:val="74DC0082"/>
    <w:rsid w:val="76CF7A42"/>
    <w:rsid w:val="79502DD1"/>
    <w:rsid w:val="7C032ADA"/>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42">
    <w:name w:val="Revision"/>
    <w:hidden/>
    <w:semiHidden/>
    <w:qFormat/>
    <w:uiPriority w:val="99"/>
    <w:rPr>
      <w:rFonts w:ascii="Times New Roman" w:hAnsi="Times New Roman" w:eastAsia="仿宋_GB2312" w:cs="Times New Roman"/>
      <w:kern w:val="2"/>
      <w:sz w:val="24"/>
      <w:szCs w:val="24"/>
      <w:lang w:val="en-US" w:eastAsia="zh-CN" w:bidi="ar-SA"/>
    </w:rPr>
  </w:style>
  <w:style w:type="paragraph" w:styleId="4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6.xml"/><Relationship Id="rId3" Type="http://schemas.openxmlformats.org/officeDocument/2006/relationships/footnotes" Target="footnotes.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microsoft.com/office/2007/relationships/diagramDrawing" Target="diagrams/drawing2.xml"/><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microsoft.com/office/2007/relationships/diagramDrawing" Target="diagrams/drawing1.xml"/><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image" Target="media/image1.png"/><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5">
                  <a:lumMod val="60000"/>
                  <a:lumOff val="40000"/>
                </a:schemeClr>
              </a:solidFill>
            </c:spPr>
          </c:dPt>
          <c:dPt>
            <c:idx val="1"/>
            <c:bubble3D val="0"/>
            <c:spPr>
              <a:solidFill>
                <a:srgbClr val="FFC000"/>
              </a:solidFill>
            </c:spPr>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Sheet3!$C$4:$C$7</c:f>
              <c:strCache>
                <c:ptCount val="4"/>
                <c:pt idx="0">
                  <c:v>工作人员工资及补贴</c:v>
                </c:pt>
                <c:pt idx="1">
                  <c:v>办公经费</c:v>
                </c:pt>
                <c:pt idx="2">
                  <c:v>宣传费用</c:v>
                </c:pt>
                <c:pt idx="3">
                  <c:v>车辆购买及维修费</c:v>
                </c:pt>
              </c:strCache>
            </c:strRef>
          </c:cat>
          <c:val>
            <c:numRef>
              <c:f>Sheet3!$D$4:$D$7</c:f>
              <c:numCache>
                <c:formatCode>General</c:formatCode>
                <c:ptCount val="4"/>
                <c:pt idx="0">
                  <c:v>17.27</c:v>
                </c:pt>
                <c:pt idx="1">
                  <c:v>1.48</c:v>
                </c:pt>
                <c:pt idx="2">
                  <c:v>0.13</c:v>
                </c:pt>
                <c:pt idx="3">
                  <c:v>0.38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项目投入</a:t>
            </a:r>
            <a:endParaRPr lang="zh-CN" altLang="en-US"/>
          </a:p>
        </c:rich>
      </c:tx>
      <c:layout/>
      <c:overlay val="0"/>
    </c:title>
    <c:autoTitleDeleted val="0"/>
    <c:plotArea>
      <c:layout/>
      <c:barChart>
        <c:barDir val="col"/>
        <c:grouping val="clustered"/>
        <c:varyColors val="0"/>
        <c:ser>
          <c:idx val="1"/>
          <c:order val="1"/>
          <c:tx>
            <c:strRef>
              <c:f>Sheet4!$C$1</c:f>
              <c:strCache>
                <c:ptCount val="1"/>
                <c:pt idx="0">
                  <c:v>评分分值</c:v>
                </c:pt>
              </c:strCache>
            </c:strRef>
          </c:tx>
          <c:invertIfNegative val="0"/>
          <c:dLbls>
            <c:delete val="1"/>
          </c:dLbls>
          <c:cat>
            <c:strRef>
              <c:f>Sheet4!$A$2:$A$5</c:f>
              <c:strCache>
                <c:ptCount val="4"/>
                <c:pt idx="0">
                  <c:v>项目立项规范性</c:v>
                </c:pt>
                <c:pt idx="1">
                  <c:v>绩效目标合理性</c:v>
                </c:pt>
                <c:pt idx="2">
                  <c:v>资金到位率</c:v>
                </c:pt>
                <c:pt idx="3">
                  <c:v>到位及时率</c:v>
                </c:pt>
              </c:strCache>
            </c:strRef>
          </c:cat>
          <c:val>
            <c:numRef>
              <c:f>Sheet4!$C$2:$C$5</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150"/>
        <c:axId val="282458752"/>
        <c:axId val="282726784"/>
      </c:barChart>
      <c:lineChart>
        <c:grouping val="standard"/>
        <c:varyColors val="0"/>
        <c:ser>
          <c:idx val="0"/>
          <c:order val="0"/>
          <c:tx>
            <c:strRef>
              <c:f>Sheet4!$B$1</c:f>
              <c:strCache>
                <c:ptCount val="1"/>
                <c:pt idx="0">
                  <c:v>指标值</c:v>
                </c:pt>
              </c:strCache>
            </c:strRef>
          </c:tx>
          <c:marker>
            <c:symbol val="none"/>
          </c:marker>
          <c:dLbls>
            <c:delete val="1"/>
          </c:dLbls>
          <c:cat>
            <c:strRef>
              <c:f>Sheet4!$A$2:$A$5</c:f>
              <c:strCache>
                <c:ptCount val="4"/>
                <c:pt idx="0">
                  <c:v>项目立项规范性</c:v>
                </c:pt>
                <c:pt idx="1">
                  <c:v>绩效目标合理性</c:v>
                </c:pt>
                <c:pt idx="2">
                  <c:v>资金到位率</c:v>
                </c:pt>
                <c:pt idx="3">
                  <c:v>到位及时率</c:v>
                </c:pt>
              </c:strCache>
            </c:strRef>
          </c:cat>
          <c:val>
            <c:numRef>
              <c:f>Sheet4!$B$2:$B$5</c:f>
              <c:numCache>
                <c:formatCode>General</c:formatCode>
                <c:ptCount val="4"/>
                <c:pt idx="0">
                  <c:v>3</c:v>
                </c:pt>
                <c:pt idx="1">
                  <c:v>3</c:v>
                </c:pt>
                <c:pt idx="2">
                  <c:v>2</c:v>
                </c:pt>
                <c:pt idx="3">
                  <c:v>2</c:v>
                </c:pt>
              </c:numCache>
            </c:numRef>
          </c:val>
          <c:smooth val="0"/>
        </c:ser>
        <c:dLbls>
          <c:showLegendKey val="0"/>
          <c:showVal val="0"/>
          <c:showCatName val="0"/>
          <c:showSerName val="0"/>
          <c:showPercent val="0"/>
          <c:showBubbleSize val="0"/>
        </c:dLbls>
        <c:marker val="0"/>
        <c:smooth val="0"/>
        <c:axId val="282458752"/>
        <c:axId val="282726784"/>
      </c:lineChart>
      <c:catAx>
        <c:axId val="2824587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26784"/>
        <c:crosses val="autoZero"/>
        <c:auto val="1"/>
        <c:lblAlgn val="ctr"/>
        <c:lblOffset val="100"/>
        <c:noMultiLvlLbl val="0"/>
      </c:catAx>
      <c:valAx>
        <c:axId val="282726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458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项目过程</a:t>
            </a:r>
            <a:endParaRPr lang="zh-CN" altLang="en-US"/>
          </a:p>
        </c:rich>
      </c:tx>
      <c:layout/>
      <c:overlay val="0"/>
    </c:title>
    <c:autoTitleDeleted val="0"/>
    <c:plotArea>
      <c:layout/>
      <c:barChart>
        <c:barDir val="col"/>
        <c:grouping val="clustered"/>
        <c:varyColors val="0"/>
        <c:ser>
          <c:idx val="1"/>
          <c:order val="1"/>
          <c:tx>
            <c:strRef>
              <c:f>Sheet4!$C$11</c:f>
              <c:strCache>
                <c:ptCount val="1"/>
                <c:pt idx="0">
                  <c:v>评分分值</c:v>
                </c:pt>
              </c:strCache>
            </c:strRef>
          </c:tx>
          <c:spPr>
            <a:solidFill>
              <a:schemeClr val="accent2">
                <a:lumMod val="60000"/>
                <a:lumOff val="40000"/>
              </a:schemeClr>
            </a:solidFill>
          </c:spPr>
          <c:invertIfNegative val="0"/>
          <c:dLbls>
            <c:delete val="1"/>
          </c:dLbls>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Sheet4!$C$12:$C$17</c:f>
              <c:numCache>
                <c:formatCode>General</c:formatCode>
                <c:ptCount val="6"/>
                <c:pt idx="0">
                  <c:v>3</c:v>
                </c:pt>
                <c:pt idx="1">
                  <c:v>3</c:v>
                </c:pt>
                <c:pt idx="2">
                  <c:v>4</c:v>
                </c:pt>
                <c:pt idx="3">
                  <c:v>3</c:v>
                </c:pt>
                <c:pt idx="4">
                  <c:v>2</c:v>
                </c:pt>
                <c:pt idx="5">
                  <c:v>4</c:v>
                </c:pt>
              </c:numCache>
            </c:numRef>
          </c:val>
        </c:ser>
        <c:dLbls>
          <c:showLegendKey val="0"/>
          <c:showVal val="0"/>
          <c:showCatName val="0"/>
          <c:showSerName val="0"/>
          <c:showPercent val="0"/>
          <c:showBubbleSize val="0"/>
        </c:dLbls>
        <c:gapWidth val="150"/>
        <c:axId val="282755456"/>
        <c:axId val="282756992"/>
      </c:barChart>
      <c:lineChart>
        <c:grouping val="standard"/>
        <c:varyColors val="0"/>
        <c:ser>
          <c:idx val="0"/>
          <c:order val="0"/>
          <c:tx>
            <c:strRef>
              <c:f>Sheet4!$B$11</c:f>
              <c:strCache>
                <c:ptCount val="1"/>
                <c:pt idx="0">
                  <c:v>指标值</c:v>
                </c:pt>
              </c:strCache>
            </c:strRef>
          </c:tx>
          <c:marker>
            <c:symbol val="none"/>
          </c:marker>
          <c:dLbls>
            <c:delete val="1"/>
          </c:dLbls>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Sheet4!$B$12:$B$17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0"/>
        <c:smooth val="0"/>
        <c:axId val="282755456"/>
        <c:axId val="282756992"/>
      </c:lineChart>
      <c:catAx>
        <c:axId val="2827554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56992"/>
        <c:crosses val="autoZero"/>
        <c:auto val="1"/>
        <c:lblAlgn val="ctr"/>
        <c:lblOffset val="100"/>
        <c:noMultiLvlLbl val="0"/>
      </c:catAx>
      <c:valAx>
        <c:axId val="282756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55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项目产出</a:t>
            </a:r>
            <a:endParaRPr lang="zh-CN" altLang="en-US"/>
          </a:p>
        </c:rich>
      </c:tx>
      <c:layout/>
      <c:overlay val="0"/>
    </c:title>
    <c:autoTitleDeleted val="0"/>
    <c:plotArea>
      <c:layout/>
      <c:barChart>
        <c:barDir val="col"/>
        <c:grouping val="clustered"/>
        <c:varyColors val="0"/>
        <c:ser>
          <c:idx val="1"/>
          <c:order val="1"/>
          <c:tx>
            <c:strRef>
              <c:f>Sheet4!$C$23</c:f>
              <c:strCache>
                <c:ptCount val="1"/>
                <c:pt idx="0">
                  <c:v>评分分值</c:v>
                </c:pt>
              </c:strCache>
            </c:strRef>
          </c:tx>
          <c:spPr>
            <a:solidFill>
              <a:schemeClr val="tx2">
                <a:lumMod val="60000"/>
                <a:lumOff val="40000"/>
              </a:schemeClr>
            </a:solidFill>
          </c:spPr>
          <c:invertIfNegative val="0"/>
          <c:dLbls>
            <c:delete val="1"/>
          </c:dLbls>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Sheet4!$C$24:$C$29</c:f>
              <c:numCache>
                <c:formatCode>General</c:formatCode>
                <c:ptCount val="6"/>
                <c:pt idx="0">
                  <c:v>5</c:v>
                </c:pt>
                <c:pt idx="1">
                  <c:v>6</c:v>
                </c:pt>
                <c:pt idx="2">
                  <c:v>5.5</c:v>
                </c:pt>
                <c:pt idx="3">
                  <c:v>6</c:v>
                </c:pt>
                <c:pt idx="4">
                  <c:v>5</c:v>
                </c:pt>
                <c:pt idx="5">
                  <c:v>2</c:v>
                </c:pt>
              </c:numCache>
            </c:numRef>
          </c:val>
        </c:ser>
        <c:dLbls>
          <c:showLegendKey val="0"/>
          <c:showVal val="0"/>
          <c:showCatName val="0"/>
          <c:showSerName val="0"/>
          <c:showPercent val="0"/>
          <c:showBubbleSize val="0"/>
        </c:dLbls>
        <c:gapWidth val="150"/>
        <c:axId val="282770432"/>
        <c:axId val="282776320"/>
      </c:barChart>
      <c:lineChart>
        <c:grouping val="standard"/>
        <c:varyColors val="0"/>
        <c:ser>
          <c:idx val="0"/>
          <c:order val="0"/>
          <c:tx>
            <c:strRef>
              <c:f>Sheet4!$B$23</c:f>
              <c:strCache>
                <c:ptCount val="1"/>
                <c:pt idx="0">
                  <c:v>指标值</c:v>
                </c:pt>
              </c:strCache>
            </c:strRef>
          </c:tx>
          <c:spPr>
            <a:ln w="28575" cap="rnd" cmpd="sng" algn="ctr">
              <a:solidFill>
                <a:schemeClr val="accent3">
                  <a:lumMod val="75000"/>
                </a:schemeClr>
              </a:solidFill>
              <a:prstDash val="solid"/>
              <a:round/>
            </a:ln>
          </c:spPr>
          <c:marker>
            <c:symbol val="none"/>
          </c:marker>
          <c:dLbls>
            <c:delete val="1"/>
          </c:dLbls>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Sheet4!$B$24:$B$29</c:f>
              <c:numCache>
                <c:formatCode>General</c:formatCode>
                <c:ptCount val="6"/>
                <c:pt idx="0">
                  <c:v>5</c:v>
                </c:pt>
                <c:pt idx="1">
                  <c:v>6</c:v>
                </c:pt>
                <c:pt idx="2">
                  <c:v>6</c:v>
                </c:pt>
                <c:pt idx="3">
                  <c:v>6</c:v>
                </c:pt>
                <c:pt idx="4">
                  <c:v>5</c:v>
                </c:pt>
                <c:pt idx="5">
                  <c:v>5</c:v>
                </c:pt>
              </c:numCache>
            </c:numRef>
          </c:val>
          <c:smooth val="0"/>
        </c:ser>
        <c:dLbls>
          <c:showLegendKey val="0"/>
          <c:showVal val="0"/>
          <c:showCatName val="0"/>
          <c:showSerName val="0"/>
          <c:showPercent val="0"/>
          <c:showBubbleSize val="0"/>
        </c:dLbls>
        <c:marker val="0"/>
        <c:smooth val="0"/>
        <c:axId val="282770432"/>
        <c:axId val="282776320"/>
      </c:lineChart>
      <c:catAx>
        <c:axId val="282770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76320"/>
        <c:crosses val="autoZero"/>
        <c:auto val="1"/>
        <c:lblAlgn val="ctr"/>
        <c:lblOffset val="100"/>
        <c:noMultiLvlLbl val="0"/>
      </c:catAx>
      <c:valAx>
        <c:axId val="28277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70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项目效果</a:t>
            </a:r>
            <a:endParaRPr lang="zh-CN" altLang="en-US"/>
          </a:p>
        </c:rich>
      </c:tx>
      <c:layout/>
      <c:overlay val="0"/>
    </c:title>
    <c:autoTitleDeleted val="0"/>
    <c:plotArea>
      <c:layout/>
      <c:barChart>
        <c:barDir val="col"/>
        <c:grouping val="clustered"/>
        <c:varyColors val="0"/>
        <c:ser>
          <c:idx val="1"/>
          <c:order val="1"/>
          <c:tx>
            <c:strRef>
              <c:f>Sheet4!$C$35</c:f>
              <c:strCache>
                <c:ptCount val="1"/>
                <c:pt idx="0">
                  <c:v>评分分值</c:v>
                </c:pt>
              </c:strCache>
            </c:strRef>
          </c:tx>
          <c:spPr>
            <a:solidFill>
              <a:schemeClr val="accent3">
                <a:lumMod val="60000"/>
                <a:lumOff val="40000"/>
              </a:schemeClr>
            </a:solidFill>
          </c:spPr>
          <c:invertIfNegative val="0"/>
          <c:dLbls>
            <c:delete val="1"/>
          </c:dLbls>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Sheet4!$C$36:$C$41</c:f>
              <c:numCache>
                <c:formatCode>General</c:formatCode>
                <c:ptCount val="6"/>
                <c:pt idx="0">
                  <c:v>5.5</c:v>
                </c:pt>
                <c:pt idx="1">
                  <c:v>6</c:v>
                </c:pt>
                <c:pt idx="2">
                  <c:v>5.5</c:v>
                </c:pt>
                <c:pt idx="3">
                  <c:v>5</c:v>
                </c:pt>
                <c:pt idx="4">
                  <c:v>4</c:v>
                </c:pt>
                <c:pt idx="5">
                  <c:v>8</c:v>
                </c:pt>
              </c:numCache>
            </c:numRef>
          </c:val>
        </c:ser>
        <c:dLbls>
          <c:showLegendKey val="0"/>
          <c:showVal val="0"/>
          <c:showCatName val="0"/>
          <c:showSerName val="0"/>
          <c:showPercent val="0"/>
          <c:showBubbleSize val="0"/>
        </c:dLbls>
        <c:gapWidth val="150"/>
        <c:axId val="282933120"/>
        <c:axId val="282934656"/>
      </c:barChart>
      <c:lineChart>
        <c:grouping val="standard"/>
        <c:varyColors val="0"/>
        <c:ser>
          <c:idx val="0"/>
          <c:order val="0"/>
          <c:tx>
            <c:strRef>
              <c:f>Sheet4!$B$35</c:f>
              <c:strCache>
                <c:ptCount val="1"/>
                <c:pt idx="0">
                  <c:v>指标值</c:v>
                </c:pt>
              </c:strCache>
            </c:strRef>
          </c:tx>
          <c:marker>
            <c:symbol val="none"/>
          </c:marker>
          <c:dLbls>
            <c:delete val="1"/>
          </c:dLbls>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Sheet4!$B$36:$B$41</c:f>
              <c:numCache>
                <c:formatCode>General</c:formatCode>
                <c:ptCount val="6"/>
                <c:pt idx="0">
                  <c:v>6</c:v>
                </c:pt>
                <c:pt idx="1">
                  <c:v>6</c:v>
                </c:pt>
                <c:pt idx="2">
                  <c:v>6</c:v>
                </c:pt>
                <c:pt idx="3">
                  <c:v>6</c:v>
                </c:pt>
                <c:pt idx="4">
                  <c:v>5</c:v>
                </c:pt>
                <c:pt idx="5">
                  <c:v>8</c:v>
                </c:pt>
              </c:numCache>
            </c:numRef>
          </c:val>
          <c:smooth val="0"/>
        </c:ser>
        <c:dLbls>
          <c:showLegendKey val="0"/>
          <c:showVal val="0"/>
          <c:showCatName val="0"/>
          <c:showSerName val="0"/>
          <c:showPercent val="0"/>
          <c:showBubbleSize val="0"/>
        </c:dLbls>
        <c:marker val="0"/>
        <c:smooth val="0"/>
        <c:axId val="282933120"/>
        <c:axId val="282934656"/>
      </c:lineChart>
      <c:catAx>
        <c:axId val="2829331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34656"/>
        <c:crosses val="autoZero"/>
        <c:auto val="1"/>
        <c:lblAlgn val="ctr"/>
        <c:lblOffset val="100"/>
        <c:noMultiLvlLbl val="0"/>
      </c:catAx>
      <c:valAx>
        <c:axId val="2829346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331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评分情况</a:t>
            </a:r>
            <a:endParaRPr lang="zh-CN" altLang="en-US"/>
          </a:p>
        </c:rich>
      </c:tx>
      <c:layout/>
      <c:overlay val="0"/>
    </c:title>
    <c:autoTitleDeleted val="0"/>
    <c:plotArea>
      <c:layout/>
      <c:barChart>
        <c:barDir val="col"/>
        <c:grouping val="clustered"/>
        <c:varyColors val="0"/>
        <c:ser>
          <c:idx val="0"/>
          <c:order val="0"/>
          <c:tx>
            <c:strRef>
              <c:f>Sheet4!$B$44</c:f>
              <c:strCache>
                <c:ptCount val="1"/>
                <c:pt idx="0">
                  <c:v>准则分值</c:v>
                </c:pt>
              </c:strCache>
            </c:strRef>
          </c:tx>
          <c:invertIfNegative val="0"/>
          <c:dLbls>
            <c:delete val="1"/>
          </c:dLbls>
          <c:cat>
            <c:strRef>
              <c:f>Sheet4!$A$45:$A$49</c:f>
              <c:strCache>
                <c:ptCount val="5"/>
                <c:pt idx="0">
                  <c:v>投入</c:v>
                </c:pt>
                <c:pt idx="1">
                  <c:v>过程</c:v>
                </c:pt>
                <c:pt idx="2">
                  <c:v>产出</c:v>
                </c:pt>
                <c:pt idx="3">
                  <c:v>效果</c:v>
                </c:pt>
                <c:pt idx="4">
                  <c:v>综合绩效</c:v>
                </c:pt>
              </c:strCache>
            </c:strRef>
          </c:cat>
          <c:val>
            <c:numRef>
              <c:f>Sheet4!$B$45:$B$49</c:f>
              <c:numCache>
                <c:formatCode>General</c:formatCode>
                <c:ptCount val="5"/>
                <c:pt idx="0">
                  <c:v>10</c:v>
                </c:pt>
                <c:pt idx="1">
                  <c:v>20</c:v>
                </c:pt>
                <c:pt idx="2">
                  <c:v>33</c:v>
                </c:pt>
                <c:pt idx="3">
                  <c:v>37</c:v>
                </c:pt>
                <c:pt idx="4">
                  <c:v>100</c:v>
                </c:pt>
              </c:numCache>
            </c:numRef>
          </c:val>
        </c:ser>
        <c:ser>
          <c:idx val="1"/>
          <c:order val="1"/>
          <c:tx>
            <c:strRef>
              <c:f>Sheet4!$C$44</c:f>
              <c:strCache>
                <c:ptCount val="1"/>
                <c:pt idx="0">
                  <c:v>评价得分</c:v>
                </c:pt>
              </c:strCache>
            </c:strRef>
          </c:tx>
          <c:invertIfNegative val="0"/>
          <c:dLbls>
            <c:delete val="1"/>
          </c:dLbls>
          <c:cat>
            <c:strRef>
              <c:f>Sheet4!$A$45:$A$49</c:f>
              <c:strCache>
                <c:ptCount val="5"/>
                <c:pt idx="0">
                  <c:v>投入</c:v>
                </c:pt>
                <c:pt idx="1">
                  <c:v>过程</c:v>
                </c:pt>
                <c:pt idx="2">
                  <c:v>产出</c:v>
                </c:pt>
                <c:pt idx="3">
                  <c:v>效果</c:v>
                </c:pt>
                <c:pt idx="4">
                  <c:v>综合绩效</c:v>
                </c:pt>
              </c:strCache>
            </c:strRef>
          </c:cat>
          <c:val>
            <c:numRef>
              <c:f>Sheet4!$C$45:$C$49</c:f>
              <c:numCache>
                <c:formatCode>General</c:formatCode>
                <c:ptCount val="5"/>
                <c:pt idx="0">
                  <c:v>10</c:v>
                </c:pt>
                <c:pt idx="1">
                  <c:v>19</c:v>
                </c:pt>
                <c:pt idx="2">
                  <c:v>29.5</c:v>
                </c:pt>
                <c:pt idx="3">
                  <c:v>34</c:v>
                </c:pt>
                <c:pt idx="4">
                  <c:v>92.5</c:v>
                </c:pt>
              </c:numCache>
            </c:numRef>
          </c:val>
        </c:ser>
        <c:dLbls>
          <c:showLegendKey val="0"/>
          <c:showVal val="0"/>
          <c:showCatName val="0"/>
          <c:showSerName val="0"/>
          <c:showPercent val="0"/>
          <c:showBubbleSize val="0"/>
        </c:dLbls>
        <c:gapWidth val="150"/>
        <c:axId val="282952064"/>
        <c:axId val="282953600"/>
      </c:barChart>
      <c:catAx>
        <c:axId val="2829520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53600"/>
        <c:crosses val="autoZero"/>
        <c:auto val="1"/>
        <c:lblAlgn val="ctr"/>
        <c:lblOffset val="100"/>
        <c:noMultiLvlLbl val="0"/>
      </c:catAx>
      <c:valAx>
        <c:axId val="2829536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5206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p>
          <a:endParaRPr lang="zh-CN" altLang="en-US"/>
        </a:p>
      </dgm:t>
    </dgm:pt>
    <dgm:pt modelId="{A816408A-7D99-4664-BE7B-F71BE878017F}" type="pres">
      <dgm:prSet presAssocID="{AE44D3A4-6643-4157-86EA-2E0899415F11}" presName="composite" presStyleCnt="0"/>
      <dgm:spPr/>
      <dgm:t>
        <a:bodyPr/>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A76CBF8C-BF29-46EA-BD18-D16805398C3A}" type="presOf" srcId="{42B1CAFA-34EB-45A3-9248-7D2EFA1D06C6}" destId="{21371BE3-4D1B-4FCD-93F0-83D79DE9ED80}" srcOrd="0" destOrd="3"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A4BC69D8-A1CE-4AD4-878B-378CBD66DA8C}" type="presOf" srcId="{ED222693-D855-4D4D-BFDE-6812A6E41E9C}" destId="{21371BE3-4D1B-4FCD-93F0-83D79DE9ED80}" srcOrd="0" destOrd="1"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063484D8-0551-4BAB-AB43-C6376C30419A}" type="presOf" srcId="{4B7C27DC-5868-4F38-A9F2-056BB1C2E427}" destId="{59D1F855-295C-4C11-A157-F68CD0C40511}" srcOrd="0" destOrd="0" presId="urn:microsoft.com/office/officeart/2005/8/layout/chevron2"/>
    <dgm:cxn modelId="{646836D6-B5FF-45ED-96B0-A9055A7B4AD8}" srcId="{AE44D3A4-6643-4157-86EA-2E0899415F11}" destId="{15882016-B55C-44E9-8F1F-2EA976ABCA60}" srcOrd="0" destOrd="0" parTransId="{2FB28D79-3636-4821-82E3-476D88957CAC}" sibTransId="{80A89C0F-3ACD-4F85-903F-9949EB715D51}"/>
    <dgm:cxn modelId="{68EE5584-1910-4A02-9946-551CF4C426E5}" type="presOf" srcId="{AE44D3A4-6643-4157-86EA-2E0899415F11}" destId="{6FCA6E69-3FF6-49C8-A5E8-34C818E36251}" srcOrd="0" destOrd="0" presId="urn:microsoft.com/office/officeart/2005/8/layout/chevron2"/>
    <dgm:cxn modelId="{2CAE3E24-1120-4706-8E3E-A23B461769D1}" type="presOf" srcId="{15882016-B55C-44E9-8F1F-2EA976ABCA60}" destId="{21371BE3-4D1B-4FCD-93F0-83D79DE9ED80}" srcOrd="0" destOrd="0" presId="urn:microsoft.com/office/officeart/2005/8/layout/chevron2"/>
    <dgm:cxn modelId="{6EFBA48F-F84E-4904-9E8A-CBC5C4416B77}" type="presOf" srcId="{0CB1D884-927A-4CD8-ADA4-973A535D4546}" destId="{21371BE3-4D1B-4FCD-93F0-83D79DE9ED80}" srcOrd="0" destOrd="2" presId="urn:microsoft.com/office/officeart/2005/8/layout/chevron2"/>
    <dgm:cxn modelId="{BBB7692C-02E5-46EE-B211-FB920B8D5880}" type="presParOf" srcId="{59D1F855-295C-4C11-A157-F68CD0C40511}" destId="{A816408A-7D99-4664-BE7B-F71BE878017F}" srcOrd="0" destOrd="0" presId="urn:microsoft.com/office/officeart/2005/8/layout/chevron2"/>
    <dgm:cxn modelId="{7E227C5B-91A9-4BB5-AA6C-06B1F29E5C23}" type="presParOf" srcId="{A816408A-7D99-4664-BE7B-F71BE878017F}" destId="{6FCA6E69-3FF6-49C8-A5E8-34C818E36251}" srcOrd="0" destOrd="0" presId="urn:microsoft.com/office/officeart/2005/8/layout/chevron2"/>
    <dgm:cxn modelId="{30E11A7D-C69B-40A9-9B9C-3061C9E4B8F6}"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709AB6-1275-4862-A6A3-8C2F35351970}" type="doc">
      <dgm:prSet loTypeId="urn:microsoft.com/office/officeart/2005/8/layout/hierarchy2" loCatId="hierarchy" qsTypeId="urn:microsoft.com/office/officeart/2005/8/quickstyle/simple1" qsCatId="simple" csTypeId="urn:microsoft.com/office/officeart/2005/8/colors/colorful3" csCatId="colorful" phldr="1"/>
      <dgm:spPr/>
      <dgm:t>
        <a:bodyPr/>
        <a:p>
          <a:endParaRPr lang="zh-CN" altLang="en-US"/>
        </a:p>
      </dgm:t>
    </dgm:pt>
    <dgm:pt modelId="{FFBAE5C1-8285-4BC9-B943-8FD424BB48BF}">
      <dgm:prSet phldrT="[文本]"/>
      <dgm:spPr/>
      <dgm:t>
        <a:bodyPr/>
        <a:p>
          <a:r>
            <a:rPr lang="zh-CN" altLang="en-US"/>
            <a:t>指标评价体系及标准</a:t>
          </a:r>
        </a:p>
      </dgm:t>
    </dgm:pt>
    <dgm:pt modelId="{4142F05B-EE05-4DF3-8A99-314935A3E609}" cxnId="{397C2ABB-F88A-429A-8E43-8A47A08F3BDD}" type="parTrans">
      <dgm:prSet/>
      <dgm:spPr/>
      <dgm:t>
        <a:bodyPr/>
        <a:p>
          <a:endParaRPr lang="zh-CN" altLang="en-US"/>
        </a:p>
      </dgm:t>
    </dgm:pt>
    <dgm:pt modelId="{66836084-B9AE-4087-A961-1650746957FE}" cxnId="{397C2ABB-F88A-429A-8E43-8A47A08F3BDD}" type="sibTrans">
      <dgm:prSet/>
      <dgm:spPr/>
      <dgm:t>
        <a:bodyPr/>
        <a:p>
          <a:endParaRPr lang="zh-CN" altLang="en-US"/>
        </a:p>
      </dgm:t>
    </dgm:pt>
    <dgm:pt modelId="{70A313A3-6C8B-4077-A5BF-C42546EEC8CA}">
      <dgm:prSet phldrT="[文本]"/>
      <dgm:spPr/>
      <dgm:t>
        <a:bodyPr/>
        <a:p>
          <a:r>
            <a:rPr lang="zh-CN" altLang="en-US"/>
            <a:t>项目产出（</a:t>
          </a:r>
          <a:r>
            <a:rPr lang="en-US" altLang="zh-CN"/>
            <a:t>33</a:t>
          </a:r>
          <a:r>
            <a:rPr lang="zh-CN" altLang="en-US"/>
            <a:t>）</a:t>
          </a:r>
        </a:p>
      </dgm:t>
    </dgm:pt>
    <dgm:pt modelId="{7E09FEFA-E19C-4234-861E-FCE90D6F0619}" cxnId="{7C358785-19EF-4400-BAE5-8A400AE18D20}" type="parTrans">
      <dgm:prSet/>
      <dgm:spPr/>
      <dgm:t>
        <a:bodyPr/>
        <a:p>
          <a:endParaRPr lang="zh-CN" altLang="en-US"/>
        </a:p>
      </dgm:t>
    </dgm:pt>
    <dgm:pt modelId="{9D936FB6-949A-46DD-BC7F-D2F48EF57088}" cxnId="{7C358785-19EF-4400-BAE5-8A400AE18D20}" type="sibTrans">
      <dgm:prSet/>
      <dgm:spPr/>
      <dgm:t>
        <a:bodyPr/>
        <a:p>
          <a:endParaRPr lang="zh-CN" altLang="en-US"/>
        </a:p>
      </dgm:t>
    </dgm:pt>
    <dgm:pt modelId="{CDF9E1A3-53E4-4165-97C2-F6CB1CBB3AE8}">
      <dgm:prSet phldrT="[文本]"/>
      <dgm:spPr/>
      <dgm:t>
        <a:bodyPr/>
        <a:p>
          <a:r>
            <a:rPr lang="zh-CN" altLang="en-US"/>
            <a:t>项目效果（</a:t>
          </a:r>
          <a:r>
            <a:rPr lang="en-US" altLang="zh-CN"/>
            <a:t>37</a:t>
          </a:r>
          <a:r>
            <a:rPr lang="zh-CN" altLang="en-US"/>
            <a:t>）</a:t>
          </a:r>
        </a:p>
      </dgm:t>
    </dgm:pt>
    <dgm:pt modelId="{1255153A-2D6F-447F-AF0F-8479FED846B7}" cxnId="{D0631423-0269-4EB9-8C59-4EB0AB83C8E6}" type="parTrans">
      <dgm:prSet/>
      <dgm:spPr/>
      <dgm:t>
        <a:bodyPr/>
        <a:p>
          <a:endParaRPr lang="zh-CN" altLang="en-US"/>
        </a:p>
      </dgm:t>
    </dgm:pt>
    <dgm:pt modelId="{EA80DE07-315F-4CCB-8805-23885BA70F41}" cxnId="{D0631423-0269-4EB9-8C59-4EB0AB83C8E6}" type="sibTrans">
      <dgm:prSet/>
      <dgm:spPr/>
      <dgm:t>
        <a:bodyPr/>
        <a:p>
          <a:endParaRPr lang="zh-CN" altLang="en-US"/>
        </a:p>
      </dgm:t>
    </dgm:pt>
    <dgm:pt modelId="{6EFCCEAE-5CCD-4974-ADC8-621435D3A1EB}">
      <dgm:prSet phldrT="[文本]"/>
      <dgm:spPr/>
      <dgm:t>
        <a:bodyPr/>
        <a:p>
          <a:r>
            <a:rPr lang="zh-CN" altLang="en-US"/>
            <a:t>项目效果（</a:t>
          </a:r>
          <a:r>
            <a:rPr lang="en-US" altLang="zh-CN"/>
            <a:t>37</a:t>
          </a:r>
          <a:r>
            <a:rPr lang="zh-CN" altLang="en-US"/>
            <a:t>）</a:t>
          </a:r>
        </a:p>
      </dgm:t>
    </dgm:pt>
    <dgm:pt modelId="{59DA6AA1-9886-4197-BAF5-49644E1291C7}" cxnId="{D85DE826-A751-4CA1-94F0-735E27489BA2}" type="parTrans">
      <dgm:prSet/>
      <dgm:spPr/>
      <dgm:t>
        <a:bodyPr/>
        <a:p>
          <a:endParaRPr lang="zh-CN" altLang="en-US"/>
        </a:p>
      </dgm:t>
    </dgm:pt>
    <dgm:pt modelId="{11F7B4BA-DB15-4EB1-83D4-6ACC536C66F4}" cxnId="{D85DE826-A751-4CA1-94F0-735E27489BA2}" type="sibTrans">
      <dgm:prSet/>
      <dgm:spPr/>
      <dgm:t>
        <a:bodyPr/>
        <a:p>
          <a:endParaRPr lang="zh-CN" altLang="en-US"/>
        </a:p>
      </dgm:t>
    </dgm:pt>
    <dgm:pt modelId="{6F2E2B8F-38E9-4504-9E5E-692484CF7EE7}">
      <dgm:prSet/>
      <dgm:spPr/>
      <dgm:t>
        <a:bodyPr/>
        <a:p>
          <a:r>
            <a:rPr lang="zh-CN" altLang="en-US"/>
            <a:t>项目产出（</a:t>
          </a:r>
          <a:r>
            <a:rPr lang="en-US" altLang="zh-CN"/>
            <a:t>33</a:t>
          </a:r>
          <a:r>
            <a:rPr lang="zh-CN" altLang="en-US"/>
            <a:t>）</a:t>
          </a:r>
        </a:p>
      </dgm:t>
    </dgm:pt>
    <dgm:pt modelId="{E04EC557-F073-4A38-9F69-72B228E412E2}" cxnId="{46A7C520-214F-4A8A-9DC7-3EC70646EB26}" type="parTrans">
      <dgm:prSet/>
      <dgm:spPr/>
      <dgm:t>
        <a:bodyPr/>
        <a:p>
          <a:endParaRPr lang="zh-CN" altLang="en-US"/>
        </a:p>
      </dgm:t>
    </dgm:pt>
    <dgm:pt modelId="{6BE0F62F-15CC-4BF0-87CB-63F12D86B789}" cxnId="{46A7C520-214F-4A8A-9DC7-3EC70646EB26}" type="sibTrans">
      <dgm:prSet/>
      <dgm:spPr/>
      <dgm:t>
        <a:bodyPr/>
        <a:p>
          <a:endParaRPr lang="zh-CN" altLang="en-US"/>
        </a:p>
      </dgm:t>
    </dgm:pt>
    <dgm:pt modelId="{23F1BAE5-9410-4FD5-A467-32EDB17AB083}">
      <dgm:prSet/>
      <dgm:spPr/>
      <dgm:t>
        <a:bodyPr/>
        <a:p>
          <a:r>
            <a:rPr lang="zh-CN" altLang="en-US"/>
            <a:t>项目投入（</a:t>
          </a:r>
          <a:r>
            <a:rPr lang="en-US" altLang="zh-CN"/>
            <a:t>10</a:t>
          </a:r>
          <a:r>
            <a:rPr lang="zh-CN" altLang="en-US"/>
            <a:t>）</a:t>
          </a:r>
        </a:p>
      </dgm:t>
    </dgm:pt>
    <dgm:pt modelId="{32DBFDA2-0F7E-4287-9475-C95D63B7BD39}" cxnId="{F5DB04AC-24A9-4FAB-8BD6-27052D431EBE}" type="parTrans">
      <dgm:prSet/>
      <dgm:spPr/>
      <dgm:t>
        <a:bodyPr/>
        <a:p>
          <a:endParaRPr lang="zh-CN" altLang="en-US"/>
        </a:p>
      </dgm:t>
    </dgm:pt>
    <dgm:pt modelId="{3F5B81D8-F15F-40F7-B91C-E9810302971E}" cxnId="{F5DB04AC-24A9-4FAB-8BD6-27052D431EBE}" type="sibTrans">
      <dgm:prSet/>
      <dgm:spPr/>
      <dgm:t>
        <a:bodyPr/>
        <a:p>
          <a:endParaRPr lang="zh-CN" altLang="en-US"/>
        </a:p>
      </dgm:t>
    </dgm:pt>
    <dgm:pt modelId="{A4A6F23C-4404-4406-AF53-6D907F0831F8}">
      <dgm:prSet/>
      <dgm:spPr/>
      <dgm:t>
        <a:bodyPr/>
        <a:p>
          <a:r>
            <a:rPr lang="zh-CN" altLang="en-US"/>
            <a:t>项目过程（</a:t>
          </a:r>
          <a:r>
            <a:rPr lang="en-US" altLang="zh-CN"/>
            <a:t>20</a:t>
          </a:r>
          <a:r>
            <a:rPr lang="zh-CN" altLang="en-US"/>
            <a:t>）</a:t>
          </a:r>
        </a:p>
      </dgm:t>
    </dgm:pt>
    <dgm:pt modelId="{9E716021-C814-494D-9375-3CC10EDE3296}" cxnId="{6A89B9B1-A673-49D2-9143-C49CA51348AC}" type="parTrans">
      <dgm:prSet/>
      <dgm:spPr/>
      <dgm:t>
        <a:bodyPr/>
        <a:p>
          <a:endParaRPr lang="zh-CN" altLang="en-US"/>
        </a:p>
      </dgm:t>
    </dgm:pt>
    <dgm:pt modelId="{CB51CA5D-6A13-4849-B6F1-6070539AE363}" cxnId="{6A89B9B1-A673-49D2-9143-C49CA51348AC}" type="sibTrans">
      <dgm:prSet/>
      <dgm:spPr/>
      <dgm:t>
        <a:bodyPr/>
        <a:p>
          <a:endParaRPr lang="zh-CN" altLang="en-US"/>
        </a:p>
      </dgm:t>
    </dgm:pt>
    <dgm:pt modelId="{F434789F-F5CD-463C-99FD-17F54C678185}">
      <dgm:prSet/>
      <dgm:spPr/>
      <dgm:t>
        <a:bodyPr/>
        <a:p>
          <a:r>
            <a:rPr lang="zh-CN" altLang="en-US"/>
            <a:t>财务管理（</a:t>
          </a:r>
          <a:r>
            <a:rPr lang="en-US" altLang="zh-CN"/>
            <a:t>10</a:t>
          </a:r>
          <a:r>
            <a:rPr lang="zh-CN" altLang="en-US"/>
            <a:t>）</a:t>
          </a:r>
        </a:p>
      </dgm:t>
    </dgm:pt>
    <dgm:pt modelId="{19652BD6-CF00-4024-A35C-9FCDDD2388EB}" cxnId="{0960B573-FFF7-4C13-9CDB-D11EE0319B73}" type="parTrans">
      <dgm:prSet/>
      <dgm:spPr/>
      <dgm:t>
        <a:bodyPr/>
        <a:p>
          <a:endParaRPr lang="zh-CN" altLang="en-US"/>
        </a:p>
      </dgm:t>
    </dgm:pt>
    <dgm:pt modelId="{62FCA52B-60DA-4F3D-941B-DB441D714C81}" cxnId="{0960B573-FFF7-4C13-9CDB-D11EE0319B73}" type="sibTrans">
      <dgm:prSet/>
      <dgm:spPr/>
      <dgm:t>
        <a:bodyPr/>
        <a:p>
          <a:endParaRPr lang="zh-CN" altLang="en-US"/>
        </a:p>
      </dgm:t>
    </dgm:pt>
    <dgm:pt modelId="{A939FBA2-C1B0-4D61-93FE-31281B9BB084}">
      <dgm:prSet/>
      <dgm:spPr/>
      <dgm:t>
        <a:bodyPr/>
        <a:p>
          <a:r>
            <a:rPr lang="zh-CN" altLang="en-US"/>
            <a:t>项目立项（</a:t>
          </a:r>
          <a:r>
            <a:rPr lang="en-US" altLang="zh-CN"/>
            <a:t>6</a:t>
          </a:r>
          <a:r>
            <a:rPr lang="zh-CN" altLang="en-US"/>
            <a:t>）</a:t>
          </a:r>
        </a:p>
      </dgm:t>
    </dgm:pt>
    <dgm:pt modelId="{64815250-BD83-4BCB-825F-26E656C74F5F}" cxnId="{E5D70CBC-A72C-404A-8FCE-3855E22DCA21}" type="parTrans">
      <dgm:prSet/>
      <dgm:spPr/>
      <dgm:t>
        <a:bodyPr/>
        <a:p>
          <a:endParaRPr lang="zh-CN" altLang="en-US"/>
        </a:p>
      </dgm:t>
    </dgm:pt>
    <dgm:pt modelId="{534E0623-7C06-4648-94E3-5492C16BDBDA}" cxnId="{E5D70CBC-A72C-404A-8FCE-3855E22DCA21}" type="sibTrans">
      <dgm:prSet/>
      <dgm:spPr/>
      <dgm:t>
        <a:bodyPr/>
        <a:p>
          <a:endParaRPr lang="zh-CN" altLang="en-US"/>
        </a:p>
      </dgm:t>
    </dgm:pt>
    <dgm:pt modelId="{40B10ED4-06F8-4A52-955A-203E2FBE2B1E}">
      <dgm:prSet/>
      <dgm:spPr/>
      <dgm:t>
        <a:bodyPr/>
        <a:p>
          <a:r>
            <a:rPr lang="zh-CN" altLang="en-US"/>
            <a:t>资金落实（</a:t>
          </a:r>
          <a:r>
            <a:rPr lang="en-US" altLang="zh-CN"/>
            <a:t>4</a:t>
          </a:r>
          <a:r>
            <a:rPr lang="zh-CN" altLang="en-US"/>
            <a:t>）</a:t>
          </a:r>
        </a:p>
      </dgm:t>
    </dgm:pt>
    <dgm:pt modelId="{DB9E6505-9C0F-4AC6-A26C-CBA9E9E6F144}" cxnId="{C1EF21B6-21B9-4165-8DD4-A490B507D22F}" type="parTrans">
      <dgm:prSet/>
      <dgm:spPr/>
      <dgm:t>
        <a:bodyPr/>
        <a:p>
          <a:endParaRPr lang="zh-CN" altLang="en-US"/>
        </a:p>
      </dgm:t>
    </dgm:pt>
    <dgm:pt modelId="{F30CA362-D1F5-474D-9384-FA4DF9C49788}" cxnId="{C1EF21B6-21B9-4165-8DD4-A490B507D22F}" type="sibTrans">
      <dgm:prSet/>
      <dgm:spPr/>
      <dgm:t>
        <a:bodyPr/>
        <a:p>
          <a:endParaRPr lang="zh-CN" altLang="en-US"/>
        </a:p>
      </dgm:t>
    </dgm:pt>
    <dgm:pt modelId="{7D1ACB89-F140-44CB-884B-6751A14AC01A}">
      <dgm:prSet/>
      <dgm:spPr/>
      <dgm:t>
        <a:bodyPr/>
        <a:p>
          <a:r>
            <a:rPr lang="zh-CN" altLang="en-US"/>
            <a:t>业务管理（</a:t>
          </a:r>
          <a:r>
            <a:rPr lang="en-US" altLang="zh-CN"/>
            <a:t>10</a:t>
          </a:r>
          <a:r>
            <a:rPr lang="zh-CN" altLang="en-US"/>
            <a:t>）</a:t>
          </a:r>
        </a:p>
      </dgm:t>
    </dgm:pt>
    <dgm:pt modelId="{A9437B42-DD16-49B8-BD2F-97F296388AD3}" cxnId="{2B0FFB3E-8280-4ACB-AB7C-D317D6652025}" type="parTrans">
      <dgm:prSet/>
      <dgm:spPr/>
      <dgm:t>
        <a:bodyPr/>
        <a:p>
          <a:endParaRPr lang="zh-CN" altLang="en-US"/>
        </a:p>
      </dgm:t>
    </dgm:pt>
    <dgm:pt modelId="{29CFEC06-72A9-45FE-A690-B6BAD1A70BF7}" cxnId="{2B0FFB3E-8280-4ACB-AB7C-D317D6652025}" type="sibTrans">
      <dgm:prSet/>
      <dgm:spPr/>
      <dgm:t>
        <a:bodyPr/>
        <a:p>
          <a:endParaRPr lang="zh-CN" altLang="en-US"/>
        </a:p>
      </dgm:t>
    </dgm:pt>
    <dgm:pt modelId="{932E1B83-E063-4582-BFC9-A560580D0854}" type="pres">
      <dgm:prSet presAssocID="{FF709AB6-1275-4862-A6A3-8C2F35351970}" presName="diagram" presStyleCnt="0">
        <dgm:presLayoutVars>
          <dgm:chPref val="1"/>
          <dgm:dir/>
          <dgm:animOne val="branch"/>
          <dgm:animLvl val="lvl"/>
          <dgm:resizeHandles val="exact"/>
        </dgm:presLayoutVars>
      </dgm:prSet>
      <dgm:spPr/>
      <dgm:t>
        <a:bodyPr/>
        <a:p>
          <a:endParaRPr lang="zh-CN" altLang="en-US"/>
        </a:p>
      </dgm:t>
    </dgm:pt>
    <dgm:pt modelId="{1304F1F6-76C6-429E-AD22-00D0CDFE6FD6}" type="pres">
      <dgm:prSet presAssocID="{FFBAE5C1-8285-4BC9-B943-8FD424BB48BF}" presName="root1" presStyleCnt="0"/>
      <dgm:spPr/>
    </dgm:pt>
    <dgm:pt modelId="{EBB610E6-2FB1-40D4-8297-AA8EAC794EEE}" type="pres">
      <dgm:prSet presAssocID="{FFBAE5C1-8285-4BC9-B943-8FD424BB48BF}" presName="LevelOneTextNode" presStyleLbl="node0" presStyleIdx="0" presStyleCnt="1" custScaleX="61446" custScaleY="62259">
        <dgm:presLayoutVars>
          <dgm:chPref val="3"/>
        </dgm:presLayoutVars>
      </dgm:prSet>
      <dgm:spPr/>
      <dgm:t>
        <a:bodyPr/>
        <a:p>
          <a:endParaRPr lang="zh-CN" altLang="en-US"/>
        </a:p>
      </dgm:t>
    </dgm:pt>
    <dgm:pt modelId="{95AA497F-DEE8-400E-9E3E-D40F90A3DC71}" type="pres">
      <dgm:prSet presAssocID="{FFBAE5C1-8285-4BC9-B943-8FD424BB48BF}" presName="level2hierChild" presStyleCnt="0"/>
      <dgm:spPr/>
    </dgm:pt>
    <dgm:pt modelId="{49E0E87C-F8BA-4AF1-ADE0-206AA2F899BD}" type="pres">
      <dgm:prSet presAssocID="{32DBFDA2-0F7E-4287-9475-C95D63B7BD39}" presName="conn2-1" presStyleLbl="parChTrans1D2" presStyleIdx="0" presStyleCnt="4"/>
      <dgm:spPr/>
      <dgm:t>
        <a:bodyPr/>
        <a:p>
          <a:endParaRPr lang="zh-CN" altLang="en-US"/>
        </a:p>
      </dgm:t>
    </dgm:pt>
    <dgm:pt modelId="{621CFDA0-78F4-4717-B03B-D9F3C0C02824}" type="pres">
      <dgm:prSet presAssocID="{32DBFDA2-0F7E-4287-9475-C95D63B7BD39}" presName="connTx" presStyleLbl="parChTrans1D2" presStyleIdx="0" presStyleCnt="4"/>
      <dgm:spPr/>
      <dgm:t>
        <a:bodyPr/>
        <a:p>
          <a:endParaRPr lang="zh-CN" altLang="en-US"/>
        </a:p>
      </dgm:t>
    </dgm:pt>
    <dgm:pt modelId="{F79338C2-8003-44FC-A1F0-86B044F4CEDF}" type="pres">
      <dgm:prSet presAssocID="{23F1BAE5-9410-4FD5-A467-32EDB17AB083}" presName="root2" presStyleCnt="0"/>
      <dgm:spPr/>
    </dgm:pt>
    <dgm:pt modelId="{B3F1045F-F657-4940-8804-E7BF91048E84}" type="pres">
      <dgm:prSet presAssocID="{23F1BAE5-9410-4FD5-A467-32EDB17AB083}" presName="LevelTwoTextNode" presStyleLbl="node2" presStyleIdx="0" presStyleCnt="4" custScaleX="62630" custScaleY="44293">
        <dgm:presLayoutVars>
          <dgm:chPref val="3"/>
        </dgm:presLayoutVars>
      </dgm:prSet>
      <dgm:spPr/>
      <dgm:t>
        <a:bodyPr/>
        <a:p>
          <a:endParaRPr lang="zh-CN" altLang="en-US"/>
        </a:p>
      </dgm:t>
    </dgm:pt>
    <dgm:pt modelId="{145BDD63-165C-4700-8213-829B251D1F68}" type="pres">
      <dgm:prSet presAssocID="{23F1BAE5-9410-4FD5-A467-32EDB17AB083}" presName="level3hierChild" presStyleCnt="0"/>
      <dgm:spPr/>
    </dgm:pt>
    <dgm:pt modelId="{ABC98AD2-4FEC-4A9C-A13F-CBA5658448C4}" type="pres">
      <dgm:prSet presAssocID="{64815250-BD83-4BCB-825F-26E656C74F5F}" presName="conn2-1" presStyleLbl="parChTrans1D3" presStyleIdx="0" presStyleCnt="6"/>
      <dgm:spPr/>
      <dgm:t>
        <a:bodyPr/>
        <a:p>
          <a:endParaRPr lang="zh-CN" altLang="en-US"/>
        </a:p>
      </dgm:t>
    </dgm:pt>
    <dgm:pt modelId="{56456347-DD1E-4F5F-849A-E07F4FB8AF74}" type="pres">
      <dgm:prSet presAssocID="{64815250-BD83-4BCB-825F-26E656C74F5F}" presName="connTx" presStyleLbl="parChTrans1D3" presStyleIdx="0" presStyleCnt="6"/>
      <dgm:spPr/>
      <dgm:t>
        <a:bodyPr/>
        <a:p>
          <a:endParaRPr lang="zh-CN" altLang="en-US"/>
        </a:p>
      </dgm:t>
    </dgm:pt>
    <dgm:pt modelId="{DB69F68B-EBD2-4574-9DD0-C441485D88A1}" type="pres">
      <dgm:prSet presAssocID="{A939FBA2-C1B0-4D61-93FE-31281B9BB084}" presName="root2" presStyleCnt="0"/>
      <dgm:spPr/>
    </dgm:pt>
    <dgm:pt modelId="{B9349998-25B2-4AC9-96C3-D931C5B236FB}" type="pres">
      <dgm:prSet presAssocID="{A939FBA2-C1B0-4D61-93FE-31281B9BB084}" presName="LevelTwoTextNode" presStyleLbl="node3" presStyleIdx="0" presStyleCnt="6" custScaleX="68504" custScaleY="44815">
        <dgm:presLayoutVars>
          <dgm:chPref val="3"/>
        </dgm:presLayoutVars>
      </dgm:prSet>
      <dgm:spPr/>
      <dgm:t>
        <a:bodyPr/>
        <a:p>
          <a:endParaRPr lang="zh-CN" altLang="en-US"/>
        </a:p>
      </dgm:t>
    </dgm:pt>
    <dgm:pt modelId="{27BD6397-BB66-4D9C-AD42-B5122E2C1E77}" type="pres">
      <dgm:prSet presAssocID="{A939FBA2-C1B0-4D61-93FE-31281B9BB084}" presName="level3hierChild" presStyleCnt="0"/>
      <dgm:spPr/>
    </dgm:pt>
    <dgm:pt modelId="{0BAF4E39-65E4-4D0A-AC03-0C422E0CCD1B}" type="pres">
      <dgm:prSet presAssocID="{DB9E6505-9C0F-4AC6-A26C-CBA9E9E6F144}" presName="conn2-1" presStyleLbl="parChTrans1D3" presStyleIdx="1" presStyleCnt="6"/>
      <dgm:spPr/>
      <dgm:t>
        <a:bodyPr/>
        <a:p>
          <a:endParaRPr lang="zh-CN" altLang="en-US"/>
        </a:p>
      </dgm:t>
    </dgm:pt>
    <dgm:pt modelId="{4035C6D8-2C78-4F05-A87B-29DF78FD1BBC}" type="pres">
      <dgm:prSet presAssocID="{DB9E6505-9C0F-4AC6-A26C-CBA9E9E6F144}" presName="connTx" presStyleLbl="parChTrans1D3" presStyleIdx="1" presStyleCnt="6"/>
      <dgm:spPr/>
      <dgm:t>
        <a:bodyPr/>
        <a:p>
          <a:endParaRPr lang="zh-CN" altLang="en-US"/>
        </a:p>
      </dgm:t>
    </dgm:pt>
    <dgm:pt modelId="{2EEC65E4-4FEF-48F4-A3D9-3D265A787E25}" type="pres">
      <dgm:prSet presAssocID="{40B10ED4-06F8-4A52-955A-203E2FBE2B1E}" presName="root2" presStyleCnt="0"/>
      <dgm:spPr/>
    </dgm:pt>
    <dgm:pt modelId="{BB4AC3EF-141C-43F7-9720-FEEB40D18F00}" type="pres">
      <dgm:prSet presAssocID="{40B10ED4-06F8-4A52-955A-203E2FBE2B1E}" presName="LevelTwoTextNode" presStyleLbl="node3" presStyleIdx="1" presStyleCnt="6" custScaleX="68504" custScaleY="44815">
        <dgm:presLayoutVars>
          <dgm:chPref val="3"/>
        </dgm:presLayoutVars>
      </dgm:prSet>
      <dgm:spPr/>
      <dgm:t>
        <a:bodyPr/>
        <a:p>
          <a:endParaRPr lang="zh-CN" altLang="en-US"/>
        </a:p>
      </dgm:t>
    </dgm:pt>
    <dgm:pt modelId="{AB62E702-359F-45A7-A751-C348F172830D}" type="pres">
      <dgm:prSet presAssocID="{40B10ED4-06F8-4A52-955A-203E2FBE2B1E}" presName="level3hierChild" presStyleCnt="0"/>
      <dgm:spPr/>
    </dgm:pt>
    <dgm:pt modelId="{1B5B0031-8F08-4157-8F73-3D49F6920940}" type="pres">
      <dgm:prSet presAssocID="{9E716021-C814-494D-9375-3CC10EDE3296}" presName="conn2-1" presStyleLbl="parChTrans1D2" presStyleIdx="1" presStyleCnt="4"/>
      <dgm:spPr/>
      <dgm:t>
        <a:bodyPr/>
        <a:p>
          <a:endParaRPr lang="zh-CN" altLang="en-US"/>
        </a:p>
      </dgm:t>
    </dgm:pt>
    <dgm:pt modelId="{1F007810-C15E-44C4-B1B5-691419BC457F}" type="pres">
      <dgm:prSet presAssocID="{9E716021-C814-494D-9375-3CC10EDE3296}" presName="connTx" presStyleLbl="parChTrans1D2" presStyleIdx="1" presStyleCnt="4"/>
      <dgm:spPr/>
      <dgm:t>
        <a:bodyPr/>
        <a:p>
          <a:endParaRPr lang="zh-CN" altLang="en-US"/>
        </a:p>
      </dgm:t>
    </dgm:pt>
    <dgm:pt modelId="{AD317399-8366-41D7-8C8D-C05A238DCCAA}" type="pres">
      <dgm:prSet presAssocID="{A4A6F23C-4404-4406-AF53-6D907F0831F8}" presName="root2" presStyleCnt="0"/>
      <dgm:spPr/>
    </dgm:pt>
    <dgm:pt modelId="{ECE8311B-FF5E-460B-B793-7F6470CA24A2}" type="pres">
      <dgm:prSet presAssocID="{A4A6F23C-4404-4406-AF53-6D907F0831F8}" presName="LevelTwoTextNode" presStyleLbl="node2" presStyleIdx="1" presStyleCnt="4" custScaleX="62630" custScaleY="44293">
        <dgm:presLayoutVars>
          <dgm:chPref val="3"/>
        </dgm:presLayoutVars>
      </dgm:prSet>
      <dgm:spPr/>
      <dgm:t>
        <a:bodyPr/>
        <a:p>
          <a:endParaRPr lang="zh-CN" altLang="en-US"/>
        </a:p>
      </dgm:t>
    </dgm:pt>
    <dgm:pt modelId="{B832D60E-F338-4F05-AAAF-DBE4550C1342}" type="pres">
      <dgm:prSet presAssocID="{A4A6F23C-4404-4406-AF53-6D907F0831F8}" presName="level3hierChild" presStyleCnt="0"/>
      <dgm:spPr/>
    </dgm:pt>
    <dgm:pt modelId="{03CBBA4E-32A8-4A5C-86F7-4D02521069A3}" type="pres">
      <dgm:prSet presAssocID="{A9437B42-DD16-49B8-BD2F-97F296388AD3}" presName="conn2-1" presStyleLbl="parChTrans1D3" presStyleIdx="2" presStyleCnt="6"/>
      <dgm:spPr/>
      <dgm:t>
        <a:bodyPr/>
        <a:p>
          <a:endParaRPr lang="zh-CN" altLang="en-US"/>
        </a:p>
      </dgm:t>
    </dgm:pt>
    <dgm:pt modelId="{0BD53823-E5BE-46AB-A8D5-DC885C0FED72}" type="pres">
      <dgm:prSet presAssocID="{A9437B42-DD16-49B8-BD2F-97F296388AD3}" presName="connTx" presStyleLbl="parChTrans1D3" presStyleIdx="2" presStyleCnt="6"/>
      <dgm:spPr/>
      <dgm:t>
        <a:bodyPr/>
        <a:p>
          <a:endParaRPr lang="zh-CN" altLang="en-US"/>
        </a:p>
      </dgm:t>
    </dgm:pt>
    <dgm:pt modelId="{E26DB2D1-E54C-40B4-B123-A0E759D3C009}" type="pres">
      <dgm:prSet presAssocID="{7D1ACB89-F140-44CB-884B-6751A14AC01A}" presName="root2" presStyleCnt="0"/>
      <dgm:spPr/>
    </dgm:pt>
    <dgm:pt modelId="{71BC1B6D-BAB7-4ABD-B888-7196B7D07E97}" type="pres">
      <dgm:prSet presAssocID="{7D1ACB89-F140-44CB-884B-6751A14AC01A}" presName="LevelTwoTextNode" presStyleLbl="node3" presStyleIdx="2" presStyleCnt="6" custScaleX="68504" custScaleY="44815">
        <dgm:presLayoutVars>
          <dgm:chPref val="3"/>
        </dgm:presLayoutVars>
      </dgm:prSet>
      <dgm:spPr/>
      <dgm:t>
        <a:bodyPr/>
        <a:p>
          <a:endParaRPr lang="zh-CN" altLang="en-US"/>
        </a:p>
      </dgm:t>
    </dgm:pt>
    <dgm:pt modelId="{FB71F47F-5E80-4BBF-BC02-B0A29A528729}" type="pres">
      <dgm:prSet presAssocID="{7D1ACB89-F140-44CB-884B-6751A14AC01A}" presName="level3hierChild" presStyleCnt="0"/>
      <dgm:spPr/>
    </dgm:pt>
    <dgm:pt modelId="{5DECA384-BE18-430D-B3AC-2DCDF97CAACE}" type="pres">
      <dgm:prSet presAssocID="{19652BD6-CF00-4024-A35C-9FCDDD2388EB}" presName="conn2-1" presStyleLbl="parChTrans1D3" presStyleIdx="3" presStyleCnt="6"/>
      <dgm:spPr/>
      <dgm:t>
        <a:bodyPr/>
        <a:p>
          <a:endParaRPr lang="zh-CN" altLang="en-US"/>
        </a:p>
      </dgm:t>
    </dgm:pt>
    <dgm:pt modelId="{CEF53B78-036C-4504-AD08-01FF49D8D8EF}" type="pres">
      <dgm:prSet presAssocID="{19652BD6-CF00-4024-A35C-9FCDDD2388EB}" presName="connTx" presStyleLbl="parChTrans1D3" presStyleIdx="3" presStyleCnt="6"/>
      <dgm:spPr/>
      <dgm:t>
        <a:bodyPr/>
        <a:p>
          <a:endParaRPr lang="zh-CN" altLang="en-US"/>
        </a:p>
      </dgm:t>
    </dgm:pt>
    <dgm:pt modelId="{3AFBC26C-9764-4F7A-9ABC-1E52C8BC3AFC}" type="pres">
      <dgm:prSet presAssocID="{F434789F-F5CD-463C-99FD-17F54C678185}" presName="root2" presStyleCnt="0"/>
      <dgm:spPr/>
    </dgm:pt>
    <dgm:pt modelId="{C07F218D-821F-441A-9B42-4B703078DA62}" type="pres">
      <dgm:prSet presAssocID="{F434789F-F5CD-463C-99FD-17F54C678185}" presName="LevelTwoTextNode" presStyleLbl="node3" presStyleIdx="3" presStyleCnt="6" custScaleX="68504" custScaleY="44815">
        <dgm:presLayoutVars>
          <dgm:chPref val="3"/>
        </dgm:presLayoutVars>
      </dgm:prSet>
      <dgm:spPr/>
      <dgm:t>
        <a:bodyPr/>
        <a:p>
          <a:endParaRPr lang="zh-CN" altLang="en-US"/>
        </a:p>
      </dgm:t>
    </dgm:pt>
    <dgm:pt modelId="{205A8501-9D0F-4ED3-82B7-F126F548E5A0}" type="pres">
      <dgm:prSet presAssocID="{F434789F-F5CD-463C-99FD-17F54C678185}" presName="level3hierChild" presStyleCnt="0"/>
      <dgm:spPr/>
    </dgm:pt>
    <dgm:pt modelId="{622ED5A7-CFA6-48AC-8EEA-36BC921734AC}" type="pres">
      <dgm:prSet presAssocID="{7E09FEFA-E19C-4234-861E-FCE90D6F0619}" presName="conn2-1" presStyleLbl="parChTrans1D2" presStyleIdx="2" presStyleCnt="4"/>
      <dgm:spPr/>
      <dgm:t>
        <a:bodyPr/>
        <a:p>
          <a:endParaRPr lang="zh-CN" altLang="en-US"/>
        </a:p>
      </dgm:t>
    </dgm:pt>
    <dgm:pt modelId="{782BB9E9-5129-48D2-A905-C10EB3143919}" type="pres">
      <dgm:prSet presAssocID="{7E09FEFA-E19C-4234-861E-FCE90D6F0619}" presName="connTx" presStyleLbl="parChTrans1D2" presStyleIdx="2" presStyleCnt="4"/>
      <dgm:spPr/>
      <dgm:t>
        <a:bodyPr/>
        <a:p>
          <a:endParaRPr lang="zh-CN" altLang="en-US"/>
        </a:p>
      </dgm:t>
    </dgm:pt>
    <dgm:pt modelId="{747D838F-E76F-4EBD-B72C-4A6BF571EA30}" type="pres">
      <dgm:prSet presAssocID="{70A313A3-6C8B-4077-A5BF-C42546EEC8CA}" presName="root2" presStyleCnt="0"/>
      <dgm:spPr/>
    </dgm:pt>
    <dgm:pt modelId="{A5E16F92-3D02-4510-83E9-8507F0424EC8}" type="pres">
      <dgm:prSet presAssocID="{70A313A3-6C8B-4077-A5BF-C42546EEC8CA}" presName="LevelTwoTextNode" presStyleLbl="node2" presStyleIdx="2" presStyleCnt="4" custScaleX="62630" custScaleY="44293">
        <dgm:presLayoutVars>
          <dgm:chPref val="3"/>
        </dgm:presLayoutVars>
      </dgm:prSet>
      <dgm:spPr/>
      <dgm:t>
        <a:bodyPr/>
        <a:p>
          <a:endParaRPr lang="zh-CN" altLang="en-US"/>
        </a:p>
      </dgm:t>
    </dgm:pt>
    <dgm:pt modelId="{BE1BD73B-A491-4088-9C6C-D6DCC407FC4F}" type="pres">
      <dgm:prSet presAssocID="{70A313A3-6C8B-4077-A5BF-C42546EEC8CA}" presName="level3hierChild" presStyleCnt="0"/>
      <dgm:spPr/>
    </dgm:pt>
    <dgm:pt modelId="{73B06D5A-981F-48C6-AAEC-F625647009DE}" type="pres">
      <dgm:prSet presAssocID="{E04EC557-F073-4A38-9F69-72B228E412E2}" presName="conn2-1" presStyleLbl="parChTrans1D3" presStyleIdx="4" presStyleCnt="6"/>
      <dgm:spPr/>
      <dgm:t>
        <a:bodyPr/>
        <a:p>
          <a:endParaRPr lang="zh-CN" altLang="en-US"/>
        </a:p>
      </dgm:t>
    </dgm:pt>
    <dgm:pt modelId="{2B320E91-E4E5-4F66-9160-BFFE7920B411}" type="pres">
      <dgm:prSet presAssocID="{E04EC557-F073-4A38-9F69-72B228E412E2}" presName="connTx" presStyleLbl="parChTrans1D3" presStyleIdx="4" presStyleCnt="6"/>
      <dgm:spPr/>
      <dgm:t>
        <a:bodyPr/>
        <a:p>
          <a:endParaRPr lang="zh-CN" altLang="en-US"/>
        </a:p>
      </dgm:t>
    </dgm:pt>
    <dgm:pt modelId="{5DBCCCE5-E2B9-4DF6-AF41-24C5D63D84BF}" type="pres">
      <dgm:prSet presAssocID="{6F2E2B8F-38E9-4504-9E5E-692484CF7EE7}" presName="root2" presStyleCnt="0"/>
      <dgm:spPr/>
    </dgm:pt>
    <dgm:pt modelId="{13E798F1-AAD5-4165-B54A-035CA0DDDA55}" type="pres">
      <dgm:prSet presAssocID="{6F2E2B8F-38E9-4504-9E5E-692484CF7EE7}" presName="LevelTwoTextNode" presStyleLbl="node3" presStyleIdx="4" presStyleCnt="6" custScaleX="68504" custScaleY="44815">
        <dgm:presLayoutVars>
          <dgm:chPref val="3"/>
        </dgm:presLayoutVars>
      </dgm:prSet>
      <dgm:spPr/>
      <dgm:t>
        <a:bodyPr/>
        <a:p>
          <a:endParaRPr lang="zh-CN" altLang="en-US"/>
        </a:p>
      </dgm:t>
    </dgm:pt>
    <dgm:pt modelId="{F7378630-550A-4AF5-A7AC-20731A48D595}" type="pres">
      <dgm:prSet presAssocID="{6F2E2B8F-38E9-4504-9E5E-692484CF7EE7}" presName="level3hierChild" presStyleCnt="0"/>
      <dgm:spPr/>
    </dgm:pt>
    <dgm:pt modelId="{4C10400A-C7B9-4777-B85C-25AB58DDAC1D}" type="pres">
      <dgm:prSet presAssocID="{1255153A-2D6F-447F-AF0F-8479FED846B7}" presName="conn2-1" presStyleLbl="parChTrans1D2" presStyleIdx="3" presStyleCnt="4"/>
      <dgm:spPr/>
      <dgm:t>
        <a:bodyPr/>
        <a:p>
          <a:endParaRPr lang="zh-CN" altLang="en-US"/>
        </a:p>
      </dgm:t>
    </dgm:pt>
    <dgm:pt modelId="{0F1516B4-FB50-4D45-BE02-70607D22566D}" type="pres">
      <dgm:prSet presAssocID="{1255153A-2D6F-447F-AF0F-8479FED846B7}" presName="connTx" presStyleLbl="parChTrans1D2" presStyleIdx="3" presStyleCnt="4"/>
      <dgm:spPr/>
      <dgm:t>
        <a:bodyPr/>
        <a:p>
          <a:endParaRPr lang="zh-CN" altLang="en-US"/>
        </a:p>
      </dgm:t>
    </dgm:pt>
    <dgm:pt modelId="{5BD32EEA-FCF6-415D-9FA4-D000C2981613}" type="pres">
      <dgm:prSet presAssocID="{CDF9E1A3-53E4-4165-97C2-F6CB1CBB3AE8}" presName="root2" presStyleCnt="0"/>
      <dgm:spPr/>
    </dgm:pt>
    <dgm:pt modelId="{619D9187-800E-4DAA-970B-D5C3F41A7586}" type="pres">
      <dgm:prSet presAssocID="{CDF9E1A3-53E4-4165-97C2-F6CB1CBB3AE8}" presName="LevelTwoTextNode" presStyleLbl="node2" presStyleIdx="3" presStyleCnt="4" custScaleX="62630" custScaleY="44293">
        <dgm:presLayoutVars>
          <dgm:chPref val="3"/>
        </dgm:presLayoutVars>
      </dgm:prSet>
      <dgm:spPr/>
      <dgm:t>
        <a:bodyPr/>
        <a:p>
          <a:endParaRPr lang="zh-CN" altLang="en-US"/>
        </a:p>
      </dgm:t>
    </dgm:pt>
    <dgm:pt modelId="{2DC2B256-4988-4D96-B41D-4C2FD579D447}" type="pres">
      <dgm:prSet presAssocID="{CDF9E1A3-53E4-4165-97C2-F6CB1CBB3AE8}" presName="level3hierChild" presStyleCnt="0"/>
      <dgm:spPr/>
    </dgm:pt>
    <dgm:pt modelId="{4ABF716A-90E4-422F-AE6E-C95DB419D55E}" type="pres">
      <dgm:prSet presAssocID="{59DA6AA1-9886-4197-BAF5-49644E1291C7}" presName="conn2-1" presStyleLbl="parChTrans1D3" presStyleIdx="5" presStyleCnt="6"/>
      <dgm:spPr/>
      <dgm:t>
        <a:bodyPr/>
        <a:p>
          <a:endParaRPr lang="zh-CN" altLang="en-US"/>
        </a:p>
      </dgm:t>
    </dgm:pt>
    <dgm:pt modelId="{FFEE1245-4F06-480D-9152-7FD01AE4C2E2}" type="pres">
      <dgm:prSet presAssocID="{59DA6AA1-9886-4197-BAF5-49644E1291C7}" presName="connTx" presStyleLbl="parChTrans1D3" presStyleIdx="5" presStyleCnt="6"/>
      <dgm:spPr/>
      <dgm:t>
        <a:bodyPr/>
        <a:p>
          <a:endParaRPr lang="zh-CN" altLang="en-US"/>
        </a:p>
      </dgm:t>
    </dgm:pt>
    <dgm:pt modelId="{A03930A7-DB47-45E2-B015-2EB72765F29A}" type="pres">
      <dgm:prSet presAssocID="{6EFCCEAE-5CCD-4974-ADC8-621435D3A1EB}" presName="root2" presStyleCnt="0"/>
      <dgm:spPr/>
    </dgm:pt>
    <dgm:pt modelId="{5D2BDC41-6D6C-418D-892B-7E5855B7BCF7}" type="pres">
      <dgm:prSet presAssocID="{6EFCCEAE-5CCD-4974-ADC8-621435D3A1EB}" presName="LevelTwoTextNode" presStyleLbl="node3" presStyleIdx="5" presStyleCnt="6" custScaleX="68504" custScaleY="44815">
        <dgm:presLayoutVars>
          <dgm:chPref val="3"/>
        </dgm:presLayoutVars>
      </dgm:prSet>
      <dgm:spPr/>
      <dgm:t>
        <a:bodyPr/>
        <a:p>
          <a:endParaRPr lang="zh-CN" altLang="en-US"/>
        </a:p>
      </dgm:t>
    </dgm:pt>
    <dgm:pt modelId="{8C0351EC-7F45-4A3E-AFF3-63D66C70B182}" type="pres">
      <dgm:prSet presAssocID="{6EFCCEAE-5CCD-4974-ADC8-621435D3A1EB}" presName="level3hierChild" presStyleCnt="0"/>
      <dgm:spPr/>
    </dgm:pt>
  </dgm:ptLst>
  <dgm:cxnLst>
    <dgm:cxn modelId="{25A35D9D-00EE-4B59-85C5-DFF28EAE4EF6}" type="presOf" srcId="{59DA6AA1-9886-4197-BAF5-49644E1291C7}" destId="{FFEE1245-4F06-480D-9152-7FD01AE4C2E2}" srcOrd="1" destOrd="0" presId="urn:microsoft.com/office/officeart/2005/8/layout/hierarchy2"/>
    <dgm:cxn modelId="{E5D70CBC-A72C-404A-8FCE-3855E22DCA21}" srcId="{23F1BAE5-9410-4FD5-A467-32EDB17AB083}" destId="{A939FBA2-C1B0-4D61-93FE-31281B9BB084}" srcOrd="0" destOrd="0" parTransId="{64815250-BD83-4BCB-825F-26E656C74F5F}" sibTransId="{534E0623-7C06-4648-94E3-5492C16BDBDA}"/>
    <dgm:cxn modelId="{7CC7D520-DF82-4005-9454-E1B437E80D3A}" type="presOf" srcId="{6EFCCEAE-5CCD-4974-ADC8-621435D3A1EB}" destId="{5D2BDC41-6D6C-418D-892B-7E5855B7BCF7}" srcOrd="0" destOrd="0" presId="urn:microsoft.com/office/officeart/2005/8/layout/hierarchy2"/>
    <dgm:cxn modelId="{0960B573-FFF7-4C13-9CDB-D11EE0319B73}" srcId="{A4A6F23C-4404-4406-AF53-6D907F0831F8}" destId="{F434789F-F5CD-463C-99FD-17F54C678185}" srcOrd="1" destOrd="0" parTransId="{19652BD6-CF00-4024-A35C-9FCDDD2388EB}" sibTransId="{62FCA52B-60DA-4F3D-941B-DB441D714C81}"/>
    <dgm:cxn modelId="{AF4D4EE6-EF0E-46F1-AEF2-AC91BA24B241}" type="presOf" srcId="{6F2E2B8F-38E9-4504-9E5E-692484CF7EE7}" destId="{13E798F1-AAD5-4165-B54A-035CA0DDDA55}" srcOrd="0" destOrd="0" presId="urn:microsoft.com/office/officeart/2005/8/layout/hierarchy2"/>
    <dgm:cxn modelId="{F331944F-C369-4153-B19D-77AF7298D12F}" type="presOf" srcId="{F434789F-F5CD-463C-99FD-17F54C678185}" destId="{C07F218D-821F-441A-9B42-4B703078DA62}" srcOrd="0" destOrd="0" presId="urn:microsoft.com/office/officeart/2005/8/layout/hierarchy2"/>
    <dgm:cxn modelId="{D0631423-0269-4EB9-8C59-4EB0AB83C8E6}" srcId="{FFBAE5C1-8285-4BC9-B943-8FD424BB48BF}" destId="{CDF9E1A3-53E4-4165-97C2-F6CB1CBB3AE8}" srcOrd="3" destOrd="0" parTransId="{1255153A-2D6F-447F-AF0F-8479FED846B7}" sibTransId="{EA80DE07-315F-4CCB-8805-23885BA70F41}"/>
    <dgm:cxn modelId="{806D4CD2-21CA-4379-9B2F-FBCA94210FD0}" type="presOf" srcId="{59DA6AA1-9886-4197-BAF5-49644E1291C7}" destId="{4ABF716A-90E4-422F-AE6E-C95DB419D55E}" srcOrd="0" destOrd="0" presId="urn:microsoft.com/office/officeart/2005/8/layout/hierarchy2"/>
    <dgm:cxn modelId="{E22F414B-01DA-46E5-81A1-12054B82BD35}" type="presOf" srcId="{32DBFDA2-0F7E-4287-9475-C95D63B7BD39}" destId="{621CFDA0-78F4-4717-B03B-D9F3C0C02824}" srcOrd="1" destOrd="0" presId="urn:microsoft.com/office/officeart/2005/8/layout/hierarchy2"/>
    <dgm:cxn modelId="{24B9DE7C-0BC1-4ADC-B62C-3A218C75E3ED}" type="presOf" srcId="{E04EC557-F073-4A38-9F69-72B228E412E2}" destId="{73B06D5A-981F-48C6-AAEC-F625647009DE}" srcOrd="0" destOrd="0" presId="urn:microsoft.com/office/officeart/2005/8/layout/hierarchy2"/>
    <dgm:cxn modelId="{D85DE826-A751-4CA1-94F0-735E27489BA2}" srcId="{CDF9E1A3-53E4-4165-97C2-F6CB1CBB3AE8}" destId="{6EFCCEAE-5CCD-4974-ADC8-621435D3A1EB}" srcOrd="0" destOrd="0" parTransId="{59DA6AA1-9886-4197-BAF5-49644E1291C7}" sibTransId="{11F7B4BA-DB15-4EB1-83D4-6ACC536C66F4}"/>
    <dgm:cxn modelId="{6A89B9B1-A673-49D2-9143-C49CA51348AC}" srcId="{FFBAE5C1-8285-4BC9-B943-8FD424BB48BF}" destId="{A4A6F23C-4404-4406-AF53-6D907F0831F8}" srcOrd="1" destOrd="0" parTransId="{9E716021-C814-494D-9375-3CC10EDE3296}" sibTransId="{CB51CA5D-6A13-4849-B6F1-6070539AE363}"/>
    <dgm:cxn modelId="{9E13C532-EE6B-4235-BF74-6E15AE123106}" type="presOf" srcId="{A9437B42-DD16-49B8-BD2F-97F296388AD3}" destId="{0BD53823-E5BE-46AB-A8D5-DC885C0FED72}" srcOrd="1" destOrd="0" presId="urn:microsoft.com/office/officeart/2005/8/layout/hierarchy2"/>
    <dgm:cxn modelId="{9F73C9D2-6B34-4083-8D3A-08244F7F81D3}" type="presOf" srcId="{40B10ED4-06F8-4A52-955A-203E2FBE2B1E}" destId="{BB4AC3EF-141C-43F7-9720-FEEB40D18F00}" srcOrd="0" destOrd="0" presId="urn:microsoft.com/office/officeart/2005/8/layout/hierarchy2"/>
    <dgm:cxn modelId="{DBCAD68A-DBD3-48B4-A192-3B285B035EE1}" type="presOf" srcId="{70A313A3-6C8B-4077-A5BF-C42546EEC8CA}" destId="{A5E16F92-3D02-4510-83E9-8507F0424EC8}" srcOrd="0" destOrd="0" presId="urn:microsoft.com/office/officeart/2005/8/layout/hierarchy2"/>
    <dgm:cxn modelId="{46A7C520-214F-4A8A-9DC7-3EC70646EB26}" srcId="{70A313A3-6C8B-4077-A5BF-C42546EEC8CA}" destId="{6F2E2B8F-38E9-4504-9E5E-692484CF7EE7}" srcOrd="0" destOrd="0" parTransId="{E04EC557-F073-4A38-9F69-72B228E412E2}" sibTransId="{6BE0F62F-15CC-4BF0-87CB-63F12D86B789}"/>
    <dgm:cxn modelId="{8F92A0D6-73F5-4FDC-98C6-269714EDD7B4}" type="presOf" srcId="{1255153A-2D6F-447F-AF0F-8479FED846B7}" destId="{0F1516B4-FB50-4D45-BE02-70607D22566D}" srcOrd="1" destOrd="0" presId="urn:microsoft.com/office/officeart/2005/8/layout/hierarchy2"/>
    <dgm:cxn modelId="{ABB73528-62FD-44EF-BBCA-134D1DD775EC}" type="presOf" srcId="{64815250-BD83-4BCB-825F-26E656C74F5F}" destId="{56456347-DD1E-4F5F-849A-E07F4FB8AF74}" srcOrd="1" destOrd="0" presId="urn:microsoft.com/office/officeart/2005/8/layout/hierarchy2"/>
    <dgm:cxn modelId="{29ABBF8F-6EA7-41B5-AD65-8F83BAABB442}" type="presOf" srcId="{A939FBA2-C1B0-4D61-93FE-31281B9BB084}" destId="{B9349998-25B2-4AC9-96C3-D931C5B236FB}" srcOrd="0" destOrd="0" presId="urn:microsoft.com/office/officeart/2005/8/layout/hierarchy2"/>
    <dgm:cxn modelId="{ED1B6203-BDAB-4C3F-A76B-19149242A568}" type="presOf" srcId="{32DBFDA2-0F7E-4287-9475-C95D63B7BD39}" destId="{49E0E87C-F8BA-4AF1-ADE0-206AA2F899BD}" srcOrd="0" destOrd="0" presId="urn:microsoft.com/office/officeart/2005/8/layout/hierarchy2"/>
    <dgm:cxn modelId="{D88458F1-F7E4-40C9-911A-0E272C26DA1D}" type="presOf" srcId="{7E09FEFA-E19C-4234-861E-FCE90D6F0619}" destId="{622ED5A7-CFA6-48AC-8EEA-36BC921734AC}" srcOrd="0" destOrd="0" presId="urn:microsoft.com/office/officeart/2005/8/layout/hierarchy2"/>
    <dgm:cxn modelId="{67584B04-67C5-4D5A-BF07-D728F64F5A01}" type="presOf" srcId="{9E716021-C814-494D-9375-3CC10EDE3296}" destId="{1F007810-C15E-44C4-B1B5-691419BC457F}" srcOrd="1" destOrd="0" presId="urn:microsoft.com/office/officeart/2005/8/layout/hierarchy2"/>
    <dgm:cxn modelId="{7C358785-19EF-4400-BAE5-8A400AE18D20}" srcId="{FFBAE5C1-8285-4BC9-B943-8FD424BB48BF}" destId="{70A313A3-6C8B-4077-A5BF-C42546EEC8CA}" srcOrd="2" destOrd="0" parTransId="{7E09FEFA-E19C-4234-861E-FCE90D6F0619}" sibTransId="{9D936FB6-949A-46DD-BC7F-D2F48EF57088}"/>
    <dgm:cxn modelId="{953FA1F7-E460-461F-AAB9-394C18A1C091}" type="presOf" srcId="{DB9E6505-9C0F-4AC6-A26C-CBA9E9E6F144}" destId="{4035C6D8-2C78-4F05-A87B-29DF78FD1BBC}" srcOrd="1" destOrd="0" presId="urn:microsoft.com/office/officeart/2005/8/layout/hierarchy2"/>
    <dgm:cxn modelId="{1173DCF9-A50C-4C6D-AB0C-DF2F7713D9EA}" type="presOf" srcId="{23F1BAE5-9410-4FD5-A467-32EDB17AB083}" destId="{B3F1045F-F657-4940-8804-E7BF91048E84}" srcOrd="0" destOrd="0" presId="urn:microsoft.com/office/officeart/2005/8/layout/hierarchy2"/>
    <dgm:cxn modelId="{6BBA4843-7421-47CD-94E8-95868C10055F}" type="presOf" srcId="{7D1ACB89-F140-44CB-884B-6751A14AC01A}" destId="{71BC1B6D-BAB7-4ABD-B888-7196B7D07E97}" srcOrd="0" destOrd="0" presId="urn:microsoft.com/office/officeart/2005/8/layout/hierarchy2"/>
    <dgm:cxn modelId="{2697F97D-1993-4A3E-BB6A-A682477FF5F8}" type="presOf" srcId="{19652BD6-CF00-4024-A35C-9FCDDD2388EB}" destId="{CEF53B78-036C-4504-AD08-01FF49D8D8EF}" srcOrd="1" destOrd="0" presId="urn:microsoft.com/office/officeart/2005/8/layout/hierarchy2"/>
    <dgm:cxn modelId="{78D07277-5B51-4F42-996C-53A76A8AF1AD}" type="presOf" srcId="{DB9E6505-9C0F-4AC6-A26C-CBA9E9E6F144}" destId="{0BAF4E39-65E4-4D0A-AC03-0C422E0CCD1B}" srcOrd="0" destOrd="0" presId="urn:microsoft.com/office/officeart/2005/8/layout/hierarchy2"/>
    <dgm:cxn modelId="{69E79002-8D6B-46F6-8EC9-10C05DC5594D}" type="presOf" srcId="{FFBAE5C1-8285-4BC9-B943-8FD424BB48BF}" destId="{EBB610E6-2FB1-40D4-8297-AA8EAC794EEE}" srcOrd="0" destOrd="0" presId="urn:microsoft.com/office/officeart/2005/8/layout/hierarchy2"/>
    <dgm:cxn modelId="{6ED35674-C775-48BD-B592-DA433ACC2D81}" type="presOf" srcId="{9E716021-C814-494D-9375-3CC10EDE3296}" destId="{1B5B0031-8F08-4157-8F73-3D49F6920940}" srcOrd="0" destOrd="0" presId="urn:microsoft.com/office/officeart/2005/8/layout/hierarchy2"/>
    <dgm:cxn modelId="{F5DB04AC-24A9-4FAB-8BD6-27052D431EBE}" srcId="{FFBAE5C1-8285-4BC9-B943-8FD424BB48BF}" destId="{23F1BAE5-9410-4FD5-A467-32EDB17AB083}" srcOrd="0" destOrd="0" parTransId="{32DBFDA2-0F7E-4287-9475-C95D63B7BD39}" sibTransId="{3F5B81D8-F15F-40F7-B91C-E9810302971E}"/>
    <dgm:cxn modelId="{16089406-637C-4CB8-8D70-3BB6C85C9F6B}" type="presOf" srcId="{64815250-BD83-4BCB-825F-26E656C74F5F}" destId="{ABC98AD2-4FEC-4A9C-A13F-CBA5658448C4}" srcOrd="0" destOrd="0" presId="urn:microsoft.com/office/officeart/2005/8/layout/hierarchy2"/>
    <dgm:cxn modelId="{395D24E9-DD89-4CFC-9B70-AA883A84EC6F}" type="presOf" srcId="{19652BD6-CF00-4024-A35C-9FCDDD2388EB}" destId="{5DECA384-BE18-430D-B3AC-2DCDF97CAACE}" srcOrd="0" destOrd="0" presId="urn:microsoft.com/office/officeart/2005/8/layout/hierarchy2"/>
    <dgm:cxn modelId="{C7AD3275-B99C-4020-9C38-E65B6F31277D}" type="presOf" srcId="{7E09FEFA-E19C-4234-861E-FCE90D6F0619}" destId="{782BB9E9-5129-48D2-A905-C10EB3143919}" srcOrd="1" destOrd="0" presId="urn:microsoft.com/office/officeart/2005/8/layout/hierarchy2"/>
    <dgm:cxn modelId="{397C2ABB-F88A-429A-8E43-8A47A08F3BDD}" srcId="{FF709AB6-1275-4862-A6A3-8C2F35351970}" destId="{FFBAE5C1-8285-4BC9-B943-8FD424BB48BF}" srcOrd="0" destOrd="0" parTransId="{4142F05B-EE05-4DF3-8A99-314935A3E609}" sibTransId="{66836084-B9AE-4087-A961-1650746957FE}"/>
    <dgm:cxn modelId="{27563BBF-93AD-40FE-B163-1CA45C4B2E74}" type="presOf" srcId="{E04EC557-F073-4A38-9F69-72B228E412E2}" destId="{2B320E91-E4E5-4F66-9160-BFFE7920B411}" srcOrd="1" destOrd="0" presId="urn:microsoft.com/office/officeart/2005/8/layout/hierarchy2"/>
    <dgm:cxn modelId="{B6A9FE51-41EC-4313-AAF8-CDA32D609AEC}" type="presOf" srcId="{FF709AB6-1275-4862-A6A3-8C2F35351970}" destId="{932E1B83-E063-4582-BFC9-A560580D0854}" srcOrd="0" destOrd="0" presId="urn:microsoft.com/office/officeart/2005/8/layout/hierarchy2"/>
    <dgm:cxn modelId="{F49679FD-76FB-4E99-90D8-8B30280B88D1}" type="presOf" srcId="{A4A6F23C-4404-4406-AF53-6D907F0831F8}" destId="{ECE8311B-FF5E-460B-B793-7F6470CA24A2}" srcOrd="0" destOrd="0" presId="urn:microsoft.com/office/officeart/2005/8/layout/hierarchy2"/>
    <dgm:cxn modelId="{DE0914C0-6705-4734-9435-D554D19092E5}" type="presOf" srcId="{1255153A-2D6F-447F-AF0F-8479FED846B7}" destId="{4C10400A-C7B9-4777-B85C-25AB58DDAC1D}" srcOrd="0" destOrd="0" presId="urn:microsoft.com/office/officeart/2005/8/layout/hierarchy2"/>
    <dgm:cxn modelId="{8C17BBCA-D823-4D68-8B41-B31A8687314D}" type="presOf" srcId="{A9437B42-DD16-49B8-BD2F-97F296388AD3}" destId="{03CBBA4E-32A8-4A5C-86F7-4D02521069A3}" srcOrd="0" destOrd="0" presId="urn:microsoft.com/office/officeart/2005/8/layout/hierarchy2"/>
    <dgm:cxn modelId="{C1EF21B6-21B9-4165-8DD4-A490B507D22F}" srcId="{23F1BAE5-9410-4FD5-A467-32EDB17AB083}" destId="{40B10ED4-06F8-4A52-955A-203E2FBE2B1E}" srcOrd="1" destOrd="0" parTransId="{DB9E6505-9C0F-4AC6-A26C-CBA9E9E6F144}" sibTransId="{F30CA362-D1F5-474D-9384-FA4DF9C49788}"/>
    <dgm:cxn modelId="{DABD424A-23BC-4084-A29A-98B75BC37E59}" type="presOf" srcId="{CDF9E1A3-53E4-4165-97C2-F6CB1CBB3AE8}" destId="{619D9187-800E-4DAA-970B-D5C3F41A7586}" srcOrd="0" destOrd="0" presId="urn:microsoft.com/office/officeart/2005/8/layout/hierarchy2"/>
    <dgm:cxn modelId="{2B0FFB3E-8280-4ACB-AB7C-D317D6652025}" srcId="{A4A6F23C-4404-4406-AF53-6D907F0831F8}" destId="{7D1ACB89-F140-44CB-884B-6751A14AC01A}" srcOrd="0" destOrd="0" parTransId="{A9437B42-DD16-49B8-BD2F-97F296388AD3}" sibTransId="{29CFEC06-72A9-45FE-A690-B6BAD1A70BF7}"/>
    <dgm:cxn modelId="{991F9CD3-8BD4-4625-848C-F50A20A231FA}" type="presParOf" srcId="{932E1B83-E063-4582-BFC9-A560580D0854}" destId="{1304F1F6-76C6-429E-AD22-00D0CDFE6FD6}" srcOrd="0" destOrd="0" presId="urn:microsoft.com/office/officeart/2005/8/layout/hierarchy2"/>
    <dgm:cxn modelId="{CA0FF3DF-4BA6-465D-B65B-07FE9A2D45AE}" type="presParOf" srcId="{1304F1F6-76C6-429E-AD22-00D0CDFE6FD6}" destId="{EBB610E6-2FB1-40D4-8297-AA8EAC794EEE}" srcOrd="0" destOrd="0" presId="urn:microsoft.com/office/officeart/2005/8/layout/hierarchy2"/>
    <dgm:cxn modelId="{2AE32DD5-3D02-4930-8B51-B4829A4504E7}" type="presParOf" srcId="{1304F1F6-76C6-429E-AD22-00D0CDFE6FD6}" destId="{95AA497F-DEE8-400E-9E3E-D40F90A3DC71}" srcOrd="1" destOrd="0" presId="urn:microsoft.com/office/officeart/2005/8/layout/hierarchy2"/>
    <dgm:cxn modelId="{1B162EE6-1D31-49F9-A824-2E706FE95574}" type="presParOf" srcId="{95AA497F-DEE8-400E-9E3E-D40F90A3DC71}" destId="{49E0E87C-F8BA-4AF1-ADE0-206AA2F899BD}" srcOrd="0" destOrd="0" presId="urn:microsoft.com/office/officeart/2005/8/layout/hierarchy2"/>
    <dgm:cxn modelId="{7BA907A4-2B12-460A-BD6D-4E26550E482C}" type="presParOf" srcId="{49E0E87C-F8BA-4AF1-ADE0-206AA2F899BD}" destId="{621CFDA0-78F4-4717-B03B-D9F3C0C02824}" srcOrd="0" destOrd="0" presId="urn:microsoft.com/office/officeart/2005/8/layout/hierarchy2"/>
    <dgm:cxn modelId="{9F62C2B6-B139-4A33-B66E-D76350F3AE86}" type="presParOf" srcId="{95AA497F-DEE8-400E-9E3E-D40F90A3DC71}" destId="{F79338C2-8003-44FC-A1F0-86B044F4CEDF}" srcOrd="1" destOrd="0" presId="urn:microsoft.com/office/officeart/2005/8/layout/hierarchy2"/>
    <dgm:cxn modelId="{1E6C2615-3534-40CC-88E6-C34A1A8BBFA3}" type="presParOf" srcId="{F79338C2-8003-44FC-A1F0-86B044F4CEDF}" destId="{B3F1045F-F657-4940-8804-E7BF91048E84}" srcOrd="0" destOrd="0" presId="urn:microsoft.com/office/officeart/2005/8/layout/hierarchy2"/>
    <dgm:cxn modelId="{91F437D3-9203-4DAB-996A-ECE52774415A}" type="presParOf" srcId="{F79338C2-8003-44FC-A1F0-86B044F4CEDF}" destId="{145BDD63-165C-4700-8213-829B251D1F68}" srcOrd="1" destOrd="0" presId="urn:microsoft.com/office/officeart/2005/8/layout/hierarchy2"/>
    <dgm:cxn modelId="{FF018D23-DAB5-4F10-A01A-E0A258CBBC6E}" type="presParOf" srcId="{145BDD63-165C-4700-8213-829B251D1F68}" destId="{ABC98AD2-4FEC-4A9C-A13F-CBA5658448C4}" srcOrd="0" destOrd="0" presId="urn:microsoft.com/office/officeart/2005/8/layout/hierarchy2"/>
    <dgm:cxn modelId="{7AA9F618-5493-4D0E-A593-65E1064C4665}" type="presParOf" srcId="{ABC98AD2-4FEC-4A9C-A13F-CBA5658448C4}" destId="{56456347-DD1E-4F5F-849A-E07F4FB8AF74}" srcOrd="0" destOrd="0" presId="urn:microsoft.com/office/officeart/2005/8/layout/hierarchy2"/>
    <dgm:cxn modelId="{CFB55CF7-6099-4A5A-AACB-6225D42A4F35}" type="presParOf" srcId="{145BDD63-165C-4700-8213-829B251D1F68}" destId="{DB69F68B-EBD2-4574-9DD0-C441485D88A1}" srcOrd="1" destOrd="0" presId="urn:microsoft.com/office/officeart/2005/8/layout/hierarchy2"/>
    <dgm:cxn modelId="{2B14E01A-8C53-4112-B928-4B35DBD2BC61}" type="presParOf" srcId="{DB69F68B-EBD2-4574-9DD0-C441485D88A1}" destId="{B9349998-25B2-4AC9-96C3-D931C5B236FB}" srcOrd="0" destOrd="0" presId="urn:microsoft.com/office/officeart/2005/8/layout/hierarchy2"/>
    <dgm:cxn modelId="{7EB36D32-A56D-4BD4-9872-F97C1FA3D54F}" type="presParOf" srcId="{DB69F68B-EBD2-4574-9DD0-C441485D88A1}" destId="{27BD6397-BB66-4D9C-AD42-B5122E2C1E77}" srcOrd="1" destOrd="0" presId="urn:microsoft.com/office/officeart/2005/8/layout/hierarchy2"/>
    <dgm:cxn modelId="{A93E669F-EA2D-43EF-B25E-9F07586D5A02}" type="presParOf" srcId="{145BDD63-165C-4700-8213-829B251D1F68}" destId="{0BAF4E39-65E4-4D0A-AC03-0C422E0CCD1B}" srcOrd="2" destOrd="0" presId="urn:microsoft.com/office/officeart/2005/8/layout/hierarchy2"/>
    <dgm:cxn modelId="{ACB86894-FE75-4F19-B09C-AADEEA819B4D}" type="presParOf" srcId="{0BAF4E39-65E4-4D0A-AC03-0C422E0CCD1B}" destId="{4035C6D8-2C78-4F05-A87B-29DF78FD1BBC}" srcOrd="0" destOrd="0" presId="urn:microsoft.com/office/officeart/2005/8/layout/hierarchy2"/>
    <dgm:cxn modelId="{7E682D67-9558-46B5-A647-76FCAC395A18}" type="presParOf" srcId="{145BDD63-165C-4700-8213-829B251D1F68}" destId="{2EEC65E4-4FEF-48F4-A3D9-3D265A787E25}" srcOrd="3" destOrd="0" presId="urn:microsoft.com/office/officeart/2005/8/layout/hierarchy2"/>
    <dgm:cxn modelId="{BB249C47-27CC-4E46-906D-64A9E3282BC8}" type="presParOf" srcId="{2EEC65E4-4FEF-48F4-A3D9-3D265A787E25}" destId="{BB4AC3EF-141C-43F7-9720-FEEB40D18F00}" srcOrd="0" destOrd="0" presId="urn:microsoft.com/office/officeart/2005/8/layout/hierarchy2"/>
    <dgm:cxn modelId="{6DAB7FB5-FF95-4D45-85E6-403D830AE042}" type="presParOf" srcId="{2EEC65E4-4FEF-48F4-A3D9-3D265A787E25}" destId="{AB62E702-359F-45A7-A751-C348F172830D}" srcOrd="1" destOrd="0" presId="urn:microsoft.com/office/officeart/2005/8/layout/hierarchy2"/>
    <dgm:cxn modelId="{A1D56EC0-2B15-40D4-BA34-B008488A2A24}" type="presParOf" srcId="{95AA497F-DEE8-400E-9E3E-D40F90A3DC71}" destId="{1B5B0031-8F08-4157-8F73-3D49F6920940}" srcOrd="2" destOrd="0" presId="urn:microsoft.com/office/officeart/2005/8/layout/hierarchy2"/>
    <dgm:cxn modelId="{84FAA0A7-B956-4FD6-A822-49C202382C66}" type="presParOf" srcId="{1B5B0031-8F08-4157-8F73-3D49F6920940}" destId="{1F007810-C15E-44C4-B1B5-691419BC457F}" srcOrd="0" destOrd="0" presId="urn:microsoft.com/office/officeart/2005/8/layout/hierarchy2"/>
    <dgm:cxn modelId="{5C65E6BC-4DE7-423E-B392-5C4EB1AD108B}" type="presParOf" srcId="{95AA497F-DEE8-400E-9E3E-D40F90A3DC71}" destId="{AD317399-8366-41D7-8C8D-C05A238DCCAA}" srcOrd="3" destOrd="0" presId="urn:microsoft.com/office/officeart/2005/8/layout/hierarchy2"/>
    <dgm:cxn modelId="{9A50F77D-2DD3-4649-925B-18882692015E}" type="presParOf" srcId="{AD317399-8366-41D7-8C8D-C05A238DCCAA}" destId="{ECE8311B-FF5E-460B-B793-7F6470CA24A2}" srcOrd="0" destOrd="0" presId="urn:microsoft.com/office/officeart/2005/8/layout/hierarchy2"/>
    <dgm:cxn modelId="{D54F1F1E-C677-4EEE-BF4C-C4BE78ED3058}" type="presParOf" srcId="{AD317399-8366-41D7-8C8D-C05A238DCCAA}" destId="{B832D60E-F338-4F05-AAAF-DBE4550C1342}" srcOrd="1" destOrd="0" presId="urn:microsoft.com/office/officeart/2005/8/layout/hierarchy2"/>
    <dgm:cxn modelId="{638A2540-FAAB-42C5-85FA-CFDC2C9E2047}" type="presParOf" srcId="{B832D60E-F338-4F05-AAAF-DBE4550C1342}" destId="{03CBBA4E-32A8-4A5C-86F7-4D02521069A3}" srcOrd="0" destOrd="0" presId="urn:microsoft.com/office/officeart/2005/8/layout/hierarchy2"/>
    <dgm:cxn modelId="{19FCA709-F1BA-4E79-8FC6-CB6EC74A6E65}" type="presParOf" srcId="{03CBBA4E-32A8-4A5C-86F7-4D02521069A3}" destId="{0BD53823-E5BE-46AB-A8D5-DC885C0FED72}" srcOrd="0" destOrd="0" presId="urn:microsoft.com/office/officeart/2005/8/layout/hierarchy2"/>
    <dgm:cxn modelId="{52C0D363-2542-4E16-B0D1-6988AFA6D670}" type="presParOf" srcId="{B832D60E-F338-4F05-AAAF-DBE4550C1342}" destId="{E26DB2D1-E54C-40B4-B123-A0E759D3C009}" srcOrd="1" destOrd="0" presId="urn:microsoft.com/office/officeart/2005/8/layout/hierarchy2"/>
    <dgm:cxn modelId="{6C66C498-BD2D-49AF-8324-9AF8E6670BE9}" type="presParOf" srcId="{E26DB2D1-E54C-40B4-B123-A0E759D3C009}" destId="{71BC1B6D-BAB7-4ABD-B888-7196B7D07E97}" srcOrd="0" destOrd="0" presId="urn:microsoft.com/office/officeart/2005/8/layout/hierarchy2"/>
    <dgm:cxn modelId="{C4A277CE-21F8-4D0D-A447-81F5F5402B0D}" type="presParOf" srcId="{E26DB2D1-E54C-40B4-B123-A0E759D3C009}" destId="{FB71F47F-5E80-4BBF-BC02-B0A29A528729}" srcOrd="1" destOrd="0" presId="urn:microsoft.com/office/officeart/2005/8/layout/hierarchy2"/>
    <dgm:cxn modelId="{1479CCAB-76F4-4C09-B4A2-23DD26640AE7}" type="presParOf" srcId="{B832D60E-F338-4F05-AAAF-DBE4550C1342}" destId="{5DECA384-BE18-430D-B3AC-2DCDF97CAACE}" srcOrd="2" destOrd="0" presId="urn:microsoft.com/office/officeart/2005/8/layout/hierarchy2"/>
    <dgm:cxn modelId="{2EBE9904-0393-43B4-BF78-CDB3B55301A6}" type="presParOf" srcId="{5DECA384-BE18-430D-B3AC-2DCDF97CAACE}" destId="{CEF53B78-036C-4504-AD08-01FF49D8D8EF}" srcOrd="0" destOrd="0" presId="urn:microsoft.com/office/officeart/2005/8/layout/hierarchy2"/>
    <dgm:cxn modelId="{60E03FAD-4FE4-45D7-94E1-974D6192B817}" type="presParOf" srcId="{B832D60E-F338-4F05-AAAF-DBE4550C1342}" destId="{3AFBC26C-9764-4F7A-9ABC-1E52C8BC3AFC}" srcOrd="3" destOrd="0" presId="urn:microsoft.com/office/officeart/2005/8/layout/hierarchy2"/>
    <dgm:cxn modelId="{AF983029-CDF6-4C60-905B-32DC374288AE}" type="presParOf" srcId="{3AFBC26C-9764-4F7A-9ABC-1E52C8BC3AFC}" destId="{C07F218D-821F-441A-9B42-4B703078DA62}" srcOrd="0" destOrd="0" presId="urn:microsoft.com/office/officeart/2005/8/layout/hierarchy2"/>
    <dgm:cxn modelId="{7740D917-F4BD-4979-A1A4-C7CCF799FA90}" type="presParOf" srcId="{3AFBC26C-9764-4F7A-9ABC-1E52C8BC3AFC}" destId="{205A8501-9D0F-4ED3-82B7-F126F548E5A0}" srcOrd="1" destOrd="0" presId="urn:microsoft.com/office/officeart/2005/8/layout/hierarchy2"/>
    <dgm:cxn modelId="{DC3233D8-6AD0-4AEF-9305-E7F69CDF50C2}" type="presParOf" srcId="{95AA497F-DEE8-400E-9E3E-D40F90A3DC71}" destId="{622ED5A7-CFA6-48AC-8EEA-36BC921734AC}" srcOrd="4" destOrd="0" presId="urn:microsoft.com/office/officeart/2005/8/layout/hierarchy2"/>
    <dgm:cxn modelId="{63AC7874-A855-4FEB-B4D5-023488CD3695}" type="presParOf" srcId="{622ED5A7-CFA6-48AC-8EEA-36BC921734AC}" destId="{782BB9E9-5129-48D2-A905-C10EB3143919}" srcOrd="0" destOrd="0" presId="urn:microsoft.com/office/officeart/2005/8/layout/hierarchy2"/>
    <dgm:cxn modelId="{985387E5-BF10-41F2-930E-8F026B8E4D50}" type="presParOf" srcId="{95AA497F-DEE8-400E-9E3E-D40F90A3DC71}" destId="{747D838F-E76F-4EBD-B72C-4A6BF571EA30}" srcOrd="5" destOrd="0" presId="urn:microsoft.com/office/officeart/2005/8/layout/hierarchy2"/>
    <dgm:cxn modelId="{8E8C9B8B-EA9A-40DB-AEF3-754B7CE6720B}" type="presParOf" srcId="{747D838F-E76F-4EBD-B72C-4A6BF571EA30}" destId="{A5E16F92-3D02-4510-83E9-8507F0424EC8}" srcOrd="0" destOrd="0" presId="urn:microsoft.com/office/officeart/2005/8/layout/hierarchy2"/>
    <dgm:cxn modelId="{BCC0AD08-9B47-4AB0-A874-C4CDC61A3363}" type="presParOf" srcId="{747D838F-E76F-4EBD-B72C-4A6BF571EA30}" destId="{BE1BD73B-A491-4088-9C6C-D6DCC407FC4F}" srcOrd="1" destOrd="0" presId="urn:microsoft.com/office/officeart/2005/8/layout/hierarchy2"/>
    <dgm:cxn modelId="{3A998F4B-07DA-4E92-9527-DCE1798A8640}" type="presParOf" srcId="{BE1BD73B-A491-4088-9C6C-D6DCC407FC4F}" destId="{73B06D5A-981F-48C6-AAEC-F625647009DE}" srcOrd="0" destOrd="0" presId="urn:microsoft.com/office/officeart/2005/8/layout/hierarchy2"/>
    <dgm:cxn modelId="{9F105C62-B87E-4B72-8A6B-162F6B6E9E4B}" type="presParOf" srcId="{73B06D5A-981F-48C6-AAEC-F625647009DE}" destId="{2B320E91-E4E5-4F66-9160-BFFE7920B411}" srcOrd="0" destOrd="0" presId="urn:microsoft.com/office/officeart/2005/8/layout/hierarchy2"/>
    <dgm:cxn modelId="{5C567149-CD0A-4408-B5B7-0A4B868947FA}" type="presParOf" srcId="{BE1BD73B-A491-4088-9C6C-D6DCC407FC4F}" destId="{5DBCCCE5-E2B9-4DF6-AF41-24C5D63D84BF}" srcOrd="1" destOrd="0" presId="urn:microsoft.com/office/officeart/2005/8/layout/hierarchy2"/>
    <dgm:cxn modelId="{B0A522E2-3A67-432F-8EE3-D3DABC347606}" type="presParOf" srcId="{5DBCCCE5-E2B9-4DF6-AF41-24C5D63D84BF}" destId="{13E798F1-AAD5-4165-B54A-035CA0DDDA55}" srcOrd="0" destOrd="0" presId="urn:microsoft.com/office/officeart/2005/8/layout/hierarchy2"/>
    <dgm:cxn modelId="{059D24FD-3962-4C20-A6B8-B288B4BC8CBA}" type="presParOf" srcId="{5DBCCCE5-E2B9-4DF6-AF41-24C5D63D84BF}" destId="{F7378630-550A-4AF5-A7AC-20731A48D595}" srcOrd="1" destOrd="0" presId="urn:microsoft.com/office/officeart/2005/8/layout/hierarchy2"/>
    <dgm:cxn modelId="{7530672B-91B0-4CEC-AD23-1F76DEE5B9CE}" type="presParOf" srcId="{95AA497F-DEE8-400E-9E3E-D40F90A3DC71}" destId="{4C10400A-C7B9-4777-B85C-25AB58DDAC1D}" srcOrd="6" destOrd="0" presId="urn:microsoft.com/office/officeart/2005/8/layout/hierarchy2"/>
    <dgm:cxn modelId="{3F75F176-1CC5-4D2A-BD1E-69FDD80A50A4}" type="presParOf" srcId="{4C10400A-C7B9-4777-B85C-25AB58DDAC1D}" destId="{0F1516B4-FB50-4D45-BE02-70607D22566D}" srcOrd="0" destOrd="0" presId="urn:microsoft.com/office/officeart/2005/8/layout/hierarchy2"/>
    <dgm:cxn modelId="{DF2C194B-1002-4BAD-BC35-525841538D56}" type="presParOf" srcId="{95AA497F-DEE8-400E-9E3E-D40F90A3DC71}" destId="{5BD32EEA-FCF6-415D-9FA4-D000C2981613}" srcOrd="7" destOrd="0" presId="urn:microsoft.com/office/officeart/2005/8/layout/hierarchy2"/>
    <dgm:cxn modelId="{3D45D787-BF6B-4BA8-9E43-6E76D8E29DF2}" type="presParOf" srcId="{5BD32EEA-FCF6-415D-9FA4-D000C2981613}" destId="{619D9187-800E-4DAA-970B-D5C3F41A7586}" srcOrd="0" destOrd="0" presId="urn:microsoft.com/office/officeart/2005/8/layout/hierarchy2"/>
    <dgm:cxn modelId="{3329A363-126B-4B30-8265-BF221229D264}" type="presParOf" srcId="{5BD32EEA-FCF6-415D-9FA4-D000C2981613}" destId="{2DC2B256-4988-4D96-B41D-4C2FD579D447}" srcOrd="1" destOrd="0" presId="urn:microsoft.com/office/officeart/2005/8/layout/hierarchy2"/>
    <dgm:cxn modelId="{F3AB82FE-8D9A-4426-A34F-5D36D7842BF9}" type="presParOf" srcId="{2DC2B256-4988-4D96-B41D-4C2FD579D447}" destId="{4ABF716A-90E4-422F-AE6E-C95DB419D55E}" srcOrd="0" destOrd="0" presId="urn:microsoft.com/office/officeart/2005/8/layout/hierarchy2"/>
    <dgm:cxn modelId="{BA7BA383-34DA-4E56-95A4-095A7A548454}" type="presParOf" srcId="{4ABF716A-90E4-422F-AE6E-C95DB419D55E}" destId="{FFEE1245-4F06-480D-9152-7FD01AE4C2E2}" srcOrd="0" destOrd="0" presId="urn:microsoft.com/office/officeart/2005/8/layout/hierarchy2"/>
    <dgm:cxn modelId="{552DF20F-6095-4287-91EB-66F3E6EA2E92}" type="presParOf" srcId="{2DC2B256-4988-4D96-B41D-4C2FD579D447}" destId="{A03930A7-DB47-45E2-B015-2EB72765F29A}" srcOrd="1" destOrd="0" presId="urn:microsoft.com/office/officeart/2005/8/layout/hierarchy2"/>
    <dgm:cxn modelId="{166621CA-4CC3-4F67-A06D-F44D2B33DFE1}" type="presParOf" srcId="{A03930A7-DB47-45E2-B015-2EB72765F29A}" destId="{5D2BDC41-6D6C-418D-892B-7E5855B7BCF7}" srcOrd="0" destOrd="0" presId="urn:microsoft.com/office/officeart/2005/8/layout/hierarchy2"/>
    <dgm:cxn modelId="{F00C3A1E-D5DD-4478-9DBD-9C596C1147CC}" type="presParOf" srcId="{A03930A7-DB47-45E2-B015-2EB72765F29A}" destId="{8C0351EC-7F45-4A3E-AFF3-63D66C70B182}"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610E6-2FB1-40D4-8297-AA8EAC794EEE}">
      <dsp:nvSpPr>
        <dsp:cNvPr id="0" name=""/>
        <dsp:cNvSpPr/>
      </dsp:nvSpPr>
      <dsp:spPr>
        <a:xfrm>
          <a:off x="86857" y="1291584"/>
          <a:ext cx="1017959" cy="5157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指标评价体系及标准</a:t>
          </a:r>
        </a:p>
      </dsp:txBody>
      <dsp:txXfrm>
        <a:off x="101962" y="1306689"/>
        <a:ext cx="987749" cy="485504"/>
      </dsp:txXfrm>
    </dsp:sp>
    <dsp:sp modelId="{49E0E87C-F8BA-4AF1-ADE0-206AA2F899BD}">
      <dsp:nvSpPr>
        <dsp:cNvPr id="0" name=""/>
        <dsp:cNvSpPr/>
      </dsp:nvSpPr>
      <dsp:spPr>
        <a:xfrm rot="18043700">
          <a:off x="787706" y="965891"/>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959616"/>
        <a:ext cx="64844" cy="64844"/>
      </dsp:txXfrm>
    </dsp:sp>
    <dsp:sp modelId="{B3F1045F-F657-4940-8804-E7BF91048E84}">
      <dsp:nvSpPr>
        <dsp:cNvPr id="0" name=""/>
        <dsp:cNvSpPr/>
      </dsp:nvSpPr>
      <dsp:spPr>
        <a:xfrm>
          <a:off x="1767486" y="251187"/>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项目投入（</a:t>
          </a:r>
          <a:r>
            <a:rPr lang="en-US" altLang="zh-CN" sz="1300" kern="1200"/>
            <a:t>10</a:t>
          </a:r>
          <a:r>
            <a:rPr lang="zh-CN" altLang="en-US" sz="1300" kern="1200"/>
            <a:t>）</a:t>
          </a:r>
        </a:p>
      </dsp:txBody>
      <dsp:txXfrm>
        <a:off x="1778232" y="261933"/>
        <a:ext cx="1016082" cy="345403"/>
      </dsp:txXfrm>
    </dsp:sp>
    <dsp:sp modelId="{ABC98AD2-4FEC-4A9C-A13F-CBA5658448C4}">
      <dsp:nvSpPr>
        <dsp:cNvPr id="0" name=""/>
        <dsp:cNvSpPr/>
      </dsp:nvSpPr>
      <dsp:spPr>
        <a:xfrm rot="20370123">
          <a:off x="2782664" y="284620"/>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293081"/>
        <a:ext cx="35373" cy="35373"/>
      </dsp:txXfrm>
    </dsp:sp>
    <dsp:sp modelId="{B9349998-25B2-4AC9-96C3-D931C5B236FB}">
      <dsp:nvSpPr>
        <dsp:cNvPr id="0" name=""/>
        <dsp:cNvSpPr/>
      </dsp:nvSpPr>
      <dsp:spPr>
        <a:xfrm>
          <a:off x="3467730" y="129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项目立项（</a:t>
          </a:r>
          <a:r>
            <a:rPr lang="en-US" altLang="zh-CN" sz="1300" kern="1200"/>
            <a:t>6</a:t>
          </a:r>
          <a:r>
            <a:rPr lang="zh-CN" altLang="en-US" sz="1300" kern="1200"/>
            <a:t>）</a:t>
          </a:r>
        </a:p>
      </dsp:txBody>
      <dsp:txXfrm>
        <a:off x="3478603" y="12163"/>
        <a:ext cx="1113141" cy="349473"/>
      </dsp:txXfrm>
    </dsp:sp>
    <dsp:sp modelId="{0BAF4E39-65E4-4D0A-AC03-0C422E0CCD1B}">
      <dsp:nvSpPr>
        <dsp:cNvPr id="0" name=""/>
        <dsp:cNvSpPr/>
      </dsp:nvSpPr>
      <dsp:spPr>
        <a:xfrm rot="1229877">
          <a:off x="2782664" y="532355"/>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540816"/>
        <a:ext cx="35373" cy="35373"/>
      </dsp:txXfrm>
    </dsp:sp>
    <dsp:sp modelId="{BB4AC3EF-141C-43F7-9720-FEEB40D18F00}">
      <dsp:nvSpPr>
        <dsp:cNvPr id="0" name=""/>
        <dsp:cNvSpPr/>
      </dsp:nvSpPr>
      <dsp:spPr>
        <a:xfrm>
          <a:off x="3467730" y="49676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资金落实（</a:t>
          </a:r>
          <a:r>
            <a:rPr lang="en-US" altLang="zh-CN" sz="1300" kern="1200"/>
            <a:t>4</a:t>
          </a:r>
          <a:r>
            <a:rPr lang="zh-CN" altLang="en-US" sz="1300" kern="1200"/>
            <a:t>）</a:t>
          </a:r>
        </a:p>
      </dsp:txBody>
      <dsp:txXfrm>
        <a:off x="3478603" y="507633"/>
        <a:ext cx="1113141" cy="349473"/>
      </dsp:txXfrm>
    </dsp:sp>
    <dsp:sp modelId="{1B5B0031-8F08-4157-8F73-3D49F6920940}">
      <dsp:nvSpPr>
        <dsp:cNvPr id="0" name=""/>
        <dsp:cNvSpPr/>
      </dsp:nvSpPr>
      <dsp:spPr>
        <a:xfrm rot="20964741">
          <a:off x="1099078" y="1461360"/>
          <a:ext cx="674146" cy="52294"/>
        </a:xfrm>
        <a:custGeom>
          <a:avLst/>
          <a:gdLst/>
          <a:ahLst/>
          <a:cxnLst/>
          <a:rect l="0" t="0" r="0" b="0"/>
          <a:pathLst>
            <a:path>
              <a:moveTo>
                <a:pt x="0" y="26147"/>
              </a:moveTo>
              <a:lnTo>
                <a:pt x="674146"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9297" y="1470654"/>
        <a:ext cx="33707" cy="33707"/>
      </dsp:txXfrm>
    </dsp:sp>
    <dsp:sp modelId="{ECE8311B-FF5E-460B-B793-7F6470CA24A2}">
      <dsp:nvSpPr>
        <dsp:cNvPr id="0" name=""/>
        <dsp:cNvSpPr/>
      </dsp:nvSpPr>
      <dsp:spPr>
        <a:xfrm>
          <a:off x="1767486" y="1242126"/>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项目过程（</a:t>
          </a:r>
          <a:r>
            <a:rPr lang="en-US" altLang="zh-CN" sz="1300" kern="1200"/>
            <a:t>20</a:t>
          </a:r>
          <a:r>
            <a:rPr lang="zh-CN" altLang="en-US" sz="1300" kern="1200"/>
            <a:t>）</a:t>
          </a:r>
        </a:p>
      </dsp:txBody>
      <dsp:txXfrm>
        <a:off x="1778232" y="1252872"/>
        <a:ext cx="1016082" cy="345403"/>
      </dsp:txXfrm>
    </dsp:sp>
    <dsp:sp modelId="{03CBBA4E-32A8-4A5C-86F7-4D02521069A3}">
      <dsp:nvSpPr>
        <dsp:cNvPr id="0" name=""/>
        <dsp:cNvSpPr/>
      </dsp:nvSpPr>
      <dsp:spPr>
        <a:xfrm rot="20370123">
          <a:off x="2782664" y="1275559"/>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284020"/>
        <a:ext cx="35373" cy="35373"/>
      </dsp:txXfrm>
    </dsp:sp>
    <dsp:sp modelId="{71BC1B6D-BAB7-4ABD-B888-7196B7D07E97}">
      <dsp:nvSpPr>
        <dsp:cNvPr id="0" name=""/>
        <dsp:cNvSpPr/>
      </dsp:nvSpPr>
      <dsp:spPr>
        <a:xfrm>
          <a:off x="3467730" y="99223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业务管理（</a:t>
          </a:r>
          <a:r>
            <a:rPr lang="en-US" altLang="zh-CN" sz="1300" kern="1200"/>
            <a:t>10</a:t>
          </a:r>
          <a:r>
            <a:rPr lang="zh-CN" altLang="en-US" sz="1300" kern="1200"/>
            <a:t>）</a:t>
          </a:r>
        </a:p>
      </dsp:txBody>
      <dsp:txXfrm>
        <a:off x="3478603" y="1003103"/>
        <a:ext cx="1113141" cy="349473"/>
      </dsp:txXfrm>
    </dsp:sp>
    <dsp:sp modelId="{5DECA384-BE18-430D-B3AC-2DCDF97CAACE}">
      <dsp:nvSpPr>
        <dsp:cNvPr id="0" name=""/>
        <dsp:cNvSpPr/>
      </dsp:nvSpPr>
      <dsp:spPr>
        <a:xfrm rot="1229877">
          <a:off x="2782664" y="1523294"/>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531755"/>
        <a:ext cx="35373" cy="35373"/>
      </dsp:txXfrm>
    </dsp:sp>
    <dsp:sp modelId="{C07F218D-821F-441A-9B42-4B703078DA62}">
      <dsp:nvSpPr>
        <dsp:cNvPr id="0" name=""/>
        <dsp:cNvSpPr/>
      </dsp:nvSpPr>
      <dsp:spPr>
        <a:xfrm>
          <a:off x="3467730" y="148769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财务管理（</a:t>
          </a:r>
          <a:r>
            <a:rPr lang="en-US" altLang="zh-CN" sz="1300" kern="1200"/>
            <a:t>10</a:t>
          </a:r>
          <a:r>
            <a:rPr lang="zh-CN" altLang="en-US" sz="1300" kern="1200"/>
            <a:t>）</a:t>
          </a:r>
        </a:p>
      </dsp:txBody>
      <dsp:txXfrm>
        <a:off x="3478603" y="1498572"/>
        <a:ext cx="1113141" cy="349473"/>
      </dsp:txXfrm>
    </dsp:sp>
    <dsp:sp modelId="{622ED5A7-CFA6-48AC-8EEA-36BC921734AC}">
      <dsp:nvSpPr>
        <dsp:cNvPr id="0" name=""/>
        <dsp:cNvSpPr/>
      </dsp:nvSpPr>
      <dsp:spPr>
        <a:xfrm rot="2583847">
          <a:off x="982634" y="1832962"/>
          <a:ext cx="907033" cy="52294"/>
        </a:xfrm>
        <a:custGeom>
          <a:avLst/>
          <a:gdLst/>
          <a:ahLst/>
          <a:cxnLst/>
          <a:rect l="0" t="0" r="0" b="0"/>
          <a:pathLst>
            <a:path>
              <a:moveTo>
                <a:pt x="0" y="26147"/>
              </a:moveTo>
              <a:lnTo>
                <a:pt x="907033"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3475" y="1836434"/>
        <a:ext cx="45351" cy="45351"/>
      </dsp:txXfrm>
    </dsp:sp>
    <dsp:sp modelId="{A5E16F92-3D02-4510-83E9-8507F0424EC8}">
      <dsp:nvSpPr>
        <dsp:cNvPr id="0" name=""/>
        <dsp:cNvSpPr/>
      </dsp:nvSpPr>
      <dsp:spPr>
        <a:xfrm>
          <a:off x="1767486" y="1985331"/>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1778232" y="1996077"/>
        <a:ext cx="1016082" cy="345403"/>
      </dsp:txXfrm>
    </dsp:sp>
    <dsp:sp modelId="{73B06D5A-981F-48C6-AAEC-F625647009DE}">
      <dsp:nvSpPr>
        <dsp:cNvPr id="0" name=""/>
        <dsp:cNvSpPr/>
      </dsp:nvSpPr>
      <dsp:spPr>
        <a:xfrm>
          <a:off x="2805060" y="214263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152212"/>
        <a:ext cx="33133" cy="33133"/>
      </dsp:txXfrm>
    </dsp:sp>
    <dsp:sp modelId="{13E798F1-AAD5-4165-B54A-035CA0DDDA55}">
      <dsp:nvSpPr>
        <dsp:cNvPr id="0" name=""/>
        <dsp:cNvSpPr/>
      </dsp:nvSpPr>
      <dsp:spPr>
        <a:xfrm>
          <a:off x="3467730" y="198316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3478603" y="1994042"/>
        <a:ext cx="1113141" cy="349473"/>
      </dsp:txXfrm>
    </dsp:sp>
    <dsp:sp modelId="{4C10400A-C7B9-4777-B85C-25AB58DDAC1D}">
      <dsp:nvSpPr>
        <dsp:cNvPr id="0" name=""/>
        <dsp:cNvSpPr/>
      </dsp:nvSpPr>
      <dsp:spPr>
        <a:xfrm rot="3556300">
          <a:off x="787706" y="2080697"/>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2074422"/>
        <a:ext cx="64844" cy="64844"/>
      </dsp:txXfrm>
    </dsp:sp>
    <dsp:sp modelId="{619D9187-800E-4DAA-970B-D5C3F41A7586}">
      <dsp:nvSpPr>
        <dsp:cNvPr id="0" name=""/>
        <dsp:cNvSpPr/>
      </dsp:nvSpPr>
      <dsp:spPr>
        <a:xfrm>
          <a:off x="1767486" y="2480800"/>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1778232" y="2491546"/>
        <a:ext cx="1016082" cy="345403"/>
      </dsp:txXfrm>
    </dsp:sp>
    <dsp:sp modelId="{4ABF716A-90E4-422F-AE6E-C95DB419D55E}">
      <dsp:nvSpPr>
        <dsp:cNvPr id="0" name=""/>
        <dsp:cNvSpPr/>
      </dsp:nvSpPr>
      <dsp:spPr>
        <a:xfrm>
          <a:off x="2805060" y="263810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647681"/>
        <a:ext cx="33133" cy="33133"/>
      </dsp:txXfrm>
    </dsp:sp>
    <dsp:sp modelId="{5D2BDC41-6D6C-418D-892B-7E5855B7BCF7}">
      <dsp:nvSpPr>
        <dsp:cNvPr id="0" name=""/>
        <dsp:cNvSpPr/>
      </dsp:nvSpPr>
      <dsp:spPr>
        <a:xfrm>
          <a:off x="3467730" y="247863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3478603" y="2489512"/>
        <a:ext cx="1113141" cy="3494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731B5-5FDC-4F20-9BE5-F7738B0071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3048</Words>
  <Characters>17377</Characters>
  <Lines>144</Lines>
  <Paragraphs>40</Paragraphs>
  <TotalTime>737</TotalTime>
  <ScaleCrop>false</ScaleCrop>
  <LinksUpToDate>false</LinksUpToDate>
  <CharactersWithSpaces>20385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张珣</cp:lastModifiedBy>
  <cp:lastPrinted>2015-12-10T09:13:00Z</cp:lastPrinted>
  <dcterms:modified xsi:type="dcterms:W3CDTF">2023-11-24T02:24:25Z</dcterms:modified>
  <dc:title>财政支出绩效评价报告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686C9ACAD6134BF8B63910FB2A2190F1_13</vt:lpwstr>
  </property>
</Properties>
</file>