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360" w:firstLineChars="100"/>
        <w:rPr>
          <w:rFonts w:ascii="华文中宋" w:hAnsi="华文中宋" w:eastAsia="华文中宋" w:cs="华文中宋"/>
          <w:sz w:val="36"/>
          <w:szCs w:val="36"/>
        </w:rPr>
      </w:pPr>
      <w:r>
        <w:rPr>
          <w:rFonts w:ascii="华文中宋" w:hAnsi="华文中宋" w:eastAsia="华文中宋" w:cs="华文中宋"/>
          <w:sz w:val="36"/>
          <w:szCs w:val="36"/>
        </w:rPr>
        <w:t>2020</w:t>
      </w:r>
      <w:r>
        <w:rPr>
          <w:rFonts w:hint="eastAsia" w:ascii="华文中宋" w:hAnsi="华文中宋" w:eastAsia="华文中宋" w:cs="华文中宋"/>
          <w:sz w:val="36"/>
          <w:szCs w:val="36"/>
        </w:rPr>
        <w:t>年度武昌区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地方金融工作局</w:t>
      </w:r>
      <w:r>
        <w:rPr>
          <w:rFonts w:hint="eastAsia" w:ascii="华文中宋" w:hAnsi="华文中宋" w:eastAsia="华文中宋" w:cs="华文中宋"/>
          <w:sz w:val="36"/>
          <w:szCs w:val="36"/>
        </w:rPr>
        <w:t>整体绩效自评表</w:t>
      </w:r>
    </w:p>
    <w:p>
      <w:pPr>
        <w:rPr>
          <w:rFonts w:cs="Times New Roman"/>
        </w:rPr>
      </w:pPr>
    </w:p>
    <w:p>
      <w:pPr>
        <w:widowControl/>
        <w:jc w:val="left"/>
        <w:rPr>
          <w:rFonts w:ascii="楷体_GB2312" w:hAnsi="黑体" w:eastAsia="楷体_GB2312" w:cs="Times New Roman"/>
          <w:kern w:val="0"/>
          <w:sz w:val="21"/>
          <w:szCs w:val="21"/>
        </w:rPr>
      </w:pPr>
      <w:r>
        <w:rPr>
          <w:rFonts w:hint="eastAsia" w:ascii="楷体_GB2312" w:hAnsi="仿宋" w:eastAsia="楷体_GB2312" w:cs="楷体_GB2312"/>
          <w:kern w:val="0"/>
          <w:sz w:val="21"/>
          <w:szCs w:val="21"/>
        </w:rPr>
        <w:t>单位名称：</w:t>
      </w:r>
      <w:r>
        <w:rPr>
          <w:rFonts w:hint="eastAsia" w:ascii="楷体_GB2312" w:hAnsi="仿宋" w:eastAsia="楷体_GB2312" w:cs="楷体_GB2312"/>
          <w:kern w:val="0"/>
          <w:sz w:val="21"/>
          <w:szCs w:val="21"/>
          <w:lang w:eastAsia="zh-CN"/>
        </w:rPr>
        <w:t>武昌区地方金融工作局</w:t>
      </w:r>
      <w:r>
        <w:rPr>
          <w:rFonts w:ascii="楷体_GB2312" w:hAnsi="仿宋" w:eastAsia="楷体_GB2312" w:cs="楷体_GB2312"/>
          <w:kern w:val="0"/>
          <w:sz w:val="21"/>
          <w:szCs w:val="21"/>
        </w:rPr>
        <w:t xml:space="preserve">                          </w:t>
      </w:r>
      <w:r>
        <w:rPr>
          <w:rFonts w:hint="eastAsia" w:ascii="楷体_GB2312" w:hAnsi="仿宋" w:eastAsia="楷体_GB2312" w:cs="楷体_GB2312"/>
          <w:kern w:val="0"/>
          <w:sz w:val="21"/>
          <w:szCs w:val="21"/>
        </w:rPr>
        <w:t>填报日期：2021.10.15</w:t>
      </w:r>
    </w:p>
    <w:tbl>
      <w:tblPr>
        <w:tblStyle w:val="5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319"/>
        <w:gridCol w:w="923"/>
        <w:gridCol w:w="242"/>
        <w:gridCol w:w="1807"/>
        <w:gridCol w:w="471"/>
        <w:gridCol w:w="663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武汉市武昌区地方金融工作局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基本支出总额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442.95万元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项目支出总额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264.5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预算执行情况(万元)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(20分)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预算数(A)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执行数(B)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执行率(B/A)</w:t>
            </w:r>
          </w:p>
        </w:tc>
        <w:tc>
          <w:tcPr>
            <w:tcW w:w="200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得分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(20分*执行率)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部门整体支出总额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1754万元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1754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万元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%</w:t>
            </w:r>
          </w:p>
        </w:tc>
        <w:tc>
          <w:tcPr>
            <w:tcW w:w="200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年度目标1：(40分)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强化指挥部建设，非法集资新发案件下降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年度绩效指标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年初目标值(A)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实际完成值(B)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2484" w:type="dxa"/>
            <w:gridSpan w:val="3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举办防范和打击非法集资宣传活动次数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5次以上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5次以上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2484" w:type="dxa"/>
            <w:gridSpan w:val="3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项目资金及时到位率</w:t>
            </w:r>
          </w:p>
        </w:tc>
        <w:tc>
          <w:tcPr>
            <w:tcW w:w="1807" w:type="dxa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非法集资新发案件下降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逐步下降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逐步下降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社会效益指标</w:t>
            </w:r>
          </w:p>
        </w:tc>
        <w:tc>
          <w:tcPr>
            <w:tcW w:w="2484" w:type="dxa"/>
            <w:gridSpan w:val="3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遏制金融违法违规案件高发频率</w:t>
            </w:r>
          </w:p>
        </w:tc>
        <w:tc>
          <w:tcPr>
            <w:tcW w:w="1807" w:type="dxa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逐步降低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逐步降低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年度绩效目标2(40分)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加强金融监管及创新工作，推动金融产业高质量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年度绩效指标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年初目标值（A）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实际完成值（B）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数量指标</w:t>
            </w:r>
          </w:p>
        </w:tc>
        <w:tc>
          <w:tcPr>
            <w:tcW w:w="2484" w:type="dxa"/>
            <w:gridSpan w:val="3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数量指标</w:t>
            </w:r>
          </w:p>
        </w:tc>
        <w:tc>
          <w:tcPr>
            <w:tcW w:w="1807" w:type="dxa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组织各类金融业务知识培训次数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5次以上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社会效益指标</w:t>
            </w:r>
          </w:p>
        </w:tc>
        <w:tc>
          <w:tcPr>
            <w:tcW w:w="2484" w:type="dxa"/>
            <w:gridSpan w:val="3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社会效益</w:t>
            </w:r>
          </w:p>
        </w:tc>
        <w:tc>
          <w:tcPr>
            <w:tcW w:w="1807" w:type="dxa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推进企业多层次资本市场融资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显著提高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经济效益指标</w:t>
            </w:r>
          </w:p>
        </w:tc>
        <w:tc>
          <w:tcPr>
            <w:tcW w:w="2484" w:type="dxa"/>
            <w:gridSpan w:val="3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经济指标</w:t>
            </w:r>
          </w:p>
        </w:tc>
        <w:tc>
          <w:tcPr>
            <w:tcW w:w="1807" w:type="dxa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类金融机构监管有序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显著改善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生态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效益指标</w:t>
            </w:r>
          </w:p>
        </w:tc>
        <w:tc>
          <w:tcPr>
            <w:tcW w:w="2484" w:type="dxa"/>
            <w:gridSpan w:val="3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生态效益指标</w:t>
            </w:r>
          </w:p>
        </w:tc>
        <w:tc>
          <w:tcPr>
            <w:tcW w:w="1807" w:type="dxa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大力优化金融营商环境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pStyle w:val="1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显著提升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2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总分</w:t>
            </w:r>
          </w:p>
        </w:tc>
        <w:tc>
          <w:tcPr>
            <w:tcW w:w="8120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偏差大或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目标未完成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原因分析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t>已全部完成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15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改进措施及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结果应用方案</w:t>
            </w:r>
          </w:p>
        </w:tc>
        <w:tc>
          <w:tcPr>
            <w:tcW w:w="7420" w:type="dxa"/>
            <w:gridSpan w:val="8"/>
            <w:vAlign w:val="center"/>
          </w:tcPr>
          <w:p>
            <w:pPr>
              <w:pStyle w:val="2"/>
              <w:spacing w:line="240" w:lineRule="auto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继续加强绩效管理，提高资金使用效能，加强金融创新研究，提升工作成效，强化金融监管，净化市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场环境，优化营商环境，提升我区金融综合实力。</w:t>
            </w:r>
          </w:p>
        </w:tc>
      </w:tr>
    </w:tbl>
    <w:p>
      <w:pPr>
        <w:widowControl/>
        <w:rPr>
          <w:rFonts w:hAnsi="宋体" w:cs="Times New Roman"/>
          <w:kern w:val="0"/>
          <w:sz w:val="21"/>
          <w:szCs w:val="21"/>
        </w:rPr>
      </w:pPr>
      <w:r>
        <w:rPr>
          <w:rFonts w:hint="eastAsia" w:hAnsi="宋体"/>
          <w:kern w:val="0"/>
          <w:sz w:val="21"/>
          <w:szCs w:val="21"/>
        </w:rPr>
        <w:t>备注：</w:t>
      </w:r>
    </w:p>
    <w:p>
      <w:pPr>
        <w:widowControl/>
        <w:ind w:firstLine="420" w:firstLineChars="200"/>
        <w:rPr>
          <w:rFonts w:hAnsi="宋体" w:cs="Times New Roman"/>
          <w:kern w:val="0"/>
          <w:sz w:val="21"/>
          <w:szCs w:val="21"/>
        </w:rPr>
      </w:pPr>
      <w:r>
        <w:rPr>
          <w:rFonts w:hAnsi="宋体"/>
          <w:kern w:val="0"/>
          <w:sz w:val="21"/>
          <w:szCs w:val="21"/>
        </w:rPr>
        <w:t>1.</w:t>
      </w:r>
      <w:r>
        <w:rPr>
          <w:rFonts w:hint="eastAsia" w:hAnsi="宋体"/>
          <w:kern w:val="0"/>
          <w:sz w:val="21"/>
          <w:szCs w:val="21"/>
        </w:rPr>
        <w:t>预算执行情况口径：预算数为调整后财政资金总额(包括上年结余结转)，执行数为资金使用单位财政资金实际支出数。</w:t>
      </w:r>
    </w:p>
    <w:p>
      <w:pPr>
        <w:widowControl/>
        <w:ind w:firstLine="420" w:firstLineChars="200"/>
        <w:rPr>
          <w:rFonts w:hAnsi="宋体" w:cs="Times New Roman"/>
          <w:kern w:val="0"/>
          <w:sz w:val="21"/>
          <w:szCs w:val="21"/>
        </w:rPr>
      </w:pPr>
      <w:r>
        <w:rPr>
          <w:rFonts w:hAnsi="宋体"/>
          <w:kern w:val="0"/>
          <w:sz w:val="21"/>
          <w:szCs w:val="21"/>
        </w:rPr>
        <w:t>2.</w:t>
      </w:r>
      <w:r>
        <w:rPr>
          <w:rFonts w:hint="eastAsia" w:hAnsi="宋体"/>
          <w:kern w:val="0"/>
          <w:sz w:val="21"/>
          <w:szCs w:val="21"/>
        </w:rPr>
        <w:t>定量指标完成数汇总原则：绝对值直接累加计算，相对值按照资金额度加权平均计算。定量指标计分原则：正向指标(即目标值为≥</w:t>
      </w:r>
      <w:r>
        <w:rPr>
          <w:rFonts w:hAnsi="宋体"/>
          <w:kern w:val="0"/>
          <w:sz w:val="21"/>
          <w:szCs w:val="21"/>
        </w:rPr>
        <w:t>X,</w:t>
      </w:r>
      <w:r>
        <w:rPr>
          <w:rFonts w:hint="eastAsia" w:hAnsi="宋体"/>
          <w:kern w:val="0"/>
          <w:sz w:val="21"/>
          <w:szCs w:val="21"/>
        </w:rPr>
        <w:t>得分</w:t>
      </w:r>
      <w:r>
        <w:rPr>
          <w:rFonts w:hAnsi="宋体"/>
          <w:kern w:val="0"/>
          <w:sz w:val="21"/>
          <w:szCs w:val="21"/>
        </w:rPr>
        <w:t>=</w:t>
      </w:r>
      <w:r>
        <w:rPr>
          <w:rFonts w:hint="eastAsia" w:hAnsi="宋体"/>
          <w:kern w:val="0"/>
          <w:sz w:val="21"/>
          <w:szCs w:val="21"/>
        </w:rPr>
        <w:t>权重</w:t>
      </w:r>
      <w:r>
        <w:rPr>
          <w:rFonts w:hAnsi="宋体"/>
          <w:kern w:val="0"/>
          <w:sz w:val="21"/>
          <w:szCs w:val="21"/>
        </w:rPr>
        <w:t>*B/A</w:t>
      </w:r>
      <w:r>
        <w:rPr>
          <w:rFonts w:hint="eastAsia" w:hAnsi="宋体"/>
          <w:kern w:val="0"/>
          <w:sz w:val="21"/>
          <w:szCs w:val="21"/>
        </w:rPr>
        <w:t>)，反向指标(即目标值为≤</w:t>
      </w:r>
      <w:r>
        <w:rPr>
          <w:rFonts w:hAnsi="宋体"/>
          <w:kern w:val="0"/>
          <w:sz w:val="21"/>
          <w:szCs w:val="21"/>
        </w:rPr>
        <w:t>X</w:t>
      </w:r>
      <w:r>
        <w:rPr>
          <w:rFonts w:hint="eastAsia" w:hAnsi="宋体"/>
          <w:kern w:val="0"/>
          <w:sz w:val="21"/>
          <w:szCs w:val="21"/>
        </w:rPr>
        <w:t>，得分</w:t>
      </w:r>
      <w:r>
        <w:rPr>
          <w:rFonts w:hAnsi="宋体"/>
          <w:kern w:val="0"/>
          <w:sz w:val="21"/>
          <w:szCs w:val="21"/>
        </w:rPr>
        <w:t>=</w:t>
      </w:r>
      <w:r>
        <w:rPr>
          <w:rFonts w:hint="eastAsia" w:hAnsi="宋体"/>
          <w:kern w:val="0"/>
          <w:sz w:val="21"/>
          <w:szCs w:val="21"/>
        </w:rPr>
        <w:t>权重</w:t>
      </w:r>
      <w:r>
        <w:rPr>
          <w:rFonts w:hAnsi="宋体"/>
          <w:kern w:val="0"/>
          <w:sz w:val="21"/>
          <w:szCs w:val="21"/>
        </w:rPr>
        <w:t>*A/B</w:t>
      </w:r>
      <w:r>
        <w:rPr>
          <w:rFonts w:hint="eastAsia" w:hAnsi="宋体"/>
          <w:kern w:val="0"/>
          <w:sz w:val="21"/>
          <w:szCs w:val="21"/>
        </w:rPr>
        <w:t>)，得分不得突破权重总额。定量指标先汇总完成数，再计算得分。</w:t>
      </w:r>
    </w:p>
    <w:p>
      <w:pPr>
        <w:widowControl/>
        <w:ind w:firstLine="420" w:firstLineChars="200"/>
        <w:rPr>
          <w:rFonts w:hAnsi="宋体" w:cs="Times New Roman"/>
          <w:kern w:val="0"/>
          <w:sz w:val="21"/>
          <w:szCs w:val="21"/>
        </w:rPr>
      </w:pPr>
      <w:r>
        <w:rPr>
          <w:rFonts w:hAnsi="宋体"/>
          <w:kern w:val="0"/>
          <w:sz w:val="21"/>
          <w:szCs w:val="21"/>
        </w:rPr>
        <w:t>3.</w:t>
      </w:r>
      <w:r>
        <w:rPr>
          <w:rFonts w:hint="eastAsia" w:hAnsi="宋体"/>
          <w:kern w:val="0"/>
          <w:sz w:val="21"/>
          <w:szCs w:val="21"/>
        </w:rPr>
        <w:t>定性指标计分原则：达成预期指标、部分达成预期指标、未达成预期指标三档，分别按照该指标对应分值区间100%-80%(≥80%)、80%-50%(≥50%，＜80%)、50%-0%(＜50%)合理确定分值。汇总时，以资金额度为权重，对分值进行加权平均计算。</w:t>
      </w:r>
    </w:p>
    <w:p>
      <w:pPr>
        <w:widowControl/>
        <w:ind w:firstLine="420" w:firstLineChars="200"/>
        <w:rPr>
          <w:rFonts w:hAnsi="宋体"/>
          <w:kern w:val="0"/>
          <w:sz w:val="21"/>
          <w:szCs w:val="21"/>
        </w:rPr>
      </w:pPr>
      <w:r>
        <w:rPr>
          <w:rFonts w:hAnsi="宋体"/>
          <w:kern w:val="0"/>
          <w:sz w:val="21"/>
          <w:szCs w:val="21"/>
        </w:rPr>
        <w:t>4.</w:t>
      </w:r>
      <w:r>
        <w:rPr>
          <w:rFonts w:hint="eastAsia" w:hAnsi="宋体"/>
          <w:kern w:val="0"/>
          <w:sz w:val="21"/>
          <w:szCs w:val="21"/>
        </w:rPr>
        <w:t>基于经济性和必要性等因素考虑，满意度指标暂可不作为必评指标。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59"/>
    <w:rsid w:val="000C41A2"/>
    <w:rsid w:val="001951A9"/>
    <w:rsid w:val="00220C8C"/>
    <w:rsid w:val="00284A99"/>
    <w:rsid w:val="002D3A33"/>
    <w:rsid w:val="002F2059"/>
    <w:rsid w:val="00313FDD"/>
    <w:rsid w:val="00324FF7"/>
    <w:rsid w:val="0045432D"/>
    <w:rsid w:val="008B62A4"/>
    <w:rsid w:val="0092129D"/>
    <w:rsid w:val="009F0F61"/>
    <w:rsid w:val="00BF4416"/>
    <w:rsid w:val="00C00108"/>
    <w:rsid w:val="00CA2615"/>
    <w:rsid w:val="00D8490C"/>
    <w:rsid w:val="00F36D8C"/>
    <w:rsid w:val="00F940A5"/>
    <w:rsid w:val="07212550"/>
    <w:rsid w:val="1574621E"/>
    <w:rsid w:val="1F8F250F"/>
    <w:rsid w:val="25C95579"/>
    <w:rsid w:val="2C1D7547"/>
    <w:rsid w:val="3E87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9"/>
    <w:semiHidden/>
    <w:unhideWhenUsed/>
    <w:qFormat/>
    <w:uiPriority w:val="99"/>
    <w:pPr>
      <w:spacing w:after="120" w:line="480" w:lineRule="auto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2 Char"/>
    <w:basedOn w:val="6"/>
    <w:link w:val="2"/>
    <w:semiHidden/>
    <w:qFormat/>
    <w:uiPriority w:val="99"/>
    <w:rPr>
      <w:rFonts w:ascii="仿宋_GB2312" w:hAnsi="仿宋_GB2312" w:eastAsia="仿宋_GB2312" w:cs="仿宋_GB2312"/>
      <w:sz w:val="32"/>
      <w:szCs w:val="32"/>
    </w:rPr>
  </w:style>
  <w:style w:type="paragraph" w:customStyle="1" w:styleId="10">
    <w:name w:val="正文1"/>
    <w:basedOn w:val="11"/>
    <w:qFormat/>
    <w:uiPriority w:val="0"/>
    <w:pPr>
      <w:widowControl/>
      <w:jc w:val="both"/>
    </w:pPr>
    <w:rPr>
      <w:rFonts w:ascii="Times New Roman" w:hAnsi="Times New Roman" w:eastAsia="Times New Roman"/>
      <w:sz w:val="21"/>
    </w:rPr>
  </w:style>
  <w:style w:type="paragraph" w:customStyle="1" w:styleId="11">
    <w:name w:val="[Normal]"/>
    <w:qFormat/>
    <w:uiPriority w:val="0"/>
    <w:rPr>
      <w:rFonts w:ascii="宋体" w:hAnsi="宋体" w:eastAsia="宋体" w:cs="Times New Roman"/>
      <w:sz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239</Words>
  <Characters>1366</Characters>
  <Lines>11</Lines>
  <Paragraphs>3</Paragraphs>
  <TotalTime>1</TotalTime>
  <ScaleCrop>false</ScaleCrop>
  <LinksUpToDate>false</LinksUpToDate>
  <CharactersWithSpaces>1602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2021-11-05T08:40:00Z</dcterms:created>
  <dc:creator>AutoBVT</dc:creator>
  <cp:lastModifiedBy>L 。</cp:lastModifiedBy>
  <cp:lastPrinted>2021-11-12T01:46:00Z</cp:lastPrinted>
  <dcterms:modified xsi:type="dcterms:W3CDTF">2021-11-12T09:16:29Z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60FDF91060BD4CFC85709127BBA9BC48</vt:lpwstr>
  </property>
</Properties>
</file>