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2020年度武汉市武昌区人民政府白沙洲街道办事处         部门整体绩效自评表</w:t>
      </w:r>
    </w:p>
    <w:p>
      <w:pPr>
        <w:tabs>
          <w:tab w:val="left" w:pos="5027"/>
        </w:tabs>
        <w:spacing w:before="70" w:after="21"/>
        <w:ind w:right="0" w:firstLine="420" w:firstLineChars="200"/>
        <w:jc w:val="left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单位名称：</w:t>
      </w:r>
      <w:r>
        <w:rPr>
          <w:rFonts w:hint="eastAsia" w:ascii="Arial" w:eastAsia="宋体"/>
          <w:color w:val="231F20"/>
          <w:spacing w:val="22"/>
          <w:lang w:eastAsia="zh-CN"/>
        </w:rPr>
        <w:t>武汉市武昌区</w:t>
      </w:r>
      <w:r>
        <w:rPr>
          <w:rFonts w:hint="eastAsia" w:ascii="Arial"/>
          <w:color w:val="231F20"/>
          <w:spacing w:val="22"/>
          <w:lang w:val="en-US" w:eastAsia="zh-CN"/>
        </w:rPr>
        <w:t>人民政府白沙洲街道办事处</w:t>
      </w:r>
      <w:r>
        <w:rPr>
          <w:sz w:val="21"/>
        </w:rPr>
        <w:tab/>
      </w:r>
    </w:p>
    <w:tbl>
      <w:tblPr>
        <w:tblStyle w:val="3"/>
        <w:tblW w:w="8948" w:type="dxa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134"/>
              <w:ind w:left="34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Arial" w:eastAsia="宋体"/>
                <w:color w:val="231F20"/>
                <w:spacing w:val="22"/>
                <w:lang w:eastAsia="zh-CN"/>
              </w:rPr>
              <w:t>武汉市武昌区</w:t>
            </w:r>
            <w:r>
              <w:rPr>
                <w:rFonts w:hint="eastAsia" w:ascii="Arial"/>
                <w:color w:val="231F20"/>
                <w:spacing w:val="22"/>
                <w:lang w:val="en-US" w:eastAsia="zh-CN"/>
              </w:rPr>
              <w:t>人民政府白沙洲街道办事处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135"/>
              <w:ind w:left="133"/>
              <w:rPr>
                <w:sz w:val="21"/>
              </w:rPr>
            </w:pPr>
            <w:r>
              <w:rPr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1469.79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5"/>
              <w:spacing w:before="135"/>
              <w:ind w:left="628"/>
              <w:jc w:val="center"/>
              <w:rPr>
                <w:sz w:val="21"/>
              </w:rPr>
            </w:pPr>
            <w:r>
              <w:rPr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</w:rPr>
              <w:t>6549.65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restart"/>
          </w:tcPr>
          <w:p>
            <w:pPr>
              <w:pStyle w:val="5"/>
              <w:spacing w:before="1"/>
              <w:rPr>
                <w:sz w:val="14"/>
              </w:rPr>
            </w:pPr>
          </w:p>
          <w:p>
            <w:pPr>
              <w:pStyle w:val="5"/>
              <w:spacing w:before="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预算执行情况</w:t>
            </w:r>
          </w:p>
          <w:p>
            <w:pPr>
              <w:pStyle w:val="5"/>
              <w:spacing w:before="40"/>
              <w:ind w:left="88" w:right="8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(万元)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sz w:val="21"/>
              </w:rPr>
              <w:t>0</w:t>
            </w:r>
            <w:r>
              <w:rPr>
                <w:spacing w:val="-18"/>
                <w:sz w:val="21"/>
              </w:rPr>
              <w:t xml:space="preserve"> 分)</w:t>
            </w:r>
          </w:p>
        </w:tc>
        <w:tc>
          <w:tcPr>
            <w:tcW w:w="112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5"/>
              <w:spacing w:before="174"/>
              <w:ind w:left="185"/>
              <w:rPr>
                <w:sz w:val="21"/>
              </w:rPr>
            </w:pPr>
            <w:r>
              <w:rPr>
                <w:sz w:val="21"/>
              </w:rPr>
              <w:t>预算数(A)</w:t>
            </w:r>
          </w:p>
        </w:tc>
        <w:tc>
          <w:tcPr>
            <w:tcW w:w="1317" w:type="dxa"/>
            <w:gridSpan w:val="2"/>
          </w:tcPr>
          <w:p>
            <w:pPr>
              <w:pStyle w:val="5"/>
              <w:spacing w:before="174"/>
              <w:ind w:left="183"/>
              <w:rPr>
                <w:sz w:val="21"/>
              </w:rPr>
            </w:pPr>
            <w:r>
              <w:rPr>
                <w:sz w:val="21"/>
              </w:rPr>
              <w:t>执行数(B)</w:t>
            </w:r>
          </w:p>
        </w:tc>
        <w:tc>
          <w:tcPr>
            <w:tcW w:w="1466" w:type="dxa"/>
          </w:tcPr>
          <w:p>
            <w:pPr>
              <w:pStyle w:val="5"/>
              <w:spacing w:before="174"/>
              <w:ind w:left="152"/>
              <w:rPr>
                <w:sz w:val="21"/>
              </w:rPr>
            </w:pPr>
            <w:r>
              <w:rPr>
                <w:sz w:val="21"/>
              </w:rPr>
              <w:t>执行率(B/A)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5"/>
              <w:spacing w:before="20"/>
              <w:ind w:left="340" w:right="334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5"/>
              <w:spacing w:before="19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部门整体</w:t>
            </w:r>
          </w:p>
          <w:p>
            <w:pPr>
              <w:pStyle w:val="5"/>
              <w:spacing w:before="43" w:line="269" w:lineRule="exact"/>
              <w:ind w:left="1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支出总额</w:t>
            </w:r>
          </w:p>
        </w:tc>
        <w:tc>
          <w:tcPr>
            <w:tcW w:w="1319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4253.79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8019.45</w:t>
            </w:r>
          </w:p>
        </w:tc>
        <w:tc>
          <w:tcPr>
            <w:tcW w:w="1466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188.52%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年度目标 1：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</w:rPr>
              <w:t>做好党建工作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党员培训次数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rFonts w:hint="eastAsia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实际开展党员活动次数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红色引擎工程阵地完成率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rFonts w:hint="eastAsia"/>
                <w:u w:val="none"/>
                <w:lang w:val="en-US" w:eastAsia="en-US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开展红色活动的完成率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全覆盖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rFonts w:hint="eastAsia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党组织活动实施次数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6"/>
                <w:rFonts w:hint="eastAsia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举办12次党组织活动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质量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资金使用合规度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按照财政财务管理规定，使用好各项资金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质量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项目落实合规度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所有项目必须按有关法规落实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质量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党务知识提高率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default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项目活动开展后，社区党员的党务知识提高100%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Style w:val="6"/>
                <w:u w:val="none"/>
                <w:lang w:val="en-US" w:eastAsia="zh-CN" w:bidi="ar"/>
              </w:rPr>
              <w:t>时效</w:t>
            </w:r>
            <w:r>
              <w:rPr>
                <w:rStyle w:val="7"/>
                <w:u w:val="none"/>
                <w:lang w:val="en-US" w:eastAsia="zh-CN" w:bidi="ar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红色引擎工程基层党员先锋模范作用效果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红色引擎工程基层党员先锋模范作用达到90%预期程度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eastAsia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党务活动开展满意度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7"/>
                <w:rFonts w:hint="default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u w:val="none"/>
                <w:lang w:val="en-US" w:eastAsia="zh-CN" w:bidi="ar"/>
              </w:rPr>
              <w:t>满意度90%以上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="Times New Roman"/>
                <w:sz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</w:rPr>
              <w:t>实施提升工程 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消防安全宣传种数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  <w:t>≥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按照财政财务管理规定，使用好各项资金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宣传物品发放及时率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突发安全事件处置及时率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发生安全事故的处置是否及时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经费预算执行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实际支出经费金额和预算金额相符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相符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街道治安改善度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街道安全生产方面改善的程度≥90%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u w:val="none"/>
              </w:rPr>
              <w:t>推动经济快速发展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固定资产投资金额数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街道固定资产投资总额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受益企业覆盖率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项目落实合规度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所有项目必须按有关法规落实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引进内资金额达标率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引进内资实际金额达到上级部门的要求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高新技术产业产值增幅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项目实施后，高新技术产业产值增福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22%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经费支出及时率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项目经费按计划支出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成本指标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成本控制率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实际支出经费金额和预算金额是否相符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2"/>
                <w:u w:val="none"/>
                <w:lang w:val="en-US" w:eastAsia="zh-CN" w:bidi="ar-SA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街道经济发展改善度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居民满意度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居民满意度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u w:val="none"/>
              </w:rPr>
              <w:t>优化服务发展环境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社会服务类项目完成率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社会活动类项目完成率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社会环境类项目完成率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社会管理类项目完成率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纳凉点数量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12个社区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相关文明创建活动组织次数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18次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数量指标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统计信息工作的工作人员数量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12人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项目落实合规度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质量指标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纳凉点运作合规性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项目完成及时率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公示及时率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物资发放及时率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文明创建思想文化宣传的及时性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文化宣传按计划进行实施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时效指标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信息统计及时率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信息统计的及时情况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成本指标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成本控制率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社区居民幸福度提升率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志愿者参与度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≥70%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≥70%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群众知晓率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街道综合环境改善度</w:t>
            </w:r>
          </w:p>
        </w:tc>
        <w:tc>
          <w:tcPr>
            <w:tcW w:w="14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满意度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居民满意度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u w:val="none"/>
                <w:lang w:val="en-US" w:eastAsia="zh-CN" w:bidi="ar-SA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年度目标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u w:val="none"/>
              </w:rPr>
              <w:t>做好信访维稳工作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网格个数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网格管理员人数覆盖率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法制宣传完成期数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信访维稳事故处理及时率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网格人员到岗率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完成质量达标率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案件处理及时性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完成项目及时性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居民生活质量提高率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平安指数提升度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街道法制安全改善度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街道治安改善度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提高人民群众安全感和营造和谐稳定的社会环境。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≥9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8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年度目标 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sz w:val="21"/>
              </w:rPr>
              <w:t>：</w:t>
            </w:r>
          </w:p>
          <w:p>
            <w:pPr>
              <w:pStyle w:val="5"/>
              <w:spacing w:before="41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  <w:lang w:val="en-US" w:eastAsia="zh-CN"/>
              </w:rPr>
              <w:t>15</w:t>
            </w:r>
            <w:r>
              <w:rPr>
                <w:sz w:val="21"/>
              </w:rPr>
              <w:t xml:space="preserve"> 分)</w:t>
            </w:r>
          </w:p>
        </w:tc>
        <w:tc>
          <w:tcPr>
            <w:tcW w:w="74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firstLine="220" w:firstLineChars="100"/>
              <w:jc w:val="left"/>
              <w:rPr>
                <w:rFonts w:hint="default" w:ascii="Times New Roman" w:eastAsia="宋体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/>
                <w:sz w:val="22"/>
                <w:u w:val="none"/>
              </w:rPr>
              <w:t>维持综合治理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spacing w:line="276" w:lineRule="auto"/>
              <w:ind w:left="203" w:right="195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700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一级</w:t>
            </w:r>
          </w:p>
          <w:p>
            <w:pPr>
              <w:pStyle w:val="5"/>
              <w:spacing w:before="43" w:line="269" w:lineRule="exact"/>
              <w:ind w:left="14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指标</w:t>
            </w:r>
          </w:p>
        </w:tc>
        <w:tc>
          <w:tcPr>
            <w:tcW w:w="1122" w:type="dxa"/>
            <w:tcBorders>
              <w:top w:val="single" w:color="auto" w:sz="4" w:space="0"/>
            </w:tcBorders>
          </w:tcPr>
          <w:p>
            <w:pPr>
              <w:pStyle w:val="5"/>
              <w:spacing w:before="175"/>
              <w:ind w:left="120" w:right="11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</w:tcBorders>
          </w:tcPr>
          <w:p>
            <w:pPr>
              <w:pStyle w:val="5"/>
              <w:spacing w:before="175"/>
              <w:ind w:left="876" w:right="869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1466" w:type="dxa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85" w:right="181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>
            <w:pPr>
              <w:pStyle w:val="5"/>
              <w:spacing w:before="43" w:line="269" w:lineRule="exact"/>
              <w:ind w:left="185" w:right="180"/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</w:tcPr>
          <w:p>
            <w:pPr>
              <w:pStyle w:val="5"/>
              <w:spacing w:before="19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>
            <w:pPr>
              <w:pStyle w:val="5"/>
              <w:spacing w:before="43" w:line="269" w:lineRule="exact"/>
              <w:ind w:left="110" w:right="104"/>
              <w:jc w:val="center"/>
              <w:rPr>
                <w:sz w:val="21"/>
              </w:rPr>
            </w:pPr>
            <w:r>
              <w:rPr>
                <w:sz w:val="21"/>
              </w:rPr>
              <w:t>(B)</w:t>
            </w:r>
          </w:p>
        </w:tc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175"/>
              <w:ind w:left="225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垃圾处理点分布社区个数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12个社区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环卫清扫面积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街道清扫面积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每天每户产生生活垃圾数量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1.5公斤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街道垃圾处理点覆盖率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街道垃圾处理工作宣传活动次数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重大食品安全事故数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城市综合管理工作宣传次数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项目落实合规度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城市综合管理事故处理及时性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jc w:val="center"/>
              <w:rPr>
                <w:sz w:val="20"/>
              </w:rPr>
            </w:pPr>
          </w:p>
          <w:p>
            <w:pPr>
              <w:pStyle w:val="5"/>
              <w:spacing w:before="8"/>
              <w:jc w:val="center"/>
              <w:rPr>
                <w:sz w:val="22"/>
              </w:rPr>
            </w:pPr>
          </w:p>
          <w:p>
            <w:pPr>
              <w:pStyle w:val="5"/>
              <w:spacing w:line="276" w:lineRule="auto"/>
              <w:ind w:left="140" w:right="129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垃圾分类知晓率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街道环境改善度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5"/>
              <w:spacing w:before="99" w:line="276" w:lineRule="auto"/>
              <w:ind w:left="140" w:right="129"/>
              <w:jc w:val="center"/>
              <w:rPr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8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81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97分</w:t>
            </w:r>
          </w:p>
        </w:tc>
      </w:tr>
    </w:tbl>
    <w:p/>
    <w:tbl>
      <w:tblPr>
        <w:tblStyle w:val="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1528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78" w:lineRule="auto"/>
              <w:ind w:left="239" w:right="2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偏差大或 </w:t>
            </w:r>
            <w:r>
              <w:rPr>
                <w:spacing w:val="-4"/>
                <w:sz w:val="21"/>
              </w:rPr>
              <w:t>目标未完成</w:t>
            </w:r>
            <w:r>
              <w:rPr>
                <w:sz w:val="21"/>
              </w:rPr>
              <w:t>原因分析</w:t>
            </w:r>
          </w:p>
        </w:tc>
        <w:tc>
          <w:tcPr>
            <w:tcW w:w="7419" w:type="dxa"/>
            <w:vAlign w:val="center"/>
          </w:tcPr>
          <w:p>
            <w:pPr>
              <w:pStyle w:val="5"/>
              <w:ind w:firstLine="440" w:firstLineChars="200"/>
              <w:jc w:val="both"/>
              <w:rPr>
                <w:rFonts w:hint="eastAsia" w:ascii="Arial Narrow" w:hAnsi="Arial Narrow" w:cs="Arial Narrow"/>
                <w:bCs/>
                <w:lang w:eastAsia="zh-CN"/>
              </w:rPr>
            </w:pPr>
            <w:r>
              <w:rPr>
                <w:rFonts w:hint="eastAsia" w:ascii="Arial Narrow" w:hAnsi="Arial Narrow" w:cs="Arial Narrow"/>
                <w:bCs/>
                <w:lang w:eastAsia="zh-CN"/>
              </w:rPr>
              <w:t>预算绩效管理工作有待继续推进，覆盖面有待提高，预算绩效考评体系还需继续完善。评价指标体系和标准的规范性和一致性还需要提高，要继续推动形成适用于本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单位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的、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更为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细化的指标体系和评价标准。</w:t>
            </w:r>
          </w:p>
          <w:p>
            <w:pPr>
              <w:pStyle w:val="5"/>
              <w:ind w:firstLine="440" w:firstLineChars="200"/>
              <w:jc w:val="both"/>
              <w:rPr>
                <w:rFonts w:hint="eastAsia" w:ascii="Arial Narrow" w:hAnsi="Arial Narrow" w:eastAsia="宋体" w:cs="Arial Narrow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 w:hRule="atLeast"/>
        </w:trPr>
        <w:tc>
          <w:tcPr>
            <w:tcW w:w="1528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0"/>
              <w:rPr>
                <w:sz w:val="15"/>
              </w:rPr>
            </w:pPr>
          </w:p>
          <w:p>
            <w:pPr>
              <w:pStyle w:val="5"/>
              <w:spacing w:line="278" w:lineRule="auto"/>
              <w:ind w:left="133" w:right="124" w:firstLine="105"/>
              <w:rPr>
                <w:sz w:val="21"/>
              </w:rPr>
            </w:pPr>
            <w:r>
              <w:rPr>
                <w:sz w:val="21"/>
              </w:rPr>
              <w:t>改进措施及结果应用方案</w:t>
            </w:r>
          </w:p>
        </w:tc>
        <w:tc>
          <w:tcPr>
            <w:tcW w:w="7419" w:type="dxa"/>
            <w:vAlign w:val="center"/>
          </w:tcPr>
          <w:p>
            <w:pPr>
              <w:pStyle w:val="5"/>
              <w:ind w:firstLine="440" w:firstLineChars="200"/>
              <w:jc w:val="both"/>
              <w:rPr>
                <w:rFonts w:hint="default" w:ascii="Arial Narrow" w:hAnsi="Arial Narrow" w:eastAsia="宋体" w:cs="Arial Narrow"/>
                <w:bCs/>
                <w:lang w:val="en-US" w:eastAsia="zh-CN"/>
              </w:rPr>
            </w:pPr>
            <w:r>
              <w:rPr>
                <w:rFonts w:hint="eastAsia" w:ascii="Arial Narrow" w:hAnsi="Arial Narrow" w:cs="Arial Narrow"/>
                <w:bCs/>
              </w:rPr>
              <w:t>一是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加强</w:t>
            </w:r>
            <w:r>
              <w:rPr>
                <w:rFonts w:hint="eastAsia" w:ascii="Arial Narrow" w:hAnsi="Arial Narrow" w:cs="Arial Narrow"/>
                <w:bCs/>
              </w:rPr>
              <w:t>绩效管理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，</w:t>
            </w:r>
            <w:r>
              <w:rPr>
                <w:rFonts w:hint="eastAsia" w:ascii="Arial Narrow" w:hAnsi="Arial Narrow" w:cs="Arial Narrow"/>
                <w:bCs/>
              </w:rPr>
              <w:t>强化结果应用</w:t>
            </w:r>
            <w:r>
              <w:rPr>
                <w:rFonts w:hint="eastAsia" w:ascii="Arial Narrow" w:hAnsi="Arial Narrow" w:cs="Arial Narrow"/>
                <w:bCs/>
                <w:lang w:eastAsia="zh-CN"/>
              </w:rPr>
              <w:t>，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推进各项工作提质增效。</w:t>
            </w:r>
            <w:r>
              <w:rPr>
                <w:rFonts w:hint="eastAsia" w:ascii="Arial Narrow" w:hAnsi="Arial Narrow" w:cs="Arial Narrow"/>
                <w:bCs/>
              </w:rPr>
              <w:t>严格落实事前绩效评估，加强绩效目标管理，积极开展绩效运行监控，深入开展绩效评价，强化结果应用，切实提高财政资金使用效益。二是</w:t>
            </w:r>
            <w:r>
              <w:rPr>
                <w:rFonts w:hint="eastAsia" w:ascii="Arial Narrow" w:hAnsi="Arial Narrow" w:cs="Arial Narrow"/>
                <w:bCs/>
                <w:lang w:val="en-US" w:eastAsia="zh-CN"/>
              </w:rPr>
              <w:t>完善</w:t>
            </w:r>
            <w:r>
              <w:rPr>
                <w:rFonts w:hint="eastAsia" w:ascii="Arial Narrow" w:hAnsi="Arial Narrow" w:cs="Arial Narrow"/>
                <w:bCs/>
              </w:rPr>
              <w:t>绩效管理制度体系。研究制定部门整体绩效评价、政策评价办法，以及政府购买服务、政府债务项目等绩效管理办法。研究制定第三方机构参与绩效管理办法及配套制度，促进第三方机构执业水平提升。</w:t>
            </w:r>
          </w:p>
        </w:tc>
      </w:tr>
    </w:tbl>
    <w:p>
      <w:pPr>
        <w:spacing w:before="11"/>
        <w:ind w:left="408" w:right="0" w:firstLine="0"/>
        <w:jc w:val="left"/>
        <w:rPr>
          <w:sz w:val="21"/>
        </w:rPr>
      </w:pPr>
      <w:r>
        <w:rPr>
          <w:sz w:val="21"/>
        </w:rPr>
        <w:t>备注：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预算执行情况口径：预算数为调整后财政资金总额(包括上年结余结转)，执行数为资金使用单位财政资金实际支出数。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定性指标计分原则：达成预期指标、部分达成预期指标、未达成预期指标三档，分别按照该指标对应分值区间 100%-80%(≥80%)、80%-50%(≥50%，＜80%)、50%-0%(＜50%)合理确定分值。汇总时，以资金额度为权重，对分值进行加权平均计算。</w:t>
      </w:r>
    </w:p>
    <w:p>
      <w:pPr>
        <w:pStyle w:val="8"/>
        <w:numPr>
          <w:ilvl w:val="0"/>
          <w:numId w:val="1"/>
        </w:numPr>
        <w:tabs>
          <w:tab w:val="left" w:pos="1040"/>
        </w:tabs>
        <w:spacing w:before="0" w:after="0" w:line="276" w:lineRule="auto"/>
        <w:ind w:left="408" w:right="302" w:firstLine="420"/>
        <w:jc w:val="left"/>
        <w:rPr>
          <w:spacing w:val="-7"/>
          <w:sz w:val="21"/>
        </w:rPr>
      </w:pPr>
      <w:r>
        <w:rPr>
          <w:spacing w:val="-7"/>
          <w:sz w:val="21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08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</w:rPr>
    </w:lvl>
    <w:lvl w:ilvl="1" w:tentative="0">
      <w:start w:val="1"/>
      <w:numFmt w:val="decimal"/>
      <w:lvlText w:val="%2."/>
      <w:lvlJc w:val="left"/>
      <w:pPr>
        <w:ind w:left="1270" w:hanging="280"/>
        <w:jc w:val="left"/>
      </w:pPr>
      <w:rPr>
        <w:rFonts w:hint="default" w:ascii="Arial" w:hAnsi="Arial" w:eastAsia="Arial" w:cs="Arial"/>
        <w:color w:val="231F20"/>
        <w:w w:val="88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198" w:hanging="28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16" w:hanging="28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35" w:hanging="28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53" w:hanging="28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71" w:hanging="28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90" w:hanging="28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08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2024"/>
    <w:rsid w:val="089249B0"/>
    <w:rsid w:val="34100570"/>
    <w:rsid w:val="372A370D"/>
    <w:rsid w:val="4E543C3B"/>
    <w:rsid w:val="54F9581D"/>
    <w:rsid w:val="5A615D32"/>
    <w:rsid w:val="68BF3C08"/>
    <w:rsid w:val="704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1"/>
    <w:pPr>
      <w:spacing w:before="171"/>
      <w:ind w:left="350" w:hanging="28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2021-12-10T03:49:00Z</dcterms:created>
  <dc:creator>♪小艺</dc:creator>
  <cp:lastModifiedBy>李家欣</cp:lastModifiedBy>
  <dcterms:modified xsi:type="dcterms:W3CDTF">2022-01-04T08:46:06Z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96CE904681B7455BA951924F9A7B23B6</vt:lpwstr>
  </property>
</Properties>
</file>